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D20FA3B" w14:textId="77777777" w:rsidTr="00BF1190">
        <w:trPr>
          <w:trHeight w:val="1863"/>
        </w:trPr>
        <w:tc>
          <w:tcPr>
            <w:tcW w:w="3652" w:type="dxa"/>
            <w:tcBorders>
              <w:top w:val="nil"/>
              <w:left w:val="nil"/>
              <w:bottom w:val="nil"/>
              <w:right w:val="nil"/>
            </w:tcBorders>
          </w:tcPr>
          <w:p w14:paraId="2C0C40DC" w14:textId="0649B88C" w:rsidR="008E7846" w:rsidRPr="00096AA7" w:rsidRDefault="0072587A" w:rsidP="00096AA7">
            <w:pPr>
              <w:rPr>
                <w:rFonts w:ascii="Arial" w:hAnsi="Arial" w:cs="Arial"/>
                <w:b/>
                <w:color w:val="002C47"/>
                <w:sz w:val="36"/>
                <w:szCs w:val="36"/>
              </w:rPr>
            </w:pPr>
            <w:r>
              <w:rPr>
                <w:rFonts w:ascii="Arial" w:hAnsi="Arial" w:cs="Arial"/>
                <w:b/>
                <w:color w:val="002C47"/>
                <w:sz w:val="36"/>
                <w:szCs w:val="36"/>
              </w:rPr>
              <w:t>March</w:t>
            </w:r>
            <w:r w:rsidR="001A1914">
              <w:rPr>
                <w:rFonts w:ascii="Arial" w:hAnsi="Arial" w:cs="Arial"/>
                <w:b/>
                <w:color w:val="002C47"/>
                <w:sz w:val="36"/>
                <w:szCs w:val="36"/>
              </w:rPr>
              <w:t xml:space="preserve"> </w:t>
            </w:r>
            <w:r w:rsidR="00647F5D">
              <w:rPr>
                <w:rFonts w:ascii="Arial" w:hAnsi="Arial" w:cs="Arial"/>
                <w:b/>
                <w:color w:val="002C47"/>
                <w:sz w:val="36"/>
                <w:szCs w:val="36"/>
              </w:rPr>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C079450" w14:textId="77777777" w:rsidTr="0032583B">
        <w:trPr>
          <w:trHeight w:val="868"/>
        </w:trPr>
        <w:tc>
          <w:tcPr>
            <w:tcW w:w="9079" w:type="dxa"/>
          </w:tcPr>
          <w:p w14:paraId="252CA01F" w14:textId="519353C8" w:rsidR="0032583B" w:rsidRPr="00A964D1" w:rsidRDefault="0032583B" w:rsidP="00460036">
            <w:pPr>
              <w:pStyle w:val="Title"/>
              <w:rPr>
                <w:color w:val="FFFFFF" w:themeColor="background1"/>
              </w:rPr>
            </w:pPr>
            <w:r w:rsidRPr="00A964D1">
              <w:rPr>
                <w:color w:val="FFFFFF" w:themeColor="background1"/>
              </w:rPr>
              <w:t xml:space="preserve">Australian Public Assessment Report for </w:t>
            </w:r>
            <w:proofErr w:type="spellStart"/>
            <w:r w:rsidR="00E1489C">
              <w:rPr>
                <w:color w:val="FFFFFF" w:themeColor="background1"/>
              </w:rPr>
              <w:t>I</w:t>
            </w:r>
            <w:r w:rsidR="00647F5D" w:rsidRPr="00647F5D">
              <w:rPr>
                <w:color w:val="FFFFFF" w:themeColor="background1"/>
              </w:rPr>
              <w:t>nclisiran</w:t>
            </w:r>
            <w:proofErr w:type="spellEnd"/>
          </w:p>
        </w:tc>
      </w:tr>
      <w:tr w:rsidR="0032583B" w:rsidRPr="00B64760" w14:paraId="47111A08" w14:textId="77777777" w:rsidTr="0032583B">
        <w:tc>
          <w:tcPr>
            <w:tcW w:w="9079" w:type="dxa"/>
          </w:tcPr>
          <w:p w14:paraId="09D18CBE" w14:textId="6AA7C406" w:rsidR="0032583B" w:rsidRPr="008E7846" w:rsidRDefault="0032583B" w:rsidP="00460036">
            <w:pPr>
              <w:pStyle w:val="Subtitle"/>
              <w:rPr>
                <w:color w:val="FFFFFF" w:themeColor="background1"/>
              </w:rPr>
            </w:pPr>
            <w:r w:rsidRPr="008E7846">
              <w:rPr>
                <w:color w:val="FFFFFF" w:themeColor="background1"/>
              </w:rPr>
              <w:t xml:space="preserve">Proprietary Product Name: </w:t>
            </w:r>
            <w:proofErr w:type="spellStart"/>
            <w:r w:rsidR="00647F5D" w:rsidRPr="00647F5D">
              <w:rPr>
                <w:color w:val="FFFFFF" w:themeColor="background1"/>
              </w:rPr>
              <w:t>Leqvio</w:t>
            </w:r>
            <w:proofErr w:type="spellEnd"/>
          </w:p>
        </w:tc>
      </w:tr>
      <w:tr w:rsidR="0032583B" w:rsidRPr="00B64760" w14:paraId="595783CA" w14:textId="77777777" w:rsidTr="0032583B">
        <w:trPr>
          <w:trHeight w:val="486"/>
        </w:trPr>
        <w:tc>
          <w:tcPr>
            <w:tcW w:w="9079" w:type="dxa"/>
          </w:tcPr>
          <w:p w14:paraId="762089E8" w14:textId="20823E7D" w:rsidR="0032583B" w:rsidRPr="008E7846" w:rsidRDefault="00460036" w:rsidP="0032583B">
            <w:pPr>
              <w:pStyle w:val="Subtitle"/>
              <w:rPr>
                <w:color w:val="FFFFFF" w:themeColor="background1"/>
              </w:rPr>
            </w:pPr>
            <w:r>
              <w:rPr>
                <w:color w:val="FFFFFF" w:themeColor="background1"/>
              </w:rPr>
              <w:t xml:space="preserve">Sponsor: </w:t>
            </w:r>
            <w:r w:rsidR="00647F5D" w:rsidRPr="00647F5D">
              <w:rPr>
                <w:color w:val="FFFFFF" w:themeColor="background1"/>
              </w:rPr>
              <w:t>Novartis Pharmaceuticals Australia Pty Limited</w:t>
            </w:r>
          </w:p>
        </w:tc>
      </w:tr>
    </w:tbl>
    <w:p w14:paraId="0D67B5A0" w14:textId="77777777" w:rsidR="008E7846" w:rsidRPr="0085156D" w:rsidRDefault="008E7846" w:rsidP="0085156D">
      <w:r w:rsidRPr="0085156D">
        <w:br w:type="page"/>
      </w:r>
    </w:p>
    <w:p w14:paraId="5EAF7B69" w14:textId="77777777" w:rsidR="008E7846" w:rsidRPr="001F6CBA" w:rsidRDefault="008E7846" w:rsidP="008E7846">
      <w:pPr>
        <w:pStyle w:val="NonTOCHeading2"/>
      </w:pPr>
      <w:r w:rsidRPr="001F6CBA">
        <w:lastRenderedPageBreak/>
        <w:t>About the Therapeutic Goods Administration (TGA)</w:t>
      </w:r>
    </w:p>
    <w:p w14:paraId="0D1E6582"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228D117"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52EA4748"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00BD6C87"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7DF92293" w14:textId="356043C5"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1" w:history="1">
        <w:r w:rsidR="00441C3F">
          <w:rPr>
            <w:rStyle w:val="Hyperlink"/>
          </w:rPr>
          <w:t>https://www.tga.gov.au</w:t>
        </w:r>
      </w:hyperlink>
      <w:r w:rsidR="00441C3F">
        <w:t>&gt;.</w:t>
      </w:r>
    </w:p>
    <w:p w14:paraId="59B04FB2" w14:textId="77777777" w:rsidR="008E7846" w:rsidRDefault="008E7846" w:rsidP="00875A6B">
      <w:pPr>
        <w:pStyle w:val="NonTOCHeading2"/>
      </w:pPr>
      <w:r>
        <w:t xml:space="preserve">About </w:t>
      </w:r>
      <w:proofErr w:type="spellStart"/>
      <w:r>
        <w:t>AusPARs</w:t>
      </w:r>
      <w:proofErr w:type="spellEnd"/>
    </w:p>
    <w:p w14:paraId="5BEE536D" w14:textId="77777777" w:rsidR="008E7846" w:rsidRDefault="008E7846" w:rsidP="008E7846">
      <w:pPr>
        <w:pStyle w:val="ListBullet"/>
        <w:numPr>
          <w:ilvl w:val="0"/>
          <w:numId w:val="3"/>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61036EC9"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5BBE0E54"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w:t>
      </w:r>
      <w:proofErr w:type="gramStart"/>
      <w:r>
        <w:t>variations</w:t>
      </w:r>
      <w:proofErr w:type="gramEnd"/>
      <w:r>
        <w:t xml:space="preserve"> and extensions of indications.</w:t>
      </w:r>
    </w:p>
    <w:p w14:paraId="25388947"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04F73DB1" w14:textId="77777777"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1C065B10" w14:textId="77777777" w:rsidR="00924482" w:rsidRPr="00DF1D7F" w:rsidRDefault="00924482" w:rsidP="00F54B65">
      <w:pPr>
        <w:pStyle w:val="LegalSubheading"/>
        <w:spacing w:before="3120"/>
      </w:pPr>
      <w:r w:rsidRPr="00DF1D7F">
        <w:t>Copyright</w:t>
      </w:r>
    </w:p>
    <w:p w14:paraId="3AE02B49" w14:textId="4914BD26"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1A1914">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proofErr w:type="gramStart"/>
      <w:r w:rsidRPr="00191B3B">
        <w:rPr>
          <w:rFonts w:cs="Arial"/>
          <w:lang w:val="en-GB"/>
        </w:rPr>
        <w:t>reserved</w:t>
      </w:r>
      <w:proofErr w:type="gramEnd"/>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2" w:history="1">
        <w:r w:rsidRPr="00191B3B">
          <w:rPr>
            <w:rStyle w:val="Hyperlink"/>
            <w:rFonts w:cs="Arial"/>
            <w:lang w:val="en-GB"/>
          </w:rPr>
          <w:t>tga.copyright@tga.gov.au</w:t>
        </w:r>
      </w:hyperlink>
      <w:r w:rsidRPr="00191B3B">
        <w:rPr>
          <w:rFonts w:cs="Arial"/>
        </w:rPr>
        <w:t>&gt;.</w:t>
      </w:r>
    </w:p>
    <w:p w14:paraId="44E96B62" w14:textId="77777777" w:rsidR="00924482" w:rsidRDefault="00924482" w:rsidP="00924482">
      <w:pPr>
        <w:pStyle w:val="LegalCopy"/>
        <w:sectPr w:rsidR="00924482" w:rsidSect="003D1E62">
          <w:headerReference w:type="default" r:id="rId13"/>
          <w:footerReference w:type="default" r:id="rId14"/>
          <w:head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9C95C9A" w14:textId="77777777" w:rsidR="0089635C" w:rsidRPr="0089635C" w:rsidRDefault="0089635C" w:rsidP="0010788A">
          <w:pPr>
            <w:pStyle w:val="Contents"/>
          </w:pPr>
          <w:r w:rsidRPr="0010788A">
            <w:t>Contents</w:t>
          </w:r>
        </w:p>
        <w:p w14:paraId="10EB8690" w14:textId="4066DC5E" w:rsidR="002C4E0E"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99632907" w:history="1">
            <w:r w:rsidR="002C4E0E" w:rsidRPr="00200C60">
              <w:rPr>
                <w:rStyle w:val="Hyperlink"/>
                <w:noProof/>
              </w:rPr>
              <w:t>List of abbreviations</w:t>
            </w:r>
            <w:r w:rsidR="002C4E0E">
              <w:rPr>
                <w:noProof/>
                <w:webHidden/>
              </w:rPr>
              <w:tab/>
            </w:r>
            <w:r w:rsidR="002C4E0E">
              <w:rPr>
                <w:noProof/>
                <w:webHidden/>
              </w:rPr>
              <w:fldChar w:fldCharType="begin"/>
            </w:r>
            <w:r w:rsidR="002C4E0E">
              <w:rPr>
                <w:noProof/>
                <w:webHidden/>
              </w:rPr>
              <w:instrText xml:space="preserve"> PAGEREF _Toc99632907 \h </w:instrText>
            </w:r>
            <w:r w:rsidR="002C4E0E">
              <w:rPr>
                <w:noProof/>
                <w:webHidden/>
              </w:rPr>
            </w:r>
            <w:r w:rsidR="002C4E0E">
              <w:rPr>
                <w:noProof/>
                <w:webHidden/>
              </w:rPr>
              <w:fldChar w:fldCharType="separate"/>
            </w:r>
            <w:r w:rsidR="002C4E0E">
              <w:rPr>
                <w:noProof/>
                <w:webHidden/>
              </w:rPr>
              <w:t>4</w:t>
            </w:r>
            <w:r w:rsidR="002C4E0E">
              <w:rPr>
                <w:noProof/>
                <w:webHidden/>
              </w:rPr>
              <w:fldChar w:fldCharType="end"/>
            </w:r>
          </w:hyperlink>
        </w:p>
        <w:p w14:paraId="3695FF15" w14:textId="4D290DDF" w:rsidR="002C4E0E" w:rsidRDefault="00FA22BA">
          <w:pPr>
            <w:pStyle w:val="TOC1"/>
            <w:rPr>
              <w:rFonts w:asciiTheme="minorHAnsi" w:eastAsiaTheme="minorEastAsia" w:hAnsiTheme="minorHAnsi" w:cstheme="minorBidi"/>
              <w:b w:val="0"/>
              <w:noProof/>
              <w:sz w:val="22"/>
              <w:lang w:eastAsia="en-AU"/>
            </w:rPr>
          </w:pPr>
          <w:hyperlink w:anchor="_Toc99632908" w:history="1">
            <w:r w:rsidR="002C4E0E" w:rsidRPr="00200C60">
              <w:rPr>
                <w:rStyle w:val="Hyperlink"/>
                <w:noProof/>
              </w:rPr>
              <w:t>I. Introduction to product submission</w:t>
            </w:r>
            <w:r w:rsidR="002C4E0E">
              <w:rPr>
                <w:noProof/>
                <w:webHidden/>
              </w:rPr>
              <w:tab/>
            </w:r>
            <w:r w:rsidR="002C4E0E">
              <w:rPr>
                <w:noProof/>
                <w:webHidden/>
              </w:rPr>
              <w:fldChar w:fldCharType="begin"/>
            </w:r>
            <w:r w:rsidR="002C4E0E">
              <w:rPr>
                <w:noProof/>
                <w:webHidden/>
              </w:rPr>
              <w:instrText xml:space="preserve"> PAGEREF _Toc99632908 \h </w:instrText>
            </w:r>
            <w:r w:rsidR="002C4E0E">
              <w:rPr>
                <w:noProof/>
                <w:webHidden/>
              </w:rPr>
            </w:r>
            <w:r w:rsidR="002C4E0E">
              <w:rPr>
                <w:noProof/>
                <w:webHidden/>
              </w:rPr>
              <w:fldChar w:fldCharType="separate"/>
            </w:r>
            <w:r w:rsidR="002C4E0E">
              <w:rPr>
                <w:noProof/>
                <w:webHidden/>
              </w:rPr>
              <w:t>7</w:t>
            </w:r>
            <w:r w:rsidR="002C4E0E">
              <w:rPr>
                <w:noProof/>
                <w:webHidden/>
              </w:rPr>
              <w:fldChar w:fldCharType="end"/>
            </w:r>
          </w:hyperlink>
        </w:p>
        <w:p w14:paraId="33679663" w14:textId="4F8B3FC2" w:rsidR="002C4E0E" w:rsidRDefault="00FA22BA">
          <w:pPr>
            <w:pStyle w:val="TOC2"/>
            <w:rPr>
              <w:rFonts w:asciiTheme="minorHAnsi" w:eastAsiaTheme="minorEastAsia" w:hAnsiTheme="minorHAnsi" w:cstheme="minorBidi"/>
              <w:b w:val="0"/>
              <w:noProof/>
              <w:sz w:val="22"/>
              <w:lang w:eastAsia="en-AU"/>
            </w:rPr>
          </w:pPr>
          <w:hyperlink w:anchor="_Toc99632909" w:history="1">
            <w:r w:rsidR="002C4E0E" w:rsidRPr="00200C60">
              <w:rPr>
                <w:rStyle w:val="Hyperlink"/>
                <w:noProof/>
                <w:lang w:eastAsia="en-AU"/>
              </w:rPr>
              <w:t>Submission details</w:t>
            </w:r>
            <w:r w:rsidR="002C4E0E">
              <w:rPr>
                <w:noProof/>
                <w:webHidden/>
              </w:rPr>
              <w:tab/>
            </w:r>
            <w:r w:rsidR="002C4E0E">
              <w:rPr>
                <w:noProof/>
                <w:webHidden/>
              </w:rPr>
              <w:fldChar w:fldCharType="begin"/>
            </w:r>
            <w:r w:rsidR="002C4E0E">
              <w:rPr>
                <w:noProof/>
                <w:webHidden/>
              </w:rPr>
              <w:instrText xml:space="preserve"> PAGEREF _Toc99632909 \h </w:instrText>
            </w:r>
            <w:r w:rsidR="002C4E0E">
              <w:rPr>
                <w:noProof/>
                <w:webHidden/>
              </w:rPr>
            </w:r>
            <w:r w:rsidR="002C4E0E">
              <w:rPr>
                <w:noProof/>
                <w:webHidden/>
              </w:rPr>
              <w:fldChar w:fldCharType="separate"/>
            </w:r>
            <w:r w:rsidR="002C4E0E">
              <w:rPr>
                <w:noProof/>
                <w:webHidden/>
              </w:rPr>
              <w:t>7</w:t>
            </w:r>
            <w:r w:rsidR="002C4E0E">
              <w:rPr>
                <w:noProof/>
                <w:webHidden/>
              </w:rPr>
              <w:fldChar w:fldCharType="end"/>
            </w:r>
          </w:hyperlink>
        </w:p>
        <w:p w14:paraId="28012424" w14:textId="56592822" w:rsidR="002C4E0E" w:rsidRDefault="00FA22BA">
          <w:pPr>
            <w:pStyle w:val="TOC2"/>
            <w:rPr>
              <w:rFonts w:asciiTheme="minorHAnsi" w:eastAsiaTheme="minorEastAsia" w:hAnsiTheme="minorHAnsi" w:cstheme="minorBidi"/>
              <w:b w:val="0"/>
              <w:noProof/>
              <w:sz w:val="22"/>
              <w:lang w:eastAsia="en-AU"/>
            </w:rPr>
          </w:pPr>
          <w:hyperlink w:anchor="_Toc99632910" w:history="1">
            <w:r w:rsidR="002C4E0E" w:rsidRPr="00200C60">
              <w:rPr>
                <w:rStyle w:val="Hyperlink"/>
                <w:noProof/>
              </w:rPr>
              <w:t>Product background</w:t>
            </w:r>
            <w:r w:rsidR="002C4E0E">
              <w:rPr>
                <w:noProof/>
                <w:webHidden/>
              </w:rPr>
              <w:tab/>
            </w:r>
            <w:r w:rsidR="002C4E0E">
              <w:rPr>
                <w:noProof/>
                <w:webHidden/>
              </w:rPr>
              <w:fldChar w:fldCharType="begin"/>
            </w:r>
            <w:r w:rsidR="002C4E0E">
              <w:rPr>
                <w:noProof/>
                <w:webHidden/>
              </w:rPr>
              <w:instrText xml:space="preserve"> PAGEREF _Toc99632910 \h </w:instrText>
            </w:r>
            <w:r w:rsidR="002C4E0E">
              <w:rPr>
                <w:noProof/>
                <w:webHidden/>
              </w:rPr>
            </w:r>
            <w:r w:rsidR="002C4E0E">
              <w:rPr>
                <w:noProof/>
                <w:webHidden/>
              </w:rPr>
              <w:fldChar w:fldCharType="separate"/>
            </w:r>
            <w:r w:rsidR="002C4E0E">
              <w:rPr>
                <w:noProof/>
                <w:webHidden/>
              </w:rPr>
              <w:t>8</w:t>
            </w:r>
            <w:r w:rsidR="002C4E0E">
              <w:rPr>
                <w:noProof/>
                <w:webHidden/>
              </w:rPr>
              <w:fldChar w:fldCharType="end"/>
            </w:r>
          </w:hyperlink>
        </w:p>
        <w:p w14:paraId="4ED43A31" w14:textId="5FE683F6" w:rsidR="002C4E0E" w:rsidRDefault="00FA22BA">
          <w:pPr>
            <w:pStyle w:val="TOC2"/>
            <w:rPr>
              <w:rFonts w:asciiTheme="minorHAnsi" w:eastAsiaTheme="minorEastAsia" w:hAnsiTheme="minorHAnsi" w:cstheme="minorBidi"/>
              <w:b w:val="0"/>
              <w:noProof/>
              <w:sz w:val="22"/>
              <w:lang w:eastAsia="en-AU"/>
            </w:rPr>
          </w:pPr>
          <w:hyperlink w:anchor="_Toc99632911" w:history="1">
            <w:r w:rsidR="002C4E0E" w:rsidRPr="00200C60">
              <w:rPr>
                <w:rStyle w:val="Hyperlink"/>
                <w:noProof/>
              </w:rPr>
              <w:t>Regulatory status</w:t>
            </w:r>
            <w:r w:rsidR="002C4E0E">
              <w:rPr>
                <w:noProof/>
                <w:webHidden/>
              </w:rPr>
              <w:tab/>
            </w:r>
            <w:r w:rsidR="002C4E0E">
              <w:rPr>
                <w:noProof/>
                <w:webHidden/>
              </w:rPr>
              <w:fldChar w:fldCharType="begin"/>
            </w:r>
            <w:r w:rsidR="002C4E0E">
              <w:rPr>
                <w:noProof/>
                <w:webHidden/>
              </w:rPr>
              <w:instrText xml:space="preserve"> PAGEREF _Toc99632911 \h </w:instrText>
            </w:r>
            <w:r w:rsidR="002C4E0E">
              <w:rPr>
                <w:noProof/>
                <w:webHidden/>
              </w:rPr>
            </w:r>
            <w:r w:rsidR="002C4E0E">
              <w:rPr>
                <w:noProof/>
                <w:webHidden/>
              </w:rPr>
              <w:fldChar w:fldCharType="separate"/>
            </w:r>
            <w:r w:rsidR="002C4E0E">
              <w:rPr>
                <w:noProof/>
                <w:webHidden/>
              </w:rPr>
              <w:t>9</w:t>
            </w:r>
            <w:r w:rsidR="002C4E0E">
              <w:rPr>
                <w:noProof/>
                <w:webHidden/>
              </w:rPr>
              <w:fldChar w:fldCharType="end"/>
            </w:r>
          </w:hyperlink>
        </w:p>
        <w:p w14:paraId="3EC93DB9" w14:textId="55CC5711" w:rsidR="002C4E0E" w:rsidRDefault="00FA22BA">
          <w:pPr>
            <w:pStyle w:val="TOC2"/>
            <w:rPr>
              <w:rFonts w:asciiTheme="minorHAnsi" w:eastAsiaTheme="minorEastAsia" w:hAnsiTheme="minorHAnsi" w:cstheme="minorBidi"/>
              <w:b w:val="0"/>
              <w:noProof/>
              <w:sz w:val="22"/>
              <w:lang w:eastAsia="en-AU"/>
            </w:rPr>
          </w:pPr>
          <w:hyperlink w:anchor="_Toc99632912" w:history="1">
            <w:r w:rsidR="002C4E0E" w:rsidRPr="00200C60">
              <w:rPr>
                <w:rStyle w:val="Hyperlink"/>
                <w:noProof/>
              </w:rPr>
              <w:t>Product Information</w:t>
            </w:r>
            <w:r w:rsidR="002C4E0E">
              <w:rPr>
                <w:noProof/>
                <w:webHidden/>
              </w:rPr>
              <w:tab/>
            </w:r>
            <w:r w:rsidR="002C4E0E">
              <w:rPr>
                <w:noProof/>
                <w:webHidden/>
              </w:rPr>
              <w:fldChar w:fldCharType="begin"/>
            </w:r>
            <w:r w:rsidR="002C4E0E">
              <w:rPr>
                <w:noProof/>
                <w:webHidden/>
              </w:rPr>
              <w:instrText xml:space="preserve"> PAGEREF _Toc99632912 \h </w:instrText>
            </w:r>
            <w:r w:rsidR="002C4E0E">
              <w:rPr>
                <w:noProof/>
                <w:webHidden/>
              </w:rPr>
            </w:r>
            <w:r w:rsidR="002C4E0E">
              <w:rPr>
                <w:noProof/>
                <w:webHidden/>
              </w:rPr>
              <w:fldChar w:fldCharType="separate"/>
            </w:r>
            <w:r w:rsidR="002C4E0E">
              <w:rPr>
                <w:noProof/>
                <w:webHidden/>
              </w:rPr>
              <w:t>10</w:t>
            </w:r>
            <w:r w:rsidR="002C4E0E">
              <w:rPr>
                <w:noProof/>
                <w:webHidden/>
              </w:rPr>
              <w:fldChar w:fldCharType="end"/>
            </w:r>
          </w:hyperlink>
        </w:p>
        <w:p w14:paraId="4951A677" w14:textId="6DE991D9" w:rsidR="002C4E0E" w:rsidRDefault="00FA22BA">
          <w:pPr>
            <w:pStyle w:val="TOC1"/>
            <w:rPr>
              <w:rFonts w:asciiTheme="minorHAnsi" w:eastAsiaTheme="minorEastAsia" w:hAnsiTheme="minorHAnsi" w:cstheme="minorBidi"/>
              <w:b w:val="0"/>
              <w:noProof/>
              <w:sz w:val="22"/>
              <w:lang w:eastAsia="en-AU"/>
            </w:rPr>
          </w:pPr>
          <w:hyperlink w:anchor="_Toc99632913" w:history="1">
            <w:r w:rsidR="002C4E0E" w:rsidRPr="00200C60">
              <w:rPr>
                <w:rStyle w:val="Hyperlink"/>
                <w:noProof/>
              </w:rPr>
              <w:t>II. Registration timeline</w:t>
            </w:r>
            <w:r w:rsidR="002C4E0E">
              <w:rPr>
                <w:noProof/>
                <w:webHidden/>
              </w:rPr>
              <w:tab/>
            </w:r>
            <w:r w:rsidR="002C4E0E">
              <w:rPr>
                <w:noProof/>
                <w:webHidden/>
              </w:rPr>
              <w:fldChar w:fldCharType="begin"/>
            </w:r>
            <w:r w:rsidR="002C4E0E">
              <w:rPr>
                <w:noProof/>
                <w:webHidden/>
              </w:rPr>
              <w:instrText xml:space="preserve"> PAGEREF _Toc99632913 \h </w:instrText>
            </w:r>
            <w:r w:rsidR="002C4E0E">
              <w:rPr>
                <w:noProof/>
                <w:webHidden/>
              </w:rPr>
            </w:r>
            <w:r w:rsidR="002C4E0E">
              <w:rPr>
                <w:noProof/>
                <w:webHidden/>
              </w:rPr>
              <w:fldChar w:fldCharType="separate"/>
            </w:r>
            <w:r w:rsidR="002C4E0E">
              <w:rPr>
                <w:noProof/>
                <w:webHidden/>
              </w:rPr>
              <w:t>10</w:t>
            </w:r>
            <w:r w:rsidR="002C4E0E">
              <w:rPr>
                <w:noProof/>
                <w:webHidden/>
              </w:rPr>
              <w:fldChar w:fldCharType="end"/>
            </w:r>
          </w:hyperlink>
        </w:p>
        <w:p w14:paraId="5C6C0F47" w14:textId="4F723FA2" w:rsidR="002C4E0E" w:rsidRDefault="00FA22BA">
          <w:pPr>
            <w:pStyle w:val="TOC1"/>
            <w:rPr>
              <w:rFonts w:asciiTheme="minorHAnsi" w:eastAsiaTheme="minorEastAsia" w:hAnsiTheme="minorHAnsi" w:cstheme="minorBidi"/>
              <w:b w:val="0"/>
              <w:noProof/>
              <w:sz w:val="22"/>
              <w:lang w:eastAsia="en-AU"/>
            </w:rPr>
          </w:pPr>
          <w:hyperlink w:anchor="_Toc99632914" w:history="1">
            <w:r w:rsidR="002C4E0E" w:rsidRPr="00200C60">
              <w:rPr>
                <w:rStyle w:val="Hyperlink"/>
                <w:noProof/>
              </w:rPr>
              <w:t>III. Submission overview and risk/benefit assessment</w:t>
            </w:r>
            <w:r w:rsidR="002C4E0E">
              <w:rPr>
                <w:noProof/>
                <w:webHidden/>
              </w:rPr>
              <w:tab/>
            </w:r>
            <w:r w:rsidR="002C4E0E">
              <w:rPr>
                <w:noProof/>
                <w:webHidden/>
              </w:rPr>
              <w:fldChar w:fldCharType="begin"/>
            </w:r>
            <w:r w:rsidR="002C4E0E">
              <w:rPr>
                <w:noProof/>
                <w:webHidden/>
              </w:rPr>
              <w:instrText xml:space="preserve"> PAGEREF _Toc99632914 \h </w:instrText>
            </w:r>
            <w:r w:rsidR="002C4E0E">
              <w:rPr>
                <w:noProof/>
                <w:webHidden/>
              </w:rPr>
            </w:r>
            <w:r w:rsidR="002C4E0E">
              <w:rPr>
                <w:noProof/>
                <w:webHidden/>
              </w:rPr>
              <w:fldChar w:fldCharType="separate"/>
            </w:r>
            <w:r w:rsidR="002C4E0E">
              <w:rPr>
                <w:noProof/>
                <w:webHidden/>
              </w:rPr>
              <w:t>11</w:t>
            </w:r>
            <w:r w:rsidR="002C4E0E">
              <w:rPr>
                <w:noProof/>
                <w:webHidden/>
              </w:rPr>
              <w:fldChar w:fldCharType="end"/>
            </w:r>
          </w:hyperlink>
        </w:p>
        <w:p w14:paraId="3892EDC9" w14:textId="58DEB639" w:rsidR="002C4E0E" w:rsidRDefault="00FA22BA">
          <w:pPr>
            <w:pStyle w:val="TOC2"/>
            <w:rPr>
              <w:rFonts w:asciiTheme="minorHAnsi" w:eastAsiaTheme="minorEastAsia" w:hAnsiTheme="minorHAnsi" w:cstheme="minorBidi"/>
              <w:b w:val="0"/>
              <w:noProof/>
              <w:sz w:val="22"/>
              <w:lang w:eastAsia="en-AU"/>
            </w:rPr>
          </w:pPr>
          <w:hyperlink w:anchor="_Toc99632915" w:history="1">
            <w:r w:rsidR="002C4E0E" w:rsidRPr="00200C60">
              <w:rPr>
                <w:rStyle w:val="Hyperlink"/>
                <w:noProof/>
              </w:rPr>
              <w:t>Quality</w:t>
            </w:r>
            <w:r w:rsidR="002C4E0E">
              <w:rPr>
                <w:noProof/>
                <w:webHidden/>
              </w:rPr>
              <w:tab/>
            </w:r>
            <w:r w:rsidR="002C4E0E">
              <w:rPr>
                <w:noProof/>
                <w:webHidden/>
              </w:rPr>
              <w:fldChar w:fldCharType="begin"/>
            </w:r>
            <w:r w:rsidR="002C4E0E">
              <w:rPr>
                <w:noProof/>
                <w:webHidden/>
              </w:rPr>
              <w:instrText xml:space="preserve"> PAGEREF _Toc99632915 \h </w:instrText>
            </w:r>
            <w:r w:rsidR="002C4E0E">
              <w:rPr>
                <w:noProof/>
                <w:webHidden/>
              </w:rPr>
            </w:r>
            <w:r w:rsidR="002C4E0E">
              <w:rPr>
                <w:noProof/>
                <w:webHidden/>
              </w:rPr>
              <w:fldChar w:fldCharType="separate"/>
            </w:r>
            <w:r w:rsidR="002C4E0E">
              <w:rPr>
                <w:noProof/>
                <w:webHidden/>
              </w:rPr>
              <w:t>11</w:t>
            </w:r>
            <w:r w:rsidR="002C4E0E">
              <w:rPr>
                <w:noProof/>
                <w:webHidden/>
              </w:rPr>
              <w:fldChar w:fldCharType="end"/>
            </w:r>
          </w:hyperlink>
        </w:p>
        <w:p w14:paraId="77B90D6F" w14:textId="29BA0AD3" w:rsidR="002C4E0E" w:rsidRDefault="00FA22BA">
          <w:pPr>
            <w:pStyle w:val="TOC2"/>
            <w:rPr>
              <w:rFonts w:asciiTheme="minorHAnsi" w:eastAsiaTheme="minorEastAsia" w:hAnsiTheme="minorHAnsi" w:cstheme="minorBidi"/>
              <w:b w:val="0"/>
              <w:noProof/>
              <w:sz w:val="22"/>
              <w:lang w:eastAsia="en-AU"/>
            </w:rPr>
          </w:pPr>
          <w:hyperlink w:anchor="_Toc99632916" w:history="1">
            <w:r w:rsidR="002C4E0E" w:rsidRPr="00200C60">
              <w:rPr>
                <w:rStyle w:val="Hyperlink"/>
                <w:noProof/>
              </w:rPr>
              <w:t>Nonclinical</w:t>
            </w:r>
            <w:r w:rsidR="002C4E0E">
              <w:rPr>
                <w:noProof/>
                <w:webHidden/>
              </w:rPr>
              <w:tab/>
            </w:r>
            <w:r w:rsidR="002C4E0E">
              <w:rPr>
                <w:noProof/>
                <w:webHidden/>
              </w:rPr>
              <w:fldChar w:fldCharType="begin"/>
            </w:r>
            <w:r w:rsidR="002C4E0E">
              <w:rPr>
                <w:noProof/>
                <w:webHidden/>
              </w:rPr>
              <w:instrText xml:space="preserve"> PAGEREF _Toc99632916 \h </w:instrText>
            </w:r>
            <w:r w:rsidR="002C4E0E">
              <w:rPr>
                <w:noProof/>
                <w:webHidden/>
              </w:rPr>
            </w:r>
            <w:r w:rsidR="002C4E0E">
              <w:rPr>
                <w:noProof/>
                <w:webHidden/>
              </w:rPr>
              <w:fldChar w:fldCharType="separate"/>
            </w:r>
            <w:r w:rsidR="002C4E0E">
              <w:rPr>
                <w:noProof/>
                <w:webHidden/>
              </w:rPr>
              <w:t>12</w:t>
            </w:r>
            <w:r w:rsidR="002C4E0E">
              <w:rPr>
                <w:noProof/>
                <w:webHidden/>
              </w:rPr>
              <w:fldChar w:fldCharType="end"/>
            </w:r>
          </w:hyperlink>
        </w:p>
        <w:p w14:paraId="11455E3A" w14:textId="711F2EA9" w:rsidR="002C4E0E" w:rsidRDefault="00FA22BA">
          <w:pPr>
            <w:pStyle w:val="TOC2"/>
            <w:rPr>
              <w:rFonts w:asciiTheme="minorHAnsi" w:eastAsiaTheme="minorEastAsia" w:hAnsiTheme="minorHAnsi" w:cstheme="minorBidi"/>
              <w:b w:val="0"/>
              <w:noProof/>
              <w:sz w:val="22"/>
              <w:lang w:eastAsia="en-AU"/>
            </w:rPr>
          </w:pPr>
          <w:hyperlink w:anchor="_Toc99632917" w:history="1">
            <w:r w:rsidR="002C4E0E" w:rsidRPr="00200C60">
              <w:rPr>
                <w:rStyle w:val="Hyperlink"/>
                <w:noProof/>
              </w:rPr>
              <w:t>Clinical</w:t>
            </w:r>
            <w:r w:rsidR="002C4E0E">
              <w:rPr>
                <w:noProof/>
                <w:webHidden/>
              </w:rPr>
              <w:tab/>
            </w:r>
            <w:r w:rsidR="002C4E0E">
              <w:rPr>
                <w:noProof/>
                <w:webHidden/>
              </w:rPr>
              <w:fldChar w:fldCharType="begin"/>
            </w:r>
            <w:r w:rsidR="002C4E0E">
              <w:rPr>
                <w:noProof/>
                <w:webHidden/>
              </w:rPr>
              <w:instrText xml:space="preserve"> PAGEREF _Toc99632917 \h </w:instrText>
            </w:r>
            <w:r w:rsidR="002C4E0E">
              <w:rPr>
                <w:noProof/>
                <w:webHidden/>
              </w:rPr>
            </w:r>
            <w:r w:rsidR="002C4E0E">
              <w:rPr>
                <w:noProof/>
                <w:webHidden/>
              </w:rPr>
              <w:fldChar w:fldCharType="separate"/>
            </w:r>
            <w:r w:rsidR="002C4E0E">
              <w:rPr>
                <w:noProof/>
                <w:webHidden/>
              </w:rPr>
              <w:t>14</w:t>
            </w:r>
            <w:r w:rsidR="002C4E0E">
              <w:rPr>
                <w:noProof/>
                <w:webHidden/>
              </w:rPr>
              <w:fldChar w:fldCharType="end"/>
            </w:r>
          </w:hyperlink>
        </w:p>
        <w:p w14:paraId="2D3C9723" w14:textId="68F827F5" w:rsidR="002C4E0E" w:rsidRDefault="00FA22BA">
          <w:pPr>
            <w:pStyle w:val="TOC2"/>
            <w:rPr>
              <w:rFonts w:asciiTheme="minorHAnsi" w:eastAsiaTheme="minorEastAsia" w:hAnsiTheme="minorHAnsi" w:cstheme="minorBidi"/>
              <w:b w:val="0"/>
              <w:noProof/>
              <w:sz w:val="22"/>
              <w:lang w:eastAsia="en-AU"/>
            </w:rPr>
          </w:pPr>
          <w:hyperlink w:anchor="_Toc99632918" w:history="1">
            <w:r w:rsidR="002C4E0E" w:rsidRPr="00200C60">
              <w:rPr>
                <w:rStyle w:val="Hyperlink"/>
                <w:noProof/>
                <w:lang w:eastAsia="en-AU"/>
              </w:rPr>
              <w:t>Risk management plan</w:t>
            </w:r>
            <w:r w:rsidR="002C4E0E">
              <w:rPr>
                <w:noProof/>
                <w:webHidden/>
              </w:rPr>
              <w:tab/>
            </w:r>
            <w:r w:rsidR="002C4E0E">
              <w:rPr>
                <w:noProof/>
                <w:webHidden/>
              </w:rPr>
              <w:fldChar w:fldCharType="begin"/>
            </w:r>
            <w:r w:rsidR="002C4E0E">
              <w:rPr>
                <w:noProof/>
                <w:webHidden/>
              </w:rPr>
              <w:instrText xml:space="preserve"> PAGEREF _Toc99632918 \h </w:instrText>
            </w:r>
            <w:r w:rsidR="002C4E0E">
              <w:rPr>
                <w:noProof/>
                <w:webHidden/>
              </w:rPr>
            </w:r>
            <w:r w:rsidR="002C4E0E">
              <w:rPr>
                <w:noProof/>
                <w:webHidden/>
              </w:rPr>
              <w:fldChar w:fldCharType="separate"/>
            </w:r>
            <w:r w:rsidR="002C4E0E">
              <w:rPr>
                <w:noProof/>
                <w:webHidden/>
              </w:rPr>
              <w:t>44</w:t>
            </w:r>
            <w:r w:rsidR="002C4E0E">
              <w:rPr>
                <w:noProof/>
                <w:webHidden/>
              </w:rPr>
              <w:fldChar w:fldCharType="end"/>
            </w:r>
          </w:hyperlink>
        </w:p>
        <w:p w14:paraId="087ED8CF" w14:textId="52E17ED6" w:rsidR="002C4E0E" w:rsidRDefault="00FA22BA">
          <w:pPr>
            <w:pStyle w:val="TOC2"/>
            <w:rPr>
              <w:rFonts w:asciiTheme="minorHAnsi" w:eastAsiaTheme="minorEastAsia" w:hAnsiTheme="minorHAnsi" w:cstheme="minorBidi"/>
              <w:b w:val="0"/>
              <w:noProof/>
              <w:sz w:val="22"/>
              <w:lang w:eastAsia="en-AU"/>
            </w:rPr>
          </w:pPr>
          <w:hyperlink w:anchor="_Toc99632919" w:history="1">
            <w:r w:rsidR="002C4E0E" w:rsidRPr="00200C60">
              <w:rPr>
                <w:rStyle w:val="Hyperlink"/>
                <w:noProof/>
              </w:rPr>
              <w:t>Risk-benefit analysis</w:t>
            </w:r>
            <w:r w:rsidR="002C4E0E">
              <w:rPr>
                <w:noProof/>
                <w:webHidden/>
              </w:rPr>
              <w:tab/>
            </w:r>
            <w:r w:rsidR="002C4E0E">
              <w:rPr>
                <w:noProof/>
                <w:webHidden/>
              </w:rPr>
              <w:fldChar w:fldCharType="begin"/>
            </w:r>
            <w:r w:rsidR="002C4E0E">
              <w:rPr>
                <w:noProof/>
                <w:webHidden/>
              </w:rPr>
              <w:instrText xml:space="preserve"> PAGEREF _Toc99632919 \h </w:instrText>
            </w:r>
            <w:r w:rsidR="002C4E0E">
              <w:rPr>
                <w:noProof/>
                <w:webHidden/>
              </w:rPr>
            </w:r>
            <w:r w:rsidR="002C4E0E">
              <w:rPr>
                <w:noProof/>
                <w:webHidden/>
              </w:rPr>
              <w:fldChar w:fldCharType="separate"/>
            </w:r>
            <w:r w:rsidR="002C4E0E">
              <w:rPr>
                <w:noProof/>
                <w:webHidden/>
              </w:rPr>
              <w:t>47</w:t>
            </w:r>
            <w:r w:rsidR="002C4E0E">
              <w:rPr>
                <w:noProof/>
                <w:webHidden/>
              </w:rPr>
              <w:fldChar w:fldCharType="end"/>
            </w:r>
          </w:hyperlink>
        </w:p>
        <w:p w14:paraId="05502E6E" w14:textId="613E2429" w:rsidR="002C4E0E" w:rsidRDefault="00FA22BA">
          <w:pPr>
            <w:pStyle w:val="TOC2"/>
            <w:rPr>
              <w:rFonts w:asciiTheme="minorHAnsi" w:eastAsiaTheme="minorEastAsia" w:hAnsiTheme="minorHAnsi" w:cstheme="minorBidi"/>
              <w:b w:val="0"/>
              <w:noProof/>
              <w:sz w:val="22"/>
              <w:lang w:eastAsia="en-AU"/>
            </w:rPr>
          </w:pPr>
          <w:hyperlink w:anchor="_Toc99632920" w:history="1">
            <w:r w:rsidR="002C4E0E" w:rsidRPr="00200C60">
              <w:rPr>
                <w:rStyle w:val="Hyperlink"/>
                <w:noProof/>
              </w:rPr>
              <w:t>Outcome</w:t>
            </w:r>
            <w:r w:rsidR="002C4E0E">
              <w:rPr>
                <w:noProof/>
                <w:webHidden/>
              </w:rPr>
              <w:tab/>
            </w:r>
            <w:r w:rsidR="002C4E0E">
              <w:rPr>
                <w:noProof/>
                <w:webHidden/>
              </w:rPr>
              <w:fldChar w:fldCharType="begin"/>
            </w:r>
            <w:r w:rsidR="002C4E0E">
              <w:rPr>
                <w:noProof/>
                <w:webHidden/>
              </w:rPr>
              <w:instrText xml:space="preserve"> PAGEREF _Toc99632920 \h </w:instrText>
            </w:r>
            <w:r w:rsidR="002C4E0E">
              <w:rPr>
                <w:noProof/>
                <w:webHidden/>
              </w:rPr>
            </w:r>
            <w:r w:rsidR="002C4E0E">
              <w:rPr>
                <w:noProof/>
                <w:webHidden/>
              </w:rPr>
              <w:fldChar w:fldCharType="separate"/>
            </w:r>
            <w:r w:rsidR="002C4E0E">
              <w:rPr>
                <w:noProof/>
                <w:webHidden/>
              </w:rPr>
              <w:t>54</w:t>
            </w:r>
            <w:r w:rsidR="002C4E0E">
              <w:rPr>
                <w:noProof/>
                <w:webHidden/>
              </w:rPr>
              <w:fldChar w:fldCharType="end"/>
            </w:r>
          </w:hyperlink>
        </w:p>
        <w:p w14:paraId="7011F266" w14:textId="18F53EAE" w:rsidR="002C4E0E" w:rsidRDefault="00FA22BA">
          <w:pPr>
            <w:pStyle w:val="TOC1"/>
            <w:rPr>
              <w:rFonts w:asciiTheme="minorHAnsi" w:eastAsiaTheme="minorEastAsia" w:hAnsiTheme="minorHAnsi" w:cstheme="minorBidi"/>
              <w:b w:val="0"/>
              <w:noProof/>
              <w:sz w:val="22"/>
              <w:lang w:eastAsia="en-AU"/>
            </w:rPr>
          </w:pPr>
          <w:hyperlink w:anchor="_Toc99632921" w:history="1">
            <w:r w:rsidR="002C4E0E" w:rsidRPr="00200C60">
              <w:rPr>
                <w:rStyle w:val="Hyperlink"/>
                <w:noProof/>
              </w:rPr>
              <w:t>Attachment 1. Product Information</w:t>
            </w:r>
            <w:r w:rsidR="002C4E0E">
              <w:rPr>
                <w:noProof/>
                <w:webHidden/>
              </w:rPr>
              <w:tab/>
            </w:r>
            <w:r w:rsidR="002C4E0E">
              <w:rPr>
                <w:noProof/>
                <w:webHidden/>
              </w:rPr>
              <w:fldChar w:fldCharType="begin"/>
            </w:r>
            <w:r w:rsidR="002C4E0E">
              <w:rPr>
                <w:noProof/>
                <w:webHidden/>
              </w:rPr>
              <w:instrText xml:space="preserve"> PAGEREF _Toc99632921 \h </w:instrText>
            </w:r>
            <w:r w:rsidR="002C4E0E">
              <w:rPr>
                <w:noProof/>
                <w:webHidden/>
              </w:rPr>
            </w:r>
            <w:r w:rsidR="002C4E0E">
              <w:rPr>
                <w:noProof/>
                <w:webHidden/>
              </w:rPr>
              <w:fldChar w:fldCharType="separate"/>
            </w:r>
            <w:r w:rsidR="002C4E0E">
              <w:rPr>
                <w:noProof/>
                <w:webHidden/>
              </w:rPr>
              <w:t>55</w:t>
            </w:r>
            <w:r w:rsidR="002C4E0E">
              <w:rPr>
                <w:noProof/>
                <w:webHidden/>
              </w:rPr>
              <w:fldChar w:fldCharType="end"/>
            </w:r>
          </w:hyperlink>
        </w:p>
        <w:p w14:paraId="63DF873E" w14:textId="7B8D14FC" w:rsidR="003A7F6C" w:rsidRPr="00B811C6" w:rsidRDefault="00C525A2" w:rsidP="00B811C6">
          <w:pPr>
            <w:pStyle w:val="TOC2"/>
          </w:pPr>
          <w:r>
            <w:fldChar w:fldCharType="end"/>
          </w:r>
        </w:p>
      </w:sdtContent>
    </w:sdt>
    <w:bookmarkStart w:id="2" w:name="_Toc314842482" w:displacedByCustomXml="prev"/>
    <w:p w14:paraId="115444DF" w14:textId="77777777" w:rsidR="00FD119B" w:rsidRDefault="00FD119B">
      <w:pPr>
        <w:spacing w:before="0" w:after="200" w:line="0" w:lineRule="auto"/>
      </w:pPr>
      <w:r>
        <w:br w:type="page"/>
      </w:r>
    </w:p>
    <w:p w14:paraId="60391C83" w14:textId="6DAD50C4" w:rsidR="00C52E24" w:rsidRPr="00C52E24" w:rsidRDefault="00324E45" w:rsidP="00647F5D">
      <w:pPr>
        <w:pStyle w:val="Heading2"/>
      </w:pPr>
      <w:bookmarkStart w:id="3" w:name="_Toc351716269"/>
      <w:bookmarkStart w:id="4" w:name="_Toc351718881"/>
      <w:bookmarkStart w:id="5" w:name="_Toc355338616"/>
      <w:bookmarkStart w:id="6" w:name="_Toc356306144"/>
      <w:bookmarkStart w:id="7" w:name="_Toc99632907"/>
      <w:r>
        <w:lastRenderedPageBreak/>
        <w:t>List of</w:t>
      </w:r>
      <w:r w:rsidR="00FD119B" w:rsidRPr="00FD119B">
        <w:t xml:space="preserve"> abbreviations</w:t>
      </w:r>
      <w:bookmarkEnd w:id="3"/>
      <w:bookmarkEnd w:id="4"/>
      <w:bookmarkEnd w:id="5"/>
      <w:bookmarkEnd w:id="6"/>
      <w:bookmarkEnd w:id="7"/>
    </w:p>
    <w:tbl>
      <w:tblPr>
        <w:tblStyle w:val="TableTGAblue"/>
        <w:tblW w:w="8720" w:type="dxa"/>
        <w:tblLook w:val="04A0" w:firstRow="1" w:lastRow="0" w:firstColumn="1" w:lastColumn="0" w:noHBand="0" w:noVBand="1"/>
      </w:tblPr>
      <w:tblGrid>
        <w:gridCol w:w="1890"/>
        <w:gridCol w:w="6830"/>
      </w:tblGrid>
      <w:tr w:rsidR="00F31B52" w:rsidRPr="00FD119B" w14:paraId="50094259" w14:textId="77777777" w:rsidTr="002D084B">
        <w:trPr>
          <w:cnfStyle w:val="100000000000" w:firstRow="1" w:lastRow="0" w:firstColumn="0" w:lastColumn="0" w:oddVBand="0" w:evenVBand="0" w:oddHBand="0" w:evenHBand="0" w:firstRowFirstColumn="0" w:firstRowLastColumn="0" w:lastRowFirstColumn="0" w:lastRowLastColumn="0"/>
        </w:trPr>
        <w:tc>
          <w:tcPr>
            <w:tcW w:w="1809" w:type="dxa"/>
            <w:tcBorders>
              <w:top w:val="single" w:sz="4" w:space="0" w:color="auto"/>
              <w:left w:val="single" w:sz="4" w:space="0" w:color="auto"/>
              <w:bottom w:val="single" w:sz="4" w:space="0" w:color="auto"/>
              <w:right w:val="single" w:sz="4" w:space="0" w:color="auto"/>
            </w:tcBorders>
          </w:tcPr>
          <w:p w14:paraId="718E2AF5" w14:textId="77777777" w:rsidR="00F31B52" w:rsidRPr="009007FC" w:rsidRDefault="00F31B52" w:rsidP="009007FC">
            <w:r w:rsidRPr="001349ED">
              <w:t>Abbreviation</w:t>
            </w:r>
          </w:p>
        </w:tc>
        <w:tc>
          <w:tcPr>
            <w:tcW w:w="6911" w:type="dxa"/>
            <w:tcBorders>
              <w:top w:val="single" w:sz="4" w:space="0" w:color="auto"/>
              <w:left w:val="single" w:sz="4" w:space="0" w:color="auto"/>
              <w:bottom w:val="single" w:sz="4" w:space="0" w:color="auto"/>
              <w:right w:val="single" w:sz="4" w:space="0" w:color="auto"/>
            </w:tcBorders>
          </w:tcPr>
          <w:p w14:paraId="7612F335" w14:textId="77777777" w:rsidR="00F31B52" w:rsidRPr="009007FC" w:rsidRDefault="00F31B52" w:rsidP="009007FC">
            <w:r w:rsidRPr="001349ED">
              <w:t>Meaning</w:t>
            </w:r>
          </w:p>
        </w:tc>
      </w:tr>
      <w:tr w:rsidR="00F31B52" w:rsidRPr="00FD119B" w14:paraId="4085828B" w14:textId="77777777" w:rsidTr="002D084B">
        <w:tc>
          <w:tcPr>
            <w:tcW w:w="1809" w:type="dxa"/>
          </w:tcPr>
          <w:p w14:paraId="0E43212F" w14:textId="77777777" w:rsidR="00F31B52" w:rsidRPr="007A3702" w:rsidRDefault="00F31B52" w:rsidP="003E6C2E">
            <w:r w:rsidRPr="007A3702">
              <w:t>ACM</w:t>
            </w:r>
          </w:p>
        </w:tc>
        <w:tc>
          <w:tcPr>
            <w:tcW w:w="6911" w:type="dxa"/>
          </w:tcPr>
          <w:p w14:paraId="405CBB2D" w14:textId="77777777" w:rsidR="00F31B52" w:rsidRPr="007A3702" w:rsidRDefault="00F31B52" w:rsidP="003E6C2E">
            <w:r w:rsidRPr="007A3702">
              <w:t>Advisory Committee on Medicines</w:t>
            </w:r>
          </w:p>
        </w:tc>
      </w:tr>
      <w:tr w:rsidR="00F31B52" w:rsidRPr="00FD119B" w14:paraId="4A7AF2F7" w14:textId="77777777" w:rsidTr="002D084B">
        <w:tc>
          <w:tcPr>
            <w:tcW w:w="1809" w:type="dxa"/>
          </w:tcPr>
          <w:p w14:paraId="5CEDD620" w14:textId="77777777" w:rsidR="00F31B52" w:rsidRPr="007A3702" w:rsidRDefault="00F31B52" w:rsidP="003E6C2E">
            <w:r w:rsidRPr="007A3702">
              <w:t>ACSS</w:t>
            </w:r>
          </w:p>
        </w:tc>
        <w:tc>
          <w:tcPr>
            <w:tcW w:w="6911" w:type="dxa"/>
          </w:tcPr>
          <w:p w14:paraId="2B3C7C58" w14:textId="77777777" w:rsidR="00F31B52" w:rsidRPr="007A3702" w:rsidRDefault="00F31B52" w:rsidP="003E6C2E">
            <w:r w:rsidRPr="007A3702">
              <w:t>Australia-Canada-Singapore-Switzerland Consortium</w:t>
            </w:r>
          </w:p>
        </w:tc>
      </w:tr>
      <w:tr w:rsidR="00F31B52" w:rsidRPr="00FD119B" w14:paraId="239DB25C" w14:textId="77777777" w:rsidTr="002D084B">
        <w:tc>
          <w:tcPr>
            <w:tcW w:w="1809" w:type="dxa"/>
          </w:tcPr>
          <w:p w14:paraId="69C7D401" w14:textId="77777777" w:rsidR="00F31B52" w:rsidRPr="007A3702" w:rsidRDefault="00F31B52" w:rsidP="003E6C2E">
            <w:r w:rsidRPr="007A3702">
              <w:t>ADA</w:t>
            </w:r>
          </w:p>
        </w:tc>
        <w:tc>
          <w:tcPr>
            <w:tcW w:w="6911" w:type="dxa"/>
          </w:tcPr>
          <w:p w14:paraId="321D283E" w14:textId="77777777" w:rsidR="00F31B52" w:rsidRPr="007A3702" w:rsidRDefault="00F31B52" w:rsidP="003E6C2E">
            <w:r w:rsidRPr="007A3702">
              <w:t>Anti-drug antibody</w:t>
            </w:r>
          </w:p>
        </w:tc>
      </w:tr>
      <w:tr w:rsidR="00F31B52" w:rsidRPr="00FD119B" w14:paraId="2B6A51B7" w14:textId="77777777" w:rsidTr="002D084B">
        <w:tc>
          <w:tcPr>
            <w:tcW w:w="1809" w:type="dxa"/>
          </w:tcPr>
          <w:p w14:paraId="73D0331C" w14:textId="77777777" w:rsidR="00F31B52" w:rsidRPr="007A3702" w:rsidRDefault="00F31B52" w:rsidP="003E6C2E">
            <w:r w:rsidRPr="007A3702">
              <w:t>ADME</w:t>
            </w:r>
          </w:p>
        </w:tc>
        <w:tc>
          <w:tcPr>
            <w:tcW w:w="6911" w:type="dxa"/>
          </w:tcPr>
          <w:p w14:paraId="1545A226" w14:textId="77777777" w:rsidR="00F31B52" w:rsidRPr="007A3702" w:rsidRDefault="00F31B52" w:rsidP="003E6C2E">
            <w:r w:rsidRPr="007A3702">
              <w:t xml:space="preserve">Absorption, distribution, </w:t>
            </w:r>
            <w:proofErr w:type="gramStart"/>
            <w:r w:rsidRPr="007A3702">
              <w:t>metabolism</w:t>
            </w:r>
            <w:proofErr w:type="gramEnd"/>
            <w:r w:rsidRPr="007A3702">
              <w:t xml:space="preserve"> and excretion</w:t>
            </w:r>
          </w:p>
        </w:tc>
      </w:tr>
      <w:tr w:rsidR="00F31B52" w:rsidRPr="00FD119B" w14:paraId="645DC9E3" w14:textId="77777777" w:rsidTr="002D084B">
        <w:tc>
          <w:tcPr>
            <w:tcW w:w="1809" w:type="dxa"/>
          </w:tcPr>
          <w:p w14:paraId="28CD9F04" w14:textId="77777777" w:rsidR="00F31B52" w:rsidRPr="00FD119B" w:rsidRDefault="00F31B52" w:rsidP="003E6C2E">
            <w:r>
              <w:t>ALT</w:t>
            </w:r>
          </w:p>
        </w:tc>
        <w:tc>
          <w:tcPr>
            <w:tcW w:w="6911" w:type="dxa"/>
          </w:tcPr>
          <w:p w14:paraId="735A2581" w14:textId="77777777" w:rsidR="00F31B52" w:rsidRPr="00FD119B" w:rsidRDefault="00F31B52" w:rsidP="003E6C2E">
            <w:r>
              <w:t>A</w:t>
            </w:r>
            <w:r w:rsidRPr="007E5AEF">
              <w:t>lanine aminotransferase</w:t>
            </w:r>
          </w:p>
        </w:tc>
      </w:tr>
      <w:tr w:rsidR="00F31B52" w:rsidRPr="00FD119B" w14:paraId="1F833035" w14:textId="77777777" w:rsidTr="002D084B">
        <w:tc>
          <w:tcPr>
            <w:tcW w:w="1809" w:type="dxa"/>
          </w:tcPr>
          <w:p w14:paraId="7D16E566" w14:textId="77777777" w:rsidR="00F31B52" w:rsidRPr="007A3702" w:rsidRDefault="00F31B52" w:rsidP="003E6C2E">
            <w:r w:rsidRPr="007A3702">
              <w:t>Apo-A1</w:t>
            </w:r>
          </w:p>
        </w:tc>
        <w:tc>
          <w:tcPr>
            <w:tcW w:w="6911" w:type="dxa"/>
          </w:tcPr>
          <w:p w14:paraId="726B7562" w14:textId="77777777" w:rsidR="00F31B52" w:rsidRPr="007A3702" w:rsidRDefault="00F31B52" w:rsidP="003E6C2E">
            <w:r w:rsidRPr="007A3702">
              <w:t>Apolipoprotein A1</w:t>
            </w:r>
          </w:p>
        </w:tc>
      </w:tr>
      <w:tr w:rsidR="00F31B52" w:rsidRPr="00FD119B" w14:paraId="278C07E5" w14:textId="77777777" w:rsidTr="002D084B">
        <w:tc>
          <w:tcPr>
            <w:tcW w:w="1809" w:type="dxa"/>
          </w:tcPr>
          <w:p w14:paraId="06DD219F" w14:textId="77777777" w:rsidR="00F31B52" w:rsidRPr="007A3702" w:rsidRDefault="00F31B52" w:rsidP="003E6C2E">
            <w:r w:rsidRPr="007A3702">
              <w:t>Apo-B</w:t>
            </w:r>
          </w:p>
        </w:tc>
        <w:tc>
          <w:tcPr>
            <w:tcW w:w="6911" w:type="dxa"/>
          </w:tcPr>
          <w:p w14:paraId="6C5F855C" w14:textId="77777777" w:rsidR="00F31B52" w:rsidRPr="007A3702" w:rsidRDefault="00F31B52" w:rsidP="003E6C2E">
            <w:r w:rsidRPr="007A3702">
              <w:t>Apolipoprotein B</w:t>
            </w:r>
          </w:p>
        </w:tc>
      </w:tr>
      <w:tr w:rsidR="00F31B52" w:rsidRPr="00FD119B" w14:paraId="3856D7ED" w14:textId="77777777" w:rsidTr="002D084B">
        <w:tc>
          <w:tcPr>
            <w:tcW w:w="1809" w:type="dxa"/>
          </w:tcPr>
          <w:p w14:paraId="42179E34" w14:textId="77777777" w:rsidR="00F31B52" w:rsidRPr="007A3702" w:rsidRDefault="00F31B52" w:rsidP="003E6C2E">
            <w:r w:rsidRPr="007A3702">
              <w:t>ARTG</w:t>
            </w:r>
          </w:p>
        </w:tc>
        <w:tc>
          <w:tcPr>
            <w:tcW w:w="6911" w:type="dxa"/>
          </w:tcPr>
          <w:p w14:paraId="1F1D0BB5" w14:textId="77777777" w:rsidR="00F31B52" w:rsidRPr="007A3702" w:rsidRDefault="00F31B52" w:rsidP="003E6C2E">
            <w:r w:rsidRPr="007A3702">
              <w:t>Australian Register of Therapeutic Goods</w:t>
            </w:r>
          </w:p>
        </w:tc>
      </w:tr>
      <w:tr w:rsidR="00F31B52" w:rsidRPr="00FD119B" w14:paraId="49663E3D" w14:textId="77777777" w:rsidTr="002D084B">
        <w:tc>
          <w:tcPr>
            <w:tcW w:w="1809" w:type="dxa"/>
          </w:tcPr>
          <w:p w14:paraId="76A66946" w14:textId="77777777" w:rsidR="00F31B52" w:rsidRPr="00FD119B" w:rsidRDefault="00F31B52" w:rsidP="003E6C2E">
            <w:r>
              <w:t>ASA</w:t>
            </w:r>
          </w:p>
        </w:tc>
        <w:tc>
          <w:tcPr>
            <w:tcW w:w="6911" w:type="dxa"/>
          </w:tcPr>
          <w:p w14:paraId="69219BE3" w14:textId="77777777" w:rsidR="00F31B52" w:rsidRPr="00FD119B" w:rsidRDefault="00F31B52" w:rsidP="003E6C2E">
            <w:r>
              <w:t>Australian specific annex</w:t>
            </w:r>
          </w:p>
        </w:tc>
      </w:tr>
      <w:tr w:rsidR="00F31B52" w:rsidRPr="00FD119B" w14:paraId="0139DC07" w14:textId="77777777" w:rsidTr="002D084B">
        <w:tc>
          <w:tcPr>
            <w:tcW w:w="1809" w:type="dxa"/>
          </w:tcPr>
          <w:p w14:paraId="726E7DC7" w14:textId="77777777" w:rsidR="00F31B52" w:rsidRPr="007A3702" w:rsidRDefault="00F31B52" w:rsidP="003E6C2E">
            <w:r w:rsidRPr="007A3702">
              <w:t>ASCVD</w:t>
            </w:r>
          </w:p>
        </w:tc>
        <w:tc>
          <w:tcPr>
            <w:tcW w:w="6911" w:type="dxa"/>
          </w:tcPr>
          <w:p w14:paraId="13DC3069" w14:textId="77777777" w:rsidR="00F31B52" w:rsidRPr="007A3702" w:rsidRDefault="00F31B52" w:rsidP="003E6C2E">
            <w:r w:rsidRPr="007A3702">
              <w:t>Atherosclerotic cardiovascular disease</w:t>
            </w:r>
          </w:p>
        </w:tc>
      </w:tr>
      <w:tr w:rsidR="00F31B52" w:rsidRPr="00FD119B" w14:paraId="38C0D37A" w14:textId="77777777" w:rsidTr="002D084B">
        <w:tc>
          <w:tcPr>
            <w:tcW w:w="1809" w:type="dxa"/>
          </w:tcPr>
          <w:p w14:paraId="23BAAEA5" w14:textId="77777777" w:rsidR="00F31B52" w:rsidRPr="00FD119B" w:rsidRDefault="00F31B52" w:rsidP="003E6C2E">
            <w:r>
              <w:t>AST</w:t>
            </w:r>
          </w:p>
        </w:tc>
        <w:tc>
          <w:tcPr>
            <w:tcW w:w="6911" w:type="dxa"/>
          </w:tcPr>
          <w:p w14:paraId="4BCAA8F6" w14:textId="77777777" w:rsidR="00F31B52" w:rsidRPr="00FD119B" w:rsidRDefault="00F31B52" w:rsidP="003E6C2E">
            <w:r w:rsidRPr="007E5AEF">
              <w:t>Aspartate transaminase</w:t>
            </w:r>
          </w:p>
        </w:tc>
      </w:tr>
      <w:tr w:rsidR="00F31B52" w:rsidRPr="00FD119B" w14:paraId="2100E98A" w14:textId="77777777" w:rsidTr="002D084B">
        <w:tc>
          <w:tcPr>
            <w:tcW w:w="1809" w:type="dxa"/>
          </w:tcPr>
          <w:p w14:paraId="587DB2E8" w14:textId="77777777" w:rsidR="00F31B52" w:rsidRPr="007A3702" w:rsidRDefault="00F31B52" w:rsidP="003E6C2E">
            <w:r w:rsidRPr="007A3702">
              <w:t>AUC</w:t>
            </w:r>
          </w:p>
        </w:tc>
        <w:tc>
          <w:tcPr>
            <w:tcW w:w="6911" w:type="dxa"/>
          </w:tcPr>
          <w:p w14:paraId="694541F9" w14:textId="0289BC33" w:rsidR="00F31B52" w:rsidRPr="007A3702" w:rsidRDefault="00F31B52" w:rsidP="003E6C2E">
            <w:r w:rsidRPr="007A3702">
              <w:t xml:space="preserve">Area under concentration </w:t>
            </w:r>
            <w:r w:rsidR="001A1914">
              <w:t xml:space="preserve">time </w:t>
            </w:r>
            <w:r w:rsidRPr="007A3702">
              <w:t>curve</w:t>
            </w:r>
          </w:p>
        </w:tc>
      </w:tr>
      <w:tr w:rsidR="00F31B52" w:rsidRPr="00FD119B" w14:paraId="4DC3ACC0" w14:textId="77777777" w:rsidTr="002D084B">
        <w:tc>
          <w:tcPr>
            <w:tcW w:w="1809" w:type="dxa"/>
          </w:tcPr>
          <w:p w14:paraId="3B0C252E" w14:textId="77777777" w:rsidR="00F31B52" w:rsidRPr="007A3702" w:rsidRDefault="00F31B52" w:rsidP="003E6C2E">
            <w:r w:rsidRPr="007A3702">
              <w:t>AUC</w:t>
            </w:r>
            <w:r w:rsidRPr="007A3702">
              <w:rPr>
                <w:vertAlign w:val="subscript"/>
              </w:rPr>
              <w:t>0-48</w:t>
            </w:r>
          </w:p>
        </w:tc>
        <w:tc>
          <w:tcPr>
            <w:tcW w:w="6911" w:type="dxa"/>
          </w:tcPr>
          <w:p w14:paraId="5BFB2B94" w14:textId="7905B070" w:rsidR="00F31B52" w:rsidRPr="007A3702" w:rsidRDefault="00F31B52" w:rsidP="003E6C2E">
            <w:r w:rsidRPr="007A3702">
              <w:t xml:space="preserve">Area under the concentration time curve from time </w:t>
            </w:r>
            <w:r w:rsidR="001A1914">
              <w:t>zero</w:t>
            </w:r>
            <w:r w:rsidRPr="007A3702">
              <w:t xml:space="preserve"> to 48 hours</w:t>
            </w:r>
          </w:p>
        </w:tc>
      </w:tr>
      <w:tr w:rsidR="00F31B52" w:rsidRPr="00FD119B" w14:paraId="595B4541" w14:textId="77777777" w:rsidTr="002D084B">
        <w:tc>
          <w:tcPr>
            <w:tcW w:w="1809" w:type="dxa"/>
          </w:tcPr>
          <w:p w14:paraId="66C70F60" w14:textId="77777777" w:rsidR="00F31B52" w:rsidRPr="007A3702" w:rsidRDefault="00F31B52" w:rsidP="003E6C2E">
            <w:r w:rsidRPr="007A3702">
              <w:t>AUC</w:t>
            </w:r>
            <w:r w:rsidRPr="007A3702">
              <w:rPr>
                <w:vertAlign w:val="subscript"/>
              </w:rPr>
              <w:t>0-inf</w:t>
            </w:r>
          </w:p>
        </w:tc>
        <w:tc>
          <w:tcPr>
            <w:tcW w:w="6911" w:type="dxa"/>
          </w:tcPr>
          <w:p w14:paraId="7DA5B69B" w14:textId="4CD0B655" w:rsidR="00F31B52" w:rsidRPr="007A3702" w:rsidRDefault="00F31B52" w:rsidP="003E6C2E">
            <w:r w:rsidRPr="007A3702">
              <w:t>Area under</w:t>
            </w:r>
            <w:r w:rsidR="001A1914">
              <w:t xml:space="preserve"> the</w:t>
            </w:r>
            <w:r w:rsidRPr="007A3702">
              <w:t xml:space="preserve"> concentration time curve from </w:t>
            </w:r>
            <w:r w:rsidR="001A1914">
              <w:t xml:space="preserve">time </w:t>
            </w:r>
            <w:r w:rsidRPr="007A3702">
              <w:t>zero to infinity</w:t>
            </w:r>
          </w:p>
        </w:tc>
      </w:tr>
      <w:tr w:rsidR="00F31B52" w:rsidRPr="00FD119B" w14:paraId="17059DD5" w14:textId="77777777" w:rsidTr="002D084B">
        <w:tc>
          <w:tcPr>
            <w:tcW w:w="1809" w:type="dxa"/>
          </w:tcPr>
          <w:p w14:paraId="1D7CACA7" w14:textId="77777777" w:rsidR="00F31B52" w:rsidRPr="007A3702" w:rsidRDefault="00F31B52" w:rsidP="003E6C2E">
            <w:r w:rsidRPr="007A3702">
              <w:t>AUC</w:t>
            </w:r>
            <w:r w:rsidRPr="007A3702">
              <w:rPr>
                <w:vertAlign w:val="subscript"/>
              </w:rPr>
              <w:t>0-t</w:t>
            </w:r>
          </w:p>
        </w:tc>
        <w:tc>
          <w:tcPr>
            <w:tcW w:w="6911" w:type="dxa"/>
          </w:tcPr>
          <w:p w14:paraId="52F83492" w14:textId="77777777" w:rsidR="00F31B52" w:rsidRPr="007A3702" w:rsidRDefault="00F31B52" w:rsidP="003E6C2E">
            <w:r w:rsidRPr="007A3702">
              <w:t>Area under the concentration time curve from time zero to last measurable concentration</w:t>
            </w:r>
          </w:p>
        </w:tc>
      </w:tr>
      <w:tr w:rsidR="00F31B52" w:rsidRPr="00FD119B" w14:paraId="7EAFBB27" w14:textId="77777777" w:rsidTr="002D084B">
        <w:tc>
          <w:tcPr>
            <w:tcW w:w="1809" w:type="dxa"/>
          </w:tcPr>
          <w:p w14:paraId="4D84B138" w14:textId="77777777" w:rsidR="00F31B52" w:rsidRPr="007A3702" w:rsidRDefault="00F31B52" w:rsidP="003E6C2E">
            <w:r w:rsidRPr="007A3702">
              <w:t>CHD</w:t>
            </w:r>
          </w:p>
        </w:tc>
        <w:tc>
          <w:tcPr>
            <w:tcW w:w="6911" w:type="dxa"/>
          </w:tcPr>
          <w:p w14:paraId="768F9E10" w14:textId="77777777" w:rsidR="00F31B52" w:rsidRPr="007A3702" w:rsidRDefault="00F31B52" w:rsidP="003E6C2E">
            <w:r w:rsidRPr="007A3702">
              <w:t>Coronary heart disease</w:t>
            </w:r>
          </w:p>
        </w:tc>
      </w:tr>
      <w:tr w:rsidR="00F31B52" w:rsidRPr="00FD119B" w14:paraId="74C88DB4" w14:textId="77777777" w:rsidTr="002D084B">
        <w:tc>
          <w:tcPr>
            <w:tcW w:w="1809" w:type="dxa"/>
          </w:tcPr>
          <w:p w14:paraId="36ABC460" w14:textId="77777777" w:rsidR="00F31B52" w:rsidRPr="007A3702" w:rsidRDefault="00F31B52" w:rsidP="003E6C2E">
            <w:r w:rsidRPr="007A3702">
              <w:t>CHMP</w:t>
            </w:r>
          </w:p>
        </w:tc>
        <w:tc>
          <w:tcPr>
            <w:tcW w:w="6911" w:type="dxa"/>
          </w:tcPr>
          <w:p w14:paraId="76995E6E" w14:textId="77777777" w:rsidR="00F31B52" w:rsidRPr="007A3702" w:rsidRDefault="00F31B52" w:rsidP="003E6C2E">
            <w:r w:rsidRPr="007A3702">
              <w:t xml:space="preserve">Committee for Medicinal Products for Human Use, </w:t>
            </w:r>
            <w:bookmarkStart w:id="8" w:name="_Hlk97812748"/>
            <w:r w:rsidRPr="007A3702">
              <w:t>European Medicines Agency</w:t>
            </w:r>
            <w:bookmarkEnd w:id="8"/>
          </w:p>
        </w:tc>
      </w:tr>
      <w:tr w:rsidR="00F31B52" w:rsidRPr="00FD119B" w14:paraId="559562B7" w14:textId="77777777" w:rsidTr="002D084B">
        <w:tc>
          <w:tcPr>
            <w:tcW w:w="1809" w:type="dxa"/>
          </w:tcPr>
          <w:p w14:paraId="4CF13A63" w14:textId="77777777" w:rsidR="00F31B52" w:rsidRPr="007A3702" w:rsidRDefault="00F31B52" w:rsidP="003E6C2E">
            <w:r w:rsidRPr="007A3702">
              <w:t>CI</w:t>
            </w:r>
          </w:p>
        </w:tc>
        <w:tc>
          <w:tcPr>
            <w:tcW w:w="6911" w:type="dxa"/>
          </w:tcPr>
          <w:p w14:paraId="5D59B584" w14:textId="77777777" w:rsidR="00F31B52" w:rsidRPr="007A3702" w:rsidRDefault="00F31B52" w:rsidP="003E6C2E">
            <w:r w:rsidRPr="007A3702">
              <w:t>Confidence interval</w:t>
            </w:r>
          </w:p>
        </w:tc>
      </w:tr>
      <w:tr w:rsidR="00F31B52" w:rsidRPr="00FD119B" w14:paraId="254B715D" w14:textId="77777777" w:rsidTr="002D084B">
        <w:tc>
          <w:tcPr>
            <w:tcW w:w="1809" w:type="dxa"/>
          </w:tcPr>
          <w:p w14:paraId="5EF8F78C" w14:textId="77777777" w:rsidR="00F31B52" w:rsidRPr="007A3702" w:rsidRDefault="00F31B52" w:rsidP="003E6C2E">
            <w:r w:rsidRPr="007A3702">
              <w:t>CLEC10A</w:t>
            </w:r>
          </w:p>
        </w:tc>
        <w:tc>
          <w:tcPr>
            <w:tcW w:w="6911" w:type="dxa"/>
          </w:tcPr>
          <w:p w14:paraId="103D9360" w14:textId="77777777" w:rsidR="00F31B52" w:rsidRPr="007A3702" w:rsidRDefault="00F31B52" w:rsidP="003E6C2E">
            <w:r w:rsidRPr="007A3702">
              <w:t>C-type lectin domain family 10 member A</w:t>
            </w:r>
          </w:p>
        </w:tc>
      </w:tr>
      <w:tr w:rsidR="00F31B52" w:rsidRPr="00FD119B" w14:paraId="0410DDEB" w14:textId="77777777" w:rsidTr="002D084B">
        <w:tc>
          <w:tcPr>
            <w:tcW w:w="1809" w:type="dxa"/>
          </w:tcPr>
          <w:p w14:paraId="5A48CC0F" w14:textId="77777777" w:rsidR="00F31B52" w:rsidRPr="007A3702" w:rsidRDefault="00F31B52" w:rsidP="003E6C2E">
            <w:proofErr w:type="spellStart"/>
            <w:r w:rsidRPr="007A3702">
              <w:t>C</w:t>
            </w:r>
            <w:r w:rsidRPr="007A3702">
              <w:rPr>
                <w:vertAlign w:val="subscript"/>
              </w:rPr>
              <w:t>max</w:t>
            </w:r>
            <w:proofErr w:type="spellEnd"/>
          </w:p>
        </w:tc>
        <w:tc>
          <w:tcPr>
            <w:tcW w:w="6911" w:type="dxa"/>
          </w:tcPr>
          <w:p w14:paraId="35C93C08" w14:textId="77777777" w:rsidR="00F31B52" w:rsidRPr="007A3702" w:rsidRDefault="00F31B52" w:rsidP="003E6C2E">
            <w:r w:rsidRPr="007A3702">
              <w:t>Maximum concentration</w:t>
            </w:r>
          </w:p>
        </w:tc>
      </w:tr>
      <w:tr w:rsidR="00F31B52" w:rsidRPr="00FD119B" w14:paraId="10D54D53" w14:textId="77777777" w:rsidTr="002D084B">
        <w:tc>
          <w:tcPr>
            <w:tcW w:w="1809" w:type="dxa"/>
          </w:tcPr>
          <w:p w14:paraId="161E4023" w14:textId="77777777" w:rsidR="00F31B52" w:rsidRPr="007A3702" w:rsidRDefault="00F31B52" w:rsidP="003E6C2E">
            <w:r>
              <w:t>CMI</w:t>
            </w:r>
          </w:p>
        </w:tc>
        <w:tc>
          <w:tcPr>
            <w:tcW w:w="6911" w:type="dxa"/>
          </w:tcPr>
          <w:p w14:paraId="218F484C" w14:textId="77777777" w:rsidR="00F31B52" w:rsidRPr="007A3702" w:rsidRDefault="00F31B52" w:rsidP="003E6C2E">
            <w:r>
              <w:t>Consumer Medicine Information</w:t>
            </w:r>
          </w:p>
        </w:tc>
      </w:tr>
      <w:tr w:rsidR="00F31B52" w:rsidRPr="00FD119B" w14:paraId="3D662D8E" w14:textId="77777777" w:rsidTr="002D084B">
        <w:tc>
          <w:tcPr>
            <w:tcW w:w="1809" w:type="dxa"/>
          </w:tcPr>
          <w:p w14:paraId="62042817" w14:textId="77777777" w:rsidR="00F31B52" w:rsidRPr="007A3702" w:rsidRDefault="00F31B52" w:rsidP="003E6C2E">
            <w:r w:rsidRPr="007A3702">
              <w:t>CV</w:t>
            </w:r>
          </w:p>
        </w:tc>
        <w:tc>
          <w:tcPr>
            <w:tcW w:w="6911" w:type="dxa"/>
          </w:tcPr>
          <w:p w14:paraId="5482EA5F" w14:textId="77777777" w:rsidR="00F31B52" w:rsidRPr="007A3702" w:rsidRDefault="00F31B52" w:rsidP="003E6C2E">
            <w:r w:rsidRPr="007A3702">
              <w:t>Cardiovascular</w:t>
            </w:r>
          </w:p>
        </w:tc>
      </w:tr>
      <w:tr w:rsidR="00F31B52" w:rsidRPr="00FD119B" w14:paraId="3BBCAEBE" w14:textId="77777777" w:rsidTr="002D084B">
        <w:tc>
          <w:tcPr>
            <w:tcW w:w="1809" w:type="dxa"/>
          </w:tcPr>
          <w:p w14:paraId="13EE81C5" w14:textId="77777777" w:rsidR="00F31B52" w:rsidRPr="00FD119B" w:rsidRDefault="00F31B52" w:rsidP="003E6C2E">
            <w:r>
              <w:t>CVD</w:t>
            </w:r>
          </w:p>
        </w:tc>
        <w:tc>
          <w:tcPr>
            <w:tcW w:w="6911" w:type="dxa"/>
          </w:tcPr>
          <w:p w14:paraId="3FF52C99" w14:textId="6A4EB691" w:rsidR="00F31B52" w:rsidRPr="00FD119B" w:rsidRDefault="00F31B52" w:rsidP="003E6C2E">
            <w:r w:rsidRPr="007A3702">
              <w:t>Cardiovascular disease</w:t>
            </w:r>
          </w:p>
        </w:tc>
      </w:tr>
      <w:tr w:rsidR="00F31B52" w:rsidRPr="00FD119B" w14:paraId="0D46F4C0" w14:textId="77777777" w:rsidTr="002D084B">
        <w:tc>
          <w:tcPr>
            <w:tcW w:w="1809" w:type="dxa"/>
          </w:tcPr>
          <w:p w14:paraId="50887B99" w14:textId="77777777" w:rsidR="00F31B52" w:rsidRPr="007A3702" w:rsidRDefault="00F31B52" w:rsidP="003E6C2E">
            <w:proofErr w:type="spellStart"/>
            <w:r w:rsidRPr="007A3702">
              <w:lastRenderedPageBreak/>
              <w:t>ddQTcF</w:t>
            </w:r>
            <w:proofErr w:type="spellEnd"/>
          </w:p>
        </w:tc>
        <w:tc>
          <w:tcPr>
            <w:tcW w:w="6911" w:type="dxa"/>
          </w:tcPr>
          <w:p w14:paraId="1EFA8EDA" w14:textId="77777777" w:rsidR="00F31B52" w:rsidRPr="007A3702" w:rsidRDefault="00F31B52" w:rsidP="003E6C2E">
            <w:r w:rsidRPr="007A3702">
              <w:t>Time matched placebo and baseline adjusted QT interval corrected for heart rate using the Fridericia correction</w:t>
            </w:r>
          </w:p>
        </w:tc>
      </w:tr>
      <w:tr w:rsidR="00F31B52" w:rsidRPr="00FD119B" w14:paraId="44C6B350" w14:textId="77777777" w:rsidTr="002D084B">
        <w:tc>
          <w:tcPr>
            <w:tcW w:w="1809" w:type="dxa"/>
          </w:tcPr>
          <w:p w14:paraId="76281C06" w14:textId="77777777" w:rsidR="00F31B52" w:rsidRPr="00FD119B" w:rsidRDefault="00F31B52" w:rsidP="003E6C2E">
            <w:r>
              <w:t>DLP</w:t>
            </w:r>
          </w:p>
        </w:tc>
        <w:tc>
          <w:tcPr>
            <w:tcW w:w="6911" w:type="dxa"/>
          </w:tcPr>
          <w:p w14:paraId="7BC80DCF" w14:textId="77777777" w:rsidR="00F31B52" w:rsidRPr="00FD119B" w:rsidRDefault="00F31B52" w:rsidP="003E6C2E">
            <w:r>
              <w:t>Data lock point</w:t>
            </w:r>
          </w:p>
        </w:tc>
      </w:tr>
      <w:tr w:rsidR="00F31B52" w:rsidRPr="00FD119B" w14:paraId="3BDC777E" w14:textId="77777777" w:rsidTr="002D084B">
        <w:tc>
          <w:tcPr>
            <w:tcW w:w="1809" w:type="dxa"/>
          </w:tcPr>
          <w:p w14:paraId="15D9DA4F" w14:textId="77777777" w:rsidR="00F31B52" w:rsidRPr="00FD119B" w:rsidRDefault="00F31B52" w:rsidP="003E6C2E">
            <w:r>
              <w:t>EMA</w:t>
            </w:r>
          </w:p>
        </w:tc>
        <w:tc>
          <w:tcPr>
            <w:tcW w:w="6911" w:type="dxa"/>
          </w:tcPr>
          <w:p w14:paraId="6198BECC" w14:textId="77777777" w:rsidR="00F31B52" w:rsidRPr="00FD119B" w:rsidRDefault="00F31B52" w:rsidP="003E6C2E">
            <w:r w:rsidRPr="007A3702">
              <w:t>European Medicines Agency</w:t>
            </w:r>
          </w:p>
        </w:tc>
      </w:tr>
      <w:tr w:rsidR="00F31B52" w:rsidRPr="00FD119B" w14:paraId="7DD97C59" w14:textId="77777777" w:rsidTr="002D084B">
        <w:tc>
          <w:tcPr>
            <w:tcW w:w="1809" w:type="dxa"/>
          </w:tcPr>
          <w:p w14:paraId="13E0FF62" w14:textId="77777777" w:rsidR="00F31B52" w:rsidRPr="007A3702" w:rsidRDefault="00F31B52" w:rsidP="003E6C2E">
            <w:r w:rsidRPr="007A3702">
              <w:t>ESRD</w:t>
            </w:r>
          </w:p>
        </w:tc>
        <w:tc>
          <w:tcPr>
            <w:tcW w:w="6911" w:type="dxa"/>
          </w:tcPr>
          <w:p w14:paraId="39B20794" w14:textId="77777777" w:rsidR="00F31B52" w:rsidRPr="007A3702" w:rsidRDefault="00F31B52" w:rsidP="003E6C2E">
            <w:r w:rsidRPr="007A3702">
              <w:t>End</w:t>
            </w:r>
            <w:r>
              <w:t xml:space="preserve"> </w:t>
            </w:r>
            <w:r w:rsidRPr="007A3702">
              <w:t>stage renal disease</w:t>
            </w:r>
          </w:p>
        </w:tc>
      </w:tr>
      <w:tr w:rsidR="00F31B52" w:rsidRPr="00FD119B" w14:paraId="0C310448" w14:textId="77777777" w:rsidTr="002D084B">
        <w:tc>
          <w:tcPr>
            <w:tcW w:w="1809" w:type="dxa"/>
          </w:tcPr>
          <w:p w14:paraId="1B845C65" w14:textId="77777777" w:rsidR="00F31B52" w:rsidRPr="007A3702" w:rsidRDefault="00F31B52" w:rsidP="003E6C2E">
            <w:r w:rsidRPr="007A3702">
              <w:t>EU</w:t>
            </w:r>
          </w:p>
        </w:tc>
        <w:tc>
          <w:tcPr>
            <w:tcW w:w="6911" w:type="dxa"/>
          </w:tcPr>
          <w:p w14:paraId="3FD93E1F" w14:textId="77777777" w:rsidR="00F31B52" w:rsidRPr="007A3702" w:rsidRDefault="00F31B52" w:rsidP="003E6C2E">
            <w:r w:rsidRPr="007A3702">
              <w:t>European Union</w:t>
            </w:r>
          </w:p>
        </w:tc>
      </w:tr>
      <w:tr w:rsidR="00F31B52" w:rsidRPr="00FD119B" w14:paraId="274532E1" w14:textId="77777777" w:rsidTr="002D084B">
        <w:tc>
          <w:tcPr>
            <w:tcW w:w="1809" w:type="dxa"/>
          </w:tcPr>
          <w:p w14:paraId="4F7DE98A" w14:textId="77777777" w:rsidR="00F31B52" w:rsidRPr="007A3702" w:rsidRDefault="00F31B52" w:rsidP="003E6C2E">
            <w:r w:rsidRPr="007A3702">
              <w:t>FH</w:t>
            </w:r>
          </w:p>
        </w:tc>
        <w:tc>
          <w:tcPr>
            <w:tcW w:w="6911" w:type="dxa"/>
          </w:tcPr>
          <w:p w14:paraId="2C75337E" w14:textId="77777777" w:rsidR="00F31B52" w:rsidRPr="007A3702" w:rsidRDefault="00F31B52" w:rsidP="003E6C2E">
            <w:r w:rsidRPr="007A3702">
              <w:t>Familial hypercholesterolaemia</w:t>
            </w:r>
          </w:p>
        </w:tc>
      </w:tr>
      <w:tr w:rsidR="00F31B52" w:rsidRPr="00FD119B" w14:paraId="455F6616" w14:textId="77777777" w:rsidTr="002D084B">
        <w:tc>
          <w:tcPr>
            <w:tcW w:w="1809" w:type="dxa"/>
          </w:tcPr>
          <w:p w14:paraId="24BDADDE" w14:textId="77777777" w:rsidR="00F31B52" w:rsidRPr="007A3702" w:rsidRDefault="00F31B52" w:rsidP="003E6C2E">
            <w:proofErr w:type="spellStart"/>
            <w:r w:rsidRPr="007A3702">
              <w:t>GalNAc</w:t>
            </w:r>
            <w:proofErr w:type="spellEnd"/>
          </w:p>
        </w:tc>
        <w:tc>
          <w:tcPr>
            <w:tcW w:w="6911" w:type="dxa"/>
          </w:tcPr>
          <w:p w14:paraId="1BC3E61B" w14:textId="68BECF96" w:rsidR="00F31B52" w:rsidRPr="007A3702" w:rsidRDefault="00F31B52" w:rsidP="003E6C2E">
            <w:proofErr w:type="spellStart"/>
            <w:r w:rsidRPr="007A3702">
              <w:t>Triantennary</w:t>
            </w:r>
            <w:proofErr w:type="spellEnd"/>
            <w:r w:rsidRPr="007A3702">
              <w:t xml:space="preserve"> N-</w:t>
            </w:r>
            <w:r w:rsidR="001A1914">
              <w:t>a</w:t>
            </w:r>
            <w:r w:rsidRPr="007A3702">
              <w:t>cetyl</w:t>
            </w:r>
            <w:r w:rsidR="001A1914">
              <w:t xml:space="preserve"> </w:t>
            </w:r>
            <w:r w:rsidRPr="007A3702">
              <w:t>galactosamine</w:t>
            </w:r>
          </w:p>
        </w:tc>
      </w:tr>
      <w:tr w:rsidR="00F31B52" w:rsidRPr="00FD119B" w14:paraId="08417925" w14:textId="77777777" w:rsidTr="002D084B">
        <w:tc>
          <w:tcPr>
            <w:tcW w:w="1809" w:type="dxa"/>
          </w:tcPr>
          <w:p w14:paraId="77DC3062" w14:textId="77777777" w:rsidR="00F31B52" w:rsidRPr="007A3702" w:rsidRDefault="00F31B52" w:rsidP="003E6C2E">
            <w:r w:rsidRPr="007A3702">
              <w:t>GMP</w:t>
            </w:r>
          </w:p>
        </w:tc>
        <w:tc>
          <w:tcPr>
            <w:tcW w:w="6911" w:type="dxa"/>
          </w:tcPr>
          <w:p w14:paraId="55390A00" w14:textId="511EA454" w:rsidR="00F31B52" w:rsidRPr="007A3702" w:rsidRDefault="00F31B52" w:rsidP="003E6C2E">
            <w:r w:rsidRPr="007A3702">
              <w:t>Good Manufacturing Practice</w:t>
            </w:r>
            <w:r w:rsidR="00965EC9">
              <w:t>s</w:t>
            </w:r>
          </w:p>
        </w:tc>
      </w:tr>
      <w:tr w:rsidR="00F31B52" w:rsidRPr="00FD119B" w14:paraId="57AE5780" w14:textId="77777777" w:rsidTr="002D084B">
        <w:tc>
          <w:tcPr>
            <w:tcW w:w="1809" w:type="dxa"/>
          </w:tcPr>
          <w:p w14:paraId="52D13D6F" w14:textId="77777777" w:rsidR="00F31B52" w:rsidRPr="00FD119B" w:rsidRDefault="00F31B52" w:rsidP="003E6C2E">
            <w:r>
              <w:t>GVP</w:t>
            </w:r>
          </w:p>
        </w:tc>
        <w:tc>
          <w:tcPr>
            <w:tcW w:w="6911" w:type="dxa"/>
          </w:tcPr>
          <w:p w14:paraId="402E9F9E" w14:textId="77777777" w:rsidR="00F31B52" w:rsidRPr="00FD119B" w:rsidRDefault="00F31B52" w:rsidP="003E6C2E">
            <w:r>
              <w:t>G</w:t>
            </w:r>
            <w:r w:rsidRPr="00CB7754">
              <w:t xml:space="preserve">ood </w:t>
            </w:r>
            <w:r>
              <w:t>P</w:t>
            </w:r>
            <w:r w:rsidRPr="00CB7754">
              <w:t xml:space="preserve">harmacovigilance </w:t>
            </w:r>
            <w:r>
              <w:t>P</w:t>
            </w:r>
            <w:r w:rsidRPr="00CB7754">
              <w:t>ractices</w:t>
            </w:r>
          </w:p>
        </w:tc>
      </w:tr>
      <w:tr w:rsidR="00F31B52" w:rsidRPr="00FD119B" w14:paraId="0A9ECAAF" w14:textId="77777777" w:rsidTr="002D084B">
        <w:tc>
          <w:tcPr>
            <w:tcW w:w="1809" w:type="dxa"/>
          </w:tcPr>
          <w:p w14:paraId="565FA0F1" w14:textId="77777777" w:rsidR="00F31B52" w:rsidRPr="007A3702" w:rsidRDefault="00F31B52" w:rsidP="003E6C2E">
            <w:r w:rsidRPr="007A3702">
              <w:t>HDL-C</w:t>
            </w:r>
          </w:p>
        </w:tc>
        <w:tc>
          <w:tcPr>
            <w:tcW w:w="6911" w:type="dxa"/>
          </w:tcPr>
          <w:p w14:paraId="2DAE166B" w14:textId="77777777" w:rsidR="00F31B52" w:rsidRPr="007A3702" w:rsidRDefault="00F31B52" w:rsidP="003E6C2E">
            <w:r w:rsidRPr="007A3702">
              <w:t>High density lipoprotein cholesterol</w:t>
            </w:r>
          </w:p>
        </w:tc>
      </w:tr>
      <w:tr w:rsidR="00F31B52" w:rsidRPr="00FD119B" w14:paraId="1F33B38B" w14:textId="77777777" w:rsidTr="002D084B">
        <w:tc>
          <w:tcPr>
            <w:tcW w:w="1809" w:type="dxa"/>
          </w:tcPr>
          <w:p w14:paraId="08D25DD1" w14:textId="77777777" w:rsidR="00F31B52" w:rsidRPr="007A3702" w:rsidRDefault="00F31B52" w:rsidP="003E6C2E">
            <w:proofErr w:type="spellStart"/>
            <w:r w:rsidRPr="007A3702">
              <w:t>HeFH</w:t>
            </w:r>
            <w:proofErr w:type="spellEnd"/>
          </w:p>
        </w:tc>
        <w:tc>
          <w:tcPr>
            <w:tcW w:w="6911" w:type="dxa"/>
          </w:tcPr>
          <w:p w14:paraId="0965BDEC" w14:textId="77777777" w:rsidR="00F31B52" w:rsidRPr="007A3702" w:rsidRDefault="00F31B52" w:rsidP="003E6C2E">
            <w:pPr>
              <w:tabs>
                <w:tab w:val="left" w:pos="570"/>
              </w:tabs>
            </w:pPr>
            <w:r w:rsidRPr="007A3702">
              <w:t>Heterozygous familial hypercholesterolaemia</w:t>
            </w:r>
          </w:p>
        </w:tc>
      </w:tr>
      <w:tr w:rsidR="00F31B52" w:rsidRPr="00FD119B" w14:paraId="38A42C9C" w14:textId="77777777" w:rsidTr="002D084B">
        <w:tc>
          <w:tcPr>
            <w:tcW w:w="1809" w:type="dxa"/>
          </w:tcPr>
          <w:p w14:paraId="1D7BA6CD" w14:textId="77777777" w:rsidR="00F31B52" w:rsidRPr="007A3702" w:rsidRDefault="00F31B52" w:rsidP="003E6C2E">
            <w:proofErr w:type="spellStart"/>
            <w:r w:rsidRPr="007A3702">
              <w:t>HoFH</w:t>
            </w:r>
            <w:proofErr w:type="spellEnd"/>
          </w:p>
        </w:tc>
        <w:tc>
          <w:tcPr>
            <w:tcW w:w="6911" w:type="dxa"/>
          </w:tcPr>
          <w:p w14:paraId="2BBACF01" w14:textId="77777777" w:rsidR="00F31B52" w:rsidRPr="007A3702" w:rsidRDefault="00F31B52" w:rsidP="003E6C2E">
            <w:r w:rsidRPr="007A3702">
              <w:t>Homozygous familial hypercholesterolaemia</w:t>
            </w:r>
          </w:p>
        </w:tc>
      </w:tr>
      <w:tr w:rsidR="00F31B52" w:rsidRPr="00FD119B" w14:paraId="3B0349C6" w14:textId="77777777" w:rsidTr="002D084B">
        <w:tc>
          <w:tcPr>
            <w:tcW w:w="1809" w:type="dxa"/>
          </w:tcPr>
          <w:p w14:paraId="0D502EF2" w14:textId="77777777" w:rsidR="00F31B52" w:rsidRPr="007A3702" w:rsidRDefault="00F31B52" w:rsidP="003E6C2E">
            <w:r w:rsidRPr="007A3702">
              <w:t>ITT</w:t>
            </w:r>
          </w:p>
        </w:tc>
        <w:tc>
          <w:tcPr>
            <w:tcW w:w="6911" w:type="dxa"/>
          </w:tcPr>
          <w:p w14:paraId="5825BE53" w14:textId="77777777" w:rsidR="00F31B52" w:rsidRPr="007A3702" w:rsidRDefault="00F31B52" w:rsidP="003E6C2E">
            <w:r w:rsidRPr="007A3702">
              <w:t>Intent to treat</w:t>
            </w:r>
          </w:p>
        </w:tc>
      </w:tr>
      <w:tr w:rsidR="00F31B52" w:rsidRPr="00FD119B" w14:paraId="58583ABB" w14:textId="77777777" w:rsidTr="002D084B">
        <w:tc>
          <w:tcPr>
            <w:tcW w:w="1809" w:type="dxa"/>
          </w:tcPr>
          <w:p w14:paraId="0831FFAF" w14:textId="77777777" w:rsidR="00F31B52" w:rsidRPr="007A3702" w:rsidRDefault="00F31B52" w:rsidP="003E6C2E">
            <w:r w:rsidRPr="007A3702">
              <w:t>LDL-C</w:t>
            </w:r>
          </w:p>
        </w:tc>
        <w:tc>
          <w:tcPr>
            <w:tcW w:w="6911" w:type="dxa"/>
          </w:tcPr>
          <w:p w14:paraId="012A8C62" w14:textId="77777777" w:rsidR="00F31B52" w:rsidRPr="007A3702" w:rsidRDefault="00F31B52" w:rsidP="003E6C2E">
            <w:r w:rsidRPr="007A3702">
              <w:t>Low density lipoprotein cholesterol</w:t>
            </w:r>
          </w:p>
        </w:tc>
      </w:tr>
      <w:tr w:rsidR="00F31B52" w:rsidRPr="00FD119B" w14:paraId="3117B772" w14:textId="77777777" w:rsidTr="002D084B">
        <w:tc>
          <w:tcPr>
            <w:tcW w:w="1809" w:type="dxa"/>
          </w:tcPr>
          <w:p w14:paraId="4BD1FB70" w14:textId="77777777" w:rsidR="00F31B52" w:rsidRPr="007A3702" w:rsidRDefault="00F31B52" w:rsidP="003E6C2E">
            <w:r w:rsidRPr="007A3702">
              <w:t>LDLR</w:t>
            </w:r>
          </w:p>
        </w:tc>
        <w:tc>
          <w:tcPr>
            <w:tcW w:w="6911" w:type="dxa"/>
          </w:tcPr>
          <w:p w14:paraId="51A7E562" w14:textId="7A2C021D" w:rsidR="00F31B52" w:rsidRPr="007A3702" w:rsidRDefault="00F31B52" w:rsidP="003E6C2E">
            <w:r w:rsidRPr="007A3702">
              <w:t>Low density lipoprotein receptor</w:t>
            </w:r>
          </w:p>
        </w:tc>
      </w:tr>
      <w:tr w:rsidR="00F31B52" w:rsidRPr="00FD119B" w14:paraId="48829FC5" w14:textId="77777777" w:rsidTr="002D084B">
        <w:tc>
          <w:tcPr>
            <w:tcW w:w="1809" w:type="dxa"/>
          </w:tcPr>
          <w:p w14:paraId="75E557E5" w14:textId="77777777" w:rsidR="00F31B52" w:rsidRPr="007A3702" w:rsidRDefault="00F31B52" w:rsidP="003E6C2E">
            <w:r w:rsidRPr="007A3702">
              <w:t>LMT</w:t>
            </w:r>
          </w:p>
        </w:tc>
        <w:tc>
          <w:tcPr>
            <w:tcW w:w="6911" w:type="dxa"/>
          </w:tcPr>
          <w:p w14:paraId="7A69D0F7" w14:textId="23AB3564" w:rsidR="00F31B52" w:rsidRPr="007A3702" w:rsidRDefault="00F31B52" w:rsidP="003E6C2E">
            <w:r w:rsidRPr="007A3702">
              <w:t>Lipid modifying therap</w:t>
            </w:r>
            <w:r w:rsidR="00965EC9">
              <w:t>y</w:t>
            </w:r>
          </w:p>
        </w:tc>
      </w:tr>
      <w:tr w:rsidR="00F31B52" w:rsidRPr="00FD119B" w14:paraId="5DA9C132" w14:textId="77777777" w:rsidTr="002D084B">
        <w:tc>
          <w:tcPr>
            <w:tcW w:w="1809" w:type="dxa"/>
          </w:tcPr>
          <w:p w14:paraId="56383523" w14:textId="77777777" w:rsidR="00F31B52" w:rsidRPr="007A3702" w:rsidRDefault="00F31B52" w:rsidP="003E6C2E">
            <w:r w:rsidRPr="007A3702">
              <w:t>MACE</w:t>
            </w:r>
          </w:p>
        </w:tc>
        <w:tc>
          <w:tcPr>
            <w:tcW w:w="6911" w:type="dxa"/>
          </w:tcPr>
          <w:p w14:paraId="455B611F" w14:textId="77777777" w:rsidR="00F31B52" w:rsidRPr="007A3702" w:rsidRDefault="00F31B52" w:rsidP="003E6C2E">
            <w:r w:rsidRPr="007A3702">
              <w:t>Major cardiovascular event</w:t>
            </w:r>
          </w:p>
        </w:tc>
      </w:tr>
      <w:tr w:rsidR="00F31B52" w:rsidRPr="00FD119B" w14:paraId="672585E5" w14:textId="77777777" w:rsidTr="002D084B">
        <w:tc>
          <w:tcPr>
            <w:tcW w:w="1809" w:type="dxa"/>
          </w:tcPr>
          <w:p w14:paraId="54657A52" w14:textId="77777777" w:rsidR="00F31B52" w:rsidRPr="00FD119B" w:rsidRDefault="00F31B52" w:rsidP="003E6C2E">
            <w:r>
              <w:t>MI</w:t>
            </w:r>
          </w:p>
        </w:tc>
        <w:tc>
          <w:tcPr>
            <w:tcW w:w="6911" w:type="dxa"/>
          </w:tcPr>
          <w:p w14:paraId="54128FDA" w14:textId="77777777" w:rsidR="00F31B52" w:rsidRPr="00FD119B" w:rsidRDefault="00F31B52" w:rsidP="003E6C2E">
            <w:r>
              <w:t>M</w:t>
            </w:r>
            <w:r w:rsidRPr="007A3702">
              <w:t>yocardial infraction</w:t>
            </w:r>
          </w:p>
        </w:tc>
      </w:tr>
      <w:tr w:rsidR="00F31B52" w:rsidRPr="00FD119B" w14:paraId="5D409149" w14:textId="77777777" w:rsidTr="002D084B">
        <w:tc>
          <w:tcPr>
            <w:tcW w:w="1809" w:type="dxa"/>
          </w:tcPr>
          <w:p w14:paraId="258E8B05" w14:textId="77777777" w:rsidR="00F31B52" w:rsidRPr="007A3702" w:rsidRDefault="00F31B52" w:rsidP="003E6C2E">
            <w:proofErr w:type="spellStart"/>
            <w:r w:rsidRPr="007A3702">
              <w:t>mITT</w:t>
            </w:r>
            <w:proofErr w:type="spellEnd"/>
          </w:p>
        </w:tc>
        <w:tc>
          <w:tcPr>
            <w:tcW w:w="6911" w:type="dxa"/>
          </w:tcPr>
          <w:p w14:paraId="6877F6B6" w14:textId="77777777" w:rsidR="00F31B52" w:rsidRPr="007A3702" w:rsidRDefault="00F31B52" w:rsidP="003E6C2E">
            <w:r w:rsidRPr="007A3702">
              <w:t>Modified intent to treat</w:t>
            </w:r>
          </w:p>
        </w:tc>
      </w:tr>
      <w:tr w:rsidR="00F31B52" w:rsidRPr="00FD119B" w14:paraId="2AAEEDB3" w14:textId="77777777" w:rsidTr="002D084B">
        <w:tc>
          <w:tcPr>
            <w:tcW w:w="1809" w:type="dxa"/>
          </w:tcPr>
          <w:p w14:paraId="11129050" w14:textId="77777777" w:rsidR="00F31B52" w:rsidRPr="007A3702" w:rsidRDefault="00F31B52" w:rsidP="003E6C2E">
            <w:r w:rsidRPr="007A3702">
              <w:t>PAD</w:t>
            </w:r>
          </w:p>
        </w:tc>
        <w:tc>
          <w:tcPr>
            <w:tcW w:w="6911" w:type="dxa"/>
          </w:tcPr>
          <w:p w14:paraId="10370B08" w14:textId="77777777" w:rsidR="00F31B52" w:rsidRPr="007A3702" w:rsidRDefault="00F31B52" w:rsidP="003E6C2E">
            <w:r w:rsidRPr="007A3702">
              <w:t>Peripheral arterial disease</w:t>
            </w:r>
          </w:p>
        </w:tc>
      </w:tr>
      <w:tr w:rsidR="00F31B52" w:rsidRPr="00FD119B" w14:paraId="64A90D05" w14:textId="77777777" w:rsidTr="002D084B">
        <w:tc>
          <w:tcPr>
            <w:tcW w:w="1809" w:type="dxa"/>
          </w:tcPr>
          <w:p w14:paraId="13E1C3EC" w14:textId="77777777" w:rsidR="00F31B52" w:rsidRPr="007A3702" w:rsidRDefault="00F31B52" w:rsidP="003E6C2E">
            <w:r w:rsidRPr="007A3702">
              <w:t>PCSK9</w:t>
            </w:r>
          </w:p>
        </w:tc>
        <w:tc>
          <w:tcPr>
            <w:tcW w:w="6911" w:type="dxa"/>
          </w:tcPr>
          <w:p w14:paraId="5725EAAF" w14:textId="77777777" w:rsidR="00F31B52" w:rsidRPr="007A3702" w:rsidRDefault="00F31B52" w:rsidP="003E6C2E">
            <w:r w:rsidRPr="007A3702">
              <w:t>Proprotein convertase subtilisin/</w:t>
            </w:r>
            <w:proofErr w:type="spellStart"/>
            <w:r w:rsidRPr="007A3702">
              <w:t>kexin</w:t>
            </w:r>
            <w:proofErr w:type="spellEnd"/>
            <w:r w:rsidRPr="007A3702">
              <w:t xml:space="preserve"> type 9</w:t>
            </w:r>
          </w:p>
        </w:tc>
      </w:tr>
      <w:tr w:rsidR="00F31B52" w:rsidRPr="00FD119B" w14:paraId="13305FF7" w14:textId="77777777" w:rsidTr="002D084B">
        <w:tc>
          <w:tcPr>
            <w:tcW w:w="1809" w:type="dxa"/>
          </w:tcPr>
          <w:p w14:paraId="446563AA" w14:textId="77777777" w:rsidR="00F31B52" w:rsidRPr="007A3702" w:rsidRDefault="00F31B52" w:rsidP="003E6C2E">
            <w:r w:rsidRPr="007A3702">
              <w:t>PD</w:t>
            </w:r>
          </w:p>
        </w:tc>
        <w:tc>
          <w:tcPr>
            <w:tcW w:w="6911" w:type="dxa"/>
          </w:tcPr>
          <w:p w14:paraId="00AD4B5A" w14:textId="67413AE5" w:rsidR="00F31B52" w:rsidRPr="007A3702" w:rsidRDefault="00F31B52" w:rsidP="003E6C2E">
            <w:r w:rsidRPr="007A3702">
              <w:t>Pharmacodynamic</w:t>
            </w:r>
            <w:r w:rsidR="00965EC9">
              <w:t>(s)</w:t>
            </w:r>
          </w:p>
        </w:tc>
      </w:tr>
      <w:tr w:rsidR="00F31B52" w:rsidRPr="00FD119B" w14:paraId="22736A69" w14:textId="77777777" w:rsidTr="002D084B">
        <w:tc>
          <w:tcPr>
            <w:tcW w:w="1809" w:type="dxa"/>
          </w:tcPr>
          <w:p w14:paraId="41DE36E9" w14:textId="77777777" w:rsidR="00F31B52" w:rsidRPr="007A3702" w:rsidRDefault="00F31B52" w:rsidP="003E6C2E">
            <w:r w:rsidRPr="007A3702">
              <w:t>PI</w:t>
            </w:r>
          </w:p>
        </w:tc>
        <w:tc>
          <w:tcPr>
            <w:tcW w:w="6911" w:type="dxa"/>
          </w:tcPr>
          <w:p w14:paraId="04ED661F" w14:textId="77777777" w:rsidR="00F31B52" w:rsidRPr="007A3702" w:rsidRDefault="00F31B52" w:rsidP="003E6C2E">
            <w:r w:rsidRPr="007A3702">
              <w:t>Product Information</w:t>
            </w:r>
          </w:p>
        </w:tc>
      </w:tr>
      <w:tr w:rsidR="00F31B52" w:rsidRPr="00FD119B" w14:paraId="56143F3A" w14:textId="77777777" w:rsidTr="002D084B">
        <w:tc>
          <w:tcPr>
            <w:tcW w:w="1809" w:type="dxa"/>
          </w:tcPr>
          <w:p w14:paraId="40C60BFF" w14:textId="77777777" w:rsidR="00F31B52" w:rsidRPr="007A3702" w:rsidRDefault="00F31B52" w:rsidP="003E6C2E">
            <w:r w:rsidRPr="007A3702">
              <w:t>PK</w:t>
            </w:r>
          </w:p>
        </w:tc>
        <w:tc>
          <w:tcPr>
            <w:tcW w:w="6911" w:type="dxa"/>
          </w:tcPr>
          <w:p w14:paraId="08C704EA" w14:textId="7E0DD162" w:rsidR="00F31B52" w:rsidRPr="007A3702" w:rsidRDefault="00F31B52" w:rsidP="003E6C2E">
            <w:r w:rsidRPr="007A3702">
              <w:t>Pharmacokinetic</w:t>
            </w:r>
            <w:r w:rsidR="00965EC9">
              <w:t>(</w:t>
            </w:r>
            <w:r w:rsidRPr="007A3702">
              <w:t>s</w:t>
            </w:r>
            <w:r w:rsidR="00965EC9">
              <w:t>)</w:t>
            </w:r>
          </w:p>
        </w:tc>
      </w:tr>
      <w:tr w:rsidR="00F31B52" w:rsidRPr="00FD119B" w14:paraId="57BB6845" w14:textId="77777777" w:rsidTr="002D084B">
        <w:tc>
          <w:tcPr>
            <w:tcW w:w="1809" w:type="dxa"/>
          </w:tcPr>
          <w:p w14:paraId="61CA7314" w14:textId="77777777" w:rsidR="00F31B52" w:rsidRPr="00FD119B" w:rsidRDefault="00F31B52" w:rsidP="003E6C2E">
            <w:r>
              <w:t>PSUR</w:t>
            </w:r>
          </w:p>
        </w:tc>
        <w:tc>
          <w:tcPr>
            <w:tcW w:w="6911" w:type="dxa"/>
          </w:tcPr>
          <w:p w14:paraId="2EADAC65" w14:textId="77777777" w:rsidR="00F31B52" w:rsidRPr="00FD119B" w:rsidRDefault="00F31B52" w:rsidP="003E6C2E">
            <w:r>
              <w:t>P</w:t>
            </w:r>
            <w:r w:rsidRPr="00CB7754">
              <w:t>eriodic safety update report</w:t>
            </w:r>
          </w:p>
        </w:tc>
      </w:tr>
      <w:tr w:rsidR="00F31B52" w:rsidRPr="00FD119B" w14:paraId="6F68DA41" w14:textId="77777777" w:rsidTr="002D084B">
        <w:tc>
          <w:tcPr>
            <w:tcW w:w="1809" w:type="dxa"/>
          </w:tcPr>
          <w:p w14:paraId="4B9C0724" w14:textId="77777777" w:rsidR="00F31B52" w:rsidRPr="00FD119B" w:rsidRDefault="00F31B52" w:rsidP="003E6C2E">
            <w:r>
              <w:lastRenderedPageBreak/>
              <w:t>PT</w:t>
            </w:r>
          </w:p>
        </w:tc>
        <w:tc>
          <w:tcPr>
            <w:tcW w:w="6911" w:type="dxa"/>
          </w:tcPr>
          <w:p w14:paraId="3BCAD562" w14:textId="77777777" w:rsidR="00F31B52" w:rsidRPr="00FD119B" w:rsidRDefault="00F31B52" w:rsidP="003E6C2E">
            <w:r>
              <w:t>Preferred Term</w:t>
            </w:r>
          </w:p>
        </w:tc>
      </w:tr>
      <w:tr w:rsidR="00F31B52" w:rsidRPr="00FD119B" w14:paraId="39272BC0" w14:textId="77777777" w:rsidTr="002D084B">
        <w:tc>
          <w:tcPr>
            <w:tcW w:w="1809" w:type="dxa"/>
          </w:tcPr>
          <w:p w14:paraId="2489DEA9" w14:textId="77777777" w:rsidR="00F31B52" w:rsidRPr="007A3702" w:rsidRDefault="00F31B52" w:rsidP="003E6C2E">
            <w:r w:rsidRPr="007A3702">
              <w:t>qPCR</w:t>
            </w:r>
          </w:p>
        </w:tc>
        <w:tc>
          <w:tcPr>
            <w:tcW w:w="6911" w:type="dxa"/>
          </w:tcPr>
          <w:p w14:paraId="582FB45D" w14:textId="77777777" w:rsidR="00F31B52" w:rsidRPr="007A3702" w:rsidRDefault="00F31B52" w:rsidP="003E6C2E">
            <w:r w:rsidRPr="007A3702">
              <w:t>Quantitative polymerase chain reaction</w:t>
            </w:r>
          </w:p>
        </w:tc>
      </w:tr>
      <w:tr w:rsidR="00F31B52" w:rsidRPr="00FD119B" w14:paraId="58024AA8" w14:textId="77777777" w:rsidTr="002D084B">
        <w:tc>
          <w:tcPr>
            <w:tcW w:w="1809" w:type="dxa"/>
          </w:tcPr>
          <w:p w14:paraId="2EC64808" w14:textId="77777777" w:rsidR="00F31B52" w:rsidRPr="007A3702" w:rsidRDefault="00F31B52" w:rsidP="003E6C2E">
            <w:r w:rsidRPr="007A3702">
              <w:t>RISC</w:t>
            </w:r>
          </w:p>
        </w:tc>
        <w:tc>
          <w:tcPr>
            <w:tcW w:w="6911" w:type="dxa"/>
          </w:tcPr>
          <w:p w14:paraId="07C6283C" w14:textId="77777777" w:rsidR="00F31B52" w:rsidRPr="007A3702" w:rsidRDefault="00F31B52" w:rsidP="003E6C2E">
            <w:r w:rsidRPr="007A3702">
              <w:rPr>
                <w:rFonts w:eastAsiaTheme="minorHAnsi" w:cs="TimesNewRomanPSMT"/>
              </w:rPr>
              <w:t>RNA induced silencing complex</w:t>
            </w:r>
          </w:p>
        </w:tc>
      </w:tr>
      <w:tr w:rsidR="00F31B52" w:rsidRPr="00FD119B" w14:paraId="44D1B916" w14:textId="77777777" w:rsidTr="002D084B">
        <w:tc>
          <w:tcPr>
            <w:tcW w:w="1809" w:type="dxa"/>
          </w:tcPr>
          <w:p w14:paraId="6AF6E618" w14:textId="77777777" w:rsidR="00F31B52" w:rsidRPr="00FD119B" w:rsidRDefault="00F31B52" w:rsidP="003E6C2E">
            <w:r>
              <w:t>RMP</w:t>
            </w:r>
          </w:p>
        </w:tc>
        <w:tc>
          <w:tcPr>
            <w:tcW w:w="6911" w:type="dxa"/>
          </w:tcPr>
          <w:p w14:paraId="1CE62979" w14:textId="77777777" w:rsidR="00F31B52" w:rsidRPr="00FD119B" w:rsidRDefault="00F31B52" w:rsidP="003E6C2E">
            <w:r>
              <w:t>Risk management plan</w:t>
            </w:r>
          </w:p>
        </w:tc>
      </w:tr>
      <w:tr w:rsidR="00F31B52" w:rsidRPr="00FD119B" w14:paraId="2A0BF41F" w14:textId="77777777" w:rsidTr="002D084B">
        <w:tc>
          <w:tcPr>
            <w:tcW w:w="1809" w:type="dxa"/>
          </w:tcPr>
          <w:p w14:paraId="3CB64853" w14:textId="77777777" w:rsidR="00F31B52" w:rsidRPr="007A3702" w:rsidRDefault="00F31B52" w:rsidP="003E6C2E">
            <w:r w:rsidRPr="007A3702">
              <w:t>siRNA</w:t>
            </w:r>
          </w:p>
        </w:tc>
        <w:tc>
          <w:tcPr>
            <w:tcW w:w="6911" w:type="dxa"/>
          </w:tcPr>
          <w:p w14:paraId="38016EFF" w14:textId="3C959269" w:rsidR="00F31B52" w:rsidRPr="007A3702" w:rsidRDefault="00965EC9" w:rsidP="003E6C2E">
            <w:r>
              <w:rPr>
                <w:rFonts w:eastAsiaTheme="minorHAnsi" w:cs="TimesNewRomanPSMT"/>
              </w:rPr>
              <w:t>S</w:t>
            </w:r>
            <w:r w:rsidR="00F31B52" w:rsidRPr="007A3702">
              <w:rPr>
                <w:rFonts w:eastAsiaTheme="minorHAnsi" w:cs="TimesNewRomanPSMT"/>
              </w:rPr>
              <w:t xml:space="preserve">mall interfering </w:t>
            </w:r>
            <w:r>
              <w:rPr>
                <w:rFonts w:eastAsiaTheme="minorHAnsi" w:cs="TimesNewRomanPSMT"/>
              </w:rPr>
              <w:t>r</w:t>
            </w:r>
            <w:r w:rsidRPr="00965EC9">
              <w:rPr>
                <w:rFonts w:eastAsiaTheme="minorHAnsi" w:cs="TimesNewRomanPSMT"/>
              </w:rPr>
              <w:t>ibonucleic acid</w:t>
            </w:r>
          </w:p>
        </w:tc>
      </w:tr>
      <w:tr w:rsidR="00F31B52" w:rsidRPr="00FD119B" w14:paraId="73FDEA4D" w14:textId="77777777" w:rsidTr="002D084B">
        <w:tc>
          <w:tcPr>
            <w:tcW w:w="1809" w:type="dxa"/>
          </w:tcPr>
          <w:p w14:paraId="27A107AE" w14:textId="77777777" w:rsidR="00F31B52" w:rsidRPr="007A3702" w:rsidRDefault="00F31B52" w:rsidP="003E6C2E">
            <w:r w:rsidRPr="007A3702">
              <w:t>TEAE</w:t>
            </w:r>
          </w:p>
        </w:tc>
        <w:tc>
          <w:tcPr>
            <w:tcW w:w="6911" w:type="dxa"/>
          </w:tcPr>
          <w:p w14:paraId="67B05D73" w14:textId="7B2E9171" w:rsidR="00F31B52" w:rsidRPr="007A3702" w:rsidRDefault="00F31B52" w:rsidP="003E6C2E">
            <w:r w:rsidRPr="007A3702">
              <w:t>Treatment</w:t>
            </w:r>
            <w:r w:rsidR="001A1914">
              <w:t>-</w:t>
            </w:r>
            <w:r w:rsidRPr="007A3702">
              <w:t>emergent adverse event</w:t>
            </w:r>
          </w:p>
        </w:tc>
      </w:tr>
      <w:tr w:rsidR="00F31B52" w:rsidRPr="00FD119B" w14:paraId="56CEA422" w14:textId="77777777" w:rsidTr="002D084B">
        <w:tc>
          <w:tcPr>
            <w:tcW w:w="1809" w:type="dxa"/>
          </w:tcPr>
          <w:p w14:paraId="6F1290E5" w14:textId="77777777" w:rsidR="00F31B52" w:rsidRPr="00FD119B" w:rsidRDefault="00F31B52" w:rsidP="003E6C2E">
            <w:r>
              <w:t>TESAE</w:t>
            </w:r>
          </w:p>
        </w:tc>
        <w:tc>
          <w:tcPr>
            <w:tcW w:w="6911" w:type="dxa"/>
          </w:tcPr>
          <w:p w14:paraId="364D8406" w14:textId="77777777" w:rsidR="00F31B52" w:rsidRPr="00FD119B" w:rsidRDefault="00F31B52" w:rsidP="003E6C2E">
            <w:r>
              <w:t>Treatment-emergent serious adverse event</w:t>
            </w:r>
          </w:p>
        </w:tc>
      </w:tr>
      <w:tr w:rsidR="00F31B52" w:rsidRPr="00FD119B" w14:paraId="65C73CB6" w14:textId="77777777" w:rsidTr="002D084B">
        <w:tc>
          <w:tcPr>
            <w:tcW w:w="1809" w:type="dxa"/>
          </w:tcPr>
          <w:p w14:paraId="507B90E8" w14:textId="77777777" w:rsidR="00F31B52" w:rsidRPr="007A3702" w:rsidRDefault="00F31B52" w:rsidP="003E6C2E">
            <w:proofErr w:type="spellStart"/>
            <w:r w:rsidRPr="007A3702">
              <w:t>T</w:t>
            </w:r>
            <w:r w:rsidRPr="007A3702">
              <w:rPr>
                <w:vertAlign w:val="subscript"/>
              </w:rPr>
              <w:t>max</w:t>
            </w:r>
            <w:proofErr w:type="spellEnd"/>
          </w:p>
        </w:tc>
        <w:tc>
          <w:tcPr>
            <w:tcW w:w="6911" w:type="dxa"/>
          </w:tcPr>
          <w:p w14:paraId="2F72E4FB" w14:textId="448EA818" w:rsidR="00F31B52" w:rsidRPr="007A3702" w:rsidRDefault="00F31B52" w:rsidP="001A1914">
            <w:r w:rsidRPr="007A3702">
              <w:t xml:space="preserve">Time </w:t>
            </w:r>
            <w:r w:rsidR="001A1914">
              <w:t>of</w:t>
            </w:r>
            <w:r w:rsidRPr="007A3702">
              <w:t xml:space="preserve"> maximum concentration</w:t>
            </w:r>
          </w:p>
        </w:tc>
      </w:tr>
      <w:tr w:rsidR="00F31B52" w:rsidRPr="00FD119B" w14:paraId="2DB08BFE" w14:textId="77777777" w:rsidTr="002D084B">
        <w:tc>
          <w:tcPr>
            <w:tcW w:w="1809" w:type="dxa"/>
          </w:tcPr>
          <w:p w14:paraId="2770EF8E" w14:textId="77777777" w:rsidR="00F31B52" w:rsidRPr="00FD119B" w:rsidRDefault="00F31B52" w:rsidP="003E6C2E">
            <w:r>
              <w:t>ULN</w:t>
            </w:r>
          </w:p>
        </w:tc>
        <w:tc>
          <w:tcPr>
            <w:tcW w:w="6911" w:type="dxa"/>
          </w:tcPr>
          <w:p w14:paraId="32A2E178" w14:textId="77777777" w:rsidR="00F31B52" w:rsidRPr="00FD119B" w:rsidRDefault="00F31B52" w:rsidP="003E6C2E">
            <w:r>
              <w:t>Upper limit of normal</w:t>
            </w:r>
          </w:p>
        </w:tc>
      </w:tr>
      <w:tr w:rsidR="00F31B52" w:rsidRPr="00FD119B" w14:paraId="76E0DE54" w14:textId="77777777" w:rsidTr="002D084B">
        <w:tc>
          <w:tcPr>
            <w:tcW w:w="1809" w:type="dxa"/>
          </w:tcPr>
          <w:p w14:paraId="68F7491E" w14:textId="77777777" w:rsidR="00F31B52" w:rsidRPr="007A3702" w:rsidRDefault="00F31B52" w:rsidP="003E6C2E">
            <w:r w:rsidRPr="007A3702">
              <w:t>USA</w:t>
            </w:r>
          </w:p>
        </w:tc>
        <w:tc>
          <w:tcPr>
            <w:tcW w:w="6911" w:type="dxa"/>
          </w:tcPr>
          <w:p w14:paraId="71BCE66D" w14:textId="77777777" w:rsidR="00F31B52" w:rsidRPr="007A3702" w:rsidRDefault="00F31B52" w:rsidP="003E6C2E">
            <w:r w:rsidRPr="007A3702">
              <w:t>United States of America</w:t>
            </w:r>
          </w:p>
        </w:tc>
      </w:tr>
      <w:tr w:rsidR="00F31B52" w:rsidRPr="00FD119B" w14:paraId="244DAB75" w14:textId="77777777" w:rsidTr="002D084B">
        <w:tc>
          <w:tcPr>
            <w:tcW w:w="1809" w:type="dxa"/>
          </w:tcPr>
          <w:p w14:paraId="2BBE2ABD" w14:textId="77777777" w:rsidR="00F31B52" w:rsidRPr="007A3702" w:rsidRDefault="00F31B52" w:rsidP="003E6C2E">
            <w:r w:rsidRPr="007A3702">
              <w:t>VLDL</w:t>
            </w:r>
          </w:p>
        </w:tc>
        <w:tc>
          <w:tcPr>
            <w:tcW w:w="6911" w:type="dxa"/>
          </w:tcPr>
          <w:p w14:paraId="397A4FA1" w14:textId="77777777" w:rsidR="00F31B52" w:rsidRPr="007A3702" w:rsidRDefault="00F31B52" w:rsidP="003E6C2E">
            <w:r w:rsidRPr="007A3702">
              <w:t xml:space="preserve">Very </w:t>
            </w:r>
            <w:proofErr w:type="gramStart"/>
            <w:r w:rsidRPr="007A3702">
              <w:t>low density</w:t>
            </w:r>
            <w:proofErr w:type="gramEnd"/>
            <w:r w:rsidRPr="007A3702">
              <w:t xml:space="preserve"> lipoprotein</w:t>
            </w:r>
          </w:p>
        </w:tc>
      </w:tr>
    </w:tbl>
    <w:p w14:paraId="4E0191B6" w14:textId="77777777" w:rsidR="00FD119B" w:rsidRDefault="00FD119B" w:rsidP="00FD119B"/>
    <w:p w14:paraId="2D3FD62D" w14:textId="77777777" w:rsidR="00FD119B" w:rsidRPr="00FD119B" w:rsidRDefault="00FD119B" w:rsidP="00FD119B">
      <w:pPr>
        <w:spacing w:before="0" w:after="200" w:line="0" w:lineRule="auto"/>
        <w:rPr>
          <w:b/>
          <w:i/>
          <w:sz w:val="24"/>
          <w:szCs w:val="24"/>
        </w:rPr>
      </w:pPr>
      <w:r w:rsidRPr="00FD119B">
        <w:rPr>
          <w:b/>
          <w:i/>
          <w:sz w:val="24"/>
          <w:szCs w:val="24"/>
        </w:rPr>
        <w:br w:type="page"/>
      </w:r>
    </w:p>
    <w:p w14:paraId="26DD3ACA" w14:textId="77777777" w:rsidR="008E7846" w:rsidRDefault="00F53C07" w:rsidP="008E7846">
      <w:pPr>
        <w:pStyle w:val="Heading2"/>
      </w:pPr>
      <w:bookmarkStart w:id="9" w:name="_Toc99632908"/>
      <w:r>
        <w:lastRenderedPageBreak/>
        <w:t>I.</w:t>
      </w:r>
      <w:r w:rsidR="008E7846">
        <w:t xml:space="preserve"> Introduction to product submission</w:t>
      </w:r>
      <w:bookmarkEnd w:id="9"/>
      <w:bookmarkEnd w:id="2"/>
      <w:bookmarkEnd w:id="0"/>
    </w:p>
    <w:p w14:paraId="10252D54" w14:textId="77777777" w:rsidR="008E7846" w:rsidRDefault="008E7846" w:rsidP="008E7846">
      <w:pPr>
        <w:pStyle w:val="Heading3"/>
        <w:rPr>
          <w:lang w:eastAsia="en-AU"/>
        </w:rPr>
      </w:pPr>
      <w:bookmarkStart w:id="10" w:name="_Toc247691502"/>
      <w:bookmarkStart w:id="11" w:name="_Toc314842483"/>
      <w:bookmarkStart w:id="12" w:name="_Toc99632909"/>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47D66F3F" w14:textId="77777777" w:rsidTr="003735BC">
        <w:tc>
          <w:tcPr>
            <w:tcW w:w="2907" w:type="dxa"/>
          </w:tcPr>
          <w:p w14:paraId="7D48B01A"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6898C550" w14:textId="1D1ED91C" w:rsidR="008E7846" w:rsidRPr="003D1E62" w:rsidRDefault="008E7846" w:rsidP="001B5C90">
            <w:r w:rsidRPr="003D1E62">
              <w:t xml:space="preserve">New </w:t>
            </w:r>
            <w:r w:rsidR="001B5C90">
              <w:t>c</w:t>
            </w:r>
            <w:r w:rsidRPr="003D1E62">
              <w:t xml:space="preserve">hemical </w:t>
            </w:r>
            <w:r w:rsidR="001B5C90">
              <w:t>e</w:t>
            </w:r>
            <w:r w:rsidRPr="003D1E62">
              <w:t>ntity</w:t>
            </w:r>
          </w:p>
        </w:tc>
      </w:tr>
      <w:tr w:rsidR="00460036" w:rsidRPr="003D1E62" w14:paraId="79256EFB" w14:textId="77777777" w:rsidTr="003735BC">
        <w:tc>
          <w:tcPr>
            <w:tcW w:w="2907" w:type="dxa"/>
          </w:tcPr>
          <w:p w14:paraId="08768DEB" w14:textId="0A437784" w:rsidR="00460036" w:rsidRPr="003D1E62" w:rsidRDefault="00460036" w:rsidP="003D1E62">
            <w:pPr>
              <w:rPr>
                <w:i/>
              </w:rPr>
            </w:pPr>
            <w:r w:rsidRPr="00460036">
              <w:rPr>
                <w:i/>
              </w:rPr>
              <w:t>Product name:</w:t>
            </w:r>
          </w:p>
        </w:tc>
        <w:tc>
          <w:tcPr>
            <w:tcW w:w="6307" w:type="dxa"/>
          </w:tcPr>
          <w:p w14:paraId="472F3588" w14:textId="53FD2F5F" w:rsidR="00460036" w:rsidRPr="003D1E62" w:rsidRDefault="00647F5D" w:rsidP="001B5C90">
            <w:proofErr w:type="spellStart"/>
            <w:r>
              <w:t>Leqvio</w:t>
            </w:r>
            <w:proofErr w:type="spellEnd"/>
          </w:p>
        </w:tc>
      </w:tr>
      <w:tr w:rsidR="00460036" w:rsidRPr="003D1E62" w14:paraId="11264CD1" w14:textId="77777777" w:rsidTr="003735BC">
        <w:tc>
          <w:tcPr>
            <w:tcW w:w="2907" w:type="dxa"/>
          </w:tcPr>
          <w:p w14:paraId="2C1F8573" w14:textId="12A929E0" w:rsidR="00460036" w:rsidRPr="003D1E62" w:rsidRDefault="00460036" w:rsidP="003D1E62">
            <w:pPr>
              <w:rPr>
                <w:i/>
              </w:rPr>
            </w:pPr>
            <w:r w:rsidRPr="00460036">
              <w:rPr>
                <w:i/>
              </w:rPr>
              <w:t>Active ingredient:</w:t>
            </w:r>
          </w:p>
        </w:tc>
        <w:tc>
          <w:tcPr>
            <w:tcW w:w="6307" w:type="dxa"/>
          </w:tcPr>
          <w:p w14:paraId="504F66C4" w14:textId="45FDA013" w:rsidR="00460036" w:rsidRPr="003D1E62" w:rsidRDefault="00647F5D" w:rsidP="001B5C90">
            <w:proofErr w:type="spellStart"/>
            <w:r>
              <w:rPr>
                <w:rFonts w:cs="Cambria"/>
                <w:lang w:eastAsia="en-AU"/>
              </w:rPr>
              <w:t>Inclisiran</w:t>
            </w:r>
            <w:proofErr w:type="spellEnd"/>
          </w:p>
        </w:tc>
      </w:tr>
      <w:tr w:rsidR="008E7846" w:rsidRPr="003D1E62" w14:paraId="2372566E" w14:textId="77777777" w:rsidTr="003735BC">
        <w:tc>
          <w:tcPr>
            <w:tcW w:w="2907" w:type="dxa"/>
          </w:tcPr>
          <w:p w14:paraId="055D98B7" w14:textId="77777777" w:rsidR="008E7846" w:rsidRPr="003D1E62" w:rsidRDefault="008E7846" w:rsidP="003D1E62">
            <w:r w:rsidRPr="003D1E62">
              <w:rPr>
                <w:i/>
              </w:rPr>
              <w:t>Decision</w:t>
            </w:r>
            <w:r w:rsidRPr="003D1E62">
              <w:t>:</w:t>
            </w:r>
          </w:p>
        </w:tc>
        <w:tc>
          <w:tcPr>
            <w:tcW w:w="6307" w:type="dxa"/>
          </w:tcPr>
          <w:p w14:paraId="72B84D17" w14:textId="56B3FE65" w:rsidR="008E7846" w:rsidRPr="003D1E62" w:rsidRDefault="00460036" w:rsidP="001B5C90">
            <w:r w:rsidRPr="00460036">
              <w:t>Approved</w:t>
            </w:r>
          </w:p>
        </w:tc>
      </w:tr>
      <w:tr w:rsidR="008E7846" w:rsidRPr="003D1E62" w14:paraId="12841E1B" w14:textId="77777777" w:rsidTr="003735BC">
        <w:tc>
          <w:tcPr>
            <w:tcW w:w="2907" w:type="dxa"/>
          </w:tcPr>
          <w:p w14:paraId="746A832A"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3536CDDB" w14:textId="0A40C0F6" w:rsidR="008E7846" w:rsidRPr="003D1E62" w:rsidRDefault="00647F5D" w:rsidP="001B5C90">
            <w:r>
              <w:t>14 September 2021</w:t>
            </w:r>
          </w:p>
        </w:tc>
      </w:tr>
      <w:tr w:rsidR="00ED2922" w:rsidRPr="003D1E62" w14:paraId="223950A3" w14:textId="77777777" w:rsidTr="003735BC">
        <w:tc>
          <w:tcPr>
            <w:tcW w:w="2907" w:type="dxa"/>
          </w:tcPr>
          <w:p w14:paraId="7183B996" w14:textId="77777777" w:rsidR="00ED2922" w:rsidRPr="00441C3F" w:rsidRDefault="00ED2922" w:rsidP="001B5C90">
            <w:pPr>
              <w:rPr>
                <w:i/>
              </w:rPr>
            </w:pPr>
            <w:r w:rsidRPr="00441C3F">
              <w:rPr>
                <w:i/>
              </w:rPr>
              <w:t>Date of entry onto ARTG</w:t>
            </w:r>
            <w:r w:rsidR="00500337">
              <w:rPr>
                <w:i/>
              </w:rPr>
              <w:t>:</w:t>
            </w:r>
          </w:p>
        </w:tc>
        <w:tc>
          <w:tcPr>
            <w:tcW w:w="6307" w:type="dxa"/>
          </w:tcPr>
          <w:p w14:paraId="6573B024" w14:textId="41AEEF65" w:rsidR="00ED2922" w:rsidRPr="00441C3F" w:rsidRDefault="00647F5D" w:rsidP="00D153D8">
            <w:pPr>
              <w:rPr>
                <w:i/>
              </w:rPr>
            </w:pPr>
            <w:r>
              <w:t>14 September 2021</w:t>
            </w:r>
          </w:p>
        </w:tc>
      </w:tr>
      <w:tr w:rsidR="00500337" w:rsidRPr="003D1E62" w14:paraId="29C8B970" w14:textId="77777777" w:rsidTr="003735BC">
        <w:tc>
          <w:tcPr>
            <w:tcW w:w="2907" w:type="dxa"/>
          </w:tcPr>
          <w:p w14:paraId="0BD744DA" w14:textId="79B887D3" w:rsidR="00500337" w:rsidRPr="00441C3F" w:rsidRDefault="00500337" w:rsidP="001B5C90">
            <w:pPr>
              <w:rPr>
                <w:i/>
              </w:rPr>
            </w:pPr>
            <w:r>
              <w:rPr>
                <w:i/>
              </w:rPr>
              <w:t>ARTG number:</w:t>
            </w:r>
          </w:p>
        </w:tc>
        <w:tc>
          <w:tcPr>
            <w:tcW w:w="6307" w:type="dxa"/>
          </w:tcPr>
          <w:p w14:paraId="5C79052F" w14:textId="14B1EFB4" w:rsidR="00500337" w:rsidRPr="00441C3F" w:rsidRDefault="00647F5D" w:rsidP="00EC463D">
            <w:r>
              <w:t>342250</w:t>
            </w:r>
          </w:p>
        </w:tc>
      </w:tr>
      <w:tr w:rsidR="003735BC" w:rsidRPr="003D1E62" w14:paraId="67A1F319" w14:textId="77777777" w:rsidTr="003735BC">
        <w:tc>
          <w:tcPr>
            <w:tcW w:w="2907" w:type="dxa"/>
          </w:tcPr>
          <w:p w14:paraId="147EBD9B"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5D3C9476" w14:textId="6DCD39AC" w:rsidR="003735BC" w:rsidRDefault="003735BC" w:rsidP="003735BC">
            <w:r>
              <w:t>Yes</w:t>
            </w:r>
          </w:p>
          <w:p w14:paraId="4B967F64" w14:textId="0673A02F" w:rsidR="003735BC" w:rsidRPr="00487162" w:rsidRDefault="003735BC" w:rsidP="003735BC">
            <w:r>
              <w:t xml:space="preserve">This product will remain in the scheme for 5 years, starting on the date the product is first supplied in </w:t>
            </w:r>
            <w:r w:rsidRPr="00D453FA">
              <w:t>Australia</w:t>
            </w:r>
            <w:r w:rsidR="00647F5D">
              <w:t>.</w:t>
            </w:r>
          </w:p>
        </w:tc>
      </w:tr>
      <w:tr w:rsidR="008E7846" w:rsidRPr="00487162" w14:paraId="10CCE2EB" w14:textId="77777777" w:rsidTr="00BF1190">
        <w:tc>
          <w:tcPr>
            <w:tcW w:w="2907" w:type="dxa"/>
          </w:tcPr>
          <w:p w14:paraId="22C36D7E"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199AAACC" w14:textId="77777777" w:rsidR="008E7846" w:rsidRDefault="00647F5D" w:rsidP="00E45619">
            <w:pPr>
              <w:rPr>
                <w:lang w:val="es-ES"/>
              </w:rPr>
            </w:pPr>
            <w:r w:rsidRPr="00F07978">
              <w:rPr>
                <w:lang w:val="es-ES"/>
              </w:rPr>
              <w:t xml:space="preserve">Novartis </w:t>
            </w:r>
            <w:proofErr w:type="spellStart"/>
            <w:r w:rsidRPr="00F07978">
              <w:rPr>
                <w:lang w:val="es-ES"/>
              </w:rPr>
              <w:t>Pharmaceuticals</w:t>
            </w:r>
            <w:proofErr w:type="spellEnd"/>
            <w:r w:rsidRPr="00F07978">
              <w:rPr>
                <w:lang w:val="es-ES"/>
              </w:rPr>
              <w:t xml:space="preserve"> Australia </w:t>
            </w:r>
            <w:proofErr w:type="spellStart"/>
            <w:r w:rsidRPr="00F07978">
              <w:rPr>
                <w:lang w:val="es-ES"/>
              </w:rPr>
              <w:t>Pty</w:t>
            </w:r>
            <w:proofErr w:type="spellEnd"/>
            <w:r w:rsidRPr="00F07978">
              <w:rPr>
                <w:lang w:val="es-ES"/>
              </w:rPr>
              <w:t xml:space="preserve"> </w:t>
            </w:r>
            <w:proofErr w:type="spellStart"/>
            <w:r w:rsidRPr="00F07978">
              <w:rPr>
                <w:lang w:val="es-ES"/>
              </w:rPr>
              <w:t>Limited</w:t>
            </w:r>
            <w:proofErr w:type="spellEnd"/>
          </w:p>
          <w:p w14:paraId="37075CF1" w14:textId="77777777" w:rsidR="00647F5D" w:rsidRPr="00F07978" w:rsidRDefault="00647F5D" w:rsidP="00647F5D">
            <w:pPr>
              <w:rPr>
                <w:lang w:val="es-ES"/>
              </w:rPr>
            </w:pPr>
            <w:r w:rsidRPr="00F07978">
              <w:rPr>
                <w:lang w:val="es-ES"/>
              </w:rPr>
              <w:t>54 Waterloo Road</w:t>
            </w:r>
          </w:p>
          <w:p w14:paraId="3E4C5104" w14:textId="30855947" w:rsidR="00647F5D" w:rsidRPr="00487162" w:rsidRDefault="00647F5D" w:rsidP="00647F5D">
            <w:r w:rsidRPr="00F07978">
              <w:rPr>
                <w:lang w:val="es-ES"/>
              </w:rPr>
              <w:t>Macquarie Park</w:t>
            </w:r>
            <w:r>
              <w:rPr>
                <w:lang w:val="es-ES"/>
              </w:rPr>
              <w:t xml:space="preserve">, </w:t>
            </w:r>
            <w:r w:rsidRPr="00F07978">
              <w:rPr>
                <w:lang w:val="es-ES"/>
              </w:rPr>
              <w:t>NSW 2113</w:t>
            </w:r>
          </w:p>
        </w:tc>
      </w:tr>
      <w:tr w:rsidR="008E7846" w:rsidRPr="00487162" w14:paraId="0EA82C2A" w14:textId="77777777" w:rsidTr="00BF1190">
        <w:tc>
          <w:tcPr>
            <w:tcW w:w="2907" w:type="dxa"/>
          </w:tcPr>
          <w:p w14:paraId="1F2A0A65" w14:textId="053D417B" w:rsidR="008E7846" w:rsidRPr="00487162" w:rsidRDefault="001B5C90" w:rsidP="00E45619">
            <w:pPr>
              <w:rPr>
                <w:i/>
              </w:rPr>
            </w:pPr>
            <w:r>
              <w:rPr>
                <w:i/>
              </w:rPr>
              <w:t>Dose form:</w:t>
            </w:r>
          </w:p>
        </w:tc>
        <w:tc>
          <w:tcPr>
            <w:tcW w:w="6307" w:type="dxa"/>
          </w:tcPr>
          <w:p w14:paraId="2ADD80EF" w14:textId="489F9DA8" w:rsidR="008E7846" w:rsidRPr="00487162" w:rsidRDefault="00904118" w:rsidP="00E45619">
            <w:r>
              <w:t>Solution for injection</w:t>
            </w:r>
          </w:p>
        </w:tc>
      </w:tr>
      <w:tr w:rsidR="008E7846" w:rsidRPr="00487162" w14:paraId="64DF24F9" w14:textId="77777777" w:rsidTr="00BF1190">
        <w:tc>
          <w:tcPr>
            <w:tcW w:w="2907" w:type="dxa"/>
          </w:tcPr>
          <w:p w14:paraId="64B30AD7" w14:textId="6B03E6B9" w:rsidR="008E7846" w:rsidRPr="00487162" w:rsidRDefault="00324E45" w:rsidP="00E45619">
            <w:pPr>
              <w:rPr>
                <w:i/>
              </w:rPr>
            </w:pPr>
            <w:r>
              <w:rPr>
                <w:i/>
              </w:rPr>
              <w:t>Strength:</w:t>
            </w:r>
          </w:p>
        </w:tc>
        <w:tc>
          <w:tcPr>
            <w:tcW w:w="6307" w:type="dxa"/>
          </w:tcPr>
          <w:p w14:paraId="43B3D42A" w14:textId="6E1E7D3D" w:rsidR="008E7846" w:rsidRPr="00487162" w:rsidRDefault="00904118" w:rsidP="00E45619">
            <w:r w:rsidRPr="00F07978">
              <w:t>284 mg/1.5</w:t>
            </w:r>
            <w:r>
              <w:t xml:space="preserve"> </w:t>
            </w:r>
            <w:r w:rsidRPr="00F07978">
              <w:t>mL (</w:t>
            </w:r>
            <w:r w:rsidRPr="00F07978">
              <w:rPr>
                <w:lang w:eastAsia="en-AU"/>
              </w:rPr>
              <w:t>equivalent to 300 mg</w:t>
            </w:r>
            <w:r>
              <w:rPr>
                <w:lang w:eastAsia="en-AU"/>
              </w:rPr>
              <w:t xml:space="preserve"> </w:t>
            </w:r>
            <w:proofErr w:type="spellStart"/>
            <w:r w:rsidRPr="00F07978">
              <w:rPr>
                <w:lang w:eastAsia="en-AU"/>
              </w:rPr>
              <w:t>inclisiran</w:t>
            </w:r>
            <w:proofErr w:type="spellEnd"/>
            <w:r w:rsidRPr="00F07978">
              <w:rPr>
                <w:lang w:eastAsia="en-AU"/>
              </w:rPr>
              <w:t xml:space="preserve"> sodium)</w:t>
            </w:r>
          </w:p>
        </w:tc>
      </w:tr>
      <w:tr w:rsidR="008E7846" w:rsidRPr="00487162" w14:paraId="7CDA55EF" w14:textId="77777777" w:rsidTr="00BF1190">
        <w:tc>
          <w:tcPr>
            <w:tcW w:w="2907" w:type="dxa"/>
          </w:tcPr>
          <w:p w14:paraId="5F9A5CDD" w14:textId="381CC8D8" w:rsidR="008E7846" w:rsidRPr="00487162" w:rsidRDefault="008E7846" w:rsidP="00E45619">
            <w:pPr>
              <w:rPr>
                <w:i/>
              </w:rPr>
            </w:pPr>
            <w:r w:rsidRPr="00487162">
              <w:rPr>
                <w:i/>
              </w:rPr>
              <w:t>Container:</w:t>
            </w:r>
          </w:p>
        </w:tc>
        <w:tc>
          <w:tcPr>
            <w:tcW w:w="6307" w:type="dxa"/>
          </w:tcPr>
          <w:p w14:paraId="3FE98684" w14:textId="2E1C6EE0" w:rsidR="008E7846" w:rsidRPr="00487162" w:rsidRDefault="00904118" w:rsidP="00E45619">
            <w:r>
              <w:t>Pre-filled syringe</w:t>
            </w:r>
          </w:p>
        </w:tc>
      </w:tr>
      <w:tr w:rsidR="008E7846" w:rsidRPr="00487162" w14:paraId="2B8A1332" w14:textId="77777777" w:rsidTr="00BF1190">
        <w:tc>
          <w:tcPr>
            <w:tcW w:w="2907" w:type="dxa"/>
          </w:tcPr>
          <w:p w14:paraId="5F1FA5D0" w14:textId="5E296333" w:rsidR="008E7846" w:rsidRPr="00487162" w:rsidRDefault="008E7846" w:rsidP="00E45619">
            <w:pPr>
              <w:rPr>
                <w:i/>
              </w:rPr>
            </w:pPr>
            <w:r w:rsidRPr="00487162">
              <w:rPr>
                <w:i/>
              </w:rPr>
              <w:t>Pack size:</w:t>
            </w:r>
          </w:p>
        </w:tc>
        <w:tc>
          <w:tcPr>
            <w:tcW w:w="6307" w:type="dxa"/>
          </w:tcPr>
          <w:p w14:paraId="5C28FD4B" w14:textId="3E731D2B" w:rsidR="008E7846" w:rsidRPr="00487162" w:rsidRDefault="00904118" w:rsidP="00E45619">
            <w:r>
              <w:t>One</w:t>
            </w:r>
          </w:p>
        </w:tc>
      </w:tr>
      <w:tr w:rsidR="008E7846" w:rsidRPr="00487162" w14:paraId="63164FBC" w14:textId="77777777" w:rsidTr="00BF1190">
        <w:tc>
          <w:tcPr>
            <w:tcW w:w="2907" w:type="dxa"/>
          </w:tcPr>
          <w:p w14:paraId="6B0F1CAF"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23B872FE" w14:textId="77777777" w:rsidR="00904118" w:rsidRPr="00904118" w:rsidRDefault="00904118" w:rsidP="00904118">
            <w:pPr>
              <w:rPr>
                <w:i/>
                <w:iCs/>
              </w:rPr>
            </w:pPr>
            <w:proofErr w:type="spellStart"/>
            <w:r w:rsidRPr="00904118">
              <w:rPr>
                <w:i/>
                <w:iCs/>
              </w:rPr>
              <w:t>Leqvio</w:t>
            </w:r>
            <w:proofErr w:type="spellEnd"/>
            <w:r w:rsidRPr="00904118">
              <w:rPr>
                <w:i/>
                <w:iCs/>
              </w:rPr>
              <w:t xml:space="preserve"> is indicated as an adjunct to diet and exercise to reduce low-density lipoprotein cholesterol (LDL-C) in adults with heterozygous familial hypercholesterolaemia, atherosclerotic cardiovascular disease, or at high risk of a cardiovascular event:</w:t>
            </w:r>
          </w:p>
          <w:p w14:paraId="762051A3" w14:textId="7E387C8A" w:rsidR="00904118" w:rsidRPr="00904118" w:rsidRDefault="00904118" w:rsidP="00904118">
            <w:pPr>
              <w:pStyle w:val="ListBullet"/>
              <w:rPr>
                <w:i/>
                <w:iCs/>
              </w:rPr>
            </w:pPr>
            <w:r w:rsidRPr="00904118">
              <w:rPr>
                <w:i/>
                <w:iCs/>
              </w:rPr>
              <w:t>in combination with a statin or statin with other lipid‐lowering therapies in patients unable to reach LDL‐C goals with the maximum tolerated dose of a statin or,</w:t>
            </w:r>
          </w:p>
          <w:p w14:paraId="3DCC5644" w14:textId="12092426" w:rsidR="008E7846" w:rsidRPr="00487162" w:rsidRDefault="00904118" w:rsidP="00904118">
            <w:pPr>
              <w:pStyle w:val="ListBullet"/>
              <w:rPr>
                <w:rFonts w:eastAsia="MS Mincho"/>
                <w:lang w:eastAsia="ja-JP"/>
              </w:rPr>
            </w:pPr>
            <w:r w:rsidRPr="00904118">
              <w:rPr>
                <w:i/>
                <w:iCs/>
              </w:rPr>
              <w:t>alone or in combination with other lipid‐lowering therapies in patients who are statin-intolerant</w:t>
            </w:r>
          </w:p>
        </w:tc>
      </w:tr>
      <w:tr w:rsidR="008E7846" w:rsidRPr="00487162" w14:paraId="397851C8" w14:textId="77777777" w:rsidTr="00BF1190">
        <w:tc>
          <w:tcPr>
            <w:tcW w:w="2907" w:type="dxa"/>
          </w:tcPr>
          <w:p w14:paraId="69FDC1C0" w14:textId="5EE744B4" w:rsidR="008E7846" w:rsidRPr="00487162" w:rsidRDefault="008E7846" w:rsidP="00E45619">
            <w:pPr>
              <w:rPr>
                <w:i/>
              </w:rPr>
            </w:pPr>
            <w:r w:rsidRPr="00487162">
              <w:rPr>
                <w:i/>
              </w:rPr>
              <w:t>Route of administration:</w:t>
            </w:r>
          </w:p>
        </w:tc>
        <w:tc>
          <w:tcPr>
            <w:tcW w:w="6307" w:type="dxa"/>
          </w:tcPr>
          <w:p w14:paraId="46FED684" w14:textId="77C52B34" w:rsidR="008E7846" w:rsidRPr="00487162" w:rsidRDefault="00904118" w:rsidP="00E45619">
            <w:r>
              <w:t>Subcutaneous injection</w:t>
            </w:r>
          </w:p>
        </w:tc>
      </w:tr>
      <w:tr w:rsidR="008E7846" w:rsidRPr="00487162" w14:paraId="0987DE6E" w14:textId="77777777" w:rsidTr="00BF1190">
        <w:tc>
          <w:tcPr>
            <w:tcW w:w="2907" w:type="dxa"/>
          </w:tcPr>
          <w:p w14:paraId="57E6389A" w14:textId="77777777" w:rsidR="008E7846" w:rsidRPr="00487162" w:rsidRDefault="008E7846" w:rsidP="00E45619">
            <w:pPr>
              <w:rPr>
                <w:i/>
              </w:rPr>
            </w:pPr>
            <w:r w:rsidRPr="00487162">
              <w:rPr>
                <w:i/>
              </w:rPr>
              <w:lastRenderedPageBreak/>
              <w:t>Dosage:</w:t>
            </w:r>
          </w:p>
        </w:tc>
        <w:tc>
          <w:tcPr>
            <w:tcW w:w="6307" w:type="dxa"/>
          </w:tcPr>
          <w:p w14:paraId="340016DD" w14:textId="7E1F37FA" w:rsidR="00904118" w:rsidRDefault="00904118" w:rsidP="00904118">
            <w:r w:rsidRPr="00F07978">
              <w:t xml:space="preserve">The recommended dose of </w:t>
            </w:r>
            <w:proofErr w:type="spellStart"/>
            <w:r w:rsidRPr="00F07978">
              <w:t>Leqvio</w:t>
            </w:r>
            <w:proofErr w:type="spellEnd"/>
            <w:r w:rsidRPr="00F07978">
              <w:t xml:space="preserve"> is 284 mg administered as a single subcutaneous injection: initially,</w:t>
            </w:r>
            <w:r>
              <w:t xml:space="preserve"> </w:t>
            </w:r>
            <w:r w:rsidRPr="00F07978">
              <w:t xml:space="preserve">again at </w:t>
            </w:r>
            <w:r>
              <w:t>three</w:t>
            </w:r>
            <w:r w:rsidRPr="00F07978">
              <w:t xml:space="preserve"> months, followed by every </w:t>
            </w:r>
            <w:r>
              <w:t>six</w:t>
            </w:r>
            <w:r w:rsidRPr="00F07978">
              <w:t xml:space="preserve"> months</w:t>
            </w:r>
            <w:r>
              <w:t>.</w:t>
            </w:r>
          </w:p>
          <w:p w14:paraId="0FF01CA7" w14:textId="77777777" w:rsidR="00460036" w:rsidRPr="00487162" w:rsidRDefault="00460036" w:rsidP="00E45619">
            <w:r w:rsidRPr="00460036">
              <w:t>For further information regarding dosage, refer to the Product Information.</w:t>
            </w:r>
          </w:p>
        </w:tc>
      </w:tr>
      <w:tr w:rsidR="00460036" w:rsidRPr="00487162" w14:paraId="5E4CE65C" w14:textId="77777777" w:rsidTr="00BF1190">
        <w:tc>
          <w:tcPr>
            <w:tcW w:w="2907" w:type="dxa"/>
          </w:tcPr>
          <w:p w14:paraId="3C6CD86F" w14:textId="77777777" w:rsidR="00460036" w:rsidRPr="00487162" w:rsidRDefault="00460036" w:rsidP="00E45619">
            <w:pPr>
              <w:rPr>
                <w:i/>
              </w:rPr>
            </w:pPr>
            <w:r w:rsidRPr="00460036">
              <w:rPr>
                <w:i/>
              </w:rPr>
              <w:t>Pregnancy category</w:t>
            </w:r>
            <w:r>
              <w:rPr>
                <w:i/>
              </w:rPr>
              <w:t>:</w:t>
            </w:r>
          </w:p>
        </w:tc>
        <w:tc>
          <w:tcPr>
            <w:tcW w:w="6307" w:type="dxa"/>
          </w:tcPr>
          <w:p w14:paraId="3A35DD3D" w14:textId="77777777" w:rsidR="00904118" w:rsidRDefault="00904118" w:rsidP="00904118">
            <w:r>
              <w:t>B1</w:t>
            </w:r>
          </w:p>
          <w:p w14:paraId="3F7544FA" w14:textId="77777777" w:rsidR="00904118" w:rsidRDefault="00904118" w:rsidP="00904118">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7BF6D719" w14:textId="10E4002B" w:rsidR="00904118" w:rsidRDefault="00904118" w:rsidP="00904118">
            <w:r>
              <w:t xml:space="preserve">Studies in animals have not shown evidence of an increased occurrence of </w:t>
            </w:r>
            <w:proofErr w:type="spellStart"/>
            <w:r>
              <w:t>fetal</w:t>
            </w:r>
            <w:proofErr w:type="spellEnd"/>
            <w:r>
              <w:t xml:space="preserve"> damage.</w:t>
            </w:r>
          </w:p>
          <w:p w14:paraId="0CF641F4" w14:textId="3AC3934D"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472E4484" w14:textId="77777777" w:rsidR="008E7846" w:rsidRDefault="008E7846" w:rsidP="008E7846">
      <w:pPr>
        <w:pStyle w:val="Heading3"/>
      </w:pPr>
      <w:bookmarkStart w:id="13" w:name="_Toc247691503"/>
      <w:bookmarkStart w:id="14" w:name="_Toc314842484"/>
      <w:bookmarkStart w:id="15" w:name="_Toc99632910"/>
      <w:r>
        <w:t>Product background</w:t>
      </w:r>
      <w:bookmarkEnd w:id="13"/>
      <w:bookmarkEnd w:id="14"/>
      <w:bookmarkEnd w:id="15"/>
    </w:p>
    <w:p w14:paraId="550767C6" w14:textId="3749F235" w:rsidR="008E7846" w:rsidRDefault="00250271" w:rsidP="00940A89">
      <w:r w:rsidRPr="00250271">
        <w:t xml:space="preserve">This </w:t>
      </w:r>
      <w:proofErr w:type="spellStart"/>
      <w:r w:rsidRPr="00250271">
        <w:t>AusPAR</w:t>
      </w:r>
      <w:proofErr w:type="spellEnd"/>
      <w:r w:rsidRPr="00250271">
        <w:t xml:space="preserve"> describes the application by </w:t>
      </w:r>
      <w:r w:rsidR="00841CAB" w:rsidRPr="00841CAB">
        <w:t xml:space="preserve">Novartis </w:t>
      </w:r>
      <w:r w:rsidR="00841CAB">
        <w:t>P</w:t>
      </w:r>
      <w:r w:rsidR="00841CAB" w:rsidRPr="00841CAB">
        <w:t>harmaceuticals Australia Pty Ltd</w:t>
      </w:r>
      <w:r w:rsidRPr="00250271">
        <w:t xml:space="preserve"> (the sponsor) to register </w:t>
      </w:r>
      <w:proofErr w:type="spellStart"/>
      <w:r w:rsidR="00841CAB">
        <w:t>Leqvio</w:t>
      </w:r>
      <w:proofErr w:type="spellEnd"/>
      <w:r w:rsidRPr="00250271">
        <w:t xml:space="preserve"> (</w:t>
      </w:r>
      <w:proofErr w:type="spellStart"/>
      <w:r w:rsidR="00841CAB">
        <w:t>inclisiran</w:t>
      </w:r>
      <w:proofErr w:type="spellEnd"/>
      <w:r w:rsidRPr="00250271">
        <w:t xml:space="preserve">) </w:t>
      </w:r>
      <w:r w:rsidR="00841CAB" w:rsidRPr="00841CAB">
        <w:t>284 mg/1.5 mL</w:t>
      </w:r>
      <w:r w:rsidRPr="00250271">
        <w:t xml:space="preserve">, </w:t>
      </w:r>
      <w:r w:rsidR="00841CAB">
        <w:t>solution for injection</w:t>
      </w:r>
      <w:r w:rsidRPr="00250271">
        <w:t xml:space="preserve"> for the following proposed indication</w:t>
      </w:r>
      <w:r w:rsidR="00CF5DAD">
        <w:t>:</w:t>
      </w:r>
    </w:p>
    <w:p w14:paraId="300718D3" w14:textId="1CF6A63B" w:rsidR="00841CAB" w:rsidRPr="0008311B" w:rsidRDefault="00841CAB" w:rsidP="0008311B">
      <w:pPr>
        <w:ind w:left="720"/>
        <w:rPr>
          <w:i/>
          <w:iCs/>
        </w:rPr>
      </w:pPr>
      <w:r w:rsidRPr="0008311B">
        <w:rPr>
          <w:i/>
          <w:iCs/>
        </w:rPr>
        <w:t xml:space="preserve">For adults with primary hypercholesterolaemia (heterozygous familial and non- familial) or mixed dyslipidaemia, as an adjunct to diet in combination with a statin or statin with other </w:t>
      </w:r>
      <w:proofErr w:type="spellStart"/>
      <w:r w:rsidRPr="0008311B">
        <w:rPr>
          <w:i/>
          <w:iCs/>
        </w:rPr>
        <w:t>lipidlowering</w:t>
      </w:r>
      <w:proofErr w:type="spellEnd"/>
      <w:r w:rsidRPr="0008311B">
        <w:rPr>
          <w:i/>
          <w:iCs/>
        </w:rPr>
        <w:t xml:space="preserve"> therapies in patients unable to reach LDL-C goals with the maximum tolerated dose of a statin or, alone or in combination with other lipid-lowering therapies in patients who are statin- intolerant, or for whom a statin is contraindicated.</w:t>
      </w:r>
    </w:p>
    <w:p w14:paraId="46DEB649" w14:textId="7B0E7BC4" w:rsidR="00841CAB" w:rsidRDefault="00841CAB" w:rsidP="00841CAB">
      <w:r>
        <w:t xml:space="preserve">Primary hypercholesterolaemia is a disorder of lipid metabolism characterised by elevated serum cholesterol not caused by </w:t>
      </w:r>
      <w:r w:rsidR="001A1914">
        <w:t xml:space="preserve">any </w:t>
      </w:r>
      <w:r>
        <w:t>other medical condition or medication.</w:t>
      </w:r>
      <w:r w:rsidR="0008311B">
        <w:t xml:space="preserve"> </w:t>
      </w:r>
      <w:r>
        <w:t>Primary hypercholesterolaemia can be characterised as familial or non-familial.</w:t>
      </w:r>
      <w:r w:rsidR="0008311B">
        <w:t xml:space="preserve"> </w:t>
      </w:r>
      <w:r>
        <w:t xml:space="preserve">Familial hypercholesterolaemia (FH) is an autosomal dominant disorder characterised by </w:t>
      </w:r>
      <w:r w:rsidR="001A1914">
        <w:t>lifelong</w:t>
      </w:r>
      <w:r>
        <w:t xml:space="preserve"> increases in the plasma concentration of </w:t>
      </w:r>
      <w:proofErr w:type="gramStart"/>
      <w:r>
        <w:t>low</w:t>
      </w:r>
      <w:r w:rsidR="0008311B">
        <w:t xml:space="preserve"> </w:t>
      </w:r>
      <w:r>
        <w:t>density</w:t>
      </w:r>
      <w:proofErr w:type="gramEnd"/>
      <w:r>
        <w:t xml:space="preserve"> lipoprotein cholesterol (LDL-C).</w:t>
      </w:r>
      <w:r w:rsidR="0008311B">
        <w:t xml:space="preserve"> </w:t>
      </w:r>
      <w:r>
        <w:t xml:space="preserve">Heterozygous </w:t>
      </w:r>
      <w:r w:rsidR="00A84BA4">
        <w:t>familial hypercholesterolaemia</w:t>
      </w:r>
      <w:r>
        <w:t xml:space="preserve"> (</w:t>
      </w:r>
      <w:proofErr w:type="spellStart"/>
      <w:r>
        <w:t>HeFH</w:t>
      </w:r>
      <w:proofErr w:type="spellEnd"/>
      <w:r>
        <w:t>) occurs in 1:200</w:t>
      </w:r>
      <w:r w:rsidR="0008311B">
        <w:t xml:space="preserve"> to </w:t>
      </w:r>
      <w:r>
        <w:t xml:space="preserve">1:500 of the population, while homozygous </w:t>
      </w:r>
      <w:r w:rsidR="00A84BA4">
        <w:t>familial hypercholesterolaemia</w:t>
      </w:r>
      <w:r>
        <w:t xml:space="preserve"> (</w:t>
      </w:r>
      <w:proofErr w:type="spellStart"/>
      <w:r>
        <w:t>HoFH</w:t>
      </w:r>
      <w:proofErr w:type="spellEnd"/>
      <w:r>
        <w:t xml:space="preserve">) is rare (about </w:t>
      </w:r>
      <w:r w:rsidR="00D4301C">
        <w:t>one</w:t>
      </w:r>
      <w:r>
        <w:t xml:space="preserve"> per million</w:t>
      </w:r>
      <w:r w:rsidR="00D4301C">
        <w:t xml:space="preserve"> population</w:t>
      </w:r>
      <w:r>
        <w:t>).</w:t>
      </w:r>
      <w:bookmarkStart w:id="16" w:name="_Ref97885881"/>
      <w:r w:rsidR="0008311B">
        <w:rPr>
          <w:rStyle w:val="FootnoteReference"/>
        </w:rPr>
        <w:footnoteReference w:id="2"/>
      </w:r>
      <w:bookmarkEnd w:id="16"/>
      <w:r w:rsidR="0008311B">
        <w:t xml:space="preserve"> </w:t>
      </w:r>
      <w:r>
        <w:t xml:space="preserve">Non-familial hypercholesterolaemia is influenced by diet, </w:t>
      </w:r>
      <w:proofErr w:type="gramStart"/>
      <w:r>
        <w:t>lifestyle</w:t>
      </w:r>
      <w:proofErr w:type="gramEnd"/>
      <w:r>
        <w:t xml:space="preserve"> and polygenetic factors, rather than being caused by a specific genetic disorder.</w:t>
      </w:r>
      <w:r w:rsidR="0008311B">
        <w:t xml:space="preserve"> </w:t>
      </w:r>
      <w:r>
        <w:t xml:space="preserve">Mixed dyslipidaemia is a disorder of lipid metabolism characterised by elevated levels of LDL-C and triglycerides, often associated with a low level of </w:t>
      </w:r>
      <w:proofErr w:type="gramStart"/>
      <w:r w:rsidR="0008311B">
        <w:t>high density</w:t>
      </w:r>
      <w:proofErr w:type="gramEnd"/>
      <w:r w:rsidR="0008311B">
        <w:t xml:space="preserve"> lipoprotein cholesterol (</w:t>
      </w:r>
      <w:r>
        <w:t>HDL-C</w:t>
      </w:r>
      <w:r w:rsidR="0008311B">
        <w:t>)</w:t>
      </w:r>
      <w:r>
        <w:t>.</w:t>
      </w:r>
    </w:p>
    <w:p w14:paraId="6903DD92" w14:textId="22C10FF0" w:rsidR="00841CAB" w:rsidRDefault="00841CAB" w:rsidP="00841CAB">
      <w:r>
        <w:t>Elevated LDL-C is strongly correlated with atherosclerotic cardiovascular disease (ASCVD).</w:t>
      </w:r>
      <w:r w:rsidR="0008311B">
        <w:t xml:space="preserve"> </w:t>
      </w:r>
      <w:r>
        <w:t xml:space="preserve">In patients with </w:t>
      </w:r>
      <w:proofErr w:type="spellStart"/>
      <w:r>
        <w:t>HeFH</w:t>
      </w:r>
      <w:proofErr w:type="spellEnd"/>
      <w:r>
        <w:t xml:space="preserve">, coronary heart disease (CHD) occurs in about 50% of </w:t>
      </w:r>
      <w:r>
        <w:lastRenderedPageBreak/>
        <w:t>untreated men by age 50 years and 30% of untreated women by age 60 years.</w:t>
      </w:r>
      <w:r w:rsidR="0008311B">
        <w:t xml:space="preserve"> </w:t>
      </w:r>
      <w:r>
        <w:t xml:space="preserve">The risk of developing CHD is about 20 times higher in untreated </w:t>
      </w:r>
      <w:proofErr w:type="spellStart"/>
      <w:r>
        <w:t>HeFH</w:t>
      </w:r>
      <w:proofErr w:type="spellEnd"/>
      <w:r>
        <w:t xml:space="preserve"> patients compared with unaffected individuals.</w:t>
      </w:r>
      <w:r w:rsidR="0008311B">
        <w:t xml:space="preserve"> </w:t>
      </w:r>
      <w:r>
        <w:t>Target levels for LDL-</w:t>
      </w:r>
      <w:r w:rsidR="0008311B">
        <w:t>C</w:t>
      </w:r>
      <w:r>
        <w:t xml:space="preserve"> for low, intermediate and </w:t>
      </w:r>
      <w:proofErr w:type="gramStart"/>
      <w:r>
        <w:t>high risk</w:t>
      </w:r>
      <w:proofErr w:type="gramEnd"/>
      <w:r>
        <w:t xml:space="preserve"> FH are &lt;</w:t>
      </w:r>
      <w:r w:rsidR="0008311B">
        <w:t> </w:t>
      </w:r>
      <w:r>
        <w:t>4, &lt;</w:t>
      </w:r>
      <w:r w:rsidR="0008311B">
        <w:t> </w:t>
      </w:r>
      <w:r>
        <w:t>3 and &lt; 2 mmol/L, respectively.</w:t>
      </w:r>
      <w:r w:rsidR="0008311B">
        <w:t xml:space="preserve"> </w:t>
      </w:r>
      <w:r>
        <w:t>Australian guidelines recommend a target LDL-C level of &lt; 1.8 mmol/L for patients with CHD.</w:t>
      </w:r>
      <w:r w:rsidR="007F1E07">
        <w:fldChar w:fldCharType="begin"/>
      </w:r>
      <w:r w:rsidR="007F1E07">
        <w:instrText xml:space="preserve"> NOTEREF _Ref97885881 \f \h </w:instrText>
      </w:r>
      <w:r w:rsidR="007F1E07">
        <w:fldChar w:fldCharType="separate"/>
      </w:r>
      <w:r w:rsidR="002C4E0E" w:rsidRPr="002C4E0E">
        <w:rPr>
          <w:rStyle w:val="FootnoteReference"/>
        </w:rPr>
        <w:t>2</w:t>
      </w:r>
      <w:r w:rsidR="007F1E07">
        <w:fldChar w:fldCharType="end"/>
      </w:r>
    </w:p>
    <w:p w14:paraId="54580CB8" w14:textId="75AEF5E7" w:rsidR="00841CAB" w:rsidRDefault="00841CAB" w:rsidP="00841CAB">
      <w:r>
        <w:t>In addition to diet and exercise, statins are the mainstay of treatment of hypercholesterolaemia.</w:t>
      </w:r>
      <w:r w:rsidR="0008311B">
        <w:t xml:space="preserve"> </w:t>
      </w:r>
      <w:r>
        <w:t>Statin therapy may be supplemented by a cholesterol absorption inhibitor (</w:t>
      </w:r>
      <w:r w:rsidR="0008311B">
        <w:t>for example,</w:t>
      </w:r>
      <w:r>
        <w:t xml:space="preserve"> ezetimibe) or bile acid sequestrants.</w:t>
      </w:r>
      <w:r w:rsidR="0008311B">
        <w:t xml:space="preserve"> </w:t>
      </w:r>
      <w:r>
        <w:t xml:space="preserve">Many patients can achieve target LDL-C levels with these therapies, but for </w:t>
      </w:r>
      <w:proofErr w:type="gramStart"/>
      <w:r>
        <w:t>patients</w:t>
      </w:r>
      <w:proofErr w:type="gramEnd"/>
      <w:r>
        <w:t xml:space="preserve"> intolerant of statins or who require additional lowering of LDL-C, monoclonal antibodies</w:t>
      </w:r>
      <w:r>
        <w:rPr>
          <w:shd w:val="clear" w:color="auto" w:fill="FFFFFF"/>
        </w:rPr>
        <w:t xml:space="preserve"> directed against </w:t>
      </w:r>
      <w:r w:rsidR="00EC26BB">
        <w:t>p</w:t>
      </w:r>
      <w:r w:rsidR="00EC26BB" w:rsidRPr="0008311B">
        <w:t>roprotein convertase subtilisin/</w:t>
      </w:r>
      <w:proofErr w:type="spellStart"/>
      <w:r w:rsidR="00EC26BB" w:rsidRPr="0008311B">
        <w:t>kexin</w:t>
      </w:r>
      <w:proofErr w:type="spellEnd"/>
      <w:r w:rsidR="00EC26BB" w:rsidRPr="0008311B">
        <w:t xml:space="preserve"> type 9</w:t>
      </w:r>
      <w:r w:rsidR="00EC26BB">
        <w:t xml:space="preserve"> (</w:t>
      </w:r>
      <w:r>
        <w:t>PCSK9</w:t>
      </w:r>
      <w:r w:rsidR="00EC26BB">
        <w:t>)</w:t>
      </w:r>
      <w:r w:rsidRPr="00AD4A07">
        <w:t xml:space="preserve"> </w:t>
      </w:r>
      <w:r>
        <w:t>can provide further lowering of LDL-C.</w:t>
      </w:r>
      <w:r w:rsidR="0008311B">
        <w:t xml:space="preserve"> </w:t>
      </w:r>
      <w:r w:rsidRPr="00D17D2A">
        <w:t>PCSK9 is involved in the degradation of low</w:t>
      </w:r>
      <w:r w:rsidR="00EC26BB">
        <w:t xml:space="preserve"> </w:t>
      </w:r>
      <w:r w:rsidRPr="00D17D2A">
        <w:t>density lipoprotein</w:t>
      </w:r>
      <w:r w:rsidRPr="00756234">
        <w:t xml:space="preserve"> </w:t>
      </w:r>
      <w:r w:rsidRPr="00D17D2A">
        <w:t>receptors (LDL</w:t>
      </w:r>
      <w:r>
        <w:t>R</w:t>
      </w:r>
      <w:r w:rsidRPr="00D17D2A">
        <w:t>) in the liver.</w:t>
      </w:r>
      <w:r w:rsidR="0008311B">
        <w:rPr>
          <w:rFonts w:eastAsiaTheme="minorHAnsi" w:cs="TimesNewRomanPSMT"/>
        </w:rPr>
        <w:t xml:space="preserve"> </w:t>
      </w:r>
      <w:r w:rsidRPr="00D17D2A">
        <w:rPr>
          <w:rFonts w:eastAsiaTheme="minorHAnsi" w:cs="TimesNewRomanPSMT"/>
        </w:rPr>
        <w:t>A</w:t>
      </w:r>
      <w:r w:rsidR="00F2096E">
        <w:rPr>
          <w:rFonts w:eastAsiaTheme="minorHAnsi" w:cs="TimesNewRomanPSMT"/>
        </w:rPr>
        <w:t> </w:t>
      </w:r>
      <w:r w:rsidRPr="00D17D2A">
        <w:rPr>
          <w:rFonts w:eastAsiaTheme="minorHAnsi" w:cs="TimesNewRomanPSMT"/>
        </w:rPr>
        <w:t>decrease in hepatic PCSK9 leads to increased LDL</w:t>
      </w:r>
      <w:r>
        <w:rPr>
          <w:rFonts w:eastAsiaTheme="minorHAnsi" w:cs="TimesNewRomanPSMT"/>
        </w:rPr>
        <w:t>R</w:t>
      </w:r>
      <w:r w:rsidRPr="00D17D2A">
        <w:rPr>
          <w:rFonts w:eastAsiaTheme="minorHAnsi" w:cs="TimesNewRomanPSMT"/>
        </w:rPr>
        <w:t xml:space="preserve"> expression on the surface of hepatocytes, resulting in increased LDL-C uptake and lowering of serum LDL-C levels.</w:t>
      </w:r>
    </w:p>
    <w:p w14:paraId="50ECD126" w14:textId="2D33561C" w:rsidR="00841CAB" w:rsidRDefault="00841CAB" w:rsidP="00841CAB">
      <w:r>
        <w:rPr>
          <w:rFonts w:eastAsiaTheme="minorHAnsi" w:cs="TimesNewRomanPSMT"/>
        </w:rPr>
        <w:t>Two PCSK9 inhibitors are registered in Australia: R</w:t>
      </w:r>
      <w:r w:rsidR="00EC26BB">
        <w:rPr>
          <w:rFonts w:eastAsiaTheme="minorHAnsi" w:cs="TimesNewRomanPSMT"/>
        </w:rPr>
        <w:t>epatha</w:t>
      </w:r>
      <w:r>
        <w:rPr>
          <w:rFonts w:eastAsiaTheme="minorHAnsi" w:cs="TimesNewRomanPSMT"/>
        </w:rPr>
        <w:t xml:space="preserve"> (</w:t>
      </w:r>
      <w:proofErr w:type="spellStart"/>
      <w:r>
        <w:rPr>
          <w:rFonts w:eastAsiaTheme="minorHAnsi" w:cs="TimesNewRomanPSMT"/>
        </w:rPr>
        <w:t>evolocumab</w:t>
      </w:r>
      <w:proofErr w:type="spellEnd"/>
      <w:r>
        <w:rPr>
          <w:rFonts w:eastAsiaTheme="minorHAnsi" w:cs="TimesNewRomanPSMT"/>
        </w:rPr>
        <w:t>)</w:t>
      </w:r>
      <w:r w:rsidR="00EC26BB">
        <w:rPr>
          <w:rFonts w:eastAsiaTheme="minorHAnsi" w:cs="TimesNewRomanPSMT"/>
        </w:rPr>
        <w:t>;</w:t>
      </w:r>
      <w:r>
        <w:rPr>
          <w:rFonts w:eastAsiaTheme="minorHAnsi" w:cs="TimesNewRomanPSMT"/>
        </w:rPr>
        <w:t xml:space="preserve"> was first registered in December 2015</w:t>
      </w:r>
      <w:r w:rsidR="00D4301C">
        <w:rPr>
          <w:rFonts w:eastAsiaTheme="minorHAnsi" w:cs="TimesNewRomanPSMT"/>
        </w:rPr>
        <w:t>;</w:t>
      </w:r>
      <w:r w:rsidR="00D4301C">
        <w:rPr>
          <w:rStyle w:val="FootnoteReference"/>
          <w:rFonts w:eastAsiaTheme="minorHAnsi" w:cs="TimesNewRomanPSMT"/>
        </w:rPr>
        <w:footnoteReference w:id="3"/>
      </w:r>
      <w:r w:rsidR="00D4301C">
        <w:rPr>
          <w:rFonts w:eastAsiaTheme="minorHAnsi" w:cs="TimesNewRomanPSMT"/>
        </w:rPr>
        <w:t xml:space="preserve"> </w:t>
      </w:r>
      <w:r>
        <w:rPr>
          <w:rFonts w:eastAsiaTheme="minorHAnsi" w:cs="TimesNewRomanPSMT"/>
        </w:rPr>
        <w:t xml:space="preserve">and </w:t>
      </w:r>
      <w:proofErr w:type="spellStart"/>
      <w:r>
        <w:rPr>
          <w:rFonts w:eastAsiaTheme="minorHAnsi" w:cs="TimesNewRomanPSMT"/>
        </w:rPr>
        <w:t>P</w:t>
      </w:r>
      <w:r w:rsidR="00EC26BB">
        <w:rPr>
          <w:rFonts w:eastAsiaTheme="minorHAnsi" w:cs="TimesNewRomanPSMT"/>
        </w:rPr>
        <w:t>raluent</w:t>
      </w:r>
      <w:proofErr w:type="spellEnd"/>
      <w:r>
        <w:rPr>
          <w:rFonts w:eastAsiaTheme="minorHAnsi" w:cs="TimesNewRomanPSMT"/>
        </w:rPr>
        <w:t xml:space="preserve"> (alirocumab) was first registered in May</w:t>
      </w:r>
      <w:r w:rsidR="00F2096E">
        <w:rPr>
          <w:rFonts w:eastAsiaTheme="minorHAnsi" w:cs="TimesNewRomanPSMT"/>
        </w:rPr>
        <w:t> </w:t>
      </w:r>
      <w:r>
        <w:rPr>
          <w:rFonts w:eastAsiaTheme="minorHAnsi" w:cs="TimesNewRomanPSMT"/>
        </w:rPr>
        <w:t>2016.</w:t>
      </w:r>
      <w:r w:rsidR="00D4301C">
        <w:rPr>
          <w:rStyle w:val="FootnoteReference"/>
          <w:rFonts w:eastAsiaTheme="minorHAnsi" w:cs="TimesNewRomanPSMT"/>
        </w:rPr>
        <w:footnoteReference w:id="4"/>
      </w:r>
      <w:r w:rsidR="0008311B">
        <w:t xml:space="preserve"> </w:t>
      </w:r>
      <w:r>
        <w:t>R</w:t>
      </w:r>
      <w:r w:rsidR="00EC26BB">
        <w:t>epatha</w:t>
      </w:r>
      <w:r>
        <w:t xml:space="preserve"> has indications for </w:t>
      </w:r>
      <w:r w:rsidR="00EC26BB">
        <w:t>p</w:t>
      </w:r>
      <w:r>
        <w:t xml:space="preserve">revention of </w:t>
      </w:r>
      <w:r w:rsidR="00EC26BB">
        <w:t>c</w:t>
      </w:r>
      <w:r>
        <w:t xml:space="preserve">ardiovascular </w:t>
      </w:r>
      <w:r w:rsidR="00EC26BB">
        <w:t>e</w:t>
      </w:r>
      <w:r>
        <w:t xml:space="preserve">vents, </w:t>
      </w:r>
      <w:r w:rsidR="00EC26BB">
        <w:t>p</w:t>
      </w:r>
      <w:r>
        <w:t xml:space="preserve">rimary </w:t>
      </w:r>
      <w:r w:rsidR="00EC26BB">
        <w:t>h</w:t>
      </w:r>
      <w:r>
        <w:t xml:space="preserve">ypercholesterolaemia, and </w:t>
      </w:r>
      <w:r w:rsidR="00EC26BB">
        <w:t>h</w:t>
      </w:r>
      <w:r>
        <w:t xml:space="preserve">omozygous </w:t>
      </w:r>
      <w:r w:rsidR="00EC26BB">
        <w:t>f</w:t>
      </w:r>
      <w:r>
        <w:t xml:space="preserve">amilial </w:t>
      </w:r>
      <w:r w:rsidR="00EC26BB">
        <w:t>h</w:t>
      </w:r>
      <w:r>
        <w:t>ypercholesterolaemia.</w:t>
      </w:r>
      <w:r w:rsidR="0008311B">
        <w:t xml:space="preserve"> </w:t>
      </w:r>
      <w:proofErr w:type="spellStart"/>
      <w:r>
        <w:t>P</w:t>
      </w:r>
      <w:r w:rsidR="00EC26BB">
        <w:t>raluent</w:t>
      </w:r>
      <w:proofErr w:type="spellEnd"/>
      <w:r>
        <w:t xml:space="preserve"> has indications for </w:t>
      </w:r>
      <w:r w:rsidR="00EC26BB">
        <w:t>p</w:t>
      </w:r>
      <w:r>
        <w:t xml:space="preserve">rimary </w:t>
      </w:r>
      <w:r w:rsidR="00EC26BB">
        <w:t>h</w:t>
      </w:r>
      <w:r>
        <w:t xml:space="preserve">ypercholesterolaemia and </w:t>
      </w:r>
      <w:r w:rsidR="00EC26BB">
        <w:t>p</w:t>
      </w:r>
      <w:r>
        <w:t xml:space="preserve">revention of </w:t>
      </w:r>
      <w:r w:rsidR="00EC26BB">
        <w:t>c</w:t>
      </w:r>
      <w:r>
        <w:t xml:space="preserve">ardiovascular </w:t>
      </w:r>
      <w:r w:rsidR="00EC26BB">
        <w:t>e</w:t>
      </w:r>
      <w:r>
        <w:t>vents.</w:t>
      </w:r>
      <w:r w:rsidR="0008311B">
        <w:t xml:space="preserve"> </w:t>
      </w:r>
      <w:r>
        <w:t>Anti-PCSK9 antibodies are administered fortnightly or monthly by subcutaneous injection.</w:t>
      </w:r>
    </w:p>
    <w:p w14:paraId="282084A2" w14:textId="257B39AE" w:rsidR="00841CAB" w:rsidRDefault="00841CAB" w:rsidP="00841CAB">
      <w:pPr>
        <w:rPr>
          <w:rFonts w:eastAsiaTheme="minorHAnsi" w:cs="TimesNewRomanPSMT"/>
        </w:rPr>
      </w:pPr>
      <w:proofErr w:type="spellStart"/>
      <w:r w:rsidRPr="008E11DF">
        <w:rPr>
          <w:rFonts w:eastAsiaTheme="minorHAnsi" w:cs="TimesNewRomanPSMT"/>
        </w:rPr>
        <w:t>Inclisiran</w:t>
      </w:r>
      <w:proofErr w:type="spellEnd"/>
      <w:r w:rsidRPr="008E11DF">
        <w:rPr>
          <w:rFonts w:eastAsiaTheme="minorHAnsi" w:cs="TimesNewRomanPSMT"/>
        </w:rPr>
        <w:t xml:space="preserve"> is a double</w:t>
      </w:r>
      <w:r w:rsidR="00EC26BB">
        <w:rPr>
          <w:rFonts w:eastAsiaTheme="minorHAnsi" w:cs="TimesNewRomanPSMT"/>
        </w:rPr>
        <w:t xml:space="preserve"> </w:t>
      </w:r>
      <w:r w:rsidRPr="008E11DF">
        <w:rPr>
          <w:rFonts w:eastAsiaTheme="minorHAnsi" w:cs="TimesNewRomanPSMT"/>
        </w:rPr>
        <w:t>stranded small interfering RNA (siRNA) which inhibits PCSK9</w:t>
      </w:r>
      <w:r>
        <w:rPr>
          <w:rFonts w:eastAsiaTheme="minorHAnsi" w:cs="TimesNewRomanPSMT"/>
        </w:rPr>
        <w:t xml:space="preserve"> expression</w:t>
      </w:r>
      <w:r w:rsidRPr="008E11DF">
        <w:rPr>
          <w:rFonts w:eastAsiaTheme="minorHAnsi" w:cs="TimesNewRomanPSMT"/>
        </w:rPr>
        <w:t>.</w:t>
      </w:r>
      <w:r w:rsidR="0008311B">
        <w:rPr>
          <w:rFonts w:eastAsiaTheme="minorHAnsi" w:cs="TimesNewRomanPSMT"/>
        </w:rPr>
        <w:t xml:space="preserve"> </w:t>
      </w:r>
      <w:r w:rsidRPr="008E11DF">
        <w:rPr>
          <w:rFonts w:eastAsiaTheme="minorHAnsi" w:cs="TimesNewRomanPSMT"/>
        </w:rPr>
        <w:t xml:space="preserve">The sense strand of </w:t>
      </w:r>
      <w:proofErr w:type="spellStart"/>
      <w:r w:rsidRPr="008E11DF">
        <w:rPr>
          <w:rFonts w:eastAsiaTheme="minorHAnsi" w:cs="TimesNewRomanPSMT"/>
        </w:rPr>
        <w:t>inclisiran</w:t>
      </w:r>
      <w:proofErr w:type="spellEnd"/>
      <w:r w:rsidRPr="008E11DF">
        <w:rPr>
          <w:rFonts w:eastAsiaTheme="minorHAnsi" w:cs="TimesNewRomanPSMT"/>
        </w:rPr>
        <w:t xml:space="preserve"> is conjugated with </w:t>
      </w:r>
      <w:proofErr w:type="spellStart"/>
      <w:r w:rsidRPr="008E11DF">
        <w:rPr>
          <w:rFonts w:eastAsiaTheme="minorHAnsi" w:cs="TimesNewRomanPSMT"/>
        </w:rPr>
        <w:t>triantennary</w:t>
      </w:r>
      <w:proofErr w:type="spellEnd"/>
      <w:r w:rsidRPr="008E11DF">
        <w:rPr>
          <w:rFonts w:eastAsiaTheme="minorHAnsi" w:cs="TimesNewRomanPSMT"/>
        </w:rPr>
        <w:t xml:space="preserve"> N</w:t>
      </w:r>
      <w:r w:rsidR="00F2096E">
        <w:rPr>
          <w:rFonts w:eastAsiaTheme="minorHAnsi" w:cs="TimesNewRomanPSMT"/>
        </w:rPr>
        <w:noBreakHyphen/>
      </w:r>
      <w:r w:rsidRPr="008E11DF">
        <w:rPr>
          <w:rFonts w:eastAsiaTheme="minorHAnsi" w:cs="TimesNewRomanPSMT"/>
        </w:rPr>
        <w:t>acetyl</w:t>
      </w:r>
      <w:r w:rsidR="00F2096E">
        <w:rPr>
          <w:rFonts w:eastAsiaTheme="minorHAnsi" w:cs="TimesNewRomanPSMT"/>
        </w:rPr>
        <w:t xml:space="preserve"> </w:t>
      </w:r>
      <w:r w:rsidRPr="008E11DF">
        <w:rPr>
          <w:rFonts w:eastAsiaTheme="minorHAnsi" w:cs="TimesNewRomanPSMT"/>
        </w:rPr>
        <w:t>galactosamine (</w:t>
      </w:r>
      <w:proofErr w:type="spellStart"/>
      <w:r w:rsidRPr="008E11DF">
        <w:rPr>
          <w:rFonts w:eastAsiaTheme="minorHAnsi" w:cs="TimesNewRomanPSMT"/>
        </w:rPr>
        <w:t>GalNAc</w:t>
      </w:r>
      <w:proofErr w:type="spellEnd"/>
      <w:r w:rsidRPr="008E11DF">
        <w:rPr>
          <w:rFonts w:eastAsiaTheme="minorHAnsi" w:cs="TimesNewRomanPSMT"/>
        </w:rPr>
        <w:t>) to facilitate uptake by hepatocytes.</w:t>
      </w:r>
      <w:r w:rsidR="0008311B">
        <w:rPr>
          <w:rFonts w:eastAsiaTheme="minorHAnsi" w:cs="TimesNewRomanPSMT"/>
        </w:rPr>
        <w:t xml:space="preserve"> </w:t>
      </w:r>
      <w:r w:rsidRPr="008E11DF">
        <w:rPr>
          <w:rFonts w:eastAsiaTheme="minorHAnsi" w:cs="TimesNewRomanPSMT"/>
        </w:rPr>
        <w:t>In hepatocytes, the antisense strand is incorporated in the RNA</w:t>
      </w:r>
      <w:r w:rsidR="00EC26BB">
        <w:rPr>
          <w:rFonts w:eastAsiaTheme="minorHAnsi" w:cs="TimesNewRomanPSMT"/>
        </w:rPr>
        <w:t xml:space="preserve"> </w:t>
      </w:r>
      <w:r w:rsidRPr="008E11DF">
        <w:rPr>
          <w:rFonts w:eastAsiaTheme="minorHAnsi" w:cs="TimesNewRomanPSMT"/>
        </w:rPr>
        <w:t xml:space="preserve">induced silencing complex (RISC), </w:t>
      </w:r>
      <w:r>
        <w:rPr>
          <w:rFonts w:eastAsiaTheme="minorHAnsi" w:cs="TimesNewRomanPSMT"/>
        </w:rPr>
        <w:t xml:space="preserve">facilitating </w:t>
      </w:r>
      <w:r w:rsidRPr="008E11DF">
        <w:rPr>
          <w:rFonts w:eastAsiaTheme="minorHAnsi" w:cs="TimesNewRomanPSMT"/>
        </w:rPr>
        <w:t xml:space="preserve">catalytic breakdown of </w:t>
      </w:r>
      <w:r w:rsidR="00F83488" w:rsidRPr="008E11DF">
        <w:rPr>
          <w:rFonts w:eastAsiaTheme="minorHAnsi" w:cs="TimesNewRomanPSMT"/>
        </w:rPr>
        <w:t>m</w:t>
      </w:r>
      <w:r w:rsidR="00F83488">
        <w:rPr>
          <w:rFonts w:eastAsiaTheme="minorHAnsi" w:cs="TimesNewRomanPSMT"/>
        </w:rPr>
        <w:t xml:space="preserve">essenger </w:t>
      </w:r>
      <w:r w:rsidRPr="008E11DF">
        <w:rPr>
          <w:rFonts w:eastAsiaTheme="minorHAnsi" w:cs="TimesNewRomanPSMT"/>
        </w:rPr>
        <w:t>RNA for PCSK9</w:t>
      </w:r>
      <w:r>
        <w:rPr>
          <w:rFonts w:eastAsiaTheme="minorHAnsi" w:cs="TimesNewRomanPSMT"/>
        </w:rPr>
        <w:t>, thereby inhibiting translation of PCSK9</w:t>
      </w:r>
      <w:r w:rsidRPr="008E11DF">
        <w:rPr>
          <w:rFonts w:eastAsiaTheme="minorHAnsi" w:cs="TimesNewRomanPSMT"/>
        </w:rPr>
        <w:t>.</w:t>
      </w:r>
    </w:p>
    <w:p w14:paraId="00C09D94" w14:textId="59EB8CE8" w:rsidR="00250271" w:rsidRPr="00D717BA" w:rsidRDefault="00250271" w:rsidP="00250271">
      <w:r w:rsidRPr="00D717BA">
        <w:t>This application was evaluated as part of the Australia-Canada-Singapore-Switzerland (ACSS) Consortium,</w:t>
      </w:r>
      <w:r w:rsidR="00F2096E">
        <w:rPr>
          <w:rStyle w:val="FootnoteReference"/>
        </w:rPr>
        <w:footnoteReference w:id="5"/>
      </w:r>
      <w:r w:rsidRPr="00D717BA">
        <w:t xml:space="preserve"> with work-sharing between the TGA</w:t>
      </w:r>
      <w:r w:rsidR="00F83488">
        <w:t>, Health Science Authority Singapore,</w:t>
      </w:r>
      <w:r w:rsidRPr="00D717BA">
        <w:t xml:space="preserve"> Health Canada. Each regulator made independent decisions regarding approval (market authorisation) of the new medicine.</w:t>
      </w:r>
    </w:p>
    <w:p w14:paraId="53523710" w14:textId="77777777" w:rsidR="008E7846" w:rsidRPr="003F31A2" w:rsidRDefault="00386150" w:rsidP="008E7846">
      <w:pPr>
        <w:pStyle w:val="Heading3"/>
      </w:pPr>
      <w:bookmarkStart w:id="17" w:name="_Toc314842485"/>
      <w:bookmarkStart w:id="18" w:name="_Toc247691504"/>
      <w:bookmarkStart w:id="19" w:name="_Toc99632911"/>
      <w:r>
        <w:t>Regulatory s</w:t>
      </w:r>
      <w:r w:rsidR="008E7846">
        <w:t>tatus</w:t>
      </w:r>
      <w:bookmarkEnd w:id="17"/>
      <w:bookmarkEnd w:id="18"/>
      <w:bookmarkEnd w:id="19"/>
    </w:p>
    <w:p w14:paraId="1417467E" w14:textId="58719C9C" w:rsidR="00940A89" w:rsidRDefault="00006FAB" w:rsidP="00940A89">
      <w:bookmarkStart w:id="20" w:name="_Toc247691505"/>
      <w:bookmarkStart w:id="21" w:name="_Toc314842486"/>
      <w:r w:rsidRPr="00006FAB">
        <w:t>This product is considered a new chemical entity for Australian regulatory purposes.</w:t>
      </w:r>
    </w:p>
    <w:p w14:paraId="47894E57" w14:textId="2DC1F6DC" w:rsidR="00006FAB" w:rsidRDefault="00006FAB" w:rsidP="00006FAB">
      <w:r>
        <w:t xml:space="preserve">At the time the TGA considered this application, a similar application had been approved in </w:t>
      </w:r>
      <w:r w:rsidR="00F83488">
        <w:t xml:space="preserve">European Union (EU) on the 9 December 2020 and </w:t>
      </w:r>
      <w:r>
        <w:t xml:space="preserve">was under consideration in </w:t>
      </w:r>
      <w:r w:rsidR="00F83488">
        <w:t xml:space="preserve">United States of America (USA), Canada, </w:t>
      </w:r>
      <w:proofErr w:type="gramStart"/>
      <w:r w:rsidR="00352E20">
        <w:t>Switzerland</w:t>
      </w:r>
      <w:proofErr w:type="gramEnd"/>
      <w:r w:rsidR="00352E20">
        <w:t xml:space="preserve"> and Singapore.</w:t>
      </w:r>
    </w:p>
    <w:p w14:paraId="05510AF6" w14:textId="06ED7FA1" w:rsidR="00324E45" w:rsidRPr="00F0146F" w:rsidRDefault="00324E45" w:rsidP="00324E45">
      <w:pPr>
        <w:pStyle w:val="TableTitle"/>
      </w:pPr>
      <w:r>
        <w:t xml:space="preserve">Table </w:t>
      </w:r>
      <w:r>
        <w:fldChar w:fldCharType="begin"/>
      </w:r>
      <w:r>
        <w:instrText>SEQ Table \* ARABIC</w:instrText>
      </w:r>
      <w:r>
        <w:fldChar w:fldCharType="separate"/>
      </w:r>
      <w:r w:rsidR="002C4E0E">
        <w:rPr>
          <w:noProof/>
        </w:rPr>
        <w:t>1</w:t>
      </w:r>
      <w:r>
        <w:fldChar w:fldCharType="end"/>
      </w:r>
      <w:r>
        <w:t>: International regulatory status</w:t>
      </w:r>
    </w:p>
    <w:tbl>
      <w:tblPr>
        <w:tblStyle w:val="TableTGAblue"/>
        <w:tblW w:w="5000" w:type="pct"/>
        <w:tblLook w:val="04A0" w:firstRow="1" w:lastRow="0" w:firstColumn="1" w:lastColumn="0" w:noHBand="0" w:noVBand="1"/>
      </w:tblPr>
      <w:tblGrid>
        <w:gridCol w:w="2603"/>
        <w:gridCol w:w="2662"/>
        <w:gridCol w:w="3229"/>
      </w:tblGrid>
      <w:tr w:rsidR="009007FC" w14:paraId="5604C9FC" w14:textId="77777777" w:rsidTr="009007FC">
        <w:trPr>
          <w:cnfStyle w:val="100000000000" w:firstRow="1" w:lastRow="0" w:firstColumn="0" w:lastColumn="0" w:oddVBand="0" w:evenVBand="0" w:oddHBand="0" w:evenHBand="0" w:firstRowFirstColumn="0" w:firstRowLastColumn="0" w:lastRowFirstColumn="0" w:lastRowLastColumn="0"/>
        </w:trPr>
        <w:tc>
          <w:tcPr>
            <w:tcW w:w="1532" w:type="pct"/>
            <w:tcBorders>
              <w:top w:val="single" w:sz="4" w:space="0" w:color="auto"/>
              <w:left w:val="single" w:sz="4" w:space="0" w:color="auto"/>
              <w:bottom w:val="single" w:sz="4" w:space="0" w:color="auto"/>
              <w:right w:val="single" w:sz="4" w:space="0" w:color="auto"/>
            </w:tcBorders>
          </w:tcPr>
          <w:p w14:paraId="111E4009" w14:textId="77777777" w:rsidR="009007FC" w:rsidRDefault="009007FC" w:rsidP="00006FAB">
            <w:pPr>
              <w:ind w:left="0" w:right="0"/>
            </w:pPr>
            <w:r>
              <w:t>Region</w:t>
            </w:r>
          </w:p>
        </w:tc>
        <w:tc>
          <w:tcPr>
            <w:tcW w:w="1567" w:type="pct"/>
            <w:tcBorders>
              <w:top w:val="single" w:sz="4" w:space="0" w:color="auto"/>
              <w:left w:val="single" w:sz="4" w:space="0" w:color="auto"/>
              <w:bottom w:val="single" w:sz="4" w:space="0" w:color="auto"/>
              <w:right w:val="single" w:sz="4" w:space="0" w:color="auto"/>
            </w:tcBorders>
          </w:tcPr>
          <w:p w14:paraId="09A4BD3A" w14:textId="77777777" w:rsidR="009007FC" w:rsidRDefault="009007FC" w:rsidP="00006FAB">
            <w:pPr>
              <w:ind w:left="0" w:right="0"/>
            </w:pPr>
            <w:r>
              <w:t>Status</w:t>
            </w:r>
          </w:p>
        </w:tc>
        <w:tc>
          <w:tcPr>
            <w:tcW w:w="1901" w:type="pct"/>
            <w:tcBorders>
              <w:top w:val="single" w:sz="4" w:space="0" w:color="auto"/>
              <w:left w:val="single" w:sz="4" w:space="0" w:color="auto"/>
              <w:bottom w:val="single" w:sz="4" w:space="0" w:color="auto"/>
              <w:right w:val="single" w:sz="4" w:space="0" w:color="auto"/>
            </w:tcBorders>
          </w:tcPr>
          <w:p w14:paraId="0FFC1D82" w14:textId="77777777" w:rsidR="009007FC" w:rsidRDefault="009007FC" w:rsidP="00006FAB">
            <w:pPr>
              <w:ind w:left="0" w:right="0"/>
            </w:pPr>
            <w:r>
              <w:t>Approved indications</w:t>
            </w:r>
          </w:p>
        </w:tc>
      </w:tr>
      <w:tr w:rsidR="009007FC" w14:paraId="0871FBD2" w14:textId="77777777" w:rsidTr="009007FC">
        <w:tc>
          <w:tcPr>
            <w:tcW w:w="1532" w:type="pct"/>
            <w:tcBorders>
              <w:top w:val="single" w:sz="4" w:space="0" w:color="auto"/>
            </w:tcBorders>
          </w:tcPr>
          <w:p w14:paraId="10C5A683" w14:textId="07CD9DD2" w:rsidR="009007FC" w:rsidRDefault="009007FC" w:rsidP="00006FAB">
            <w:pPr>
              <w:ind w:left="0" w:right="0"/>
            </w:pPr>
            <w:r>
              <w:t>European Union</w:t>
            </w:r>
          </w:p>
        </w:tc>
        <w:tc>
          <w:tcPr>
            <w:tcW w:w="1567" w:type="pct"/>
            <w:tcBorders>
              <w:top w:val="single" w:sz="4" w:space="0" w:color="auto"/>
            </w:tcBorders>
          </w:tcPr>
          <w:p w14:paraId="31E1E398" w14:textId="04CEB42F" w:rsidR="009007FC" w:rsidRDefault="009007FC" w:rsidP="00006FAB">
            <w:pPr>
              <w:ind w:left="0" w:right="0"/>
            </w:pPr>
            <w:r w:rsidRPr="00006FAB">
              <w:t xml:space="preserve">Approved on </w:t>
            </w:r>
            <w:r>
              <w:t>9 December 2020</w:t>
            </w:r>
          </w:p>
        </w:tc>
        <w:tc>
          <w:tcPr>
            <w:tcW w:w="1901" w:type="pct"/>
            <w:tcBorders>
              <w:top w:val="single" w:sz="4" w:space="0" w:color="auto"/>
            </w:tcBorders>
          </w:tcPr>
          <w:p w14:paraId="4DF70D7C" w14:textId="10828945" w:rsidR="009007FC" w:rsidRPr="00F83488" w:rsidRDefault="009007FC" w:rsidP="00F83488">
            <w:pPr>
              <w:ind w:left="0"/>
              <w:rPr>
                <w:i/>
                <w:iCs/>
              </w:rPr>
            </w:pPr>
            <w:proofErr w:type="spellStart"/>
            <w:r w:rsidRPr="00F83488">
              <w:rPr>
                <w:i/>
                <w:iCs/>
              </w:rPr>
              <w:t>Leqvio</w:t>
            </w:r>
            <w:proofErr w:type="spellEnd"/>
            <w:r w:rsidRPr="00F83488">
              <w:rPr>
                <w:i/>
                <w:iCs/>
              </w:rPr>
              <w:t xml:space="preserve"> is indicated in adults with primary </w:t>
            </w:r>
            <w:r w:rsidRPr="00F83488">
              <w:rPr>
                <w:i/>
                <w:iCs/>
              </w:rPr>
              <w:lastRenderedPageBreak/>
              <w:t>hypercholesterolaemia (heterozygous familial and nonfamilial) or mixed dyslipidaemia, as an adjunct to diet:</w:t>
            </w:r>
          </w:p>
          <w:p w14:paraId="2A5033FA" w14:textId="2E62A50A" w:rsidR="009007FC" w:rsidRPr="00F83488" w:rsidRDefault="009007FC" w:rsidP="00F83488">
            <w:pPr>
              <w:pStyle w:val="ListBullet"/>
              <w:rPr>
                <w:i/>
                <w:iCs/>
              </w:rPr>
            </w:pPr>
            <w:r w:rsidRPr="00F83488">
              <w:rPr>
                <w:i/>
                <w:iCs/>
              </w:rPr>
              <w:t>in combination with a statin or statin with other lipid lowering therapies in patients unable to reach LDL-C goals with the maximum tolerated dose of a statin, or,</w:t>
            </w:r>
          </w:p>
          <w:p w14:paraId="41E4FAB0" w14:textId="694F9DB9" w:rsidR="009007FC" w:rsidRPr="00F83488" w:rsidRDefault="009007FC" w:rsidP="00F83488">
            <w:pPr>
              <w:pStyle w:val="ListBullet"/>
              <w:rPr>
                <w:i/>
                <w:iCs/>
              </w:rPr>
            </w:pPr>
            <w:r w:rsidRPr="00F83488">
              <w:rPr>
                <w:i/>
                <w:iCs/>
              </w:rPr>
              <w:t>alone or in combination with other lipid-lowering therapies in patients who are statin-intolerant, or for whom a statin is contraindicated.</w:t>
            </w:r>
          </w:p>
        </w:tc>
      </w:tr>
      <w:tr w:rsidR="009007FC" w14:paraId="3AC3552A" w14:textId="77777777" w:rsidTr="009007FC">
        <w:tc>
          <w:tcPr>
            <w:tcW w:w="1532" w:type="pct"/>
          </w:tcPr>
          <w:p w14:paraId="17D65E84" w14:textId="26E50882" w:rsidR="009007FC" w:rsidRDefault="009007FC" w:rsidP="00006FAB">
            <w:pPr>
              <w:ind w:left="0" w:right="0"/>
            </w:pPr>
            <w:r>
              <w:lastRenderedPageBreak/>
              <w:t>United States of America</w:t>
            </w:r>
          </w:p>
        </w:tc>
        <w:tc>
          <w:tcPr>
            <w:tcW w:w="1567" w:type="pct"/>
          </w:tcPr>
          <w:p w14:paraId="6421334C" w14:textId="3F4453CF" w:rsidR="009007FC" w:rsidRDefault="009007FC" w:rsidP="00006FAB">
            <w:pPr>
              <w:ind w:left="0" w:right="0"/>
            </w:pPr>
            <w:r w:rsidRPr="00006FAB">
              <w:t>Under consideration</w:t>
            </w:r>
          </w:p>
        </w:tc>
        <w:tc>
          <w:tcPr>
            <w:tcW w:w="1901" w:type="pct"/>
          </w:tcPr>
          <w:p w14:paraId="68B9CB90" w14:textId="6CA667A7" w:rsidR="009007FC" w:rsidRDefault="009007FC" w:rsidP="00006FAB">
            <w:pPr>
              <w:ind w:left="0" w:right="0"/>
            </w:pPr>
            <w:r w:rsidRPr="00006FAB">
              <w:t>Under consideration</w:t>
            </w:r>
          </w:p>
        </w:tc>
      </w:tr>
      <w:tr w:rsidR="009007FC" w14:paraId="6AD05132" w14:textId="77777777" w:rsidTr="009007FC">
        <w:tc>
          <w:tcPr>
            <w:tcW w:w="1532" w:type="pct"/>
          </w:tcPr>
          <w:p w14:paraId="3D7D375E" w14:textId="3E239070" w:rsidR="009007FC" w:rsidRDefault="009007FC" w:rsidP="00F83488">
            <w:pPr>
              <w:ind w:left="0"/>
            </w:pPr>
            <w:r>
              <w:t>Canada</w:t>
            </w:r>
          </w:p>
        </w:tc>
        <w:tc>
          <w:tcPr>
            <w:tcW w:w="1567" w:type="pct"/>
          </w:tcPr>
          <w:p w14:paraId="33F96DC0" w14:textId="3047AB98" w:rsidR="009007FC" w:rsidRPr="00006FAB" w:rsidRDefault="009007FC" w:rsidP="00F83488">
            <w:pPr>
              <w:ind w:left="0"/>
            </w:pPr>
            <w:r>
              <w:t>Under consideration</w:t>
            </w:r>
          </w:p>
        </w:tc>
        <w:tc>
          <w:tcPr>
            <w:tcW w:w="1901" w:type="pct"/>
          </w:tcPr>
          <w:p w14:paraId="02F42231" w14:textId="60A2B984" w:rsidR="009007FC" w:rsidRPr="00006FAB" w:rsidRDefault="009007FC" w:rsidP="00F83488">
            <w:pPr>
              <w:ind w:left="0"/>
            </w:pPr>
            <w:r>
              <w:t>Under consideration</w:t>
            </w:r>
          </w:p>
        </w:tc>
      </w:tr>
      <w:tr w:rsidR="009007FC" w14:paraId="60013F0D" w14:textId="77777777" w:rsidTr="009007FC">
        <w:tc>
          <w:tcPr>
            <w:tcW w:w="1532" w:type="pct"/>
          </w:tcPr>
          <w:p w14:paraId="26CE970E" w14:textId="0B5D4D7F" w:rsidR="009007FC" w:rsidRDefault="009007FC" w:rsidP="00F83488">
            <w:pPr>
              <w:ind w:left="0"/>
            </w:pPr>
            <w:r>
              <w:t>Switzerland</w:t>
            </w:r>
          </w:p>
        </w:tc>
        <w:tc>
          <w:tcPr>
            <w:tcW w:w="1567" w:type="pct"/>
          </w:tcPr>
          <w:p w14:paraId="4BE3E9AB" w14:textId="0D645839" w:rsidR="009007FC" w:rsidRPr="00006FAB" w:rsidRDefault="009007FC" w:rsidP="00F83488">
            <w:pPr>
              <w:ind w:left="0"/>
            </w:pPr>
            <w:r>
              <w:t>Under consideration</w:t>
            </w:r>
          </w:p>
        </w:tc>
        <w:tc>
          <w:tcPr>
            <w:tcW w:w="1901" w:type="pct"/>
          </w:tcPr>
          <w:p w14:paraId="01882BB4" w14:textId="025BC887" w:rsidR="009007FC" w:rsidRPr="00006FAB" w:rsidRDefault="009007FC" w:rsidP="00F83488">
            <w:pPr>
              <w:ind w:left="0"/>
            </w:pPr>
            <w:r>
              <w:t>Under consideration</w:t>
            </w:r>
          </w:p>
        </w:tc>
      </w:tr>
      <w:tr w:rsidR="009007FC" w14:paraId="49BF52D5" w14:textId="77777777" w:rsidTr="009007FC">
        <w:tc>
          <w:tcPr>
            <w:tcW w:w="1532" w:type="pct"/>
          </w:tcPr>
          <w:p w14:paraId="4340E534" w14:textId="219D2311" w:rsidR="009007FC" w:rsidRDefault="009007FC" w:rsidP="00F83488">
            <w:pPr>
              <w:ind w:left="0"/>
            </w:pPr>
            <w:r>
              <w:t>Singapore</w:t>
            </w:r>
          </w:p>
        </w:tc>
        <w:tc>
          <w:tcPr>
            <w:tcW w:w="1567" w:type="pct"/>
          </w:tcPr>
          <w:p w14:paraId="11815594" w14:textId="667B455E" w:rsidR="009007FC" w:rsidRPr="00006FAB" w:rsidRDefault="009007FC" w:rsidP="00F83488">
            <w:pPr>
              <w:ind w:left="0"/>
            </w:pPr>
            <w:r>
              <w:t>Under consideration</w:t>
            </w:r>
          </w:p>
        </w:tc>
        <w:tc>
          <w:tcPr>
            <w:tcW w:w="1901" w:type="pct"/>
          </w:tcPr>
          <w:p w14:paraId="29BCC431" w14:textId="1065FDBC" w:rsidR="009007FC" w:rsidRPr="00006FAB" w:rsidRDefault="009007FC" w:rsidP="00F83488">
            <w:pPr>
              <w:ind w:left="0"/>
            </w:pPr>
            <w:r>
              <w:t>Under consideration</w:t>
            </w:r>
          </w:p>
        </w:tc>
      </w:tr>
    </w:tbl>
    <w:p w14:paraId="72A6FDC7" w14:textId="77777777" w:rsidR="008E7846" w:rsidRDefault="008E7846" w:rsidP="00940A89">
      <w:pPr>
        <w:pStyle w:val="Heading3"/>
      </w:pPr>
      <w:bookmarkStart w:id="22" w:name="_Toc99632912"/>
      <w:r>
        <w:t>Product Information</w:t>
      </w:r>
      <w:bookmarkEnd w:id="20"/>
      <w:bookmarkEnd w:id="21"/>
      <w:bookmarkEnd w:id="22"/>
    </w:p>
    <w:p w14:paraId="0B62AD1D" w14:textId="604602A7" w:rsidR="00940A89" w:rsidRDefault="006136D7" w:rsidP="00940A89">
      <w:bookmarkStart w:id="23" w:name="_Toc247691506"/>
      <w:bookmarkStart w:id="24"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54BAFB73" w14:textId="77777777" w:rsidR="00500337" w:rsidRDefault="00500337" w:rsidP="00500337">
      <w:pPr>
        <w:pStyle w:val="Heading2"/>
      </w:pPr>
      <w:bookmarkStart w:id="25" w:name="_Toc504480011"/>
      <w:bookmarkStart w:id="26" w:name="_Toc99632913"/>
      <w:r>
        <w:t>II. Registration timeline</w:t>
      </w:r>
      <w:bookmarkEnd w:id="25"/>
      <w:bookmarkEnd w:id="26"/>
    </w:p>
    <w:p w14:paraId="244D600B" w14:textId="18D0A740" w:rsidR="00500337" w:rsidRDefault="00500337" w:rsidP="00500337">
      <w:r>
        <w:t xml:space="preserve">The following table captures the key steps and dates for this </w:t>
      </w:r>
      <w:r w:rsidR="00DF73E0">
        <w:t>application,</w:t>
      </w:r>
      <w:r>
        <w:t xml:space="preserve"> and which are detailed and discussed in this </w:t>
      </w:r>
      <w:proofErr w:type="spellStart"/>
      <w:r>
        <w:t>AusPAR</w:t>
      </w:r>
      <w:proofErr w:type="spellEnd"/>
      <w:r>
        <w:t>.</w:t>
      </w:r>
    </w:p>
    <w:p w14:paraId="169FACE7" w14:textId="01F73A4E" w:rsidR="00500337" w:rsidRPr="00377BD4" w:rsidRDefault="006A58A8" w:rsidP="00A4264D">
      <w:pPr>
        <w:pStyle w:val="TableTitle"/>
      </w:pPr>
      <w:r w:rsidRPr="006A58A8">
        <w:t xml:space="preserve">Table </w:t>
      </w:r>
      <w:r w:rsidR="00324E45">
        <w:t>2</w:t>
      </w:r>
      <w:r w:rsidR="00006FAB">
        <w:t>:</w:t>
      </w:r>
      <w:r w:rsidRPr="006A58A8">
        <w:t xml:space="preserve"> Timeline for Submission PM-20</w:t>
      </w:r>
      <w:r w:rsidR="00324E45">
        <w:t>2</w:t>
      </w:r>
      <w:r w:rsidR="00A4264D">
        <w:t>0</w:t>
      </w:r>
      <w:r w:rsidRPr="006A58A8">
        <w:t>-</w:t>
      </w:r>
      <w:r w:rsidR="00A4264D">
        <w:t>04160</w:t>
      </w:r>
      <w:r w:rsidRPr="006A58A8">
        <w:t>-1-</w:t>
      </w:r>
      <w:r w:rsidR="00A4264D">
        <w:t>3</w:t>
      </w:r>
    </w:p>
    <w:tbl>
      <w:tblPr>
        <w:tblStyle w:val="TableTGAblue"/>
        <w:tblW w:w="0" w:type="auto"/>
        <w:tblLook w:val="04A0" w:firstRow="1" w:lastRow="0" w:firstColumn="1" w:lastColumn="0" w:noHBand="0" w:noVBand="1"/>
      </w:tblPr>
      <w:tblGrid>
        <w:gridCol w:w="4254"/>
        <w:gridCol w:w="4240"/>
      </w:tblGrid>
      <w:tr w:rsidR="00500337" w14:paraId="04DFD436" w14:textId="77777777" w:rsidTr="00CF5DAD">
        <w:trPr>
          <w:cnfStyle w:val="100000000000" w:firstRow="1" w:lastRow="0" w:firstColumn="0" w:lastColumn="0" w:oddVBand="0" w:evenVBand="0" w:oddHBand="0" w:evenHBand="0" w:firstRowFirstColumn="0" w:firstRowLastColumn="0" w:lastRowFirstColumn="0" w:lastRowLastColumn="0"/>
          <w:cantSplit/>
        </w:trPr>
        <w:tc>
          <w:tcPr>
            <w:tcW w:w="4360" w:type="dxa"/>
            <w:tcBorders>
              <w:top w:val="single" w:sz="4" w:space="0" w:color="auto"/>
              <w:left w:val="single" w:sz="4" w:space="0" w:color="auto"/>
              <w:bottom w:val="single" w:sz="4" w:space="0" w:color="auto"/>
              <w:right w:val="single" w:sz="4" w:space="0" w:color="auto"/>
            </w:tcBorders>
          </w:tcPr>
          <w:p w14:paraId="06B8CEBF" w14:textId="77777777" w:rsidR="00500337" w:rsidRDefault="00500337" w:rsidP="00500337">
            <w:pPr>
              <w:ind w:left="0" w:right="0"/>
            </w:pPr>
            <w:r>
              <w:t>Description</w:t>
            </w:r>
          </w:p>
        </w:tc>
        <w:tc>
          <w:tcPr>
            <w:tcW w:w="4360" w:type="dxa"/>
            <w:tcBorders>
              <w:top w:val="single" w:sz="4" w:space="0" w:color="auto"/>
              <w:left w:val="single" w:sz="4" w:space="0" w:color="auto"/>
              <w:bottom w:val="single" w:sz="4" w:space="0" w:color="auto"/>
              <w:right w:val="single" w:sz="4" w:space="0" w:color="auto"/>
            </w:tcBorders>
          </w:tcPr>
          <w:p w14:paraId="7AE02B08" w14:textId="77777777" w:rsidR="00500337" w:rsidRDefault="00500337" w:rsidP="00500337">
            <w:pPr>
              <w:ind w:left="0" w:right="0"/>
            </w:pPr>
            <w:r>
              <w:t>Date</w:t>
            </w:r>
          </w:p>
        </w:tc>
      </w:tr>
      <w:tr w:rsidR="00500337" w14:paraId="126565B8" w14:textId="77777777" w:rsidTr="00CF5DAD">
        <w:tc>
          <w:tcPr>
            <w:tcW w:w="4360" w:type="dxa"/>
            <w:tcBorders>
              <w:top w:val="single" w:sz="4" w:space="0" w:color="auto"/>
            </w:tcBorders>
          </w:tcPr>
          <w:p w14:paraId="19DCCA4D" w14:textId="77777777" w:rsidR="00500337" w:rsidRDefault="00500337" w:rsidP="00500337">
            <w:pPr>
              <w:ind w:left="0" w:right="0"/>
            </w:pPr>
            <w:r>
              <w:t>Submission dossier accepted and first round evaluation commenced</w:t>
            </w:r>
          </w:p>
        </w:tc>
        <w:tc>
          <w:tcPr>
            <w:tcW w:w="4360" w:type="dxa"/>
            <w:tcBorders>
              <w:top w:val="single" w:sz="4" w:space="0" w:color="auto"/>
            </w:tcBorders>
          </w:tcPr>
          <w:p w14:paraId="4649A5AB" w14:textId="0317D2FF" w:rsidR="00500337" w:rsidRDefault="00A4264D" w:rsidP="00500337">
            <w:pPr>
              <w:ind w:left="0" w:right="0"/>
            </w:pPr>
            <w:r>
              <w:t>30 September 2020</w:t>
            </w:r>
          </w:p>
        </w:tc>
      </w:tr>
      <w:tr w:rsidR="00500337" w14:paraId="379C9436" w14:textId="77777777" w:rsidTr="00500337">
        <w:tc>
          <w:tcPr>
            <w:tcW w:w="4360" w:type="dxa"/>
          </w:tcPr>
          <w:p w14:paraId="56FBFA17" w14:textId="77777777" w:rsidR="00500337" w:rsidRDefault="00500337" w:rsidP="00500337">
            <w:pPr>
              <w:ind w:left="0" w:right="0"/>
            </w:pPr>
            <w:r>
              <w:t>First round evaluation completed</w:t>
            </w:r>
          </w:p>
        </w:tc>
        <w:tc>
          <w:tcPr>
            <w:tcW w:w="4360" w:type="dxa"/>
          </w:tcPr>
          <w:p w14:paraId="1BB631AE" w14:textId="1AF61D6B" w:rsidR="00500337" w:rsidRDefault="00A4264D" w:rsidP="00500337">
            <w:pPr>
              <w:ind w:left="0" w:right="0"/>
            </w:pPr>
            <w:r>
              <w:t>21 April 2021</w:t>
            </w:r>
          </w:p>
        </w:tc>
      </w:tr>
      <w:tr w:rsidR="00500337" w14:paraId="50C3CF75" w14:textId="77777777" w:rsidTr="00500337">
        <w:tc>
          <w:tcPr>
            <w:tcW w:w="4360" w:type="dxa"/>
          </w:tcPr>
          <w:p w14:paraId="0CEEB7B5" w14:textId="77777777" w:rsidR="00500337" w:rsidRDefault="00500337" w:rsidP="00500337">
            <w:pPr>
              <w:ind w:left="0" w:right="0"/>
            </w:pPr>
            <w:r>
              <w:t>Sponsor provides responses on questions raised in first round evaluation</w:t>
            </w:r>
          </w:p>
        </w:tc>
        <w:tc>
          <w:tcPr>
            <w:tcW w:w="4360" w:type="dxa"/>
          </w:tcPr>
          <w:p w14:paraId="3D0A574C" w14:textId="3630F884" w:rsidR="00500337" w:rsidRDefault="00A4264D" w:rsidP="00500337">
            <w:pPr>
              <w:ind w:left="0" w:right="0"/>
            </w:pPr>
            <w:r>
              <w:t>21 April 2021</w:t>
            </w:r>
          </w:p>
        </w:tc>
      </w:tr>
      <w:tr w:rsidR="00500337" w14:paraId="2A1DB585" w14:textId="77777777" w:rsidTr="00500337">
        <w:tc>
          <w:tcPr>
            <w:tcW w:w="4360" w:type="dxa"/>
          </w:tcPr>
          <w:p w14:paraId="02FA94F9" w14:textId="77777777" w:rsidR="00500337" w:rsidRDefault="00500337" w:rsidP="00500337">
            <w:pPr>
              <w:ind w:left="0" w:right="0"/>
            </w:pPr>
            <w:r>
              <w:lastRenderedPageBreak/>
              <w:t>Second round evaluation completed</w:t>
            </w:r>
          </w:p>
        </w:tc>
        <w:tc>
          <w:tcPr>
            <w:tcW w:w="4360" w:type="dxa"/>
          </w:tcPr>
          <w:p w14:paraId="6231C349" w14:textId="3B9AF7DD" w:rsidR="00500337" w:rsidRDefault="00A4264D" w:rsidP="00500337">
            <w:pPr>
              <w:ind w:left="0" w:right="0"/>
            </w:pPr>
            <w:r>
              <w:t>17 June 2021</w:t>
            </w:r>
          </w:p>
        </w:tc>
      </w:tr>
      <w:tr w:rsidR="00500337" w14:paraId="53468560" w14:textId="77777777" w:rsidTr="00500337">
        <w:tc>
          <w:tcPr>
            <w:tcW w:w="4360" w:type="dxa"/>
          </w:tcPr>
          <w:p w14:paraId="50C96C4F" w14:textId="2D2A5CDC" w:rsidR="00500337" w:rsidRDefault="00324E45" w:rsidP="00500337">
            <w:pPr>
              <w:ind w:left="0" w:right="0"/>
            </w:pPr>
            <w:r>
              <w:t xml:space="preserve">Delegate’s Overall benefit-risk assessment </w:t>
            </w:r>
            <w:r w:rsidRPr="00A4264D">
              <w:rPr>
                <w:color w:val="auto"/>
              </w:rPr>
              <w:t>and request for Advisory Committee advice</w:t>
            </w:r>
          </w:p>
        </w:tc>
        <w:tc>
          <w:tcPr>
            <w:tcW w:w="4360" w:type="dxa"/>
          </w:tcPr>
          <w:p w14:paraId="5A4CE6FE" w14:textId="01FB8015" w:rsidR="00500337" w:rsidRDefault="00A4264D" w:rsidP="00500337">
            <w:pPr>
              <w:ind w:left="0" w:right="0"/>
            </w:pPr>
            <w:r>
              <w:t>30 June 2021</w:t>
            </w:r>
          </w:p>
        </w:tc>
      </w:tr>
      <w:tr w:rsidR="00500337" w14:paraId="280EB00F" w14:textId="77777777" w:rsidTr="00500337">
        <w:tc>
          <w:tcPr>
            <w:tcW w:w="4360" w:type="dxa"/>
          </w:tcPr>
          <w:p w14:paraId="53778B51" w14:textId="77777777" w:rsidR="00500337" w:rsidRDefault="00500337" w:rsidP="00500337">
            <w:pPr>
              <w:ind w:left="0" w:right="0"/>
            </w:pPr>
            <w:r>
              <w:t>Sponsor’s pre-Advisory Committee response</w:t>
            </w:r>
          </w:p>
        </w:tc>
        <w:tc>
          <w:tcPr>
            <w:tcW w:w="4360" w:type="dxa"/>
          </w:tcPr>
          <w:p w14:paraId="2C287B4B" w14:textId="681D7508" w:rsidR="00500337" w:rsidRDefault="00A4264D" w:rsidP="00500337">
            <w:pPr>
              <w:ind w:left="0" w:right="0"/>
            </w:pPr>
            <w:r>
              <w:t>13 July 2021</w:t>
            </w:r>
          </w:p>
        </w:tc>
      </w:tr>
      <w:tr w:rsidR="00500337" w14:paraId="2BB62E6B" w14:textId="77777777" w:rsidTr="00500337">
        <w:tc>
          <w:tcPr>
            <w:tcW w:w="4360" w:type="dxa"/>
          </w:tcPr>
          <w:p w14:paraId="5684F1AF" w14:textId="77777777" w:rsidR="00500337" w:rsidRDefault="00500337" w:rsidP="00500337">
            <w:pPr>
              <w:ind w:left="0" w:right="0"/>
            </w:pPr>
            <w:r>
              <w:t>Advisory Committee meeting</w:t>
            </w:r>
          </w:p>
        </w:tc>
        <w:tc>
          <w:tcPr>
            <w:tcW w:w="4360" w:type="dxa"/>
          </w:tcPr>
          <w:p w14:paraId="4538B64B" w14:textId="33995659" w:rsidR="00500337" w:rsidRDefault="00A4264D" w:rsidP="00500337">
            <w:pPr>
              <w:ind w:left="0" w:right="0"/>
            </w:pPr>
            <w:r>
              <w:t>5 and 6 August 2021</w:t>
            </w:r>
          </w:p>
        </w:tc>
      </w:tr>
      <w:tr w:rsidR="00500337" w14:paraId="2DCF92FC" w14:textId="77777777" w:rsidTr="00500337">
        <w:tc>
          <w:tcPr>
            <w:tcW w:w="4360" w:type="dxa"/>
          </w:tcPr>
          <w:p w14:paraId="071F8A2E" w14:textId="77777777" w:rsidR="00500337" w:rsidRDefault="00500337" w:rsidP="00500337">
            <w:pPr>
              <w:ind w:left="0" w:right="0"/>
            </w:pPr>
            <w:r>
              <w:t>Registration decision (Outcome)</w:t>
            </w:r>
          </w:p>
        </w:tc>
        <w:tc>
          <w:tcPr>
            <w:tcW w:w="4360" w:type="dxa"/>
          </w:tcPr>
          <w:p w14:paraId="6004A8E0" w14:textId="25AA318C" w:rsidR="00500337" w:rsidRDefault="00A4264D" w:rsidP="00500337">
            <w:pPr>
              <w:ind w:left="0" w:right="0"/>
            </w:pPr>
            <w:r>
              <w:t>14 September 2021</w:t>
            </w:r>
          </w:p>
        </w:tc>
      </w:tr>
      <w:tr w:rsidR="00500337" w14:paraId="4DF749A6" w14:textId="77777777" w:rsidTr="00500337">
        <w:tc>
          <w:tcPr>
            <w:tcW w:w="4360" w:type="dxa"/>
          </w:tcPr>
          <w:p w14:paraId="0F469FD2" w14:textId="77777777" w:rsidR="00500337" w:rsidRDefault="00500337" w:rsidP="00500337">
            <w:pPr>
              <w:ind w:left="0" w:right="0"/>
            </w:pPr>
            <w:r>
              <w:t xml:space="preserve">Completion of administrative activities and registration on </w:t>
            </w:r>
            <w:r w:rsidR="00006FAB">
              <w:t xml:space="preserve">the </w:t>
            </w:r>
            <w:r>
              <w:t>ARTG</w:t>
            </w:r>
          </w:p>
        </w:tc>
        <w:tc>
          <w:tcPr>
            <w:tcW w:w="4360" w:type="dxa"/>
          </w:tcPr>
          <w:p w14:paraId="236DFFB3" w14:textId="68E7F172" w:rsidR="00500337" w:rsidRDefault="00A4264D" w:rsidP="00500337">
            <w:pPr>
              <w:ind w:left="0" w:right="0"/>
            </w:pPr>
            <w:r>
              <w:t>14 September 2021</w:t>
            </w:r>
          </w:p>
        </w:tc>
      </w:tr>
      <w:tr w:rsidR="00500337" w14:paraId="3CA33A1B" w14:textId="77777777" w:rsidTr="00500337">
        <w:tc>
          <w:tcPr>
            <w:tcW w:w="4360" w:type="dxa"/>
          </w:tcPr>
          <w:p w14:paraId="22D1340E" w14:textId="77777777" w:rsidR="00500337" w:rsidRDefault="00500337" w:rsidP="00500337">
            <w:pPr>
              <w:ind w:left="0" w:right="0"/>
            </w:pPr>
            <w:r>
              <w:t>Number of working days from submission dossier acceptance to registration decision*</w:t>
            </w:r>
          </w:p>
        </w:tc>
        <w:tc>
          <w:tcPr>
            <w:tcW w:w="4360" w:type="dxa"/>
          </w:tcPr>
          <w:p w14:paraId="4EC6D341" w14:textId="212E889A" w:rsidR="00500337" w:rsidRDefault="00A4264D" w:rsidP="00500337">
            <w:pPr>
              <w:ind w:left="0" w:right="0"/>
            </w:pPr>
            <w:r>
              <w:t>236</w:t>
            </w:r>
          </w:p>
        </w:tc>
      </w:tr>
    </w:tbl>
    <w:p w14:paraId="5CF90150"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3BAFCBB9" w14:textId="77777777" w:rsidR="008E7846" w:rsidRPr="00792A32" w:rsidRDefault="00456765" w:rsidP="008E7846">
      <w:pPr>
        <w:pStyle w:val="Heading2"/>
      </w:pPr>
      <w:bookmarkStart w:id="27" w:name="_Toc196046504"/>
      <w:bookmarkStart w:id="28" w:name="_Toc247691527"/>
      <w:bookmarkStart w:id="29" w:name="_Toc314842510"/>
      <w:bookmarkStart w:id="30" w:name="_Toc99632914"/>
      <w:bookmarkStart w:id="31" w:name="_Toc163441390"/>
      <w:bookmarkEnd w:id="23"/>
      <w:bookmarkEnd w:id="24"/>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7"/>
      <w:bookmarkEnd w:id="28"/>
      <w:bookmarkEnd w:id="29"/>
      <w:bookmarkEnd w:id="30"/>
    </w:p>
    <w:p w14:paraId="6B39BD0A" w14:textId="77777777" w:rsidR="00006FAB" w:rsidRDefault="00006FAB" w:rsidP="00006FAB">
      <w:bookmarkStart w:id="32" w:name="_Toc247691528"/>
      <w:r>
        <w:t>This section is a TGA summary of wording used in TGA’s evaluation report, which discussed numerous aspects of overseas evaluation reports and included some information that was commercial-in-confidence.</w:t>
      </w:r>
    </w:p>
    <w:p w14:paraId="0695928C" w14:textId="77777777" w:rsidR="008E7846" w:rsidRDefault="008E7846" w:rsidP="008E7846">
      <w:pPr>
        <w:pStyle w:val="Heading3"/>
      </w:pPr>
      <w:bookmarkStart w:id="33" w:name="_Toc314842511"/>
      <w:bookmarkStart w:id="34" w:name="_Toc99632915"/>
      <w:r>
        <w:t>Quality</w:t>
      </w:r>
      <w:bookmarkEnd w:id="32"/>
      <w:bookmarkEnd w:id="33"/>
      <w:bookmarkEnd w:id="34"/>
    </w:p>
    <w:p w14:paraId="0403E5F7" w14:textId="565FA7B1" w:rsidR="00352E20" w:rsidRDefault="00352E20" w:rsidP="00352E20">
      <w:proofErr w:type="spellStart"/>
      <w:r w:rsidRPr="00352E20">
        <w:t>Inclisiran</w:t>
      </w:r>
      <w:proofErr w:type="spellEnd"/>
      <w:r w:rsidRPr="00352E20">
        <w:t xml:space="preserve"> is a synthetic, double-stranded, siRNA conjugated on the sense strand with </w:t>
      </w:r>
      <w:proofErr w:type="spellStart"/>
      <w:r w:rsidRPr="00352E20">
        <w:t>triantennary</w:t>
      </w:r>
      <w:proofErr w:type="spellEnd"/>
      <w:r w:rsidRPr="00352E20">
        <w:t xml:space="preserve"> N-</w:t>
      </w:r>
      <w:r w:rsidR="00CF4D86">
        <w:t>a</w:t>
      </w:r>
      <w:r w:rsidRPr="00352E20">
        <w:t>cetyl</w:t>
      </w:r>
      <w:r w:rsidR="00CF4D86">
        <w:t xml:space="preserve"> </w:t>
      </w:r>
      <w:r w:rsidRPr="00352E20">
        <w:t>galactosamine (</w:t>
      </w:r>
      <w:proofErr w:type="spellStart"/>
      <w:r w:rsidRPr="00352E20">
        <w:t>GalNAc</w:t>
      </w:r>
      <w:proofErr w:type="spellEnd"/>
      <w:r w:rsidRPr="00352E20">
        <w:t>) to facilitate uptake by hepatocytes</w:t>
      </w:r>
      <w:r>
        <w:t xml:space="preserve"> (</w:t>
      </w:r>
      <w:r>
        <w:fldChar w:fldCharType="begin"/>
      </w:r>
      <w:r>
        <w:instrText xml:space="preserve"> REF _Ref96344659 \h  \* MERGEFORMAT </w:instrText>
      </w:r>
      <w:r>
        <w:fldChar w:fldCharType="separate"/>
      </w:r>
      <w:r w:rsidR="002C4E0E" w:rsidRPr="00352E20">
        <w:t xml:space="preserve">Figure </w:t>
      </w:r>
      <w:r w:rsidR="002C4E0E">
        <w:rPr>
          <w:noProof/>
        </w:rPr>
        <w:t>1</w:t>
      </w:r>
      <w:r>
        <w:fldChar w:fldCharType="end"/>
      </w:r>
      <w:r>
        <w:t>).</w:t>
      </w:r>
    </w:p>
    <w:p w14:paraId="6BA1B0BA" w14:textId="6C366CC8" w:rsidR="00352E20" w:rsidRPr="00352E20" w:rsidRDefault="00352E20" w:rsidP="00352E20">
      <w:pPr>
        <w:pStyle w:val="FigureTitle"/>
      </w:pPr>
      <w:bookmarkStart w:id="35" w:name="_Ref96344659"/>
      <w:r w:rsidRPr="00352E20">
        <w:t xml:space="preserve">Figure </w:t>
      </w:r>
      <w:r>
        <w:fldChar w:fldCharType="begin"/>
      </w:r>
      <w:r>
        <w:instrText>SEQ Figure \* ARABIC</w:instrText>
      </w:r>
      <w:r>
        <w:fldChar w:fldCharType="separate"/>
      </w:r>
      <w:r w:rsidR="002C4E0E">
        <w:rPr>
          <w:noProof/>
        </w:rPr>
        <w:t>1</w:t>
      </w:r>
      <w:r>
        <w:fldChar w:fldCharType="end"/>
      </w:r>
      <w:bookmarkEnd w:id="35"/>
      <w:r>
        <w:t xml:space="preserve">: Schematic diagram of </w:t>
      </w:r>
      <w:proofErr w:type="spellStart"/>
      <w:r>
        <w:t>inclisiran</w:t>
      </w:r>
      <w:proofErr w:type="spellEnd"/>
      <w:r w:rsidR="00CF4D86">
        <w:t xml:space="preserve"> structure</w:t>
      </w:r>
    </w:p>
    <w:p w14:paraId="400F03AF" w14:textId="161271F4" w:rsidR="00352E20" w:rsidRDefault="00352E20" w:rsidP="00352E20">
      <w:r>
        <w:rPr>
          <w:noProof/>
          <w:lang w:val="en-GB" w:eastAsia="en-GB"/>
        </w:rPr>
        <w:drawing>
          <wp:inline distT="0" distB="0" distL="0" distR="0" wp14:anchorId="5C2C2830" wp14:editId="41B6ECD2">
            <wp:extent cx="2523744" cy="2480725"/>
            <wp:effectExtent l="0" t="0" r="0" b="0"/>
            <wp:docPr id="1" name="Picture 1" descr="Schematic diagram of inclis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ematic diagram of inclisiran"/>
                    <pic:cNvPicPr/>
                  </pic:nvPicPr>
                  <pic:blipFill>
                    <a:blip r:embed="rId17"/>
                    <a:stretch>
                      <a:fillRect/>
                    </a:stretch>
                  </pic:blipFill>
                  <pic:spPr>
                    <a:xfrm>
                      <a:off x="0" y="0"/>
                      <a:ext cx="2566809" cy="2523056"/>
                    </a:xfrm>
                    <a:prstGeom prst="rect">
                      <a:avLst/>
                    </a:prstGeom>
                  </pic:spPr>
                </pic:pic>
              </a:graphicData>
            </a:graphic>
          </wp:inline>
        </w:drawing>
      </w:r>
    </w:p>
    <w:p w14:paraId="1B0D295E" w14:textId="2A9F8DBD" w:rsidR="00352E20" w:rsidRDefault="00352E20" w:rsidP="00352E20">
      <w:pPr>
        <w:rPr>
          <w:rFonts w:eastAsiaTheme="minorHAnsi" w:cs="TimesNewRomanPSMT"/>
        </w:rPr>
      </w:pPr>
      <w:r w:rsidRPr="007B5EF3">
        <w:lastRenderedPageBreak/>
        <w:t>The drug substance is produced by chemical synthesis</w:t>
      </w:r>
      <w:r>
        <w:t>. T</w:t>
      </w:r>
      <w:r w:rsidRPr="0097755C">
        <w:t>he oligonucleotide</w:t>
      </w:r>
      <w:r>
        <w:t xml:space="preserve"> strand</w:t>
      </w:r>
      <w:r w:rsidRPr="0097755C">
        <w:t>s a</w:t>
      </w:r>
      <w:r>
        <w:t>re a</w:t>
      </w:r>
      <w:r w:rsidRPr="0097755C">
        <w:t>ssembled one nucleotide at a time</w:t>
      </w:r>
      <w:r>
        <w:t xml:space="preserve">. </w:t>
      </w:r>
      <w:r w:rsidRPr="00082177">
        <w:rPr>
          <w:rFonts w:eastAsiaTheme="minorHAnsi" w:cs="TimesNewRomanPSMT"/>
        </w:rPr>
        <w:t>The sense strand contains 21 nucleotides and antisense strand 23 nucleotides.</w:t>
      </w:r>
      <w:r>
        <w:rPr>
          <w:rFonts w:eastAsiaTheme="minorHAnsi" w:cs="TimesNewRomanPSMT"/>
        </w:rPr>
        <w:t xml:space="preserve"> </w:t>
      </w:r>
      <w:r w:rsidRPr="00082177">
        <w:t xml:space="preserve">An annealing step assembles the sense and antisense </w:t>
      </w:r>
      <w:r>
        <w:t xml:space="preserve">single </w:t>
      </w:r>
      <w:r w:rsidRPr="00082177">
        <w:t>strands into the duplex</w:t>
      </w:r>
      <w:r>
        <w:t>.</w:t>
      </w:r>
    </w:p>
    <w:p w14:paraId="62F8B7FD" w14:textId="509E36C8" w:rsidR="00352E20" w:rsidRPr="00A67A9B" w:rsidRDefault="00352E20" w:rsidP="00352E20">
      <w:r>
        <w:t xml:space="preserve">The manufacturing process and in-process controls are acceptable. </w:t>
      </w:r>
      <w:r w:rsidRPr="00082177">
        <w:t>The imposed drug substance specifications are sufficient to ensure the drug substance quality and consistency.</w:t>
      </w:r>
    </w:p>
    <w:p w14:paraId="7AB751A1" w14:textId="3A31F77D" w:rsidR="00352E20" w:rsidRDefault="00352E20" w:rsidP="00352E20">
      <w:r>
        <w:t xml:space="preserve">The product is presented in a pre-filled syringe containing </w:t>
      </w:r>
      <w:proofErr w:type="spellStart"/>
      <w:r>
        <w:t>inclisiran</w:t>
      </w:r>
      <w:proofErr w:type="spellEnd"/>
      <w:r>
        <w:t xml:space="preserve"> 284 mg in 1.5 mL</w:t>
      </w:r>
      <w:r w:rsidR="00CF4D86">
        <w:t xml:space="preserve"> of solution</w:t>
      </w:r>
      <w:r>
        <w:t xml:space="preserve"> (as </w:t>
      </w:r>
      <w:proofErr w:type="spellStart"/>
      <w:r>
        <w:t>inclisiran</w:t>
      </w:r>
      <w:proofErr w:type="spellEnd"/>
      <w:r>
        <w:t xml:space="preserve"> sodium 300 mg), </w:t>
      </w:r>
      <w:r>
        <w:rPr>
          <w:color w:val="000000"/>
        </w:rPr>
        <w:t xml:space="preserve">packaged in a </w:t>
      </w:r>
      <w:r>
        <w:t xml:space="preserve">carton with pack size of one. </w:t>
      </w:r>
      <w:r w:rsidRPr="006B2E8B">
        <w:t>The finished product specifications are sufficient to ensure the quality of the finished product at release and throughout the shelf-life.</w:t>
      </w:r>
      <w:r>
        <w:t xml:space="preserve"> The </w:t>
      </w:r>
      <w:proofErr w:type="gramStart"/>
      <w:r>
        <w:t>long term</w:t>
      </w:r>
      <w:proofErr w:type="gramEnd"/>
      <w:r>
        <w:t xml:space="preserve"> stability data </w:t>
      </w:r>
      <w:r w:rsidRPr="00EB3FD4">
        <w:t xml:space="preserve">support </w:t>
      </w:r>
      <w:r>
        <w:t>a</w:t>
      </w:r>
      <w:r w:rsidRPr="00EB3FD4">
        <w:t xml:space="preserve"> shelf</w:t>
      </w:r>
      <w:r w:rsidR="00B35FEB">
        <w:t xml:space="preserve"> </w:t>
      </w:r>
      <w:r w:rsidRPr="00EB3FD4">
        <w:t xml:space="preserve">life of </w:t>
      </w:r>
      <w:r>
        <w:t>24</w:t>
      </w:r>
      <w:r w:rsidRPr="00EB3FD4">
        <w:t xml:space="preserve"> months when stored below </w:t>
      </w:r>
      <w:r>
        <w:t>25</w:t>
      </w:r>
      <w:r>
        <w:rPr>
          <w:rFonts w:ascii="Symbol" w:eastAsia="Symbol" w:hAnsi="Symbol" w:cs="Symbol"/>
        </w:rPr>
        <w:t></w:t>
      </w:r>
      <w:r>
        <w:t>C.</w:t>
      </w:r>
    </w:p>
    <w:p w14:paraId="65C37CD4" w14:textId="6D63EF33" w:rsidR="00352E20" w:rsidRDefault="00352E20" w:rsidP="00352E20">
      <w:r w:rsidRPr="00E36CAD">
        <w:t>The Product Information</w:t>
      </w:r>
      <w:r>
        <w:t xml:space="preserve"> (PI)</w:t>
      </w:r>
      <w:r w:rsidRPr="00E36CAD">
        <w:t xml:space="preserve"> and labels are acceptable from a pharmaceutical chemistry perspective. </w:t>
      </w:r>
      <w:r w:rsidR="0063753D" w:rsidRPr="0063753D">
        <w:t xml:space="preserve">Good Manufacturing Practice </w:t>
      </w:r>
      <w:r w:rsidR="0063753D">
        <w:t>(G</w:t>
      </w:r>
      <w:r w:rsidRPr="00E36CAD">
        <w:t>MP</w:t>
      </w:r>
      <w:r w:rsidR="0063753D">
        <w:t>)</w:t>
      </w:r>
      <w:r w:rsidRPr="00E36CAD">
        <w:t xml:space="preserve"> clearance is valid at all manufacturing sites.</w:t>
      </w:r>
    </w:p>
    <w:p w14:paraId="7502B5C3" w14:textId="600305B2" w:rsidR="00352E20" w:rsidRDefault="00352E20" w:rsidP="00352E20">
      <w:r w:rsidRPr="00E36CAD">
        <w:t>There is no objection to approval from a pharmaceutical chemistry perspective.</w:t>
      </w:r>
    </w:p>
    <w:p w14:paraId="743A69C7" w14:textId="77777777" w:rsidR="008E7846" w:rsidRDefault="008E7846" w:rsidP="008E7846">
      <w:pPr>
        <w:pStyle w:val="Heading3"/>
      </w:pPr>
      <w:bookmarkStart w:id="36" w:name="_Toc314842512"/>
      <w:bookmarkStart w:id="37" w:name="_Toc99632916"/>
      <w:r>
        <w:t>Nonclinical</w:t>
      </w:r>
      <w:bookmarkEnd w:id="36"/>
      <w:bookmarkEnd w:id="37"/>
    </w:p>
    <w:p w14:paraId="2F265491" w14:textId="053772C4" w:rsidR="00352E20" w:rsidRDefault="00352E20" w:rsidP="00352E20">
      <w:r>
        <w:t>The pharmacology, pharmacokinetics</w:t>
      </w:r>
      <w:r w:rsidR="002C12A7">
        <w:t xml:space="preserve"> (PK)</w:t>
      </w:r>
      <w:r>
        <w:t xml:space="preserve">, safety pharmacology, and toxicology of </w:t>
      </w:r>
      <w:proofErr w:type="spellStart"/>
      <w:r>
        <w:t>inclisiran</w:t>
      </w:r>
      <w:proofErr w:type="spellEnd"/>
      <w:r>
        <w:t xml:space="preserve"> were evaluated in </w:t>
      </w:r>
      <w:r w:rsidRPr="00352E20">
        <w:rPr>
          <w:i/>
          <w:iCs/>
        </w:rPr>
        <w:t>in</w:t>
      </w:r>
      <w:r w:rsidR="00057537">
        <w:rPr>
          <w:i/>
          <w:iCs/>
        </w:rPr>
        <w:t xml:space="preserve"> </w:t>
      </w:r>
      <w:r w:rsidRPr="00352E20">
        <w:rPr>
          <w:i/>
          <w:iCs/>
        </w:rPr>
        <w:t>vitro</w:t>
      </w:r>
      <w:r>
        <w:t xml:space="preserve"> and </w:t>
      </w:r>
      <w:r w:rsidRPr="00352E20">
        <w:rPr>
          <w:i/>
          <w:iCs/>
        </w:rPr>
        <w:t>in</w:t>
      </w:r>
      <w:r w:rsidR="00057537">
        <w:rPr>
          <w:i/>
          <w:iCs/>
        </w:rPr>
        <w:t xml:space="preserve"> </w:t>
      </w:r>
      <w:r w:rsidRPr="00352E20">
        <w:rPr>
          <w:i/>
          <w:iCs/>
        </w:rPr>
        <w:t>vivo</w:t>
      </w:r>
      <w:r>
        <w:t xml:space="preserve"> nonclinical studies, consistent with regulatory guidance.</w:t>
      </w:r>
    </w:p>
    <w:p w14:paraId="6C87076E" w14:textId="1C996E66" w:rsidR="00352E20" w:rsidRDefault="00352E20" w:rsidP="00352E20">
      <w:r>
        <w:t xml:space="preserve">Absolute bioavailability of subcutaneous </w:t>
      </w:r>
      <w:proofErr w:type="spellStart"/>
      <w:r>
        <w:t>inclisiran</w:t>
      </w:r>
      <w:proofErr w:type="spellEnd"/>
      <w:r>
        <w:t xml:space="preserve"> in rats and monkeys was 48.9% and 29.3%, respectively. </w:t>
      </w:r>
      <w:proofErr w:type="spellStart"/>
      <w:r>
        <w:t>Inclisiran</w:t>
      </w:r>
      <w:proofErr w:type="spellEnd"/>
      <w:r>
        <w:t xml:space="preserve"> maximum concentration (</w:t>
      </w:r>
      <w:proofErr w:type="spellStart"/>
      <w:r>
        <w:t>C</w:t>
      </w:r>
      <w:r w:rsidRPr="00352E20">
        <w:rPr>
          <w:vertAlign w:val="subscript"/>
        </w:rPr>
        <w:t>max</w:t>
      </w:r>
      <w:proofErr w:type="spellEnd"/>
      <w:r>
        <w:t>)</w:t>
      </w:r>
      <w:r>
        <w:rPr>
          <w:vertAlign w:val="subscript"/>
        </w:rPr>
        <w:t xml:space="preserve"> </w:t>
      </w:r>
      <w:r>
        <w:t xml:space="preserve">and </w:t>
      </w:r>
      <w:r w:rsidR="00F930C5">
        <w:t>a</w:t>
      </w:r>
      <w:r w:rsidR="00F930C5" w:rsidRPr="00F930C5">
        <w:t xml:space="preserve">rea under the concentration time curve from time zero to </w:t>
      </w:r>
      <w:r w:rsidR="00F930C5">
        <w:t>last measurable concentration (</w:t>
      </w:r>
      <w:r>
        <w:t>AUC</w:t>
      </w:r>
      <w:r w:rsidRPr="00352E20">
        <w:rPr>
          <w:vertAlign w:val="subscript"/>
        </w:rPr>
        <w:t>0-t</w:t>
      </w:r>
      <w:r w:rsidR="00F930C5">
        <w:t xml:space="preserve">) </w:t>
      </w:r>
      <w:r>
        <w:t>increased in an approximately dose</w:t>
      </w:r>
      <w:r w:rsidR="00F930C5">
        <w:t xml:space="preserve"> </w:t>
      </w:r>
      <w:r>
        <w:t xml:space="preserve">proportional manner in both species after </w:t>
      </w:r>
      <w:r w:rsidR="00F930C5">
        <w:t>subcutaneous</w:t>
      </w:r>
      <w:r>
        <w:t xml:space="preserve"> dosing. The</w:t>
      </w:r>
      <w:r w:rsidR="00F930C5" w:rsidRPr="00F930C5">
        <w:t xml:space="preserve"> </w:t>
      </w:r>
      <w:r w:rsidR="00A73732">
        <w:t>time of</w:t>
      </w:r>
      <w:r w:rsidR="00F930C5" w:rsidRPr="00F930C5">
        <w:t xml:space="preserve"> maximum concentration in serum </w:t>
      </w:r>
      <w:r w:rsidR="00F930C5">
        <w:t>(</w:t>
      </w:r>
      <w:proofErr w:type="spellStart"/>
      <w:r>
        <w:t>T</w:t>
      </w:r>
      <w:r w:rsidRPr="00F930C5">
        <w:rPr>
          <w:vertAlign w:val="subscript"/>
        </w:rPr>
        <w:t>max</w:t>
      </w:r>
      <w:proofErr w:type="spellEnd"/>
      <w:r w:rsidR="00F930C5">
        <w:t xml:space="preserve">) </w:t>
      </w:r>
      <w:r>
        <w:t xml:space="preserve">in rats and monkeys was approximately </w:t>
      </w:r>
      <w:r w:rsidR="00F930C5">
        <w:t>one</w:t>
      </w:r>
      <w:r>
        <w:t xml:space="preserve"> hour and </w:t>
      </w:r>
      <w:r w:rsidR="00F930C5">
        <w:t>two</w:t>
      </w:r>
      <w:r>
        <w:t xml:space="preserve"> hours, respectively, and the elimination </w:t>
      </w:r>
      <w:r w:rsidR="007C3060">
        <w:t>half-life</w:t>
      </w:r>
      <w:r>
        <w:t xml:space="preserve"> ranged from 0.9 hours to 1.7 hours in rats and from </w:t>
      </w:r>
      <w:r w:rsidR="00DB67CA">
        <w:t>1.9</w:t>
      </w:r>
      <w:r>
        <w:t xml:space="preserve"> hours to 4.3 hours in monkeys. At 0.5 </w:t>
      </w:r>
      <w:proofErr w:type="spellStart"/>
      <w:r>
        <w:t>μg</w:t>
      </w:r>
      <w:proofErr w:type="spellEnd"/>
      <w:r>
        <w:t xml:space="preserve">/mL (approximate human </w:t>
      </w:r>
      <w:proofErr w:type="spellStart"/>
      <w:r>
        <w:t>C</w:t>
      </w:r>
      <w:r w:rsidRPr="00F930C5">
        <w:rPr>
          <w:vertAlign w:val="subscript"/>
        </w:rPr>
        <w:t>max</w:t>
      </w:r>
      <w:proofErr w:type="spellEnd"/>
      <w:r>
        <w:t>), plasma protein binding was similar between species, ranging from 87.4% for human plasma to 93.1% for rat plasma. There were no gender differences in PK parameters.</w:t>
      </w:r>
    </w:p>
    <w:p w14:paraId="1334EF1D" w14:textId="74CF7CDB" w:rsidR="00352E20" w:rsidRDefault="00352E20" w:rsidP="00352E20">
      <w:proofErr w:type="spellStart"/>
      <w:r>
        <w:t>Inclisiran</w:t>
      </w:r>
      <w:proofErr w:type="spellEnd"/>
      <w:r>
        <w:t xml:space="preserve"> has a </w:t>
      </w:r>
      <w:proofErr w:type="spellStart"/>
      <w:r>
        <w:t>GalNAc</w:t>
      </w:r>
      <w:proofErr w:type="spellEnd"/>
      <w:r>
        <w:t xml:space="preserve"> linker to target uptake by hepatocytes. In tissue distribution studies in rats and monkeys, the highest levels of radioactivity were generally associated with the liver, the target organ of efficacy, and kidney, the primary route of elimination from plasma.</w:t>
      </w:r>
    </w:p>
    <w:p w14:paraId="70C5F197" w14:textId="452D0915" w:rsidR="00352E20" w:rsidRDefault="00352E20" w:rsidP="00352E20">
      <w:proofErr w:type="spellStart"/>
      <w:r>
        <w:t>Inclisiran</w:t>
      </w:r>
      <w:proofErr w:type="spellEnd"/>
      <w:r>
        <w:t xml:space="preserve"> exhibited potent and dose</w:t>
      </w:r>
      <w:r w:rsidR="002C12A7">
        <w:t xml:space="preserve"> </w:t>
      </w:r>
      <w:r>
        <w:t>dependent pharmacologic activity when administered</w:t>
      </w:r>
      <w:r w:rsidR="002C12A7">
        <w:t xml:space="preserve"> subcutaneously</w:t>
      </w:r>
      <w:r>
        <w:t xml:space="preserve">, resulting in reduction in circulating PCSK9 protein and serum LDL-C in monkeys. Following administration of a single maximal effective dose of </w:t>
      </w:r>
      <w:proofErr w:type="spellStart"/>
      <w:r>
        <w:t>inclisiran</w:t>
      </w:r>
      <w:proofErr w:type="spellEnd"/>
      <w:r>
        <w:t xml:space="preserve"> to monkeys, there was a sustained reduction in PCSK9 protein and LDL-C levels for up to 100</w:t>
      </w:r>
      <w:r w:rsidR="00A73732">
        <w:t> </w:t>
      </w:r>
      <w:r>
        <w:t xml:space="preserve">days post dose, even though </w:t>
      </w:r>
      <w:proofErr w:type="spellStart"/>
      <w:r>
        <w:t>inclisiran</w:t>
      </w:r>
      <w:proofErr w:type="spellEnd"/>
      <w:r>
        <w:t xml:space="preserve"> plasma levels were undetectable within approximately 24 hours of administration. Steady</w:t>
      </w:r>
      <w:r w:rsidR="002C12A7">
        <w:t xml:space="preserve"> </w:t>
      </w:r>
      <w:r>
        <w:t xml:space="preserve">state PCSK9 and LDL-C reduction were demonstrated following several different repeat dose regimens with no evidence of tachyphylaxis. The combination of </w:t>
      </w:r>
      <w:proofErr w:type="spellStart"/>
      <w:r>
        <w:t>inclisiran</w:t>
      </w:r>
      <w:proofErr w:type="spellEnd"/>
      <w:r>
        <w:t xml:space="preserve"> and atorvastatin had an additive effect on lipid parameters in monkeys.</w:t>
      </w:r>
    </w:p>
    <w:p w14:paraId="74D227B0" w14:textId="7987104C" w:rsidR="00352E20" w:rsidRDefault="00352E20" w:rsidP="00352E20">
      <w:proofErr w:type="spellStart"/>
      <w:r>
        <w:t>Inclisiran</w:t>
      </w:r>
      <w:proofErr w:type="spellEnd"/>
      <w:r>
        <w:t xml:space="preserve"> was not extensively metabolised in rats and monkeys. Renal excretion was the primary route of elimination from plasma with approximately 29% and 32% of the administered dose of </w:t>
      </w:r>
      <w:proofErr w:type="spellStart"/>
      <w:r>
        <w:t>inclisiran</w:t>
      </w:r>
      <w:proofErr w:type="spellEnd"/>
      <w:r>
        <w:t xml:space="preserve"> recovered in the urine of rats and monkeys, respectively, over a </w:t>
      </w:r>
      <w:proofErr w:type="gramStart"/>
      <w:r w:rsidR="002C12A7">
        <w:t xml:space="preserve">seven </w:t>
      </w:r>
      <w:r>
        <w:t>day</w:t>
      </w:r>
      <w:proofErr w:type="gramEnd"/>
      <w:r>
        <w:t xml:space="preserve"> period.</w:t>
      </w:r>
    </w:p>
    <w:p w14:paraId="3D497244" w14:textId="7F972828" w:rsidR="00352E20" w:rsidRDefault="00352E20" w:rsidP="00352E20">
      <w:r>
        <w:lastRenderedPageBreak/>
        <w:t xml:space="preserve">No clinically relevant organ system hazards were identified in the safety pharmacology studies. In a safety pharmacology study conducted in monkeys, </w:t>
      </w:r>
      <w:proofErr w:type="spellStart"/>
      <w:r>
        <w:t>inclisiran</w:t>
      </w:r>
      <w:proofErr w:type="spellEnd"/>
      <w:r>
        <w:t xml:space="preserve"> had no immediate or delayed effects on </w:t>
      </w:r>
      <w:r w:rsidR="002C12A7" w:rsidRPr="002C12A7">
        <w:t>electrocardiogram</w:t>
      </w:r>
      <w:r>
        <w:t xml:space="preserve"> parameters, haemodynamic parameters, respiration rate, or body temperature.</w:t>
      </w:r>
      <w:r w:rsidR="002179A7">
        <w:t xml:space="preserve"> </w:t>
      </w:r>
      <w:r>
        <w:t xml:space="preserve">No </w:t>
      </w:r>
      <w:proofErr w:type="spellStart"/>
      <w:r>
        <w:t>inclisiran</w:t>
      </w:r>
      <w:proofErr w:type="spellEnd"/>
      <w:r w:rsidR="002C12A7">
        <w:t xml:space="preserve"> </w:t>
      </w:r>
      <w:r>
        <w:t xml:space="preserve">related </w:t>
      </w:r>
      <w:proofErr w:type="spellStart"/>
      <w:r>
        <w:t>neurobehavioural</w:t>
      </w:r>
      <w:proofErr w:type="spellEnd"/>
      <w:r>
        <w:t xml:space="preserve"> observations were reported in repeat dose toxicity studies (</w:t>
      </w:r>
      <w:proofErr w:type="gramStart"/>
      <w:r w:rsidR="006819D1">
        <w:t>4</w:t>
      </w:r>
      <w:r w:rsidR="002C12A7">
        <w:t xml:space="preserve"> </w:t>
      </w:r>
      <w:r>
        <w:t>week</w:t>
      </w:r>
      <w:proofErr w:type="gramEnd"/>
      <w:r>
        <w:t>, 15</w:t>
      </w:r>
      <w:r w:rsidR="002C12A7">
        <w:t xml:space="preserve"> </w:t>
      </w:r>
      <w:r>
        <w:t>week and 40</w:t>
      </w:r>
      <w:r w:rsidR="002C12A7">
        <w:t xml:space="preserve"> </w:t>
      </w:r>
      <w:r>
        <w:t>week) in cynomolgus monkeys.</w:t>
      </w:r>
    </w:p>
    <w:p w14:paraId="45B160C3" w14:textId="10A936F6" w:rsidR="00352E20" w:rsidRDefault="00352E20" w:rsidP="00352E20">
      <w:proofErr w:type="spellStart"/>
      <w:r>
        <w:t>Inclisiran</w:t>
      </w:r>
      <w:proofErr w:type="spellEnd"/>
      <w:r>
        <w:t xml:space="preserve"> was well tolerated in all toxicity studies and there were no dose</w:t>
      </w:r>
      <w:r w:rsidR="002C12A7">
        <w:t xml:space="preserve"> </w:t>
      </w:r>
      <w:r>
        <w:t xml:space="preserve">limiting toxicities. The exposure safety margins are high and adequate based on </w:t>
      </w:r>
      <w:proofErr w:type="spellStart"/>
      <w:r>
        <w:t>C</w:t>
      </w:r>
      <w:r w:rsidRPr="002C12A7">
        <w:rPr>
          <w:vertAlign w:val="subscript"/>
        </w:rPr>
        <w:t>max</w:t>
      </w:r>
      <w:proofErr w:type="spellEnd"/>
      <w:r>
        <w:t xml:space="preserve"> and </w:t>
      </w:r>
      <w:r w:rsidR="002C12A7">
        <w:t>area under time concentration curve (</w:t>
      </w:r>
      <w:r>
        <w:t>AUC</w:t>
      </w:r>
      <w:r w:rsidR="002C12A7">
        <w:t>)</w:t>
      </w:r>
      <w:r>
        <w:t xml:space="preserve"> in rats and monkeys, in the context of the proposed dose in humans. The most common findings were related to the pharmacologic effects of </w:t>
      </w:r>
      <w:proofErr w:type="spellStart"/>
      <w:r>
        <w:t>inclisiran</w:t>
      </w:r>
      <w:proofErr w:type="spellEnd"/>
      <w:r>
        <w:t xml:space="preserve"> on lipid profiles. </w:t>
      </w:r>
      <w:proofErr w:type="spellStart"/>
      <w:r>
        <w:t>Inclisiran</w:t>
      </w:r>
      <w:proofErr w:type="spellEnd"/>
      <w:r>
        <w:t xml:space="preserve"> was well tolerated at injection sites with mild occurrences of erythema and/or oedema that resolved during the recovery periods.</w:t>
      </w:r>
    </w:p>
    <w:p w14:paraId="40D9EC4F" w14:textId="49AFC41A" w:rsidR="00352E20" w:rsidRDefault="00352E20" w:rsidP="00352E20">
      <w:proofErr w:type="spellStart"/>
      <w:r>
        <w:t>Inclisiran</w:t>
      </w:r>
      <w:proofErr w:type="spellEnd"/>
      <w:r>
        <w:t xml:space="preserve"> did not exhibit any appreciable activity against </w:t>
      </w:r>
      <w:r w:rsidR="002C12A7">
        <w:t>cytochrome c</w:t>
      </w:r>
      <w:r>
        <w:t xml:space="preserve"> isozymes or efflux and uptake transporters, so drug interaction potential is considered negligible.</w:t>
      </w:r>
    </w:p>
    <w:p w14:paraId="034B79E1" w14:textId="61D96352" w:rsidR="00352E20" w:rsidRDefault="00352E20" w:rsidP="00352E20">
      <w:proofErr w:type="gramStart"/>
      <w:r>
        <w:t>With regard to</w:t>
      </w:r>
      <w:proofErr w:type="gramEnd"/>
      <w:r>
        <w:t xml:space="preserve"> potential off</w:t>
      </w:r>
      <w:r w:rsidR="001349ED">
        <w:noBreakHyphen/>
      </w:r>
      <w:r>
        <w:t xml:space="preserve">target activity, an analysis was performed to identify a set of transcripts that may potentially be inhibited by the antisense strand of </w:t>
      </w:r>
      <w:proofErr w:type="spellStart"/>
      <w:r>
        <w:t>inclisiran</w:t>
      </w:r>
      <w:proofErr w:type="spellEnd"/>
      <w:r>
        <w:t xml:space="preserve">. Twenty genes were identified whose expression may be impacted by </w:t>
      </w:r>
      <w:proofErr w:type="spellStart"/>
      <w:r>
        <w:t>inclisiran</w:t>
      </w:r>
      <w:proofErr w:type="spellEnd"/>
      <w:r>
        <w:t>. Of these 20 genes, two are not expressed in the liver</w:t>
      </w:r>
      <w:r w:rsidR="00EB7C8A">
        <w:t>.</w:t>
      </w:r>
      <w:r>
        <w:t xml:space="preserve"> To measure off</w:t>
      </w:r>
      <w:r w:rsidR="002C12A7">
        <w:t xml:space="preserve"> </w:t>
      </w:r>
      <w:r>
        <w:t xml:space="preserve">target inhibition, the response of endogenously expressed transcripts to </w:t>
      </w:r>
      <w:proofErr w:type="spellStart"/>
      <w:r>
        <w:t>inclisiran</w:t>
      </w:r>
      <w:proofErr w:type="spellEnd"/>
      <w:r>
        <w:t xml:space="preserve"> was determined by </w:t>
      </w:r>
      <w:r w:rsidR="002C12A7" w:rsidRPr="002C12A7">
        <w:t xml:space="preserve">quantitative polymerase chain reaction </w:t>
      </w:r>
      <w:r w:rsidR="002C12A7">
        <w:t>(</w:t>
      </w:r>
      <w:r>
        <w:t>qPCR</w:t>
      </w:r>
      <w:r w:rsidR="002C12A7">
        <w:t>)</w:t>
      </w:r>
      <w:r>
        <w:t xml:space="preserve"> in a dose response study in Hep3B</w:t>
      </w:r>
      <w:r w:rsidR="002C12A7">
        <w:t>;</w:t>
      </w:r>
      <w:r w:rsidR="002C12A7">
        <w:rPr>
          <w:rStyle w:val="FootnoteReference"/>
        </w:rPr>
        <w:footnoteReference w:id="6"/>
      </w:r>
      <w:r>
        <w:t xml:space="preserve"> cells.</w:t>
      </w:r>
      <w:r w:rsidR="002C12A7">
        <w:t xml:space="preserve"> </w:t>
      </w:r>
      <w:r>
        <w:t xml:space="preserve">The results indicated a ≥ </w:t>
      </w:r>
      <w:proofErr w:type="gramStart"/>
      <w:r>
        <w:t>45</w:t>
      </w:r>
      <w:r w:rsidR="002C12A7">
        <w:t xml:space="preserve"> </w:t>
      </w:r>
      <w:r>
        <w:t>fold</w:t>
      </w:r>
      <w:proofErr w:type="gramEnd"/>
      <w:r>
        <w:t xml:space="preserve"> difference between the </w:t>
      </w:r>
      <w:r w:rsidR="002C12A7">
        <w:t>‘</w:t>
      </w:r>
      <w:r>
        <w:t>on-target</w:t>
      </w:r>
      <w:r w:rsidR="002C12A7">
        <w:t>’</w:t>
      </w:r>
      <w:r>
        <w:t xml:space="preserve"> inhibition of PCSK9 and the inhibition of any of the predicted off</w:t>
      </w:r>
      <w:r w:rsidR="001349ED">
        <w:noBreakHyphen/>
      </w:r>
      <w:r>
        <w:t xml:space="preserve">target transcripts, confirming the specificity of </w:t>
      </w:r>
      <w:proofErr w:type="spellStart"/>
      <w:r>
        <w:t>inclisiran</w:t>
      </w:r>
      <w:proofErr w:type="spellEnd"/>
      <w:r>
        <w:t xml:space="preserve"> for PCSK9. Potential off</w:t>
      </w:r>
      <w:r w:rsidR="001349ED">
        <w:noBreakHyphen/>
      </w:r>
      <w:r>
        <w:t xml:space="preserve">target interactions due to the </w:t>
      </w:r>
      <w:proofErr w:type="spellStart"/>
      <w:r>
        <w:t>GalNAc</w:t>
      </w:r>
      <w:proofErr w:type="spellEnd"/>
      <w:r>
        <w:t xml:space="preserve"> linker have not been comprehensively investigated. Off</w:t>
      </w:r>
      <w:r w:rsidR="001349ED">
        <w:noBreakHyphen/>
      </w:r>
      <w:r>
        <w:t xml:space="preserve">target activity of </w:t>
      </w:r>
      <w:proofErr w:type="spellStart"/>
      <w:r>
        <w:t>GalNAc</w:t>
      </w:r>
      <w:proofErr w:type="spellEnd"/>
      <w:r>
        <w:t xml:space="preserve"> to another receptor, </w:t>
      </w:r>
      <w:r w:rsidR="002C12A7" w:rsidRPr="002C12A7">
        <w:t>C</w:t>
      </w:r>
      <w:r w:rsidR="001349ED">
        <w:noBreakHyphen/>
      </w:r>
      <w:r w:rsidR="002C12A7" w:rsidRPr="002C12A7">
        <w:t xml:space="preserve">type lectin domain family 10 member A </w:t>
      </w:r>
      <w:r w:rsidR="002C12A7">
        <w:t>(</w:t>
      </w:r>
      <w:r>
        <w:t>CLEC10A</w:t>
      </w:r>
      <w:r w:rsidR="002C12A7">
        <w:t>)</w:t>
      </w:r>
      <w:r>
        <w:t>, may have contributed to effects on macrophages seen in toxicity studies.</w:t>
      </w:r>
    </w:p>
    <w:p w14:paraId="018F64CA" w14:textId="1652B5C9" w:rsidR="00352E20" w:rsidRDefault="00352E20" w:rsidP="00352E20">
      <w:proofErr w:type="spellStart"/>
      <w:r>
        <w:t>Inclisiran</w:t>
      </w:r>
      <w:proofErr w:type="spellEnd"/>
      <w:r>
        <w:t xml:space="preserve"> did not show positive signals for selective reproductive toxicity in fertility and early embryonic development studies conducted in rats, embryo-</w:t>
      </w:r>
      <w:proofErr w:type="spellStart"/>
      <w:r>
        <w:t>fetal</w:t>
      </w:r>
      <w:proofErr w:type="spellEnd"/>
      <w:r>
        <w:t xml:space="preserve"> development studies conducted in rats and rabbits, and a pre- and post-natal development study conducted in rats. The proposed pregnancy category (B1) is acceptable.</w:t>
      </w:r>
      <w:r w:rsidR="002C12A7">
        <w:rPr>
          <w:rStyle w:val="FootnoteReference"/>
        </w:rPr>
        <w:footnoteReference w:id="7"/>
      </w:r>
      <w:r>
        <w:t xml:space="preserve"> Milk transfer was demonstrated in rats, but due to the poor oral absorption of oligonucleotides, plasma levels of </w:t>
      </w:r>
      <w:proofErr w:type="spellStart"/>
      <w:r>
        <w:t>inclisiran</w:t>
      </w:r>
      <w:proofErr w:type="spellEnd"/>
      <w:r>
        <w:t xml:space="preserve"> in pups were below the level of detection.</w:t>
      </w:r>
    </w:p>
    <w:p w14:paraId="751A47C3" w14:textId="5E1ADC5A" w:rsidR="00352E20" w:rsidRDefault="00352E20" w:rsidP="00352E20">
      <w:proofErr w:type="spellStart"/>
      <w:r>
        <w:t>Inclisiran</w:t>
      </w:r>
      <w:proofErr w:type="spellEnd"/>
      <w:r>
        <w:t xml:space="preserve"> did not induce gene mutations or chromosomal damage in genotoxicity </w:t>
      </w:r>
      <w:r w:rsidR="002C12A7">
        <w:t>studies and</w:t>
      </w:r>
      <w:r>
        <w:t xml:space="preserve"> is not considered genotoxic. </w:t>
      </w:r>
      <w:proofErr w:type="spellStart"/>
      <w:r>
        <w:t>Inclisiran</w:t>
      </w:r>
      <w:proofErr w:type="spellEnd"/>
      <w:r>
        <w:t xml:space="preserve"> was non-carcinogenic in a </w:t>
      </w:r>
      <w:proofErr w:type="gramStart"/>
      <w:r>
        <w:t>six</w:t>
      </w:r>
      <w:r w:rsidR="002C12A7">
        <w:t xml:space="preserve"> </w:t>
      </w:r>
      <w:r>
        <w:t>month</w:t>
      </w:r>
      <w:proofErr w:type="gramEnd"/>
      <w:r>
        <w:t xml:space="preserve"> study conducted in mice and a two</w:t>
      </w:r>
      <w:r w:rsidR="002C12A7">
        <w:t xml:space="preserve"> </w:t>
      </w:r>
      <w:r>
        <w:t>year study conducted in rats.</w:t>
      </w:r>
    </w:p>
    <w:p w14:paraId="691F9913" w14:textId="3BB3A881" w:rsidR="00352E20" w:rsidRDefault="00352E20" w:rsidP="00006FAB">
      <w:r>
        <w:t>There is no objection to approval from a nonclinical perspective.</w:t>
      </w:r>
    </w:p>
    <w:p w14:paraId="1AA36A41" w14:textId="77777777" w:rsidR="008E7846" w:rsidRDefault="008E7846" w:rsidP="008E7846">
      <w:pPr>
        <w:pStyle w:val="Heading3"/>
      </w:pPr>
      <w:bookmarkStart w:id="38" w:name="_Toc247691530"/>
      <w:bookmarkStart w:id="39" w:name="_Toc314842513"/>
      <w:bookmarkStart w:id="40" w:name="_Toc99632917"/>
      <w:r>
        <w:t>Clinical</w:t>
      </w:r>
      <w:bookmarkEnd w:id="38"/>
      <w:bookmarkEnd w:id="39"/>
      <w:bookmarkEnd w:id="40"/>
    </w:p>
    <w:p w14:paraId="62318935" w14:textId="32A81883" w:rsidR="004A1A66" w:rsidRDefault="004A1A66" w:rsidP="004A1A66">
      <w:bookmarkStart w:id="41" w:name="_Toc314842514"/>
      <w:r>
        <w:t>The clinical development program was conducted in accordance with the TGA adopted CHMP Guideline on clinical investigation of medicinal products in the treatment of lipid disorders.</w:t>
      </w:r>
      <w:bookmarkStart w:id="42" w:name="_Ref97885810"/>
      <w:r w:rsidR="00F90FE7">
        <w:rPr>
          <w:rStyle w:val="FootnoteReference"/>
        </w:rPr>
        <w:footnoteReference w:id="8"/>
      </w:r>
      <w:bookmarkEnd w:id="42"/>
    </w:p>
    <w:p w14:paraId="2169B1F6" w14:textId="15C74007" w:rsidR="004A1A66" w:rsidRDefault="004A1A66" w:rsidP="004A1A66">
      <w:r>
        <w:lastRenderedPageBreak/>
        <w:t>The clinical dossier consisted of four Phase I studies, three Phase II studies, and three confirmatory Phase III studies (</w:t>
      </w:r>
      <w:r w:rsidR="00F052DD">
        <w:fldChar w:fldCharType="begin"/>
      </w:r>
      <w:r w:rsidR="00F052DD">
        <w:instrText xml:space="preserve"> REF _Ref96349639 \h </w:instrText>
      </w:r>
      <w:r w:rsidR="00F052DD">
        <w:fldChar w:fldCharType="separate"/>
      </w:r>
      <w:r w:rsidR="002C4E0E" w:rsidRPr="00F90FE7">
        <w:t xml:space="preserve">Table </w:t>
      </w:r>
      <w:r w:rsidR="002C4E0E">
        <w:rPr>
          <w:noProof/>
        </w:rPr>
        <w:t>2</w:t>
      </w:r>
      <w:r w:rsidR="00F052DD">
        <w:fldChar w:fldCharType="end"/>
      </w:r>
      <w:r>
        <w:t>).</w:t>
      </w:r>
    </w:p>
    <w:p w14:paraId="388BB0F7" w14:textId="6F77928C" w:rsidR="00F90FE7" w:rsidRDefault="00F90FE7" w:rsidP="00F90FE7">
      <w:pPr>
        <w:pStyle w:val="TableTitle"/>
      </w:pPr>
      <w:bookmarkStart w:id="43" w:name="_Ref96349639"/>
      <w:r w:rsidRPr="00F90FE7">
        <w:t xml:space="preserve">Table </w:t>
      </w:r>
      <w:r>
        <w:fldChar w:fldCharType="begin"/>
      </w:r>
      <w:r>
        <w:instrText>SEQ Table \* ARABIC</w:instrText>
      </w:r>
      <w:r>
        <w:fldChar w:fldCharType="separate"/>
      </w:r>
      <w:r w:rsidR="002C4E0E">
        <w:rPr>
          <w:noProof/>
        </w:rPr>
        <w:t>2</w:t>
      </w:r>
      <w:r>
        <w:fldChar w:fldCharType="end"/>
      </w:r>
      <w:bookmarkEnd w:id="43"/>
      <w:r>
        <w:t>: Summary of clinical studies</w:t>
      </w:r>
    </w:p>
    <w:p w14:paraId="389AC935" w14:textId="7894D0EA" w:rsidR="00F90FE7" w:rsidRDefault="00F90FE7" w:rsidP="00F90FE7">
      <w:r>
        <w:rPr>
          <w:noProof/>
          <w:lang w:val="en-GB" w:eastAsia="en-GB"/>
        </w:rPr>
        <w:drawing>
          <wp:inline distT="0" distB="0" distL="0" distR="0" wp14:anchorId="33B05CCB" wp14:editId="4430593F">
            <wp:extent cx="5303338" cy="4253501"/>
            <wp:effectExtent l="0" t="0" r="0" b="0"/>
            <wp:docPr id="2" name="Picture 2" descr="Summary of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mmary of clinical studies"/>
                    <pic:cNvPicPr/>
                  </pic:nvPicPr>
                  <pic:blipFill rotWithShape="1">
                    <a:blip r:embed="rId18"/>
                    <a:srcRect b="17605"/>
                    <a:stretch/>
                  </pic:blipFill>
                  <pic:spPr bwMode="auto">
                    <a:xfrm>
                      <a:off x="0" y="0"/>
                      <a:ext cx="5311808" cy="4260294"/>
                    </a:xfrm>
                    <a:prstGeom prst="rect">
                      <a:avLst/>
                    </a:prstGeom>
                    <a:ln>
                      <a:noFill/>
                    </a:ln>
                    <a:extLst>
                      <a:ext uri="{53640926-AAD7-44D8-BBD7-CCE9431645EC}">
                        <a14:shadowObscured xmlns:a14="http://schemas.microsoft.com/office/drawing/2010/main"/>
                      </a:ext>
                    </a:extLst>
                  </pic:spPr>
                </pic:pic>
              </a:graphicData>
            </a:graphic>
          </wp:inline>
        </w:drawing>
      </w:r>
    </w:p>
    <w:p w14:paraId="1C0AC98F" w14:textId="72B639AC" w:rsidR="00F052DD" w:rsidRDefault="00F052DD" w:rsidP="00F052DD">
      <w:pPr>
        <w:pStyle w:val="TableDescription"/>
      </w:pPr>
      <w:r w:rsidRPr="00F052DD">
        <w:t>††</w:t>
      </w:r>
      <w:r>
        <w:t xml:space="preserve"> Study is ongoing at this time and not included in the application</w:t>
      </w:r>
    </w:p>
    <w:p w14:paraId="53CF7817" w14:textId="5AC8B2CF" w:rsidR="00F052DD" w:rsidRDefault="00F052DD" w:rsidP="00F052DD">
      <w:pPr>
        <w:pStyle w:val="TableDescription"/>
      </w:pPr>
      <w:r>
        <w:t xml:space="preserve">* Subjects on placebo from ORION-1 trial were given </w:t>
      </w:r>
      <w:proofErr w:type="spellStart"/>
      <w:r>
        <w:t>evolovumab</w:t>
      </w:r>
      <w:proofErr w:type="spellEnd"/>
      <w:r>
        <w:t xml:space="preserve"> for the first year in ORION-3 trial</w:t>
      </w:r>
    </w:p>
    <w:p w14:paraId="6080A0F0" w14:textId="66F5F062" w:rsidR="00F052DD" w:rsidRPr="00F052DD" w:rsidRDefault="00F052DD" w:rsidP="00F052DD">
      <w:pPr>
        <w:pStyle w:val="TableDescription"/>
      </w:pPr>
      <w:r>
        <w:t xml:space="preserve">Abbreviations: ASCVD = atherosclerotic cardiovascular disease; CS = Canada; CVOT = cardiovascular outcomes trial; EU = European Union; </w:t>
      </w:r>
      <w:proofErr w:type="spellStart"/>
      <w:r>
        <w:t>HeFH</w:t>
      </w:r>
      <w:proofErr w:type="spellEnd"/>
      <w:r>
        <w:t xml:space="preserve"> = heterozygous familial hypercholesterolemia; </w:t>
      </w:r>
      <w:proofErr w:type="spellStart"/>
      <w:r>
        <w:t>HoFH</w:t>
      </w:r>
      <w:proofErr w:type="spellEnd"/>
      <w:r>
        <w:t xml:space="preserve"> = homozygous familial hypercholesterolemia; MAD = multiple ascending dose; NZ = New Zealand; QTc = corrected QT; SA = South Africa; SAD = single ascending dose; UKR = Ukraine; US = United States.</w:t>
      </w:r>
    </w:p>
    <w:p w14:paraId="6EDCFFEF" w14:textId="5895E3BB" w:rsidR="004A1A66" w:rsidRDefault="004A1A66" w:rsidP="004A1A66">
      <w:r>
        <w:t xml:space="preserve">There are also </w:t>
      </w:r>
      <w:r w:rsidR="00F052DD">
        <w:t>three</w:t>
      </w:r>
      <w:r>
        <w:t xml:space="preserve"> ongoing Phase III studies which were not presented in this application:</w:t>
      </w:r>
    </w:p>
    <w:p w14:paraId="2F535E4C" w14:textId="269EF25F" w:rsidR="004A1A66" w:rsidRDefault="002A6341" w:rsidP="00F052DD">
      <w:pPr>
        <w:pStyle w:val="ListBullet"/>
      </w:pPr>
      <w:r>
        <w:t xml:space="preserve">The </w:t>
      </w:r>
      <w:r w:rsidR="004A1A66">
        <w:t xml:space="preserve">ORION-8 </w:t>
      </w:r>
      <w:r w:rsidR="00F052DD">
        <w:t xml:space="preserve">trial </w:t>
      </w:r>
      <w:r w:rsidR="004A1A66">
        <w:t>is an ongoing long</w:t>
      </w:r>
      <w:r w:rsidR="00F052DD">
        <w:t xml:space="preserve"> </w:t>
      </w:r>
      <w:r w:rsidR="004A1A66">
        <w:t>term extension study for subjects enrolled in the Phase III studies, ORION-9</w:t>
      </w:r>
      <w:r w:rsidR="00F052DD">
        <w:t xml:space="preserve"> trial</w:t>
      </w:r>
      <w:r w:rsidR="004A1A66">
        <w:t>, ORION-10</w:t>
      </w:r>
      <w:r w:rsidR="00F052DD">
        <w:t xml:space="preserve"> </w:t>
      </w:r>
      <w:proofErr w:type="gramStart"/>
      <w:r w:rsidR="00F052DD">
        <w:t>trial</w:t>
      </w:r>
      <w:proofErr w:type="gramEnd"/>
      <w:r w:rsidR="00F052DD">
        <w:t xml:space="preserve"> </w:t>
      </w:r>
      <w:r w:rsidR="004A1A66">
        <w:t>and ORION-11</w:t>
      </w:r>
      <w:r w:rsidR="00F052DD">
        <w:t xml:space="preserve"> trial</w:t>
      </w:r>
      <w:r w:rsidR="004A1A66">
        <w:t xml:space="preserve">. ORION-8 </w:t>
      </w:r>
      <w:r w:rsidR="00F052DD">
        <w:t xml:space="preserve">trial </w:t>
      </w:r>
      <w:r w:rsidR="004A1A66">
        <w:t>commenced in April 2019 and the estimated completion date is December 2023.</w:t>
      </w:r>
    </w:p>
    <w:p w14:paraId="2C5567CC" w14:textId="69AF8FB6" w:rsidR="004A1A66" w:rsidRDefault="002A6341" w:rsidP="00F052DD">
      <w:pPr>
        <w:pStyle w:val="ListBullet"/>
      </w:pPr>
      <w:r>
        <w:t xml:space="preserve">The </w:t>
      </w:r>
      <w:r w:rsidR="004A1A66">
        <w:t>ORION-4</w:t>
      </w:r>
      <w:r w:rsidR="00F052DD">
        <w:t xml:space="preserve"> trial</w:t>
      </w:r>
      <w:r w:rsidR="004A1A66">
        <w:t xml:space="preserve"> is an ongoing Phase III randomised, placebo</w:t>
      </w:r>
      <w:r w:rsidR="00F052DD">
        <w:t xml:space="preserve"> </w:t>
      </w:r>
      <w:r w:rsidR="004A1A66">
        <w:t xml:space="preserve">controlled, cardiovascular outcomes trial of </w:t>
      </w:r>
      <w:proofErr w:type="spellStart"/>
      <w:r w:rsidR="004A1A66">
        <w:t>inclisiran</w:t>
      </w:r>
      <w:proofErr w:type="spellEnd"/>
      <w:r w:rsidR="004A1A66">
        <w:t xml:space="preserve"> v</w:t>
      </w:r>
      <w:r w:rsidR="00F052DD">
        <w:t>ersus</w:t>
      </w:r>
      <w:r w:rsidR="004A1A66">
        <w:t xml:space="preserve"> placebo in 15000 patients with ASCVD, which will inform </w:t>
      </w:r>
      <w:r w:rsidR="000E1E4A">
        <w:t>cardiovascula</w:t>
      </w:r>
      <w:r w:rsidR="005240E9">
        <w:t>r</w:t>
      </w:r>
      <w:r w:rsidR="004A1A66">
        <w:t xml:space="preserve"> and overall mortality. This study commenced in October 2018 and the estimated primary completion date is</w:t>
      </w:r>
      <w:r w:rsidR="005240E9">
        <w:t xml:space="preserve"> </w:t>
      </w:r>
      <w:r w:rsidR="00E07467">
        <w:t>December 2024</w:t>
      </w:r>
      <w:r w:rsidR="004A1A66">
        <w:t>.</w:t>
      </w:r>
      <w:r w:rsidR="00E07467">
        <w:rPr>
          <w:rStyle w:val="FootnoteReference"/>
        </w:rPr>
        <w:footnoteReference w:id="9"/>
      </w:r>
    </w:p>
    <w:p w14:paraId="58E89155" w14:textId="0F2921F2" w:rsidR="004A1A66" w:rsidRDefault="002A6341" w:rsidP="00F052DD">
      <w:pPr>
        <w:pStyle w:val="ListBullet"/>
      </w:pPr>
      <w:r>
        <w:t xml:space="preserve">The </w:t>
      </w:r>
      <w:r w:rsidR="004A1A66">
        <w:t xml:space="preserve">ORION-5 </w:t>
      </w:r>
      <w:r w:rsidR="00F052DD">
        <w:t xml:space="preserve">trial </w:t>
      </w:r>
      <w:r w:rsidR="004A1A66">
        <w:t>is an ongoing Phase III, randomised, two</w:t>
      </w:r>
      <w:r>
        <w:noBreakHyphen/>
      </w:r>
      <w:r w:rsidR="004A1A66">
        <w:t xml:space="preserve">part trial of </w:t>
      </w:r>
      <w:proofErr w:type="spellStart"/>
      <w:r w:rsidR="004A1A66">
        <w:t>inclisiran</w:t>
      </w:r>
      <w:proofErr w:type="spellEnd"/>
      <w:r w:rsidR="004A1A66">
        <w:t xml:space="preserve"> v</w:t>
      </w:r>
      <w:r w:rsidR="00F052DD">
        <w:t xml:space="preserve">ersus </w:t>
      </w:r>
      <w:r w:rsidR="004A1A66">
        <w:t xml:space="preserve">placebo in 56 subjects with </w:t>
      </w:r>
      <w:proofErr w:type="spellStart"/>
      <w:r w:rsidR="004A1A66">
        <w:t>HoFH</w:t>
      </w:r>
      <w:proofErr w:type="spellEnd"/>
      <w:r w:rsidR="004A1A66">
        <w:t>. This study commenced in February 2019 and the estimated completion date is September 2021.</w:t>
      </w:r>
    </w:p>
    <w:p w14:paraId="70EFF1CC" w14:textId="747F94E3" w:rsidR="00141E53" w:rsidRDefault="00141E53" w:rsidP="00141E53">
      <w:pPr>
        <w:pStyle w:val="Heading4"/>
      </w:pPr>
      <w:r>
        <w:lastRenderedPageBreak/>
        <w:t>Pharmacology</w:t>
      </w:r>
    </w:p>
    <w:p w14:paraId="401C0829" w14:textId="402A4F63" w:rsidR="00141E53" w:rsidRDefault="00141E53" w:rsidP="00141E53">
      <w:r>
        <w:t>The clinical pharmacology program evaluated the safety, tolerability, PK, and pharmacodynamic</w:t>
      </w:r>
      <w:r w:rsidR="002A6341">
        <w:t>s</w:t>
      </w:r>
      <w:r>
        <w:t xml:space="preserve"> (PD) of </w:t>
      </w:r>
      <w:proofErr w:type="spellStart"/>
      <w:r>
        <w:t>inclisiran</w:t>
      </w:r>
      <w:proofErr w:type="spellEnd"/>
      <w:r>
        <w:t xml:space="preserve"> in healthy subjects with elevated LDL-C, subjects with ASCVD or ASCVD risk equivalents, and subjects with renal and hepatic impairment. The studies that contributed to </w:t>
      </w:r>
      <w:proofErr w:type="spellStart"/>
      <w:r>
        <w:t>inclisiran</w:t>
      </w:r>
      <w:proofErr w:type="spellEnd"/>
      <w:r>
        <w:t xml:space="preserve"> clinical pharmacology are:</w:t>
      </w:r>
    </w:p>
    <w:p w14:paraId="0E71D9D9" w14:textId="6857AAF0" w:rsidR="00141E53" w:rsidRDefault="00141E53" w:rsidP="00141E53">
      <w:pPr>
        <w:pStyle w:val="ListBullet"/>
      </w:pPr>
      <w:r>
        <w:t>Phase I</w:t>
      </w:r>
      <w:r w:rsidR="002A6341">
        <w:t xml:space="preserve">: </w:t>
      </w:r>
      <w:r w:rsidR="00606E3A">
        <w:t xml:space="preserve">Study </w:t>
      </w:r>
      <w:r>
        <w:t xml:space="preserve">ALN-PCSSC-001 (first-in-human), ORION-6 </w:t>
      </w:r>
      <w:r w:rsidR="00606E3A">
        <w:t xml:space="preserve">trial </w:t>
      </w:r>
      <w:r>
        <w:t xml:space="preserve">(hepatic), ORION-7 </w:t>
      </w:r>
      <w:r w:rsidR="00606E3A">
        <w:t xml:space="preserve">trial </w:t>
      </w:r>
      <w:r>
        <w:t>(renal) and ORION-12</w:t>
      </w:r>
      <w:r w:rsidR="00606E3A">
        <w:t xml:space="preserve"> trial</w:t>
      </w:r>
      <w:r>
        <w:t xml:space="preserve"> (cardiac safety)</w:t>
      </w:r>
    </w:p>
    <w:p w14:paraId="5B6FAE24" w14:textId="37B8B31C" w:rsidR="00A84BA4" w:rsidRDefault="00141E53" w:rsidP="00141E53">
      <w:pPr>
        <w:pStyle w:val="ListBullet"/>
      </w:pPr>
      <w:r>
        <w:t>Phase II</w:t>
      </w:r>
      <w:r w:rsidR="002A6341">
        <w:t>:</w:t>
      </w:r>
      <w:r>
        <w:t xml:space="preserve"> ORION</w:t>
      </w:r>
      <w:r w:rsidR="002A6341">
        <w:noBreakHyphen/>
      </w:r>
      <w:r>
        <w:t xml:space="preserve">1 </w:t>
      </w:r>
      <w:r w:rsidR="00606E3A">
        <w:t xml:space="preserve">trial </w:t>
      </w:r>
      <w:r>
        <w:t>(patient population)</w:t>
      </w:r>
    </w:p>
    <w:p w14:paraId="7F905D49" w14:textId="20E76F20" w:rsidR="00141E53" w:rsidRDefault="00141E53" w:rsidP="00141E53">
      <w:pPr>
        <w:pStyle w:val="ListBullet"/>
      </w:pPr>
      <w:r>
        <w:t>Phase III</w:t>
      </w:r>
      <w:r w:rsidR="002A6341">
        <w:t>:</w:t>
      </w:r>
      <w:r>
        <w:t xml:space="preserve"> ORION</w:t>
      </w:r>
      <w:r w:rsidR="002A6341">
        <w:noBreakHyphen/>
      </w:r>
      <w:r>
        <w:t xml:space="preserve">10 </w:t>
      </w:r>
      <w:r w:rsidR="00606E3A">
        <w:t xml:space="preserve">trial </w:t>
      </w:r>
      <w:r>
        <w:t>(patient population, statin PK).</w:t>
      </w:r>
    </w:p>
    <w:p w14:paraId="6057BA65" w14:textId="77777777" w:rsidR="00141E53" w:rsidRDefault="00141E53" w:rsidP="00141E53">
      <w:pPr>
        <w:pStyle w:val="Heading5"/>
      </w:pPr>
      <w:r>
        <w:t>Pharmacokinetics</w:t>
      </w:r>
    </w:p>
    <w:p w14:paraId="20969EB8" w14:textId="38D9EDF6" w:rsidR="00141E53" w:rsidRDefault="00141E53" w:rsidP="00141E53">
      <w:r>
        <w:t xml:space="preserve">Nonclinical findings and clinical data contributed to the understanding of the </w:t>
      </w:r>
      <w:r w:rsidR="007C3060">
        <w:t xml:space="preserve">absorption, distribution, </w:t>
      </w:r>
      <w:proofErr w:type="gramStart"/>
      <w:r w:rsidR="007C3060">
        <w:t>metabolism</w:t>
      </w:r>
      <w:proofErr w:type="gramEnd"/>
      <w:r w:rsidR="007C3060">
        <w:t xml:space="preserve"> and excretion (</w:t>
      </w:r>
      <w:r>
        <w:t>ADME</w:t>
      </w:r>
      <w:r w:rsidR="007C3060">
        <w:t>)</w:t>
      </w:r>
      <w:r>
        <w:t xml:space="preserve"> properties of </w:t>
      </w:r>
      <w:proofErr w:type="spellStart"/>
      <w:r>
        <w:t>inclisiran</w:t>
      </w:r>
      <w:proofErr w:type="spellEnd"/>
      <w:r>
        <w:t xml:space="preserve">. ADME studies were not performed because the use of radiolabelled compounds was not considered appropriate given the long tissue </w:t>
      </w:r>
      <w:r w:rsidR="007C3060">
        <w:t>half-life</w:t>
      </w:r>
      <w:r>
        <w:t xml:space="preserve"> observed in nonclinical studies and the long PD effect observed in Phase I studies. Absolute bioavailability was not assessed in humans.</w:t>
      </w:r>
    </w:p>
    <w:p w14:paraId="4D53AD25" w14:textId="699EF012" w:rsidR="00141E53" w:rsidRDefault="00141E53" w:rsidP="00141E53">
      <w:r>
        <w:t xml:space="preserve">In the </w:t>
      </w:r>
      <w:r w:rsidR="00593D10">
        <w:t>S</w:t>
      </w:r>
      <w:r>
        <w:t>tudy ALN-PCSSC-001</w:t>
      </w:r>
      <w:r w:rsidR="00593D10">
        <w:t xml:space="preserve">, </w:t>
      </w:r>
      <w:r>
        <w:t xml:space="preserve">healthy subjects with elevated LCL-C, </w:t>
      </w:r>
      <w:proofErr w:type="spellStart"/>
      <w:r>
        <w:t>inclisiran</w:t>
      </w:r>
      <w:proofErr w:type="spellEnd"/>
      <w:r>
        <w:t xml:space="preserve"> exposure increased proportionally over the studied dose range of 25 mg to 800 mg </w:t>
      </w:r>
      <w:proofErr w:type="spellStart"/>
      <w:r>
        <w:t>inclisiran</w:t>
      </w:r>
      <w:proofErr w:type="spellEnd"/>
      <w:r>
        <w:t xml:space="preserve"> </w:t>
      </w:r>
      <w:r w:rsidRPr="007C3060">
        <w:t xml:space="preserve">sodium </w:t>
      </w:r>
      <w:r w:rsidR="00593D10" w:rsidRPr="007C3060">
        <w:t>subcutaneous</w:t>
      </w:r>
      <w:r w:rsidRPr="007C3060">
        <w:t xml:space="preserve">. </w:t>
      </w:r>
      <w:proofErr w:type="spellStart"/>
      <w:r w:rsidRPr="007C3060">
        <w:t>C</w:t>
      </w:r>
      <w:r w:rsidRPr="007C3060">
        <w:rPr>
          <w:vertAlign w:val="subscript"/>
        </w:rPr>
        <w:t>max</w:t>
      </w:r>
      <w:proofErr w:type="spellEnd"/>
      <w:r w:rsidRPr="007C3060">
        <w:t xml:space="preserve"> was observed between </w:t>
      </w:r>
      <w:r w:rsidR="00A914D7">
        <w:t>one</w:t>
      </w:r>
      <w:r w:rsidRPr="007C3060">
        <w:t xml:space="preserve"> and 8 hours after dosing. Median </w:t>
      </w:r>
      <w:proofErr w:type="spellStart"/>
      <w:r w:rsidRPr="007C3060">
        <w:t>T</w:t>
      </w:r>
      <w:r w:rsidRPr="007C3060">
        <w:rPr>
          <w:vertAlign w:val="subscript"/>
        </w:rPr>
        <w:t>max</w:t>
      </w:r>
      <w:proofErr w:type="spellEnd"/>
      <w:r w:rsidRPr="00593D10">
        <w:rPr>
          <w:vertAlign w:val="subscript"/>
        </w:rPr>
        <w:t xml:space="preserve"> </w:t>
      </w:r>
      <w:r>
        <w:t>at the 300</w:t>
      </w:r>
      <w:r w:rsidR="007C3060">
        <w:t> </w:t>
      </w:r>
      <w:r>
        <w:t xml:space="preserve">mg </w:t>
      </w:r>
      <w:proofErr w:type="spellStart"/>
      <w:r>
        <w:t>inclisiran</w:t>
      </w:r>
      <w:proofErr w:type="spellEnd"/>
      <w:r>
        <w:t xml:space="preserve"> sodium dose was </w:t>
      </w:r>
      <w:r w:rsidR="00593D10">
        <w:t>four</w:t>
      </w:r>
      <w:r>
        <w:t xml:space="preserve"> hours. </w:t>
      </w:r>
      <w:proofErr w:type="spellStart"/>
      <w:r>
        <w:t>Inclisiran</w:t>
      </w:r>
      <w:proofErr w:type="spellEnd"/>
      <w:r>
        <w:t xml:space="preserve"> did not accumulate with multiple dosing. The plasma </w:t>
      </w:r>
      <w:r w:rsidR="007C3060">
        <w:t>half-life</w:t>
      </w:r>
      <w:r>
        <w:t xml:space="preserve"> of </w:t>
      </w:r>
      <w:proofErr w:type="spellStart"/>
      <w:r>
        <w:t>inclisiran</w:t>
      </w:r>
      <w:proofErr w:type="spellEnd"/>
      <w:r>
        <w:t xml:space="preserve"> was 3.6 </w:t>
      </w:r>
      <w:r w:rsidR="00593D10">
        <w:t>to</w:t>
      </w:r>
      <w:r>
        <w:t xml:space="preserve"> 13.2 hours across the dose levels. Plasma concentrations generally reached undetectable levels after 12 hours for the 25</w:t>
      </w:r>
      <w:r w:rsidR="007C3060">
        <w:t> </w:t>
      </w:r>
      <w:r>
        <w:t>mg dose, after 24 hours for doses of 100 mg to 500 mg, and after 48 hours for the 800</w:t>
      </w:r>
      <w:r w:rsidR="007C3060">
        <w:t> </w:t>
      </w:r>
      <w:r>
        <w:t>mg dose. No dose</w:t>
      </w:r>
      <w:r w:rsidR="00593D10">
        <w:t xml:space="preserve"> </w:t>
      </w:r>
      <w:r>
        <w:t>limiting safety events were observed up to the highest dose tested.</w:t>
      </w:r>
    </w:p>
    <w:p w14:paraId="1E26360A" w14:textId="06167896" w:rsidR="00141E53" w:rsidRDefault="00141E53" w:rsidP="00141E53">
      <w:r>
        <w:t xml:space="preserve">The PK of a single 300 mg </w:t>
      </w:r>
      <w:r w:rsidR="00593D10">
        <w:t>subcutaneous</w:t>
      </w:r>
      <w:r>
        <w:t xml:space="preserve"> dose was evaluated in a combined analysis of healthy subjects in ORION-6 and ORION-7</w:t>
      </w:r>
      <w:r w:rsidR="00593D10">
        <w:t xml:space="preserve"> trials</w:t>
      </w:r>
      <w:r>
        <w:t xml:space="preserve">. Median </w:t>
      </w:r>
      <w:proofErr w:type="spellStart"/>
      <w:r>
        <w:t>T</w:t>
      </w:r>
      <w:r w:rsidRPr="00593D10">
        <w:rPr>
          <w:vertAlign w:val="subscript"/>
        </w:rPr>
        <w:t>max</w:t>
      </w:r>
      <w:proofErr w:type="spellEnd"/>
      <w:r>
        <w:t xml:space="preserve"> was 4 hours in ORION-6 </w:t>
      </w:r>
      <w:r w:rsidR="00593D10">
        <w:t xml:space="preserve">trial </w:t>
      </w:r>
      <w:r>
        <w:t>and 8 hours in ORION-7</w:t>
      </w:r>
      <w:r w:rsidR="00593D10">
        <w:t xml:space="preserve"> trial</w:t>
      </w:r>
      <w:r>
        <w:t xml:space="preserve"> (range 0.5 to 12 hours across the two studies). The volume of distribution of </w:t>
      </w:r>
      <w:proofErr w:type="spellStart"/>
      <w:r>
        <w:t>inclisiran</w:t>
      </w:r>
      <w:proofErr w:type="spellEnd"/>
      <w:r>
        <w:t xml:space="preserve"> was estimated to be 508 L. </w:t>
      </w:r>
      <w:proofErr w:type="spellStart"/>
      <w:r>
        <w:t>Inclisiran</w:t>
      </w:r>
      <w:proofErr w:type="spellEnd"/>
      <w:r>
        <w:t xml:space="preserve"> was rapidly cleared from the plasma with a mean half-life of 9.6 hours. </w:t>
      </w:r>
      <w:proofErr w:type="spellStart"/>
      <w:r>
        <w:t>Inclisiran</w:t>
      </w:r>
      <w:proofErr w:type="spellEnd"/>
      <w:r>
        <w:t xml:space="preserve"> was detectable in plasma up to 48</w:t>
      </w:r>
      <w:r w:rsidR="007C3060">
        <w:t> </w:t>
      </w:r>
      <w:r>
        <w:t xml:space="preserve">hours post dose. </w:t>
      </w:r>
      <w:proofErr w:type="gramStart"/>
      <w:r>
        <w:t>The majority of</w:t>
      </w:r>
      <w:proofErr w:type="gramEnd"/>
      <w:r>
        <w:t xml:space="preserve"> plasma elimination is attributed to hepatic uptake (informed by nonclinical data). Approximately 16% of </w:t>
      </w:r>
      <w:proofErr w:type="spellStart"/>
      <w:r>
        <w:t>inclisiran</w:t>
      </w:r>
      <w:proofErr w:type="spellEnd"/>
      <w:r>
        <w:t xml:space="preserve"> was excreted unchanged in urine.</w:t>
      </w:r>
    </w:p>
    <w:p w14:paraId="3AF3F00E" w14:textId="116CCD64" w:rsidR="00141E53" w:rsidRDefault="00141E53" w:rsidP="00141E53">
      <w:r>
        <w:t xml:space="preserve">Dedicated drug-drug interaction clinical studies were not performed. </w:t>
      </w:r>
      <w:r w:rsidRPr="00593D10">
        <w:rPr>
          <w:i/>
          <w:iCs/>
        </w:rPr>
        <w:t>In vitro</w:t>
      </w:r>
      <w:r>
        <w:t xml:space="preserve"> </w:t>
      </w:r>
      <w:r w:rsidR="00593D10">
        <w:t>drug</w:t>
      </w:r>
      <w:r w:rsidR="007C3060">
        <w:t>-</w:t>
      </w:r>
      <w:r w:rsidR="00593D10">
        <w:t>drug interaction</w:t>
      </w:r>
      <w:r>
        <w:t xml:space="preserve"> studies indicated very low risk for </w:t>
      </w:r>
      <w:r w:rsidR="00A914D7">
        <w:t>cytochrome p450;</w:t>
      </w:r>
      <w:r w:rsidR="00A914D7">
        <w:rPr>
          <w:rStyle w:val="FootnoteReference"/>
        </w:rPr>
        <w:footnoteReference w:id="10"/>
      </w:r>
      <w:r w:rsidR="00050291">
        <w:t xml:space="preserve"> </w:t>
      </w:r>
      <w:r>
        <w:t>or transporter</w:t>
      </w:r>
      <w:r w:rsidR="007C3060">
        <w:t xml:space="preserve"> </w:t>
      </w:r>
      <w:r>
        <w:t xml:space="preserve">related clinical PK interactions. The potential risk of a </w:t>
      </w:r>
      <w:r w:rsidR="00593D10">
        <w:t>drug</w:t>
      </w:r>
      <w:r w:rsidR="007C3060">
        <w:t>-</w:t>
      </w:r>
      <w:r w:rsidR="00593D10">
        <w:t>drug interaction</w:t>
      </w:r>
      <w:r>
        <w:t xml:space="preserve"> with statin co-administration was investigated in the </w:t>
      </w:r>
      <w:r w:rsidR="00593D10">
        <w:t>S</w:t>
      </w:r>
      <w:r>
        <w:t xml:space="preserve">tudy ALN-PCSSC-001 (effect of statin on </w:t>
      </w:r>
      <w:proofErr w:type="spellStart"/>
      <w:r>
        <w:t>inclisiran</w:t>
      </w:r>
      <w:proofErr w:type="spellEnd"/>
      <w:r>
        <w:t xml:space="preserve"> PK) and the ORION-10 </w:t>
      </w:r>
      <w:r w:rsidR="00593D10">
        <w:t xml:space="preserve">trial </w:t>
      </w:r>
      <w:r>
        <w:t xml:space="preserve">(effect of </w:t>
      </w:r>
      <w:proofErr w:type="spellStart"/>
      <w:r>
        <w:t>inclisiran</w:t>
      </w:r>
      <w:proofErr w:type="spellEnd"/>
      <w:r>
        <w:t xml:space="preserve"> on statin PK). In </w:t>
      </w:r>
      <w:r w:rsidR="00593D10">
        <w:t>S</w:t>
      </w:r>
      <w:r>
        <w:t xml:space="preserve">tudy ALN-PCSSC-001, the effect of statins on the PK of </w:t>
      </w:r>
      <w:proofErr w:type="spellStart"/>
      <w:r>
        <w:t>inclisiran</w:t>
      </w:r>
      <w:proofErr w:type="spellEnd"/>
      <w:r>
        <w:t xml:space="preserve"> was minor. Quantitative analysis of PK data from </w:t>
      </w:r>
      <w:r>
        <w:lastRenderedPageBreak/>
        <w:t>ORION-10</w:t>
      </w:r>
      <w:r w:rsidR="00593D10">
        <w:t xml:space="preserve"> trial</w:t>
      </w:r>
      <w:r>
        <w:t xml:space="preserve"> and population PD simulation indicated that there is no considerable effect of </w:t>
      </w:r>
      <w:proofErr w:type="spellStart"/>
      <w:r>
        <w:t>inclisiran</w:t>
      </w:r>
      <w:proofErr w:type="spellEnd"/>
      <w:r>
        <w:t xml:space="preserve"> on the PK of atorvastatin and rosuvastatin.</w:t>
      </w:r>
    </w:p>
    <w:p w14:paraId="3B4D1B6F" w14:textId="67E07468" w:rsidR="00141E53" w:rsidRDefault="00141E53" w:rsidP="00593D10">
      <w:pPr>
        <w:pStyle w:val="Heading6"/>
      </w:pPr>
      <w:r>
        <w:t>Hepatic impairment</w:t>
      </w:r>
    </w:p>
    <w:p w14:paraId="57A1BD11" w14:textId="6EE41E7A" w:rsidR="00141E53" w:rsidRDefault="00A914D7" w:rsidP="00141E53">
      <w:r>
        <w:t xml:space="preserve">The </w:t>
      </w:r>
      <w:r w:rsidR="00141E53">
        <w:t>ORION-6</w:t>
      </w:r>
      <w:r w:rsidR="00593D10">
        <w:t xml:space="preserve"> trial</w:t>
      </w:r>
      <w:r w:rsidR="00141E53">
        <w:t xml:space="preserve"> was a Phase I, single</w:t>
      </w:r>
      <w:r w:rsidR="00593D10">
        <w:t xml:space="preserve"> </w:t>
      </w:r>
      <w:r w:rsidR="00141E53">
        <w:t>dose, open</w:t>
      </w:r>
      <w:r w:rsidR="00593D10">
        <w:t xml:space="preserve"> </w:t>
      </w:r>
      <w:r w:rsidR="00141E53">
        <w:t xml:space="preserve">label study to evaluate the PK, PD, and safety of </w:t>
      </w:r>
      <w:proofErr w:type="spellStart"/>
      <w:r w:rsidR="00141E53">
        <w:t>inclisiran</w:t>
      </w:r>
      <w:proofErr w:type="spellEnd"/>
      <w:r w:rsidR="00141E53">
        <w:t xml:space="preserve"> sodium 300 mg </w:t>
      </w:r>
      <w:r w:rsidR="00593D10">
        <w:t>subcutaneous</w:t>
      </w:r>
      <w:r w:rsidR="00141E53">
        <w:t xml:space="preserve"> in adult subjects with mild </w:t>
      </w:r>
      <w:r w:rsidR="00141E53" w:rsidRPr="008D1BAD">
        <w:t>(Child-Pugh class A)</w:t>
      </w:r>
      <w:r w:rsidR="00430A2B" w:rsidRPr="008D1BAD">
        <w:t>;</w:t>
      </w:r>
      <w:bookmarkStart w:id="44" w:name="_Ref96504660"/>
      <w:r w:rsidR="00430A2B" w:rsidRPr="008D1BAD">
        <w:rPr>
          <w:rStyle w:val="FootnoteReference"/>
        </w:rPr>
        <w:footnoteReference w:id="11"/>
      </w:r>
      <w:bookmarkEnd w:id="44"/>
      <w:r w:rsidR="00141E53" w:rsidRPr="008D1BAD">
        <w:t xml:space="preserve"> and moderate (Child-Pugh class B)</w:t>
      </w:r>
      <w:r w:rsidR="008D1BAD" w:rsidRPr="008D1BAD">
        <w:t>;</w:t>
      </w:r>
      <w:r w:rsidR="008D1BAD">
        <w:fldChar w:fldCharType="begin"/>
      </w:r>
      <w:r w:rsidR="008D1BAD">
        <w:instrText xml:space="preserve"> NOTEREF _Ref96504660 \f \h </w:instrText>
      </w:r>
      <w:r w:rsidR="008D1BAD">
        <w:fldChar w:fldCharType="separate"/>
      </w:r>
      <w:r w:rsidR="002C4E0E" w:rsidRPr="002C4E0E">
        <w:rPr>
          <w:rStyle w:val="FootnoteReference"/>
        </w:rPr>
        <w:t>11</w:t>
      </w:r>
      <w:r w:rsidR="008D1BAD">
        <w:fldChar w:fldCharType="end"/>
      </w:r>
      <w:r w:rsidR="00141E53">
        <w:t xml:space="preserve"> hepatic impairment compared to subjects with normal hepatic function. </w:t>
      </w:r>
      <w:proofErr w:type="spellStart"/>
      <w:r w:rsidR="00141E53">
        <w:t>Inclisiran</w:t>
      </w:r>
      <w:proofErr w:type="spellEnd"/>
      <w:r w:rsidR="00141E53">
        <w:t xml:space="preserve"> </w:t>
      </w:r>
      <w:proofErr w:type="spellStart"/>
      <w:r w:rsidR="00141E53">
        <w:t>C</w:t>
      </w:r>
      <w:r w:rsidR="00141E53" w:rsidRPr="00593D10">
        <w:rPr>
          <w:vertAlign w:val="subscript"/>
        </w:rPr>
        <w:t>max</w:t>
      </w:r>
      <w:proofErr w:type="spellEnd"/>
      <w:r w:rsidR="00141E53" w:rsidRPr="00593D10">
        <w:rPr>
          <w:vertAlign w:val="subscript"/>
        </w:rPr>
        <w:t xml:space="preserve"> </w:t>
      </w:r>
      <w:r w:rsidR="00141E53">
        <w:t>was increased 1.1 and 2.1</w:t>
      </w:r>
      <w:r>
        <w:noBreakHyphen/>
      </w:r>
      <w:r w:rsidR="00141E53">
        <w:t>fold</w:t>
      </w:r>
      <w:r>
        <w:t>,</w:t>
      </w:r>
      <w:r w:rsidR="00141E53">
        <w:t xml:space="preserve"> and </w:t>
      </w:r>
      <w:r>
        <w:t xml:space="preserve">the </w:t>
      </w:r>
      <w:r w:rsidR="00593D10">
        <w:t xml:space="preserve">area under </w:t>
      </w:r>
      <w:r>
        <w:t xml:space="preserve">the </w:t>
      </w:r>
      <w:r w:rsidR="00593D10">
        <w:t xml:space="preserve">concentration time curve </w:t>
      </w:r>
      <w:r w:rsidR="00046060">
        <w:t>from</w:t>
      </w:r>
      <w:r>
        <w:t xml:space="preserve"> time</w:t>
      </w:r>
      <w:r w:rsidR="00046060">
        <w:t xml:space="preserve"> zero to infinity </w:t>
      </w:r>
      <w:r w:rsidR="00046060" w:rsidRPr="007C3060">
        <w:t>(</w:t>
      </w:r>
      <w:r w:rsidR="00141E53" w:rsidRPr="007C3060">
        <w:t>AUC</w:t>
      </w:r>
      <w:r w:rsidR="00141E53" w:rsidRPr="007C3060">
        <w:rPr>
          <w:vertAlign w:val="subscript"/>
        </w:rPr>
        <w:t>0-inf</w:t>
      </w:r>
      <w:r w:rsidR="00046060" w:rsidRPr="007C3060">
        <w:t>)</w:t>
      </w:r>
      <w:r w:rsidR="00046060">
        <w:t xml:space="preserve"> </w:t>
      </w:r>
      <w:r w:rsidR="00141E53">
        <w:t>was increased 1.3</w:t>
      </w:r>
      <w:r w:rsidR="00046060">
        <w:t xml:space="preserve"> </w:t>
      </w:r>
      <w:r w:rsidR="00141E53">
        <w:t>and 2</w:t>
      </w:r>
      <w:r>
        <w:noBreakHyphen/>
        <w:t>f</w:t>
      </w:r>
      <w:r w:rsidR="00141E53">
        <w:t>old, respectively, in patients with mild and moderate hepatic impairment compared to patients with normal hepatic function. The reduction in LDL-C was similar for patients with mild hepatic impairment and normal hepatic function. In patients with moderate hepatic impairment, baseline PCSK9 levels were lower and the reduction in LDL-C was less than that observed in patients with normal hepatic function or mild hepatic impairment (Figure 2)</w:t>
      </w:r>
      <w:r w:rsidR="00046060">
        <w:t>.</w:t>
      </w:r>
    </w:p>
    <w:p w14:paraId="68C3F51E" w14:textId="21AE1108" w:rsidR="00046060" w:rsidRDefault="00046060" w:rsidP="00141E53">
      <w:r w:rsidRPr="00046060">
        <w:t>No dose adjustment is proposed in patients with mild and moderate hepatic impairment (Child-Pugh class A and B).</w:t>
      </w:r>
      <w:r w:rsidR="008D1BAD">
        <w:fldChar w:fldCharType="begin"/>
      </w:r>
      <w:r w:rsidR="008D1BAD">
        <w:instrText xml:space="preserve"> NOTEREF _Ref96504660 \f \h </w:instrText>
      </w:r>
      <w:r w:rsidR="008D1BAD">
        <w:fldChar w:fldCharType="separate"/>
      </w:r>
      <w:r w:rsidR="002C4E0E" w:rsidRPr="002C4E0E">
        <w:rPr>
          <w:rStyle w:val="FootnoteReference"/>
        </w:rPr>
        <w:t>11</w:t>
      </w:r>
      <w:r w:rsidR="008D1BAD">
        <w:fldChar w:fldCharType="end"/>
      </w:r>
      <w:r w:rsidRPr="00046060">
        <w:t xml:space="preserve"> </w:t>
      </w:r>
      <w:proofErr w:type="spellStart"/>
      <w:r w:rsidRPr="00046060">
        <w:t>Inclisiran</w:t>
      </w:r>
      <w:proofErr w:type="spellEnd"/>
      <w:r w:rsidRPr="00046060">
        <w:t xml:space="preserve"> has not been studied in patients with severe hepatic impairment (Child-Pugh class C).</w:t>
      </w:r>
      <w:r w:rsidR="008D1BAD">
        <w:fldChar w:fldCharType="begin"/>
      </w:r>
      <w:r w:rsidR="008D1BAD">
        <w:instrText xml:space="preserve"> NOTEREF _Ref96504660 \f \h </w:instrText>
      </w:r>
      <w:r w:rsidR="008D1BAD">
        <w:fldChar w:fldCharType="separate"/>
      </w:r>
      <w:r w:rsidR="002C4E0E" w:rsidRPr="002C4E0E">
        <w:rPr>
          <w:rStyle w:val="FootnoteReference"/>
        </w:rPr>
        <w:t>11</w:t>
      </w:r>
      <w:r w:rsidR="008D1BAD">
        <w:fldChar w:fldCharType="end"/>
      </w:r>
    </w:p>
    <w:p w14:paraId="2623B757" w14:textId="23C067BE" w:rsidR="00046060" w:rsidRDefault="00046060" w:rsidP="00046060">
      <w:pPr>
        <w:pStyle w:val="FigureTitle"/>
      </w:pPr>
      <w:r w:rsidRPr="00046060">
        <w:t xml:space="preserve">Figure </w:t>
      </w:r>
      <w:r>
        <w:fldChar w:fldCharType="begin"/>
      </w:r>
      <w:r>
        <w:instrText>SEQ Figure \* ARABIC</w:instrText>
      </w:r>
      <w:r>
        <w:fldChar w:fldCharType="separate"/>
      </w:r>
      <w:r w:rsidR="002C4E0E">
        <w:rPr>
          <w:noProof/>
        </w:rPr>
        <w:t>2</w:t>
      </w:r>
      <w:r>
        <w:fldChar w:fldCharType="end"/>
      </w:r>
      <w:r>
        <w:t xml:space="preserve">: ORION-6 trial </w:t>
      </w:r>
      <w:r w:rsidRPr="00046060">
        <w:t xml:space="preserve">Mean </w:t>
      </w:r>
      <w:r>
        <w:t>p</w:t>
      </w:r>
      <w:r w:rsidRPr="00046060">
        <w:t xml:space="preserve">ercent </w:t>
      </w:r>
      <w:r>
        <w:t>c</w:t>
      </w:r>
      <w:r w:rsidRPr="00046060">
        <w:t xml:space="preserve">hange in LDL-C from Baseline </w:t>
      </w:r>
      <w:r>
        <w:t>plus/minus standard deviation</w:t>
      </w:r>
      <w:r w:rsidRPr="00046060">
        <w:t xml:space="preserve"> by </w:t>
      </w:r>
      <w:r>
        <w:t>h</w:t>
      </w:r>
      <w:r w:rsidRPr="00046060">
        <w:t xml:space="preserve">epatic </w:t>
      </w:r>
      <w:r>
        <w:t>f</w:t>
      </w:r>
      <w:r w:rsidRPr="00046060">
        <w:t xml:space="preserve">unction </w:t>
      </w:r>
      <w:r>
        <w:t>g</w:t>
      </w:r>
      <w:r w:rsidRPr="00046060">
        <w:t xml:space="preserve">roup over </w:t>
      </w:r>
      <w:r>
        <w:t>t</w:t>
      </w:r>
      <w:r w:rsidRPr="00046060">
        <w:t xml:space="preserve">ime </w:t>
      </w:r>
      <w:r>
        <w:t>(</w:t>
      </w:r>
      <w:r w:rsidR="007C3060">
        <w:t>p</w:t>
      </w:r>
      <w:r>
        <w:t>harmacodynamic</w:t>
      </w:r>
      <w:r w:rsidRPr="00046060">
        <w:t xml:space="preserve"> </w:t>
      </w:r>
      <w:r>
        <w:t>p</w:t>
      </w:r>
      <w:r w:rsidRPr="00046060">
        <w:t>opulation</w:t>
      </w:r>
      <w:r>
        <w:t>)</w:t>
      </w:r>
    </w:p>
    <w:p w14:paraId="3EF3DE83" w14:textId="429CF747" w:rsidR="00046060" w:rsidRDefault="00046060" w:rsidP="00046060">
      <w:r>
        <w:rPr>
          <w:noProof/>
          <w:lang w:val="en-GB" w:eastAsia="en-GB"/>
        </w:rPr>
        <w:drawing>
          <wp:inline distT="0" distB="0" distL="0" distR="0" wp14:anchorId="4ECE865F" wp14:editId="69377C47">
            <wp:extent cx="4769510" cy="2370124"/>
            <wp:effectExtent l="0" t="0" r="0" b="0"/>
            <wp:docPr id="16" name="Picture 16" descr="ORION-6 trial Mean percent change in LDL-C from Baseline plus/minus standard deviation by hepatic function group over time (pharmacodynamic population)"/>
            <wp:cNvGraphicFramePr/>
            <a:graphic xmlns:a="http://schemas.openxmlformats.org/drawingml/2006/main">
              <a:graphicData uri="http://schemas.openxmlformats.org/drawingml/2006/picture">
                <pic:pic xmlns:pic="http://schemas.openxmlformats.org/drawingml/2006/picture">
                  <pic:nvPicPr>
                    <pic:cNvPr id="16" name="Picture 16" descr="ORION-6 trial Mean percent change in LDL-C from Baseline plus/minus standard deviation by hepatic function group over time (pharmacodynamic population)"/>
                    <pic:cNvPicPr/>
                  </pic:nvPicPr>
                  <pic:blipFill rotWithShape="1">
                    <a:blip r:embed="rId19"/>
                    <a:srcRect b="14511"/>
                    <a:stretch/>
                  </pic:blipFill>
                  <pic:spPr bwMode="auto">
                    <a:xfrm>
                      <a:off x="0" y="0"/>
                      <a:ext cx="4784270" cy="2377459"/>
                    </a:xfrm>
                    <a:prstGeom prst="rect">
                      <a:avLst/>
                    </a:prstGeom>
                    <a:ln>
                      <a:noFill/>
                    </a:ln>
                    <a:extLst>
                      <a:ext uri="{53640926-AAD7-44D8-BBD7-CCE9431645EC}">
                        <a14:shadowObscured xmlns:a14="http://schemas.microsoft.com/office/drawing/2010/main"/>
                      </a:ext>
                    </a:extLst>
                  </pic:spPr>
                </pic:pic>
              </a:graphicData>
            </a:graphic>
          </wp:inline>
        </w:drawing>
      </w:r>
    </w:p>
    <w:p w14:paraId="1AC72441" w14:textId="70A297BC" w:rsidR="00046060" w:rsidRDefault="00046060" w:rsidP="00046060">
      <w:pPr>
        <w:pStyle w:val="TableDescription"/>
      </w:pPr>
      <w:r>
        <w:t>Abbreviations: HF = hepatic function; HI = hepatic impairment; PD = pharmacodynamics; SD = standard deviation.</w:t>
      </w:r>
    </w:p>
    <w:p w14:paraId="28123C65" w14:textId="46F5B8C4" w:rsidR="00046060" w:rsidRDefault="00046060" w:rsidP="00046060">
      <w:pPr>
        <w:pStyle w:val="Heading6"/>
      </w:pPr>
      <w:r>
        <w:t>Renal impairment</w:t>
      </w:r>
    </w:p>
    <w:p w14:paraId="28A3F1EC" w14:textId="2F18343A" w:rsidR="00046060" w:rsidRDefault="0040718D" w:rsidP="00046060">
      <w:r>
        <w:t xml:space="preserve">The </w:t>
      </w:r>
      <w:r w:rsidR="00046060">
        <w:t xml:space="preserve">ORION-7 trial was a Phase I, single dose, open label study to evaluate the PK, PD, and safety of </w:t>
      </w:r>
      <w:proofErr w:type="spellStart"/>
      <w:r w:rsidR="00046060">
        <w:t>inclisiran</w:t>
      </w:r>
      <w:proofErr w:type="spellEnd"/>
      <w:r w:rsidR="00046060">
        <w:t xml:space="preserve"> sodium 300 mg subcutaneous in adult subjects with mild, </w:t>
      </w:r>
      <w:proofErr w:type="gramStart"/>
      <w:r w:rsidR="00046060">
        <w:t>moderate</w:t>
      </w:r>
      <w:proofErr w:type="gramEnd"/>
      <w:r w:rsidR="00046060">
        <w:t xml:space="preserve"> and severe renal impairment compared to subjects with normal renal function. Renal impairment was defined based on estimated creatinine clearance (normal renal function ≥ 90 mL/min, mild renal impairment 60 to 89 mL/min, moderate renal impairment 30 to 59 mL/min, and severe renal impairment 15 to 29 mL/min). 31 subjects were enrolled, eight in each of the normal, </w:t>
      </w:r>
      <w:proofErr w:type="gramStart"/>
      <w:r w:rsidR="00046060">
        <w:t>mild</w:t>
      </w:r>
      <w:proofErr w:type="gramEnd"/>
      <w:r w:rsidR="00046060">
        <w:t xml:space="preserve"> and moderate renal impairment groups, and seven in the </w:t>
      </w:r>
      <w:r w:rsidR="00046060">
        <w:lastRenderedPageBreak/>
        <w:t xml:space="preserve">severe renal impairment group. </w:t>
      </w:r>
      <w:proofErr w:type="spellStart"/>
      <w:r w:rsidR="00046060">
        <w:t>Inclisiran</w:t>
      </w:r>
      <w:proofErr w:type="spellEnd"/>
      <w:r w:rsidR="00046060">
        <w:t xml:space="preserve"> </w:t>
      </w:r>
      <w:proofErr w:type="spellStart"/>
      <w:r w:rsidR="00046060">
        <w:t>C</w:t>
      </w:r>
      <w:r w:rsidR="00046060" w:rsidRPr="00046060">
        <w:rPr>
          <w:vertAlign w:val="subscript"/>
        </w:rPr>
        <w:t>max</w:t>
      </w:r>
      <w:proofErr w:type="spellEnd"/>
      <w:r w:rsidR="00046060">
        <w:t xml:space="preserve"> was increased by 2.3, 2</w:t>
      </w:r>
      <w:r>
        <w:t>.0</w:t>
      </w:r>
      <w:r w:rsidR="00046060">
        <w:t xml:space="preserve"> and 3.3</w:t>
      </w:r>
      <w:r>
        <w:noBreakHyphen/>
      </w:r>
      <w:r w:rsidR="00046060">
        <w:t>fold (</w:t>
      </w:r>
      <w:r w:rsidR="007B5D64">
        <w:fldChar w:fldCharType="begin"/>
      </w:r>
      <w:r w:rsidR="007B5D64">
        <w:instrText xml:space="preserve"> REF _Ref96421479 \h </w:instrText>
      </w:r>
      <w:r w:rsidR="007B5D64">
        <w:fldChar w:fldCharType="separate"/>
      </w:r>
      <w:r w:rsidR="002C4E0E" w:rsidRPr="007B5D64">
        <w:t xml:space="preserve">Figure </w:t>
      </w:r>
      <w:r w:rsidR="002C4E0E">
        <w:rPr>
          <w:noProof/>
        </w:rPr>
        <w:t>3</w:t>
      </w:r>
      <w:r w:rsidR="007B5D64">
        <w:fldChar w:fldCharType="end"/>
      </w:r>
      <w:r w:rsidR="00046060">
        <w:t xml:space="preserve">) and </w:t>
      </w:r>
      <w:r w:rsidR="008D1BAD">
        <w:t>a</w:t>
      </w:r>
      <w:r w:rsidR="008D1BAD" w:rsidRPr="008D1BAD">
        <w:t>rea under the concentration</w:t>
      </w:r>
      <w:r w:rsidR="008D1BAD">
        <w:t xml:space="preserve"> </w:t>
      </w:r>
      <w:r w:rsidR="008D1BAD" w:rsidRPr="008D1BAD">
        <w:t xml:space="preserve">time curve from time </w:t>
      </w:r>
      <w:r>
        <w:t>zero</w:t>
      </w:r>
      <w:r w:rsidR="008D1BAD" w:rsidRPr="008D1BAD">
        <w:t xml:space="preserve"> to 48 hours post</w:t>
      </w:r>
      <w:r>
        <w:noBreakHyphen/>
      </w:r>
      <w:r w:rsidR="008D1BAD" w:rsidRPr="008D1BAD">
        <w:t>dose</w:t>
      </w:r>
      <w:r w:rsidR="008D1BAD">
        <w:t xml:space="preserve"> (</w:t>
      </w:r>
      <w:r w:rsidR="00046060" w:rsidRPr="00AD2B80">
        <w:t>AUC</w:t>
      </w:r>
      <w:r w:rsidR="00046060" w:rsidRPr="00AD2B80">
        <w:rPr>
          <w:vertAlign w:val="subscript"/>
        </w:rPr>
        <w:t>0-48</w:t>
      </w:r>
      <w:r>
        <w:rPr>
          <w:vertAlign w:val="subscript"/>
        </w:rPr>
        <w:t>h</w:t>
      </w:r>
      <w:r w:rsidR="008D1BAD" w:rsidRPr="008D1BAD">
        <w:t>)</w:t>
      </w:r>
      <w:r w:rsidR="00046060">
        <w:t xml:space="preserve"> was increased by 1.6, 1.8 and 2.3</w:t>
      </w:r>
      <w:r>
        <w:noBreakHyphen/>
      </w:r>
      <w:r w:rsidR="00046060">
        <w:t xml:space="preserve">fold in patients with mild, </w:t>
      </w:r>
      <w:proofErr w:type="gramStart"/>
      <w:r w:rsidR="00046060">
        <w:t>moderate</w:t>
      </w:r>
      <w:proofErr w:type="gramEnd"/>
      <w:r w:rsidR="00046060">
        <w:t xml:space="preserve"> and severe renal impairment, respectively, compared to patients with normal renal function. </w:t>
      </w:r>
      <w:proofErr w:type="spellStart"/>
      <w:r w:rsidR="00046060">
        <w:t>Inclisiran</w:t>
      </w:r>
      <w:proofErr w:type="spellEnd"/>
      <w:r w:rsidR="00046060">
        <w:t xml:space="preserve"> had a short plasma half-life (5 to 10 hours) regardless of renal impairment. </w:t>
      </w:r>
      <w:proofErr w:type="spellStart"/>
      <w:r w:rsidR="00046060">
        <w:t>Inclisiran</w:t>
      </w:r>
      <w:proofErr w:type="spellEnd"/>
      <w:r w:rsidR="00046060">
        <w:t xml:space="preserve"> was not detectable in plasma in any of the groups beyond 48 hours. Despite the higher plasma exposures over 48 hours, reductions in LDL-C were similar for healthy subjects and subjects with renal impairment (</w:t>
      </w:r>
      <w:r w:rsidR="007B5D64">
        <w:fldChar w:fldCharType="begin"/>
      </w:r>
      <w:r w:rsidR="007B5D64">
        <w:instrText xml:space="preserve"> REF _Ref96421584 \h </w:instrText>
      </w:r>
      <w:r w:rsidR="007B5D64">
        <w:fldChar w:fldCharType="separate"/>
      </w:r>
      <w:r w:rsidR="002C4E0E" w:rsidRPr="007B5D64">
        <w:t xml:space="preserve">Figure </w:t>
      </w:r>
      <w:r w:rsidR="002C4E0E">
        <w:rPr>
          <w:noProof/>
        </w:rPr>
        <w:t>4</w:t>
      </w:r>
      <w:r w:rsidR="007B5D64">
        <w:fldChar w:fldCharType="end"/>
      </w:r>
      <w:r w:rsidR="00046060">
        <w:t>).</w:t>
      </w:r>
    </w:p>
    <w:p w14:paraId="34F905AC" w14:textId="7CB49CEA" w:rsidR="00046060" w:rsidRDefault="00046060" w:rsidP="007B5D64">
      <w:pPr>
        <w:pStyle w:val="FigureTitle"/>
      </w:pPr>
      <w:bookmarkStart w:id="45" w:name="_Ref96421479"/>
      <w:r w:rsidRPr="007B5D64">
        <w:t xml:space="preserve">Figure </w:t>
      </w:r>
      <w:r>
        <w:fldChar w:fldCharType="begin"/>
      </w:r>
      <w:r>
        <w:instrText>SEQ Figure \* ARABIC</w:instrText>
      </w:r>
      <w:r>
        <w:fldChar w:fldCharType="separate"/>
      </w:r>
      <w:r w:rsidR="002C4E0E">
        <w:rPr>
          <w:noProof/>
        </w:rPr>
        <w:t>3</w:t>
      </w:r>
      <w:r>
        <w:fldChar w:fldCharType="end"/>
      </w:r>
      <w:bookmarkEnd w:id="45"/>
      <w:r>
        <w:t xml:space="preserve">: </w:t>
      </w:r>
      <w:r w:rsidRPr="00046060">
        <w:t>ORION-7</w:t>
      </w:r>
      <w:r>
        <w:t xml:space="preserve"> trial </w:t>
      </w:r>
      <w:r w:rsidRPr="00046060">
        <w:t xml:space="preserve">Mean </w:t>
      </w:r>
      <w:r>
        <w:t>p</w:t>
      </w:r>
      <w:r w:rsidRPr="00046060">
        <w:t xml:space="preserve">lasma </w:t>
      </w:r>
      <w:r w:rsidR="003E7705">
        <w:t>co</w:t>
      </w:r>
      <w:r w:rsidR="003E7705" w:rsidRPr="00046060">
        <w:t>ncentration</w:t>
      </w:r>
      <w:r w:rsidRPr="00046060">
        <w:t xml:space="preserve"> of </w:t>
      </w:r>
      <w:proofErr w:type="spellStart"/>
      <w:r w:rsidRPr="00046060">
        <w:t>Inclisiran</w:t>
      </w:r>
      <w:proofErr w:type="spellEnd"/>
      <w:r w:rsidRPr="00046060">
        <w:t xml:space="preserve"> </w:t>
      </w:r>
      <w:r>
        <w:t>f</w:t>
      </w:r>
      <w:r w:rsidRPr="00046060">
        <w:t xml:space="preserve">ollowing a </w:t>
      </w:r>
      <w:r>
        <w:t>s</w:t>
      </w:r>
      <w:r w:rsidRPr="00046060">
        <w:t xml:space="preserve">ingle </w:t>
      </w:r>
      <w:r w:rsidR="007B5D64">
        <w:t>subcutaneous</w:t>
      </w:r>
      <w:r w:rsidRPr="00046060">
        <w:t xml:space="preserve"> </w:t>
      </w:r>
      <w:r w:rsidR="007B5D64">
        <w:t>i</w:t>
      </w:r>
      <w:r w:rsidRPr="00046060">
        <w:t xml:space="preserve">njection of 300 mg </w:t>
      </w:r>
      <w:proofErr w:type="spellStart"/>
      <w:r w:rsidR="007B5D64">
        <w:t>i</w:t>
      </w:r>
      <w:r w:rsidRPr="00046060">
        <w:t>nclisiran</w:t>
      </w:r>
      <w:proofErr w:type="spellEnd"/>
      <w:r w:rsidRPr="00046060">
        <w:t xml:space="preserve"> </w:t>
      </w:r>
      <w:r w:rsidR="007B5D64">
        <w:t>s</w:t>
      </w:r>
      <w:r w:rsidRPr="00046060">
        <w:t xml:space="preserve">odium to </w:t>
      </w:r>
      <w:r w:rsidR="007B5D64">
        <w:t>h</w:t>
      </w:r>
      <w:r w:rsidRPr="00046060">
        <w:t xml:space="preserve">ealthy </w:t>
      </w:r>
      <w:r w:rsidR="007B5D64">
        <w:t>s</w:t>
      </w:r>
      <w:r w:rsidRPr="00046060">
        <w:t xml:space="preserve">ubjects or </w:t>
      </w:r>
      <w:r w:rsidR="007B5D64">
        <w:t>s</w:t>
      </w:r>
      <w:r w:rsidRPr="00046060">
        <w:t xml:space="preserve">ubjects </w:t>
      </w:r>
      <w:r w:rsidR="007B5D64">
        <w:t>w</w:t>
      </w:r>
      <w:r w:rsidRPr="00046060">
        <w:t xml:space="preserve">ith </w:t>
      </w:r>
      <w:r w:rsidR="007B5D64">
        <w:t>r</w:t>
      </w:r>
      <w:r w:rsidRPr="00046060">
        <w:t xml:space="preserve">enal </w:t>
      </w:r>
      <w:r w:rsidR="007B5D64">
        <w:t>i</w:t>
      </w:r>
      <w:r w:rsidRPr="00046060">
        <w:t>mpairment</w:t>
      </w:r>
    </w:p>
    <w:p w14:paraId="02B5EF55" w14:textId="4C4139A9" w:rsidR="007B5D64" w:rsidRDefault="007B5D64" w:rsidP="007B5D64">
      <w:r>
        <w:rPr>
          <w:noProof/>
          <w:lang w:val="en-GB" w:eastAsia="en-GB"/>
        </w:rPr>
        <w:drawing>
          <wp:inline distT="0" distB="0" distL="0" distR="0" wp14:anchorId="55652FB2" wp14:editId="479866B7">
            <wp:extent cx="4305300" cy="2232660"/>
            <wp:effectExtent l="0" t="0" r="0" b="0"/>
            <wp:docPr id="3" name="Picture 3" descr="ORION-7 trial Mean plasma cconcentration of Inclisiran following a single subcutaneous injection of 300 mg inclisiran sodium to healthy subjects or subjects with renal impairment"/>
            <wp:cNvGraphicFramePr/>
            <a:graphic xmlns:a="http://schemas.openxmlformats.org/drawingml/2006/main">
              <a:graphicData uri="http://schemas.openxmlformats.org/drawingml/2006/picture">
                <pic:pic xmlns:pic="http://schemas.openxmlformats.org/drawingml/2006/picture">
                  <pic:nvPicPr>
                    <pic:cNvPr id="3" name="Picture 3" descr="ORION-7 trial Mean plasma cconcentration of Inclisiran following a single subcutaneous injection of 300 mg inclisiran sodium to healthy subjects or subjects with renal impairment"/>
                    <pic:cNvPicPr/>
                  </pic:nvPicPr>
                  <pic:blipFill>
                    <a:blip r:embed="rId20"/>
                    <a:stretch>
                      <a:fillRect/>
                    </a:stretch>
                  </pic:blipFill>
                  <pic:spPr>
                    <a:xfrm>
                      <a:off x="0" y="0"/>
                      <a:ext cx="4305300" cy="2232660"/>
                    </a:xfrm>
                    <a:prstGeom prst="rect">
                      <a:avLst/>
                    </a:prstGeom>
                  </pic:spPr>
                </pic:pic>
              </a:graphicData>
            </a:graphic>
          </wp:inline>
        </w:drawing>
      </w:r>
    </w:p>
    <w:p w14:paraId="7D4DD844" w14:textId="000C91F1" w:rsidR="007B5D64" w:rsidRDefault="007B5D64" w:rsidP="007B5D64">
      <w:pPr>
        <w:pStyle w:val="FigureTitle"/>
      </w:pPr>
      <w:bookmarkStart w:id="46" w:name="_Ref96421584"/>
      <w:r w:rsidRPr="007B5D64">
        <w:t xml:space="preserve">Figure </w:t>
      </w:r>
      <w:r>
        <w:fldChar w:fldCharType="begin"/>
      </w:r>
      <w:r>
        <w:instrText>SEQ Figure \* ARABIC</w:instrText>
      </w:r>
      <w:r>
        <w:fldChar w:fldCharType="separate"/>
      </w:r>
      <w:r w:rsidR="002C4E0E">
        <w:rPr>
          <w:noProof/>
        </w:rPr>
        <w:t>4</w:t>
      </w:r>
      <w:r>
        <w:fldChar w:fldCharType="end"/>
      </w:r>
      <w:bookmarkEnd w:id="46"/>
      <w:r w:rsidRPr="00AD2B80">
        <w:t xml:space="preserve">: ORION-7 trial Mean percent change </w:t>
      </w:r>
      <w:r w:rsidR="00050291">
        <w:t>from Baseline</w:t>
      </w:r>
      <w:r w:rsidRPr="00AD2B80">
        <w:t xml:space="preserve"> LDL-C by renal function group over time</w:t>
      </w:r>
    </w:p>
    <w:p w14:paraId="0383FAF1" w14:textId="601398F4" w:rsidR="007B5D64" w:rsidRDefault="007B5D64" w:rsidP="007B5D64">
      <w:r>
        <w:rPr>
          <w:noProof/>
          <w:lang w:val="en-GB" w:eastAsia="en-GB"/>
        </w:rPr>
        <w:drawing>
          <wp:inline distT="0" distB="0" distL="0" distR="0" wp14:anchorId="44DC04BB" wp14:editId="0375EF8C">
            <wp:extent cx="4467225" cy="1847850"/>
            <wp:effectExtent l="0" t="0" r="9525" b="0"/>
            <wp:docPr id="15" name="Picture 15" descr="ORION-7 trial, Mean percent change from baseline LDL-C by renal function group over time"/>
            <wp:cNvGraphicFramePr/>
            <a:graphic xmlns:a="http://schemas.openxmlformats.org/drawingml/2006/main">
              <a:graphicData uri="http://schemas.openxmlformats.org/drawingml/2006/picture">
                <pic:pic xmlns:pic="http://schemas.openxmlformats.org/drawingml/2006/picture">
                  <pic:nvPicPr>
                    <pic:cNvPr id="15" name="Picture 15" descr="ORION-7 trial, Mean percent change from baseline LDL-C by renal function group over time"/>
                    <pic:cNvPicPr/>
                  </pic:nvPicPr>
                  <pic:blipFill>
                    <a:blip r:embed="rId21"/>
                    <a:stretch>
                      <a:fillRect/>
                    </a:stretch>
                  </pic:blipFill>
                  <pic:spPr>
                    <a:xfrm>
                      <a:off x="0" y="0"/>
                      <a:ext cx="4467225" cy="1847850"/>
                    </a:xfrm>
                    <a:prstGeom prst="rect">
                      <a:avLst/>
                    </a:prstGeom>
                  </pic:spPr>
                </pic:pic>
              </a:graphicData>
            </a:graphic>
          </wp:inline>
        </w:drawing>
      </w:r>
    </w:p>
    <w:p w14:paraId="259454DC" w14:textId="0D89C176" w:rsidR="007B5D64" w:rsidRDefault="007B5D64" w:rsidP="007B5D64">
      <w:r w:rsidRPr="00AD2B80">
        <w:t>No dose adjustment is proposed for patients with mild, moderate, or severe renal impairment, or end-</w:t>
      </w:r>
      <w:r>
        <w:t xml:space="preserve">stage renal disease (ESRD). The </w:t>
      </w:r>
      <w:r w:rsidR="00AD2B80">
        <w:t>s</w:t>
      </w:r>
      <w:r>
        <w:t xml:space="preserve">ponsor proposes that haemodialysis should not be performed for at least 72 hours after </w:t>
      </w:r>
      <w:proofErr w:type="spellStart"/>
      <w:r>
        <w:t>Leqvio</w:t>
      </w:r>
      <w:proofErr w:type="spellEnd"/>
      <w:r>
        <w:t xml:space="preserve"> dosing.</w:t>
      </w:r>
    </w:p>
    <w:p w14:paraId="468854DD" w14:textId="05E137F6" w:rsidR="007B5D64" w:rsidRDefault="007B5D64" w:rsidP="007B5D64">
      <w:r>
        <w:t xml:space="preserve">The </w:t>
      </w:r>
      <w:r w:rsidR="00AD2B80">
        <w:t>s</w:t>
      </w:r>
      <w:r>
        <w:t xml:space="preserve">ponsor responded to an evaluation question regarding consideration of a lower dose in patients with renal impairment by commenting that although </w:t>
      </w:r>
      <w:proofErr w:type="spellStart"/>
      <w:r>
        <w:t>inclisiran</w:t>
      </w:r>
      <w:proofErr w:type="spellEnd"/>
      <w:r>
        <w:t xml:space="preserve"> plasma exposures were higher in subjects with renal impairment, the duration of detectable plasma concentrations was </w:t>
      </w:r>
      <w:proofErr w:type="gramStart"/>
      <w:r>
        <w:t>similar to</w:t>
      </w:r>
      <w:proofErr w:type="gramEnd"/>
      <w:r>
        <w:t xml:space="preserve"> subjects with normal renal function and the PD response (LDL-C reduction) was also similar. The </w:t>
      </w:r>
      <w:r w:rsidR="00AD2B80">
        <w:t>s</w:t>
      </w:r>
      <w:r>
        <w:t>ponsor commented on the temporal disconnect between PK and PD (</w:t>
      </w:r>
      <w:proofErr w:type="spellStart"/>
      <w:r>
        <w:t>inclisiran</w:t>
      </w:r>
      <w:proofErr w:type="spellEnd"/>
      <w:r>
        <w:t xml:space="preserve"> is undetectable in the systemic circulation by 24</w:t>
      </w:r>
      <w:r w:rsidR="0040718D">
        <w:t> </w:t>
      </w:r>
      <w:r>
        <w:t xml:space="preserve">to 48 hours but LDL-C lowering persists for months), concluding that </w:t>
      </w:r>
      <w:proofErr w:type="spellStart"/>
      <w:r>
        <w:t>inclisiran</w:t>
      </w:r>
      <w:proofErr w:type="spellEnd"/>
      <w:r>
        <w:t xml:space="preserve"> exposure is not predictive of its effect on LDL-C. Additionally, the </w:t>
      </w:r>
      <w:r w:rsidR="00DB4F10">
        <w:t>s</w:t>
      </w:r>
      <w:r>
        <w:t>ponsor commented that there are large safety margins relative to the toxicology studies and renal impairment is not expected to lead to off</w:t>
      </w:r>
      <w:r w:rsidR="00DB4F10">
        <w:t xml:space="preserve"> </w:t>
      </w:r>
      <w:r>
        <w:t>target effects, irrespective of a transient increase in plasma exposure.</w:t>
      </w:r>
    </w:p>
    <w:p w14:paraId="772C6D10" w14:textId="77777777" w:rsidR="007B5D64" w:rsidRDefault="007B5D64" w:rsidP="007B5D64">
      <w:pPr>
        <w:pStyle w:val="Heading5"/>
      </w:pPr>
      <w:r>
        <w:lastRenderedPageBreak/>
        <w:t>Pharmacodynamics</w:t>
      </w:r>
    </w:p>
    <w:p w14:paraId="7E60E34A" w14:textId="5107A59A" w:rsidR="007B5D64" w:rsidRDefault="007B5D64" w:rsidP="007B5D64">
      <w:r>
        <w:t xml:space="preserve">A dissociation between </w:t>
      </w:r>
      <w:proofErr w:type="spellStart"/>
      <w:r>
        <w:t>inclisiran</w:t>
      </w:r>
      <w:proofErr w:type="spellEnd"/>
      <w:r>
        <w:t xml:space="preserve"> PK parameters and PD effects was observed in the clinical pharmacology studies, with effects on LDL-C persisting for months despite </w:t>
      </w:r>
      <w:proofErr w:type="spellStart"/>
      <w:r>
        <w:t>inclisiran</w:t>
      </w:r>
      <w:proofErr w:type="spellEnd"/>
      <w:r>
        <w:t xml:space="preserve"> plasma concentrations being undetectable 24 to 48 hours post-dosing.</w:t>
      </w:r>
    </w:p>
    <w:p w14:paraId="65FC7E0C" w14:textId="05000CBA" w:rsidR="007B5D64" w:rsidRDefault="007B5D64" w:rsidP="007B5D64">
      <w:r>
        <w:t>In the Phase I study, Study ALN-PCSSC-001, a dose response relationship was observed up to 300</w:t>
      </w:r>
      <w:r w:rsidR="00B407E8">
        <w:t> </w:t>
      </w:r>
      <w:r>
        <w:t>mg, with no additional benefit with higher doses up to 800 mg.</w:t>
      </w:r>
    </w:p>
    <w:p w14:paraId="227C8F6B" w14:textId="2C2C8E18" w:rsidR="007B5D64" w:rsidRDefault="0040718D" w:rsidP="007B5D64">
      <w:r>
        <w:t xml:space="preserve">The </w:t>
      </w:r>
      <w:r w:rsidR="007B5D64">
        <w:t xml:space="preserve">ORION-1 </w:t>
      </w:r>
      <w:r w:rsidR="00261906">
        <w:t xml:space="preserve">trial </w:t>
      </w:r>
      <w:r w:rsidR="007B5D64">
        <w:t>was a Phase II, randomised, double</w:t>
      </w:r>
      <w:r w:rsidR="00261906">
        <w:t xml:space="preserve"> </w:t>
      </w:r>
      <w:r w:rsidR="007B5D64">
        <w:t xml:space="preserve">blind, </w:t>
      </w:r>
      <w:proofErr w:type="gramStart"/>
      <w:r w:rsidR="007B5D64">
        <w:t>placebo</w:t>
      </w:r>
      <w:r w:rsidR="00261906">
        <w:t xml:space="preserve"> </w:t>
      </w:r>
      <w:r w:rsidR="007B5D64">
        <w:t>controlled</w:t>
      </w:r>
      <w:proofErr w:type="gramEnd"/>
      <w:r w:rsidR="007B5D64">
        <w:t xml:space="preserve"> dose response study to assess the PK, PD, efficacy, and safety of single and multiple doses of </w:t>
      </w:r>
      <w:r w:rsidR="00261906">
        <w:t>subcutaneous</w:t>
      </w:r>
      <w:r w:rsidR="007B5D64">
        <w:t xml:space="preserve"> </w:t>
      </w:r>
      <w:proofErr w:type="spellStart"/>
      <w:r w:rsidR="007B5D64">
        <w:t>inclisiran</w:t>
      </w:r>
      <w:proofErr w:type="spellEnd"/>
      <w:r w:rsidR="007B5D64">
        <w:t xml:space="preserve"> sodium in subjects with ASCVD or ASCVD risk equivalents and elevated LDL-C despite maximally tolerated lipid modifying therapy. The study evaluated single doses of 200</w:t>
      </w:r>
      <w:r w:rsidR="00B407E8">
        <w:t> </w:t>
      </w:r>
      <w:r w:rsidR="007B5D64">
        <w:t>mg, 300</w:t>
      </w:r>
      <w:r w:rsidR="00B407E8">
        <w:t> </w:t>
      </w:r>
      <w:proofErr w:type="gramStart"/>
      <w:r w:rsidR="007B5D64">
        <w:t>mg</w:t>
      </w:r>
      <w:proofErr w:type="gramEnd"/>
      <w:r w:rsidR="007B5D64">
        <w:t xml:space="preserve"> and 500</w:t>
      </w:r>
      <w:r w:rsidR="00B407E8">
        <w:t> </w:t>
      </w:r>
      <w:r w:rsidR="007B5D64">
        <w:t>mg</w:t>
      </w:r>
      <w:r w:rsidR="00261906">
        <w:t xml:space="preserve"> of </w:t>
      </w:r>
      <w:proofErr w:type="spellStart"/>
      <w:r w:rsidR="00261906">
        <w:t>inclisiran</w:t>
      </w:r>
      <w:proofErr w:type="spellEnd"/>
      <w:r w:rsidR="007B5D64">
        <w:t>, and multiple doses (Day 1, Day</w:t>
      </w:r>
      <w:r w:rsidR="00B407E8">
        <w:t> </w:t>
      </w:r>
      <w:r w:rsidR="007B5D64">
        <w:t>90) of 100</w:t>
      </w:r>
      <w:r w:rsidR="00B407E8">
        <w:t> </w:t>
      </w:r>
      <w:r w:rsidR="007B5D64">
        <w:t>mg, 200 mg and 300 mg</w:t>
      </w:r>
      <w:r w:rsidR="00261906">
        <w:t xml:space="preserve"> of </w:t>
      </w:r>
      <w:proofErr w:type="spellStart"/>
      <w:r w:rsidR="00261906">
        <w:t>inclisiran</w:t>
      </w:r>
      <w:proofErr w:type="spellEnd"/>
      <w:r w:rsidR="007B5D64">
        <w:t xml:space="preserve">. The primary efficacy endpoint was the percentage change in LDL-C from </w:t>
      </w:r>
      <w:r w:rsidR="00261906">
        <w:t>B</w:t>
      </w:r>
      <w:r w:rsidR="007B5D64">
        <w:t>aseline to Day</w:t>
      </w:r>
      <w:r w:rsidR="00261906">
        <w:t> </w:t>
      </w:r>
      <w:r w:rsidR="007B5D64">
        <w:t xml:space="preserve">180. Secondary efficacy outcomes included the change from </w:t>
      </w:r>
      <w:r w:rsidR="00261906">
        <w:t>B</w:t>
      </w:r>
      <w:r w:rsidR="007B5D64">
        <w:t xml:space="preserve">aseline LDL-C, change from </w:t>
      </w:r>
      <w:r w:rsidR="00261906">
        <w:t>B</w:t>
      </w:r>
      <w:r w:rsidR="007B5D64">
        <w:t xml:space="preserve">aseline in lipids and lipoproteins including </w:t>
      </w:r>
      <w:r w:rsidR="000E1E4A">
        <w:t>total cholesterol</w:t>
      </w:r>
      <w:r w:rsidR="007B5D64">
        <w:t xml:space="preserve">, triglycerides, LDL-C, HDL-C, non-HDL-C, </w:t>
      </w:r>
      <w:r w:rsidR="000E1E4A">
        <w:t>v</w:t>
      </w:r>
      <w:r w:rsidR="000E1E4A" w:rsidRPr="000E1E4A">
        <w:t>ery</w:t>
      </w:r>
      <w:r w:rsidR="000E1E4A">
        <w:t xml:space="preserve"> </w:t>
      </w:r>
      <w:proofErr w:type="gramStart"/>
      <w:r w:rsidR="000E1E4A" w:rsidRPr="000E1E4A">
        <w:t>low</w:t>
      </w:r>
      <w:r w:rsidR="000E1E4A">
        <w:t xml:space="preserve"> </w:t>
      </w:r>
      <w:r w:rsidR="000E1E4A" w:rsidRPr="000E1E4A">
        <w:t>density</w:t>
      </w:r>
      <w:proofErr w:type="gramEnd"/>
      <w:r w:rsidR="000E1E4A" w:rsidRPr="000E1E4A">
        <w:t xml:space="preserve"> lipoprotein (</w:t>
      </w:r>
      <w:r w:rsidR="007B5D64" w:rsidRPr="000E1E4A">
        <w:t>VLDL</w:t>
      </w:r>
      <w:r w:rsidR="000E1E4A" w:rsidRPr="000E1E4A">
        <w:t>)</w:t>
      </w:r>
      <w:r w:rsidR="007B5D64" w:rsidRPr="000E1E4A">
        <w:t xml:space="preserve">, </w:t>
      </w:r>
      <w:r w:rsidR="000E1E4A" w:rsidRPr="000E1E4A">
        <w:t>apolipoprotein A1 (</w:t>
      </w:r>
      <w:r w:rsidR="007B5D64" w:rsidRPr="000E1E4A">
        <w:t>Apo-A1</w:t>
      </w:r>
      <w:r w:rsidR="000E1E4A" w:rsidRPr="000E1E4A">
        <w:t>)</w:t>
      </w:r>
      <w:r w:rsidR="007B5D64" w:rsidRPr="000E1E4A">
        <w:t xml:space="preserve">, </w:t>
      </w:r>
      <w:r w:rsidR="000E1E4A" w:rsidRPr="000E1E4A">
        <w:t>apolipoprotein B (</w:t>
      </w:r>
      <w:r w:rsidR="007B5D64" w:rsidRPr="000E1E4A">
        <w:t>Apo-B</w:t>
      </w:r>
      <w:r w:rsidR="000E1E4A" w:rsidRPr="000E1E4A">
        <w:t>)</w:t>
      </w:r>
      <w:r w:rsidR="007B5D64" w:rsidRPr="000E1E4A">
        <w:t xml:space="preserve">, </w:t>
      </w:r>
      <w:r w:rsidR="000E1E4A" w:rsidRPr="000E1E4A">
        <w:t>lipoprotein</w:t>
      </w:r>
      <w:r>
        <w:t> </w:t>
      </w:r>
      <w:r w:rsidR="007B5D64" w:rsidRPr="000E1E4A">
        <w:t>(a), C</w:t>
      </w:r>
      <w:r w:rsidR="000E1E4A" w:rsidRPr="000E1E4A">
        <w:t>-reactive protein</w:t>
      </w:r>
      <w:r w:rsidR="007B5D64" w:rsidRPr="000E1E4A">
        <w:t>, and PCSK9.</w:t>
      </w:r>
    </w:p>
    <w:p w14:paraId="6ADFBA28" w14:textId="78313870" w:rsidR="007B5D64" w:rsidRDefault="007B5D64" w:rsidP="007B5D64">
      <w:r>
        <w:t xml:space="preserve">The primary endpoint in the single dose groups showed a mean reduction in LDL-C from </w:t>
      </w:r>
      <w:r w:rsidR="00261906">
        <w:t>B</w:t>
      </w:r>
      <w:r>
        <w:t>aseline to Day 180 of 27.9%, 38.4%, and 41.9% for 200 mg, 300 mg, and 500</w:t>
      </w:r>
      <w:r w:rsidR="00050291">
        <w:t> </w:t>
      </w:r>
      <w:r>
        <w:t xml:space="preserve">mg, respectively, compared to a 2.1% increase in the placebo group for the </w:t>
      </w:r>
      <w:r w:rsidR="00261906">
        <w:t>modified intent to treat (</w:t>
      </w:r>
      <w:proofErr w:type="spellStart"/>
      <w:r>
        <w:t>mITT</w:t>
      </w:r>
      <w:proofErr w:type="spellEnd"/>
      <w:r w:rsidR="00261906">
        <w:t>)</w:t>
      </w:r>
      <w:r>
        <w:t xml:space="preserve"> population (p</w:t>
      </w:r>
      <w:r w:rsidR="00261906">
        <w:t xml:space="preserve"> </w:t>
      </w:r>
      <w:r>
        <w:t>&lt;</w:t>
      </w:r>
      <w:r w:rsidR="00261906">
        <w:t xml:space="preserve"> </w:t>
      </w:r>
      <w:r>
        <w:t xml:space="preserve">0.0001, </w:t>
      </w:r>
      <w:r w:rsidR="00A74A60">
        <w:fldChar w:fldCharType="begin"/>
      </w:r>
      <w:r w:rsidR="00A74A60">
        <w:instrText xml:space="preserve"> REF _Ref96423523 \h </w:instrText>
      </w:r>
      <w:r w:rsidR="00A74A60">
        <w:fldChar w:fldCharType="separate"/>
      </w:r>
      <w:r w:rsidR="002C4E0E" w:rsidRPr="00EE228A">
        <w:t xml:space="preserve">Figure </w:t>
      </w:r>
      <w:r w:rsidR="002C4E0E">
        <w:rPr>
          <w:noProof/>
        </w:rPr>
        <w:t>5</w:t>
      </w:r>
      <w:r w:rsidR="00A74A60">
        <w:fldChar w:fldCharType="end"/>
      </w:r>
      <w:r>
        <w:t>). The primary endpoint in the multiple dose groups showed a mean reduction in LDL-C of 35.5%, 44.9%, and 52.6% following two doses of 100</w:t>
      </w:r>
      <w:r w:rsidR="00050291">
        <w:t> </w:t>
      </w:r>
      <w:r>
        <w:t>mg, 200 mg, and 300</w:t>
      </w:r>
      <w:r w:rsidR="00050291">
        <w:t> </w:t>
      </w:r>
      <w:r>
        <w:t>mg, respectively, compared to a 1.8% increase in the placebo group</w:t>
      </w:r>
      <w:r w:rsidR="002179A7">
        <w:t xml:space="preserve"> </w:t>
      </w:r>
      <w:r>
        <w:t xml:space="preserve">for the </w:t>
      </w:r>
      <w:proofErr w:type="spellStart"/>
      <w:r>
        <w:t>mITT</w:t>
      </w:r>
      <w:proofErr w:type="spellEnd"/>
      <w:r>
        <w:t xml:space="preserve"> population (p</w:t>
      </w:r>
      <w:r w:rsidR="00261906">
        <w:t xml:space="preserve"> </w:t>
      </w:r>
      <w:r>
        <w:t>&lt;</w:t>
      </w:r>
      <w:r w:rsidR="00261906">
        <w:t xml:space="preserve"> </w:t>
      </w:r>
      <w:r>
        <w:t xml:space="preserve">0.0001, </w:t>
      </w:r>
      <w:r w:rsidR="00A74A60">
        <w:fldChar w:fldCharType="begin"/>
      </w:r>
      <w:r w:rsidR="00A74A60">
        <w:instrText xml:space="preserve"> REF _Ref96423528 \h </w:instrText>
      </w:r>
      <w:r w:rsidR="00A74A60">
        <w:fldChar w:fldCharType="separate"/>
      </w:r>
      <w:r w:rsidR="002C4E0E">
        <w:t xml:space="preserve">Figure </w:t>
      </w:r>
      <w:r w:rsidR="002C4E0E">
        <w:rPr>
          <w:noProof/>
        </w:rPr>
        <w:t>6</w:t>
      </w:r>
      <w:r w:rsidR="00A74A60">
        <w:fldChar w:fldCharType="end"/>
      </w:r>
      <w:r>
        <w:t>). LDL-C levels returned towards baseline from maximum effect at a linear rate of 2</w:t>
      </w:r>
      <w:r w:rsidR="00261906">
        <w:t xml:space="preserve"> to </w:t>
      </w:r>
      <w:r>
        <w:t>3% per month.</w:t>
      </w:r>
    </w:p>
    <w:p w14:paraId="6D7D5729" w14:textId="7256F96E" w:rsidR="00261906" w:rsidRDefault="00261906" w:rsidP="00EE228A">
      <w:pPr>
        <w:pStyle w:val="FigureTitle"/>
      </w:pPr>
      <w:bookmarkStart w:id="47" w:name="_Ref96423523"/>
      <w:r w:rsidRPr="00EE228A">
        <w:t xml:space="preserve">Figure </w:t>
      </w:r>
      <w:r>
        <w:fldChar w:fldCharType="begin"/>
      </w:r>
      <w:r>
        <w:instrText>SEQ Figure \* ARABIC</w:instrText>
      </w:r>
      <w:r>
        <w:fldChar w:fldCharType="separate"/>
      </w:r>
      <w:r w:rsidR="002C4E0E">
        <w:rPr>
          <w:noProof/>
        </w:rPr>
        <w:t>5</w:t>
      </w:r>
      <w:r>
        <w:fldChar w:fldCharType="end"/>
      </w:r>
      <w:bookmarkEnd w:id="47"/>
      <w:r>
        <w:t>: O</w:t>
      </w:r>
      <w:r w:rsidR="00687A86">
        <w:t>RION</w:t>
      </w:r>
      <w:r>
        <w:t>-1 trial Percent change from Baseline LDL-C by single dose group over time (modified intent to treat population)</w:t>
      </w:r>
    </w:p>
    <w:p w14:paraId="3FF77060" w14:textId="39CC9102" w:rsidR="00261906" w:rsidRDefault="00261906" w:rsidP="00261906">
      <w:r>
        <w:rPr>
          <w:noProof/>
          <w:lang w:val="en-GB" w:eastAsia="en-GB"/>
        </w:rPr>
        <w:drawing>
          <wp:inline distT="0" distB="0" distL="0" distR="0" wp14:anchorId="0442B9C9" wp14:editId="60911E65">
            <wp:extent cx="4274820" cy="2531059"/>
            <wp:effectExtent l="0" t="0" r="0" b="3175"/>
            <wp:docPr id="12" name="Picture 12" descr="ORION-1 trial Percent change from Baseline LDL-C by single dose group over time (modified intent to treat population)"/>
            <wp:cNvGraphicFramePr/>
            <a:graphic xmlns:a="http://schemas.openxmlformats.org/drawingml/2006/main">
              <a:graphicData uri="http://schemas.openxmlformats.org/drawingml/2006/picture">
                <pic:pic xmlns:pic="http://schemas.openxmlformats.org/drawingml/2006/picture">
                  <pic:nvPicPr>
                    <pic:cNvPr id="12" name="Picture 12" descr="ORION-1 trial Percent change from Baseline LDL-C by single dose group over time (modified intent to treat population)"/>
                    <pic:cNvPicPr/>
                  </pic:nvPicPr>
                  <pic:blipFill rotWithShape="1">
                    <a:blip r:embed="rId22"/>
                    <a:srcRect b="24279"/>
                    <a:stretch/>
                  </pic:blipFill>
                  <pic:spPr bwMode="auto">
                    <a:xfrm>
                      <a:off x="0" y="0"/>
                      <a:ext cx="4274820" cy="2531059"/>
                    </a:xfrm>
                    <a:prstGeom prst="rect">
                      <a:avLst/>
                    </a:prstGeom>
                    <a:ln>
                      <a:noFill/>
                    </a:ln>
                    <a:extLst>
                      <a:ext uri="{53640926-AAD7-44D8-BBD7-CCE9431645EC}">
                        <a14:shadowObscured xmlns:a14="http://schemas.microsoft.com/office/drawing/2010/main"/>
                      </a:ext>
                    </a:extLst>
                  </pic:spPr>
                </pic:pic>
              </a:graphicData>
            </a:graphic>
          </wp:inline>
        </w:drawing>
      </w:r>
    </w:p>
    <w:p w14:paraId="77E3D92F" w14:textId="389BA8C3" w:rsidR="00EE228A" w:rsidRDefault="00EE228A" w:rsidP="00EE228A">
      <w:pPr>
        <w:pStyle w:val="TableDescription"/>
      </w:pPr>
      <w:r>
        <w:t>Note: Data for placebo treated subjects are not presented beyond Day 210 since the majority of placebo treated subjects did not have data collected beyond this timepoint. Data for the few placebo treated subject with beta quantification LDL-C values collected beyond Day 210 maybe be found in sponsor submitted dossier, which includes the beta quantification LDL-C values along with number of evaluable placebo-treated subjects.</w:t>
      </w:r>
    </w:p>
    <w:p w14:paraId="46A619DB" w14:textId="62753A30" w:rsidR="00EE228A" w:rsidRDefault="00EE228A" w:rsidP="00EE228A">
      <w:pPr>
        <w:pStyle w:val="TableDescription"/>
      </w:pPr>
      <w:r>
        <w:t xml:space="preserve">Abbreviations: LDL-C = low density lipoprotein cholesterol, </w:t>
      </w:r>
      <w:proofErr w:type="spellStart"/>
      <w:r>
        <w:t>mITT</w:t>
      </w:r>
      <w:proofErr w:type="spellEnd"/>
      <w:r>
        <w:t xml:space="preserve"> = modified intent to treat; </w:t>
      </w:r>
      <w:r w:rsidR="00507E42">
        <w:t>SEM = </w:t>
      </w:r>
      <w:r>
        <w:t>standard error of the mean.</w:t>
      </w:r>
    </w:p>
    <w:p w14:paraId="4A48123E" w14:textId="7BCF1F12" w:rsidR="00A74A60" w:rsidRDefault="00687A86" w:rsidP="00A74A60">
      <w:pPr>
        <w:pStyle w:val="FigureTitle"/>
      </w:pPr>
      <w:bookmarkStart w:id="48" w:name="_Ref96423528"/>
      <w:r>
        <w:lastRenderedPageBreak/>
        <w:t xml:space="preserve">Figure </w:t>
      </w:r>
      <w:r>
        <w:fldChar w:fldCharType="begin"/>
      </w:r>
      <w:r>
        <w:instrText>SEQ Figure \* ARABIC</w:instrText>
      </w:r>
      <w:r>
        <w:fldChar w:fldCharType="separate"/>
      </w:r>
      <w:r w:rsidR="002C4E0E">
        <w:rPr>
          <w:noProof/>
        </w:rPr>
        <w:t>6</w:t>
      </w:r>
      <w:r>
        <w:fldChar w:fldCharType="end"/>
      </w:r>
      <w:bookmarkEnd w:id="48"/>
      <w:r>
        <w:t>: ORION-1 trial</w:t>
      </w:r>
      <w:r w:rsidR="00A74A60">
        <w:t xml:space="preserve"> Percent change from Baseline LDL-C by </w:t>
      </w:r>
      <w:r w:rsidR="00A74A60">
        <w:rPr>
          <w:bCs/>
          <w:szCs w:val="19"/>
        </w:rPr>
        <w:t xml:space="preserve">multiple dose group over time </w:t>
      </w:r>
      <w:r w:rsidR="00A74A60">
        <w:t>(modified intent to treat population)</w:t>
      </w:r>
    </w:p>
    <w:p w14:paraId="3CAA5AF1" w14:textId="74E71CC8" w:rsidR="00A74A60" w:rsidRDefault="00A74A60" w:rsidP="00A74A60">
      <w:r>
        <w:rPr>
          <w:noProof/>
          <w:lang w:val="en-GB" w:eastAsia="en-GB"/>
        </w:rPr>
        <w:drawing>
          <wp:inline distT="0" distB="0" distL="0" distR="0" wp14:anchorId="69AD3E0C" wp14:editId="46291F9C">
            <wp:extent cx="4598670" cy="2757830"/>
            <wp:effectExtent l="0" t="0" r="0" b="4445"/>
            <wp:docPr id="13" name="Picture 13" descr="ORION-1 trial Percent change from Baseline LDL-C by multiple dose group over time (modified intent to treat population)"/>
            <wp:cNvGraphicFramePr/>
            <a:graphic xmlns:a="http://schemas.openxmlformats.org/drawingml/2006/main">
              <a:graphicData uri="http://schemas.openxmlformats.org/drawingml/2006/picture">
                <pic:pic xmlns:pic="http://schemas.openxmlformats.org/drawingml/2006/picture">
                  <pic:nvPicPr>
                    <pic:cNvPr id="13" name="Picture 13" descr="ORION-1 trial Percent change from Baseline LDL-C by multiple dose group over time (modified intent to treat population)"/>
                    <pic:cNvPicPr/>
                  </pic:nvPicPr>
                  <pic:blipFill rotWithShape="1">
                    <a:blip r:embed="rId23"/>
                    <a:srcRect b="23645"/>
                    <a:stretch/>
                  </pic:blipFill>
                  <pic:spPr bwMode="auto">
                    <a:xfrm>
                      <a:off x="0" y="0"/>
                      <a:ext cx="4598670" cy="2757830"/>
                    </a:xfrm>
                    <a:prstGeom prst="rect">
                      <a:avLst/>
                    </a:prstGeom>
                    <a:ln>
                      <a:noFill/>
                    </a:ln>
                    <a:extLst>
                      <a:ext uri="{53640926-AAD7-44D8-BBD7-CCE9431645EC}">
                        <a14:shadowObscured xmlns:a14="http://schemas.microsoft.com/office/drawing/2010/main"/>
                      </a:ext>
                    </a:extLst>
                  </pic:spPr>
                </pic:pic>
              </a:graphicData>
            </a:graphic>
          </wp:inline>
        </w:drawing>
      </w:r>
    </w:p>
    <w:p w14:paraId="73797D43" w14:textId="77777777" w:rsidR="00A74A60" w:rsidRDefault="00A74A60" w:rsidP="00A74A60">
      <w:pPr>
        <w:pStyle w:val="TableDescription"/>
      </w:pPr>
      <w:r>
        <w:t>Note: Data for placebo treated subjects are not presented beyond Day 210 since the majority of placebo treated subjects did not have data collected beyond this timepoint. Data for the few placebo treated subject with beta quantification LDL-C values collected beyond Day 210 maybe be found in sponsor submitted dossier, which includes the beta quantification LDL-C values along with number of evaluable placebo-treated subjects.</w:t>
      </w:r>
    </w:p>
    <w:p w14:paraId="61480CCE" w14:textId="6172B4F9" w:rsidR="00A74A60" w:rsidRDefault="00A74A60" w:rsidP="00A74A60">
      <w:pPr>
        <w:pStyle w:val="TableDescription"/>
      </w:pPr>
      <w:r>
        <w:t xml:space="preserve">Abbreviations: LDL-C = low density lipoprotein cholesterol, </w:t>
      </w:r>
      <w:proofErr w:type="spellStart"/>
      <w:r>
        <w:t>mITT</w:t>
      </w:r>
      <w:proofErr w:type="spellEnd"/>
      <w:r>
        <w:t xml:space="preserve"> = modified intent to treat; S</w:t>
      </w:r>
      <w:r w:rsidR="00507E42">
        <w:t>EM </w:t>
      </w:r>
      <w:r>
        <w:t>=</w:t>
      </w:r>
      <w:r w:rsidR="00507E42">
        <w:t> </w:t>
      </w:r>
      <w:r>
        <w:t>standard error of the mean.</w:t>
      </w:r>
    </w:p>
    <w:p w14:paraId="3B01778C" w14:textId="6D07E533" w:rsidR="00A74A60" w:rsidRDefault="00A74A60" w:rsidP="00A74A60">
      <w:pPr>
        <w:pStyle w:val="Heading6"/>
        <w:rPr>
          <w:rFonts w:eastAsia="Cambria"/>
        </w:rPr>
      </w:pPr>
      <w:r w:rsidRPr="00B407E8">
        <w:t xml:space="preserve">Population </w:t>
      </w:r>
      <w:r w:rsidR="00507E42">
        <w:t>pharmacodynamic</w:t>
      </w:r>
      <w:r w:rsidR="00507E42" w:rsidRPr="00B407E8">
        <w:t xml:space="preserve"> </w:t>
      </w:r>
      <w:r w:rsidR="00507E42">
        <w:t>m</w:t>
      </w:r>
      <w:r w:rsidRPr="00B407E8">
        <w:t>odelling</w:t>
      </w:r>
    </w:p>
    <w:p w14:paraId="4253FF97" w14:textId="62F0D368" w:rsidR="00A74A60" w:rsidRPr="00A74A60" w:rsidRDefault="00A74A60" w:rsidP="00A74A60">
      <w:r w:rsidRPr="00A74A60">
        <w:t xml:space="preserve">The initial population PD model </w:t>
      </w:r>
      <w:r w:rsidR="000E1E4A">
        <w:t>from</w:t>
      </w:r>
      <w:r w:rsidRPr="00A74A60">
        <w:t xml:space="preserve"> </w:t>
      </w:r>
      <w:r w:rsidR="00507E42">
        <w:t>th</w:t>
      </w:r>
      <w:r w:rsidR="003551EB">
        <w:t>e</w:t>
      </w:r>
      <w:r w:rsidR="009A305E">
        <w:t xml:space="preserve"> </w:t>
      </w:r>
      <w:r w:rsidRPr="00A74A60">
        <w:t xml:space="preserve">ORION-1 </w:t>
      </w:r>
      <w:r w:rsidR="000E1E4A">
        <w:t xml:space="preserve">trial </w:t>
      </w:r>
      <w:r w:rsidRPr="00A74A60">
        <w:t>was developed to characterise the dose</w:t>
      </w:r>
      <w:r w:rsidR="000E1E4A">
        <w:t xml:space="preserve"> </w:t>
      </w:r>
      <w:r w:rsidRPr="00A74A60">
        <w:t xml:space="preserve">response relationship of </w:t>
      </w:r>
      <w:proofErr w:type="spellStart"/>
      <w:r w:rsidRPr="00A74A60">
        <w:t>inclisiran</w:t>
      </w:r>
      <w:proofErr w:type="spellEnd"/>
      <w:r w:rsidRPr="00A74A60">
        <w:t xml:space="preserve"> in subjects with ASCVD or ASCVD</w:t>
      </w:r>
      <w:r w:rsidR="000E1E4A">
        <w:t xml:space="preserve"> </w:t>
      </w:r>
      <w:r w:rsidRPr="00A74A60">
        <w:t xml:space="preserve">risk equivalents, and to inform dose selection for the Phase III studies. The </w:t>
      </w:r>
      <w:proofErr w:type="spellStart"/>
      <w:r w:rsidRPr="00A74A60">
        <w:t>pharmacometric</w:t>
      </w:r>
      <w:proofErr w:type="spellEnd"/>
      <w:r w:rsidRPr="00A74A60">
        <w:t xml:space="preserve"> evaluation concluded that the model is adequate for the performed simulations and can provide reliable information for dose selection. Based on the simulation results and estimated clinical impact (</w:t>
      </w:r>
      <w:r w:rsidR="00236CA0">
        <w:t>cardiovascular</w:t>
      </w:r>
      <w:r w:rsidRPr="00A74A60">
        <w:t xml:space="preserve"> risk reduction), a dosing regimen of 300</w:t>
      </w:r>
      <w:r w:rsidR="00B407E8">
        <w:t> </w:t>
      </w:r>
      <w:r w:rsidRPr="00A74A60">
        <w:t xml:space="preserve">mg </w:t>
      </w:r>
      <w:proofErr w:type="spellStart"/>
      <w:r w:rsidRPr="00A74A60">
        <w:t>inclisiran</w:t>
      </w:r>
      <w:proofErr w:type="spellEnd"/>
      <w:r w:rsidRPr="00A74A60">
        <w:t xml:space="preserve"> sodium</w:t>
      </w:r>
      <w:r w:rsidR="000E1E4A">
        <w:t xml:space="preserve"> </w:t>
      </w:r>
      <w:r w:rsidR="003551EB">
        <w:t xml:space="preserve">given </w:t>
      </w:r>
      <w:r w:rsidR="000E1E4A">
        <w:t>subcutaneous</w:t>
      </w:r>
      <w:r w:rsidR="003551EB">
        <w:t>ly</w:t>
      </w:r>
      <w:r w:rsidRPr="00A74A60">
        <w:t xml:space="preserve"> on Day 0, Day 90, and then every </w:t>
      </w:r>
      <w:r w:rsidR="000E1E4A">
        <w:t>six</w:t>
      </w:r>
      <w:r w:rsidRPr="00A74A60">
        <w:t xml:space="preserve"> months was selected for evaluation in the Phase III studies.</w:t>
      </w:r>
    </w:p>
    <w:p w14:paraId="2B811381" w14:textId="05A3E62B" w:rsidR="00A74A60" w:rsidRPr="00A74A60" w:rsidRDefault="00A74A60" w:rsidP="00A74A60">
      <w:r w:rsidRPr="00A74A60">
        <w:t xml:space="preserve">The final population PD model was developed with data from nine </w:t>
      </w:r>
      <w:proofErr w:type="spellStart"/>
      <w:r w:rsidRPr="00A74A60">
        <w:t>inclisiran</w:t>
      </w:r>
      <w:proofErr w:type="spellEnd"/>
      <w:r w:rsidRPr="00A74A60">
        <w:t xml:space="preserve"> clinical studies (</w:t>
      </w:r>
      <w:r w:rsidR="000E1E4A">
        <w:t xml:space="preserve">Study </w:t>
      </w:r>
      <w:r w:rsidRPr="00A74A60">
        <w:t xml:space="preserve">ALN-PCSSC-001, </w:t>
      </w:r>
      <w:r w:rsidR="00DA7DE6">
        <w:t xml:space="preserve">and the </w:t>
      </w:r>
      <w:r w:rsidRPr="00A74A60">
        <w:t>ORION-1, ORION-3, ORION-6, ORION-7, ORION-9, ORION-10, ORION-11, and ORION-12</w:t>
      </w:r>
      <w:r w:rsidR="000E1E4A">
        <w:t xml:space="preserve"> trials</w:t>
      </w:r>
      <w:r w:rsidRPr="00A74A60">
        <w:t>). The modelling was used to identify covariate effects (including age, body weight, gender, race, diabetes status, renal function, hepatic function, disease state, statin co-medication) to inform dosing recommendations in specific populations and to assess the impact of delayed or missed doses.</w:t>
      </w:r>
      <w:r w:rsidR="002179A7">
        <w:t xml:space="preserve"> </w:t>
      </w:r>
      <w:r w:rsidRPr="00A74A60">
        <w:t xml:space="preserve">The simulations were stratified by patient population to account for differences in baseline PCSK9 and LDL-C levels in patients with ASCVD and </w:t>
      </w:r>
      <w:proofErr w:type="spellStart"/>
      <w:r w:rsidRPr="00A74A60">
        <w:t>HeFH</w:t>
      </w:r>
      <w:proofErr w:type="spellEnd"/>
      <w:r w:rsidRPr="00A74A60">
        <w:t xml:space="preserve">. No clinically meaningful differences in </w:t>
      </w:r>
      <w:proofErr w:type="spellStart"/>
      <w:r w:rsidRPr="00A74A60">
        <w:t>inclisiran</w:t>
      </w:r>
      <w:proofErr w:type="spellEnd"/>
      <w:r w:rsidRPr="00A74A60">
        <w:t xml:space="preserve"> PD were observed based on difference of age, body weight, gender, </w:t>
      </w:r>
      <w:proofErr w:type="gramStart"/>
      <w:r w:rsidRPr="00A74A60">
        <w:t>race</w:t>
      </w:r>
      <w:proofErr w:type="gramEnd"/>
      <w:r w:rsidRPr="00A74A60">
        <w:t xml:space="preserve"> and creatinine clearance.</w:t>
      </w:r>
      <w:r w:rsidR="002179A7">
        <w:t xml:space="preserve"> </w:t>
      </w:r>
      <w:r w:rsidRPr="00A74A60">
        <w:t>The covariate analysis did not identify any patient populations or subpopulations requiring a dose adjustment.</w:t>
      </w:r>
    </w:p>
    <w:p w14:paraId="6E7FF52B" w14:textId="0A209850" w:rsidR="00A74A60" w:rsidRPr="00A74A60" w:rsidRDefault="00A74A60" w:rsidP="00A74A60">
      <w:r w:rsidRPr="00A74A60">
        <w:t>Simulations of the impact of missed or delayed doses on response indicated that delaying a planned dose by 1</w:t>
      </w:r>
      <w:r w:rsidR="00B407E8">
        <w:t xml:space="preserve"> to </w:t>
      </w:r>
      <w:r w:rsidRPr="00A74A60">
        <w:t>3 months had a small impact on LDL-C levels, with rapid return to optimal LDL levels once the delayed dose was administered.</w:t>
      </w:r>
      <w:r w:rsidR="002179A7">
        <w:t xml:space="preserve"> </w:t>
      </w:r>
      <w:r w:rsidRPr="00A74A60">
        <w:t>The modelling suggested that LDL-C is expected to return to &gt;</w:t>
      </w:r>
      <w:r w:rsidR="00B407E8">
        <w:t> </w:t>
      </w:r>
      <w:r w:rsidRPr="00A74A60">
        <w:t xml:space="preserve">80% of baseline levels by one year after discontinuation of </w:t>
      </w:r>
      <w:proofErr w:type="spellStart"/>
      <w:r w:rsidRPr="00A74A60">
        <w:t>inclisiran</w:t>
      </w:r>
      <w:proofErr w:type="spellEnd"/>
      <w:r w:rsidRPr="00A74A60">
        <w:t>.</w:t>
      </w:r>
    </w:p>
    <w:p w14:paraId="11D618ED" w14:textId="3E7A223B" w:rsidR="00A74A60" w:rsidRDefault="00A74A60" w:rsidP="00A74A60">
      <w:pPr>
        <w:pStyle w:val="Heading6"/>
      </w:pPr>
      <w:r>
        <w:lastRenderedPageBreak/>
        <w:t>Dose selection</w:t>
      </w:r>
    </w:p>
    <w:p w14:paraId="5D870680" w14:textId="48592A8E" w:rsidR="00A74A60" w:rsidRPr="00A74A60" w:rsidRDefault="00A74A60" w:rsidP="00A74A60">
      <w:r w:rsidRPr="00A74A60">
        <w:t>Given the dissociation between PK parameters and PD effects, dose selection for the pivotal studies focussed on PD and safety.</w:t>
      </w:r>
      <w:r w:rsidR="002179A7">
        <w:t xml:space="preserve"> </w:t>
      </w:r>
      <w:r w:rsidRPr="00A74A60">
        <w:t>Based on dose-response relationships in ALN-PCSSC-001, ORION-1, and population PD modelling, the proposed dosing regimen (300</w:t>
      </w:r>
      <w:r w:rsidR="00B407E8">
        <w:t> </w:t>
      </w:r>
      <w:r w:rsidRPr="00A74A60">
        <w:t xml:space="preserve">mg </w:t>
      </w:r>
      <w:proofErr w:type="spellStart"/>
      <w:r w:rsidRPr="00A74A60">
        <w:t>inclisiran</w:t>
      </w:r>
      <w:proofErr w:type="spellEnd"/>
      <w:r w:rsidRPr="00A74A60">
        <w:t xml:space="preserve"> sodium </w:t>
      </w:r>
      <w:r w:rsidR="00A84BA4">
        <w:t>subcutaneous</w:t>
      </w:r>
      <w:r w:rsidRPr="00A74A60">
        <w:t xml:space="preserve"> on Day 1, Day 90, and then every 6 months) was selected for evaluation in the pivotal studies.</w:t>
      </w:r>
      <w:r w:rsidR="002179A7">
        <w:t xml:space="preserve"> </w:t>
      </w:r>
      <w:r w:rsidRPr="00A74A60">
        <w:t>Patient</w:t>
      </w:r>
      <w:r w:rsidR="00B407E8">
        <w:t xml:space="preserve"> </w:t>
      </w:r>
      <w:r w:rsidRPr="00A74A60">
        <w:t>focused aspects, including adherence to treatment and timing of clinical reviews, were also taken into consideration with the proposed dosing regimen.</w:t>
      </w:r>
    </w:p>
    <w:p w14:paraId="20114481" w14:textId="77777777" w:rsidR="00A74A60" w:rsidRDefault="00A74A60" w:rsidP="00A74A60">
      <w:pPr>
        <w:pStyle w:val="Heading6"/>
      </w:pPr>
      <w:r>
        <w:t>Effect on QT interval</w:t>
      </w:r>
    </w:p>
    <w:p w14:paraId="6B34C920" w14:textId="7E21EE31" w:rsidR="00A74A60" w:rsidRDefault="00DA7DE6" w:rsidP="00A74A60">
      <w:r>
        <w:t xml:space="preserve">The </w:t>
      </w:r>
      <w:r w:rsidR="00A74A60" w:rsidRPr="00A74A60">
        <w:t>ORION-12</w:t>
      </w:r>
      <w:r w:rsidR="00A74A60">
        <w:t xml:space="preserve"> trial</w:t>
      </w:r>
      <w:r w:rsidR="00A74A60" w:rsidRPr="00A74A60">
        <w:t xml:space="preserve"> was a thorough QT study</w:t>
      </w:r>
      <w:r w:rsidR="009007FC">
        <w:t>;</w:t>
      </w:r>
      <w:r>
        <w:rPr>
          <w:rStyle w:val="FootnoteReference"/>
        </w:rPr>
        <w:footnoteReference w:id="12"/>
      </w:r>
      <w:r w:rsidR="00A74A60" w:rsidRPr="00A74A60">
        <w:t xml:space="preserve"> assessing the effect of a supratherapeutic dose of </w:t>
      </w:r>
      <w:proofErr w:type="spellStart"/>
      <w:r w:rsidR="00A74A60" w:rsidRPr="00A74A60">
        <w:t>inclisiran</w:t>
      </w:r>
      <w:proofErr w:type="spellEnd"/>
      <w:r w:rsidR="00A74A60" w:rsidRPr="00A74A60">
        <w:t xml:space="preserve"> sodium (900 mg </w:t>
      </w:r>
      <w:r w:rsidR="00A84BA4" w:rsidRPr="00A84BA4">
        <w:t>subcutaneous</w:t>
      </w:r>
      <w:r w:rsidR="00A74A60" w:rsidRPr="00A74A60">
        <w:t xml:space="preserve">) on cardiac repolarisation as assessed by </w:t>
      </w:r>
      <w:proofErr w:type="spellStart"/>
      <w:r w:rsidR="00A74A60" w:rsidRPr="00A74A60">
        <w:t>QTcF</w:t>
      </w:r>
      <w:proofErr w:type="spellEnd"/>
      <w:r>
        <w:t>;</w:t>
      </w:r>
      <w:r>
        <w:rPr>
          <w:rStyle w:val="FootnoteReference"/>
        </w:rPr>
        <w:footnoteReference w:id="13"/>
      </w:r>
      <w:r w:rsidR="00A74A60" w:rsidRPr="00A74A60">
        <w:t xml:space="preserve"> in healthy subjects. The predicted </w:t>
      </w:r>
      <w:r w:rsidR="00B407E8">
        <w:t>time matched placebo and baseline adjusted QT</w:t>
      </w:r>
      <w:r>
        <w:t> </w:t>
      </w:r>
      <w:r w:rsidR="00B407E8">
        <w:t>interval corrected for heart rate using the Fridericia correction</w:t>
      </w:r>
      <w:r w:rsidR="00B407E8" w:rsidRPr="00A74A60">
        <w:t xml:space="preserve"> </w:t>
      </w:r>
      <w:r w:rsidR="00B407E8">
        <w:t>(</w:t>
      </w:r>
      <w:proofErr w:type="spellStart"/>
      <w:r w:rsidR="00A74A60" w:rsidRPr="00A74A60">
        <w:t>ddQTcF</w:t>
      </w:r>
      <w:proofErr w:type="spellEnd"/>
      <w:r w:rsidR="00B407E8">
        <w:t>)</w:t>
      </w:r>
      <w:r w:rsidR="00A74A60" w:rsidRPr="00A74A60">
        <w:t xml:space="preserve"> at 4 hours after administration was 2.5 </w:t>
      </w:r>
      <w:proofErr w:type="spellStart"/>
      <w:r w:rsidR="00A74A60" w:rsidRPr="00A74A60">
        <w:t>ms</w:t>
      </w:r>
      <w:proofErr w:type="spellEnd"/>
      <w:r w:rsidR="00A74A60" w:rsidRPr="00A74A60">
        <w:t xml:space="preserve"> (90% CI 0.6, 4.5) for </w:t>
      </w:r>
      <w:proofErr w:type="spellStart"/>
      <w:r w:rsidR="00A74A60" w:rsidRPr="00A74A60">
        <w:t>inclisiran</w:t>
      </w:r>
      <w:proofErr w:type="spellEnd"/>
      <w:r w:rsidR="00A74A60" w:rsidRPr="00A74A60">
        <w:t xml:space="preserve"> and 11.4 </w:t>
      </w:r>
      <w:proofErr w:type="spellStart"/>
      <w:r w:rsidR="00A74A60" w:rsidRPr="00A74A60">
        <w:t>ms</w:t>
      </w:r>
      <w:proofErr w:type="spellEnd"/>
      <w:r w:rsidR="00A74A60" w:rsidRPr="00A74A60">
        <w:t xml:space="preserve"> (90% CI 9.5, 13.4) for moxifloxacin (</w:t>
      </w:r>
      <w:r w:rsidR="00E77ABB">
        <w:fldChar w:fldCharType="begin"/>
      </w:r>
      <w:r w:rsidR="00E77ABB">
        <w:instrText xml:space="preserve"> REF _Ref97281604 \h </w:instrText>
      </w:r>
      <w:r w:rsidR="00E77ABB">
        <w:fldChar w:fldCharType="separate"/>
      </w:r>
      <w:r w:rsidR="002C4E0E" w:rsidRPr="00A74A60">
        <w:t xml:space="preserve">Table </w:t>
      </w:r>
      <w:r w:rsidR="002C4E0E">
        <w:rPr>
          <w:noProof/>
        </w:rPr>
        <w:t>3</w:t>
      </w:r>
      <w:r w:rsidR="00E77ABB">
        <w:fldChar w:fldCharType="end"/>
      </w:r>
      <w:r w:rsidR="00A74A60" w:rsidRPr="00A74A60">
        <w:t xml:space="preserve">). The 90% </w:t>
      </w:r>
      <w:r w:rsidR="00B407E8">
        <w:t>confidence interval (</w:t>
      </w:r>
      <w:r w:rsidR="00A74A60" w:rsidRPr="00A74A60">
        <w:t>CI</w:t>
      </w:r>
      <w:r w:rsidR="00B407E8">
        <w:t>)</w:t>
      </w:r>
      <w:r w:rsidR="00A74A60" w:rsidRPr="00A74A60">
        <w:t xml:space="preserve"> for </w:t>
      </w:r>
      <w:proofErr w:type="spellStart"/>
      <w:r w:rsidR="00A74A60" w:rsidRPr="00A74A60">
        <w:t>ddQTcF</w:t>
      </w:r>
      <w:proofErr w:type="spellEnd"/>
      <w:r w:rsidR="00A74A60" w:rsidRPr="00A74A60">
        <w:t xml:space="preserve"> included zero at all other timepoints for </w:t>
      </w:r>
      <w:proofErr w:type="spellStart"/>
      <w:r w:rsidR="00A74A60" w:rsidRPr="00A74A60">
        <w:t>inclisiran</w:t>
      </w:r>
      <w:proofErr w:type="spellEnd"/>
      <w:r w:rsidR="00A74A60" w:rsidRPr="00A74A60">
        <w:t xml:space="preserve"> sodium 900</w:t>
      </w:r>
      <w:r w:rsidR="00B407E8">
        <w:t> </w:t>
      </w:r>
      <w:r w:rsidR="00A74A60" w:rsidRPr="00A74A60">
        <w:t xml:space="preserve">mg. At the maximum individual </w:t>
      </w:r>
      <w:proofErr w:type="spellStart"/>
      <w:r w:rsidR="00A74A60" w:rsidRPr="00A74A60">
        <w:t>C</w:t>
      </w:r>
      <w:r w:rsidR="00A74A60" w:rsidRPr="00E77ABB">
        <w:rPr>
          <w:vertAlign w:val="subscript"/>
        </w:rPr>
        <w:t>max</w:t>
      </w:r>
      <w:proofErr w:type="spellEnd"/>
      <w:r w:rsidR="00A74A60" w:rsidRPr="00A74A60">
        <w:t xml:space="preserve"> achieved after a 900</w:t>
      </w:r>
      <w:r w:rsidR="00B407E8">
        <w:t> </w:t>
      </w:r>
      <w:r w:rsidR="00A74A60" w:rsidRPr="00A74A60">
        <w:t xml:space="preserve">mg </w:t>
      </w:r>
      <w:r w:rsidR="00E77ABB">
        <w:t>subcutaneous</w:t>
      </w:r>
      <w:r w:rsidR="00A74A60" w:rsidRPr="00A74A60">
        <w:t xml:space="preserve"> dose of </w:t>
      </w:r>
      <w:proofErr w:type="spellStart"/>
      <w:r w:rsidR="00A74A60" w:rsidRPr="00A74A60">
        <w:t>inclisiran</w:t>
      </w:r>
      <w:proofErr w:type="spellEnd"/>
      <w:r w:rsidR="00A74A60" w:rsidRPr="00A74A60">
        <w:t>, the model</w:t>
      </w:r>
      <w:r w:rsidR="00E77ABB">
        <w:t xml:space="preserve"> </w:t>
      </w:r>
      <w:r w:rsidR="00A74A60" w:rsidRPr="00A74A60">
        <w:t xml:space="preserve">predicted effect on </w:t>
      </w:r>
      <w:proofErr w:type="spellStart"/>
      <w:r w:rsidR="00A74A60" w:rsidRPr="00A74A60">
        <w:t>QTcF</w:t>
      </w:r>
      <w:proofErr w:type="spellEnd"/>
      <w:r w:rsidR="00A74A60" w:rsidRPr="00A74A60">
        <w:t xml:space="preserve"> was 5.7</w:t>
      </w:r>
      <w:r w:rsidR="00B407E8">
        <w:t> </w:t>
      </w:r>
      <w:proofErr w:type="spellStart"/>
      <w:r w:rsidR="00A74A60" w:rsidRPr="00A74A60">
        <w:t>ms</w:t>
      </w:r>
      <w:proofErr w:type="spellEnd"/>
      <w:r w:rsidR="00A74A60" w:rsidRPr="00A74A60">
        <w:t xml:space="preserve"> (90% CI: 1.14 to 10.27). No clinically significant effects on HR, PR interval and QRS interval were observed.</w:t>
      </w:r>
    </w:p>
    <w:p w14:paraId="54BF4C89" w14:textId="6A2CC1A8" w:rsidR="00A74A60" w:rsidRDefault="00A74A60" w:rsidP="00A74A60">
      <w:pPr>
        <w:pStyle w:val="TableTitle"/>
      </w:pPr>
      <w:bookmarkStart w:id="49" w:name="_Ref97281604"/>
      <w:r w:rsidRPr="00A74A60">
        <w:t xml:space="preserve">Table </w:t>
      </w:r>
      <w:r>
        <w:fldChar w:fldCharType="begin"/>
      </w:r>
      <w:r>
        <w:instrText>SEQ Table \* ARABIC</w:instrText>
      </w:r>
      <w:r>
        <w:fldChar w:fldCharType="separate"/>
      </w:r>
      <w:r w:rsidR="002C4E0E">
        <w:rPr>
          <w:noProof/>
        </w:rPr>
        <w:t>3</w:t>
      </w:r>
      <w:r>
        <w:fldChar w:fldCharType="end"/>
      </w:r>
      <w:bookmarkEnd w:id="49"/>
      <w:r>
        <w:t xml:space="preserve">: Least-squares means and 90% confidence interval of model-predicted </w:t>
      </w:r>
      <w:proofErr w:type="spellStart"/>
      <w:r w:rsidRPr="00E77ABB">
        <w:t>ddQTcF</w:t>
      </w:r>
      <w:proofErr w:type="spellEnd"/>
      <w:r w:rsidRPr="00E77ABB">
        <w:t xml:space="preserve"> by time point and treatment (</w:t>
      </w:r>
      <w:r w:rsidR="00E77ABB" w:rsidRPr="00E77ABB">
        <w:t>electrocardiogram</w:t>
      </w:r>
      <w:r w:rsidRPr="00E77ABB">
        <w:rPr>
          <w:spacing w:val="-6"/>
        </w:rPr>
        <w:t xml:space="preserve"> </w:t>
      </w:r>
      <w:r w:rsidR="00E77ABB" w:rsidRPr="00E77ABB">
        <w:t>p</w:t>
      </w:r>
      <w:r w:rsidRPr="00E77ABB">
        <w:t>opulation)</w:t>
      </w:r>
    </w:p>
    <w:p w14:paraId="7B4B6A2F" w14:textId="4C9FA3A8" w:rsidR="00A74A60" w:rsidRDefault="00A74A60" w:rsidP="00A74A60">
      <w:r>
        <w:rPr>
          <w:noProof/>
          <w:lang w:val="en-GB" w:eastAsia="en-GB"/>
        </w:rPr>
        <w:drawing>
          <wp:inline distT="0" distB="0" distL="0" distR="0" wp14:anchorId="3E522EC2" wp14:editId="70090C3A">
            <wp:extent cx="5120640" cy="1923415"/>
            <wp:effectExtent l="0" t="0" r="3810" b="635"/>
            <wp:docPr id="6" name="Picture 6" descr="Least-squares means and 90% confidence interval of model-predicted ddQTcF by time point and treatment (electrocardiogram population)"/>
            <wp:cNvGraphicFramePr/>
            <a:graphic xmlns:a="http://schemas.openxmlformats.org/drawingml/2006/main">
              <a:graphicData uri="http://schemas.openxmlformats.org/drawingml/2006/picture">
                <pic:pic xmlns:pic="http://schemas.openxmlformats.org/drawingml/2006/picture">
                  <pic:nvPicPr>
                    <pic:cNvPr id="6" name="Picture 6" descr="Least-squares means and 90% confidence interval of model-predicted ddQTcF by time point and treatment (electrocardiogram population)"/>
                    <pic:cNvPicPr/>
                  </pic:nvPicPr>
                  <pic:blipFill rotWithShape="1">
                    <a:blip r:embed="rId24"/>
                    <a:srcRect r="3413" b="28476"/>
                    <a:stretch/>
                  </pic:blipFill>
                  <pic:spPr bwMode="auto">
                    <a:xfrm>
                      <a:off x="0" y="0"/>
                      <a:ext cx="5121926" cy="1923898"/>
                    </a:xfrm>
                    <a:prstGeom prst="rect">
                      <a:avLst/>
                    </a:prstGeom>
                    <a:ln>
                      <a:noFill/>
                    </a:ln>
                    <a:extLst>
                      <a:ext uri="{53640926-AAD7-44D8-BBD7-CCE9431645EC}">
                        <a14:shadowObscured xmlns:a14="http://schemas.microsoft.com/office/drawing/2010/main"/>
                      </a:ext>
                    </a:extLst>
                  </pic:spPr>
                </pic:pic>
              </a:graphicData>
            </a:graphic>
          </wp:inline>
        </w:drawing>
      </w:r>
    </w:p>
    <w:p w14:paraId="23564A16" w14:textId="72BEC9F7" w:rsidR="00E77ABB" w:rsidRDefault="00E77ABB" w:rsidP="00E77ABB">
      <w:pPr>
        <w:pStyle w:val="TableDescription"/>
      </w:pPr>
      <w:proofErr w:type="spellStart"/>
      <w:proofErr w:type="gramStart"/>
      <w:r>
        <w:t>a</w:t>
      </w:r>
      <w:proofErr w:type="spellEnd"/>
      <w:proofErr w:type="gramEnd"/>
      <w:r>
        <w:t xml:space="preserve"> Assay sensitivity was established if at least 1 lower bound of the CI for the QT interval corrected by Fridericia’s </w:t>
      </w:r>
      <w:r w:rsidR="00236CA0">
        <w:t>formula</w:t>
      </w:r>
      <w:r>
        <w:t xml:space="preserve"> was greater than 5 milli sec at either the 2 or 4 hours </w:t>
      </w:r>
      <w:proofErr w:type="spellStart"/>
      <w:r>
        <w:t>postdose</w:t>
      </w:r>
      <w:proofErr w:type="spellEnd"/>
      <w:r>
        <w:t xml:space="preserve"> time point</w:t>
      </w:r>
    </w:p>
    <w:p w14:paraId="59818188" w14:textId="20594BCD" w:rsidR="00E77ABB" w:rsidRDefault="00E77ABB" w:rsidP="00E77ABB">
      <w:pPr>
        <w:pStyle w:val="TableDescription"/>
      </w:pPr>
      <w:r>
        <w:t xml:space="preserve">Abbreviations: CI = confidence interval; </w:t>
      </w:r>
      <w:proofErr w:type="spellStart"/>
      <w:r>
        <w:t>ddQTcF</w:t>
      </w:r>
      <w:proofErr w:type="spellEnd"/>
      <w:r>
        <w:t xml:space="preserve"> = time matched placebo and baseline adjusted QT interval corrected for heart rate using the Fridericia correction; ECG = electrocardiogram</w:t>
      </w:r>
    </w:p>
    <w:p w14:paraId="2C85B525" w14:textId="77777777" w:rsidR="00E77ABB" w:rsidRDefault="00E77ABB" w:rsidP="00E77ABB">
      <w:pPr>
        <w:pStyle w:val="Heading6"/>
      </w:pPr>
      <w:r>
        <w:t>Immunogenicity</w:t>
      </w:r>
    </w:p>
    <w:p w14:paraId="20830D2F" w14:textId="18AC90D0" w:rsidR="00E77ABB" w:rsidRPr="00816D5D" w:rsidRDefault="00E77ABB" w:rsidP="00E77ABB">
      <w:r>
        <w:t>Testing for a</w:t>
      </w:r>
      <w:r w:rsidRPr="00816D5D">
        <w:t xml:space="preserve">nti-drug antibodies (ADA) </w:t>
      </w:r>
      <w:r>
        <w:t xml:space="preserve">in the pivotal studies </w:t>
      </w:r>
      <w:r w:rsidRPr="00816D5D">
        <w:t>w</w:t>
      </w:r>
      <w:r>
        <w:t>as performed</w:t>
      </w:r>
      <w:r w:rsidRPr="00816D5D">
        <w:t xml:space="preserve"> at </w:t>
      </w:r>
      <w:r>
        <w:t>B</w:t>
      </w:r>
      <w:r w:rsidRPr="00816D5D">
        <w:t>aseline, Day</w:t>
      </w:r>
      <w:r w:rsidR="00B407E8">
        <w:t> </w:t>
      </w:r>
      <w:r w:rsidRPr="00816D5D">
        <w:t xml:space="preserve">30, Day 150, Day 330, and Day 510 visits. </w:t>
      </w:r>
      <w:r w:rsidRPr="00BA5CBB">
        <w:rPr>
          <w:lang w:val="en-CA"/>
        </w:rPr>
        <w:t xml:space="preserve">Confirmed </w:t>
      </w:r>
      <w:r>
        <w:rPr>
          <w:lang w:val="en-CA"/>
        </w:rPr>
        <w:t xml:space="preserve">ADA </w:t>
      </w:r>
      <w:r w:rsidRPr="00BA5CBB">
        <w:rPr>
          <w:lang w:val="en-CA"/>
        </w:rPr>
        <w:t xml:space="preserve">positivity was detected in 1.8% of </w:t>
      </w:r>
      <w:r>
        <w:rPr>
          <w:lang w:val="en-CA"/>
        </w:rPr>
        <w:t>subjec</w:t>
      </w:r>
      <w:r w:rsidRPr="00BA5CBB">
        <w:rPr>
          <w:lang w:val="en-CA"/>
        </w:rPr>
        <w:t>ts prior to dosing</w:t>
      </w:r>
      <w:r>
        <w:rPr>
          <w:lang w:val="en-CA"/>
        </w:rPr>
        <w:t xml:space="preserve"> (at Baseline)</w:t>
      </w:r>
      <w:r w:rsidRPr="00BA5CBB">
        <w:rPr>
          <w:lang w:val="en-CA"/>
        </w:rPr>
        <w:t xml:space="preserve"> and in 4.9% (90/1830) during the 18 months of treatment with </w:t>
      </w:r>
      <w:proofErr w:type="spellStart"/>
      <w:r>
        <w:rPr>
          <w:lang w:val="en-CA"/>
        </w:rPr>
        <w:t>inclisiran</w:t>
      </w:r>
      <w:proofErr w:type="spellEnd"/>
      <w:r w:rsidRPr="00816D5D">
        <w:t xml:space="preserve"> </w:t>
      </w:r>
      <w:r w:rsidR="00B407E8">
        <w:t>(</w:t>
      </w:r>
      <w:r w:rsidR="00B407E8">
        <w:fldChar w:fldCharType="begin"/>
      </w:r>
      <w:r w:rsidR="00B407E8">
        <w:instrText xml:space="preserve"> REF _Ref97281816 \h </w:instrText>
      </w:r>
      <w:r w:rsidR="00B407E8">
        <w:fldChar w:fldCharType="separate"/>
      </w:r>
      <w:r w:rsidR="002C4E0E" w:rsidRPr="00E77ABB">
        <w:t xml:space="preserve">Table </w:t>
      </w:r>
      <w:r w:rsidR="002C4E0E">
        <w:rPr>
          <w:noProof/>
        </w:rPr>
        <w:t>4</w:t>
      </w:r>
      <w:r w:rsidR="00B407E8">
        <w:fldChar w:fldCharType="end"/>
      </w:r>
      <w:r w:rsidRPr="00816D5D">
        <w:t>)</w:t>
      </w:r>
      <w:r>
        <w:t>. There was no clear</w:t>
      </w:r>
      <w:r w:rsidRPr="00816D5D">
        <w:t xml:space="preserve"> association between ADA </w:t>
      </w:r>
      <w:r>
        <w:t xml:space="preserve">positivity </w:t>
      </w:r>
      <w:r w:rsidRPr="00816D5D">
        <w:t>and loss of efficacy (</w:t>
      </w:r>
      <w:r>
        <w:fldChar w:fldCharType="begin"/>
      </w:r>
      <w:r>
        <w:instrText xml:space="preserve"> REF _Ref97281828 \h </w:instrText>
      </w:r>
      <w:r>
        <w:fldChar w:fldCharType="separate"/>
      </w:r>
      <w:r w:rsidR="002C4E0E" w:rsidRPr="00E77ABB">
        <w:t xml:space="preserve">Figure </w:t>
      </w:r>
      <w:r w:rsidR="002C4E0E">
        <w:rPr>
          <w:noProof/>
        </w:rPr>
        <w:t>7</w:t>
      </w:r>
      <w:r>
        <w:fldChar w:fldCharType="end"/>
      </w:r>
      <w:r w:rsidRPr="00816D5D">
        <w:t>)</w:t>
      </w:r>
      <w:r>
        <w:t xml:space="preserve"> or </w:t>
      </w:r>
      <w:r w:rsidR="00583677" w:rsidRPr="00583677">
        <w:t>treatment emergent adverse event</w:t>
      </w:r>
      <w:r w:rsidR="00583677">
        <w:t>s (</w:t>
      </w:r>
      <w:r w:rsidRPr="00816D5D">
        <w:t>TEAE</w:t>
      </w:r>
      <w:r w:rsidR="00583677">
        <w:t>)</w:t>
      </w:r>
      <w:r w:rsidRPr="00816D5D">
        <w:t>.</w:t>
      </w:r>
    </w:p>
    <w:p w14:paraId="1CBDC866" w14:textId="554DBB50" w:rsidR="00E77ABB" w:rsidRDefault="00E77ABB" w:rsidP="00E77ABB">
      <w:pPr>
        <w:pStyle w:val="TableTitle"/>
      </w:pPr>
      <w:bookmarkStart w:id="50" w:name="_Ref97281816"/>
      <w:r w:rsidRPr="00E77ABB">
        <w:lastRenderedPageBreak/>
        <w:t xml:space="preserve">Table </w:t>
      </w:r>
      <w:r>
        <w:fldChar w:fldCharType="begin"/>
      </w:r>
      <w:r>
        <w:instrText>SEQ Table \* ARABIC</w:instrText>
      </w:r>
      <w:r>
        <w:fldChar w:fldCharType="separate"/>
      </w:r>
      <w:r w:rsidR="002C4E0E">
        <w:rPr>
          <w:noProof/>
        </w:rPr>
        <w:t>4</w:t>
      </w:r>
      <w:r>
        <w:fldChar w:fldCharType="end"/>
      </w:r>
      <w:bookmarkEnd w:id="50"/>
      <w:r>
        <w:t xml:space="preserve">: </w:t>
      </w:r>
      <w:r w:rsidRPr="00E77ABB">
        <w:t xml:space="preserve">Frequency (percentage) of subjects with confirmed positive </w:t>
      </w:r>
      <w:r>
        <w:t>anti-drug antibodies</w:t>
      </w:r>
      <w:r w:rsidRPr="00E77ABB">
        <w:t xml:space="preserve"> by visit in Phase III studies</w:t>
      </w:r>
    </w:p>
    <w:p w14:paraId="1AF7D75F" w14:textId="29AC7917" w:rsidR="00E77ABB" w:rsidRDefault="00E77ABB" w:rsidP="00E77ABB">
      <w:r>
        <w:rPr>
          <w:noProof/>
          <w:lang w:val="en-GB" w:eastAsia="en-GB"/>
        </w:rPr>
        <w:drawing>
          <wp:inline distT="0" distB="0" distL="0" distR="0" wp14:anchorId="048E8927" wp14:editId="7A2E020C">
            <wp:extent cx="4901184" cy="1477645"/>
            <wp:effectExtent l="0" t="0" r="0" b="8255"/>
            <wp:docPr id="24" name="Picture 24" descr="Frequency (percentage) of subjects with confirmed positive anti-drug antibodies by visit in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requency (percentage) of subjects with confirmed positive anti-drug antibodies by visit in Phase III studies"/>
                    <pic:cNvPicPr/>
                  </pic:nvPicPr>
                  <pic:blipFill rotWithShape="1">
                    <a:blip r:embed="rId25"/>
                    <a:srcRect r="9226" b="23048"/>
                    <a:stretch/>
                  </pic:blipFill>
                  <pic:spPr bwMode="auto">
                    <a:xfrm>
                      <a:off x="0" y="0"/>
                      <a:ext cx="4901844" cy="1477844"/>
                    </a:xfrm>
                    <a:prstGeom prst="rect">
                      <a:avLst/>
                    </a:prstGeom>
                    <a:ln>
                      <a:noFill/>
                    </a:ln>
                    <a:extLst>
                      <a:ext uri="{53640926-AAD7-44D8-BBD7-CCE9431645EC}">
                        <a14:shadowObscured xmlns:a14="http://schemas.microsoft.com/office/drawing/2010/main"/>
                      </a:ext>
                    </a:extLst>
                  </pic:spPr>
                </pic:pic>
              </a:graphicData>
            </a:graphic>
          </wp:inline>
        </w:drawing>
      </w:r>
    </w:p>
    <w:p w14:paraId="58AE3E0C" w14:textId="113B1EA8" w:rsidR="00583677" w:rsidRDefault="00583677" w:rsidP="00583677">
      <w:pPr>
        <w:pStyle w:val="TableDescription"/>
      </w:pPr>
      <w:r>
        <w:t>n: number of subjects with confirmed ADA responses</w:t>
      </w:r>
    </w:p>
    <w:p w14:paraId="5E4DFF25" w14:textId="71420C2D" w:rsidR="00583677" w:rsidRDefault="00583677" w:rsidP="00583677">
      <w:pPr>
        <w:pStyle w:val="TableDescription"/>
      </w:pPr>
      <w:r>
        <w:t>m: number of subjects with sample data collected at each visit (used as the denominator)</w:t>
      </w:r>
    </w:p>
    <w:p w14:paraId="203FF944" w14:textId="73C810AA" w:rsidR="00E77ABB" w:rsidRDefault="00E77ABB" w:rsidP="00E77ABB">
      <w:pPr>
        <w:pStyle w:val="FigureTitle"/>
      </w:pPr>
      <w:bookmarkStart w:id="51" w:name="_Ref97281828"/>
      <w:r w:rsidRPr="00E77ABB">
        <w:t xml:space="preserve">Figure </w:t>
      </w:r>
      <w:r>
        <w:fldChar w:fldCharType="begin"/>
      </w:r>
      <w:r>
        <w:instrText>SEQ Figure \* ARABIC</w:instrText>
      </w:r>
      <w:r>
        <w:fldChar w:fldCharType="separate"/>
      </w:r>
      <w:r w:rsidR="002C4E0E">
        <w:rPr>
          <w:noProof/>
        </w:rPr>
        <w:t>7</w:t>
      </w:r>
      <w:r>
        <w:fldChar w:fldCharType="end"/>
      </w:r>
      <w:bookmarkEnd w:id="51"/>
      <w:r>
        <w:t xml:space="preserve">: </w:t>
      </w:r>
      <w:r w:rsidRPr="00E77ABB">
        <w:t xml:space="preserve">Mean </w:t>
      </w:r>
      <w:r>
        <w:t>a</w:t>
      </w:r>
      <w:r w:rsidRPr="00E77ABB">
        <w:t xml:space="preserve">ctual </w:t>
      </w:r>
      <w:r>
        <w:t>v</w:t>
      </w:r>
      <w:r w:rsidRPr="00E77ABB">
        <w:t xml:space="preserve">alues of </w:t>
      </w:r>
      <w:r w:rsidR="00AB27A3" w:rsidRPr="00AB27A3">
        <w:t xml:space="preserve">low-density lipoprotein-cholesterol </w:t>
      </w:r>
      <w:r w:rsidRPr="00E77ABB">
        <w:t xml:space="preserve">(mg/dL) by </w:t>
      </w:r>
      <w:r>
        <w:t>v</w:t>
      </w:r>
      <w:r w:rsidRPr="00E77ABB">
        <w:t xml:space="preserve">isit and </w:t>
      </w:r>
      <w:r>
        <w:t>m</w:t>
      </w:r>
      <w:r w:rsidRPr="00E77ABB">
        <w:t xml:space="preserve">aximum </w:t>
      </w:r>
      <w:r>
        <w:t>p</w:t>
      </w:r>
      <w:r w:rsidRPr="00E77ABB">
        <w:t>ost-</w:t>
      </w:r>
      <w:r>
        <w:t>b</w:t>
      </w:r>
      <w:r w:rsidRPr="00E77ABB">
        <w:t xml:space="preserve">aseline </w:t>
      </w:r>
      <w:r>
        <w:t>t</w:t>
      </w:r>
      <w:r w:rsidRPr="00E77ABB">
        <w:t>itre (</w:t>
      </w:r>
      <w:proofErr w:type="spellStart"/>
      <w:r>
        <w:t>i</w:t>
      </w:r>
      <w:r w:rsidRPr="00E77ABB">
        <w:t>nclisiran</w:t>
      </w:r>
      <w:proofErr w:type="spellEnd"/>
      <w:r w:rsidRPr="00E77ABB">
        <w:t xml:space="preserve"> </w:t>
      </w:r>
      <w:r>
        <w:t>s</w:t>
      </w:r>
      <w:r w:rsidRPr="00E77ABB">
        <w:t xml:space="preserve">ubjects with </w:t>
      </w:r>
      <w:r w:rsidR="00AB27A3" w:rsidRPr="00AB27A3">
        <w:t>low-density lipoprotein-cholesterol</w:t>
      </w:r>
      <w:r w:rsidR="00AB27A3">
        <w:t xml:space="preserve"> </w:t>
      </w:r>
      <w:r w:rsidRPr="00E77ABB">
        <w:t xml:space="preserve">and </w:t>
      </w:r>
      <w:r>
        <w:t>anti-drug antibodies</w:t>
      </w:r>
      <w:r w:rsidRPr="00E77ABB">
        <w:t xml:space="preserve"> </w:t>
      </w:r>
      <w:r>
        <w:t>d</w:t>
      </w:r>
      <w:r w:rsidRPr="00E77ABB">
        <w:t xml:space="preserve">ata in the Phase </w:t>
      </w:r>
      <w:r>
        <w:t>III</w:t>
      </w:r>
      <w:r w:rsidRPr="00E77ABB">
        <w:t xml:space="preserve"> studies)</w:t>
      </w:r>
    </w:p>
    <w:p w14:paraId="2950F8A4" w14:textId="42A7AED8" w:rsidR="00B907F7" w:rsidRDefault="00B907F7" w:rsidP="00E77ABB">
      <w:pPr>
        <w:pStyle w:val="FigureTitle"/>
      </w:pPr>
      <w:r>
        <w:rPr>
          <w:noProof/>
          <w:lang w:val="en-GB" w:eastAsia="en-GB"/>
        </w:rPr>
        <w:drawing>
          <wp:inline distT="0" distB="0" distL="0" distR="0" wp14:anchorId="41697B44" wp14:editId="61DFEF7C">
            <wp:extent cx="4305300" cy="2680988"/>
            <wp:effectExtent l="0" t="0" r="0" b="5080"/>
            <wp:docPr id="25" name="Picture 25" descr="Mean actual values of low-density lipoprotein-cholesterol (mg/dL) by visit and maximum post-baseline titre (inclisiran subjects with low-density lipoprotein-cholesterol and anti-drug antibodies data in the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ean actual values of low-density lipoprotein-cholesterol (mg/dL) by visit and maximum post-baseline titre (inclisiran subjects with low-density lipoprotein-cholesterol and anti-drug antibodies data in the Phase III studies)"/>
                    <pic:cNvPicPr/>
                  </pic:nvPicPr>
                  <pic:blipFill>
                    <a:blip r:embed="rId26"/>
                    <a:stretch>
                      <a:fillRect/>
                    </a:stretch>
                  </pic:blipFill>
                  <pic:spPr>
                    <a:xfrm>
                      <a:off x="0" y="0"/>
                      <a:ext cx="4322692" cy="2691818"/>
                    </a:xfrm>
                    <a:prstGeom prst="rect">
                      <a:avLst/>
                    </a:prstGeom>
                  </pic:spPr>
                </pic:pic>
              </a:graphicData>
            </a:graphic>
          </wp:inline>
        </w:drawing>
      </w:r>
    </w:p>
    <w:p w14:paraId="292E2698" w14:textId="77777777" w:rsidR="00AB27A3" w:rsidRDefault="00AB27A3" w:rsidP="00AB27A3">
      <w:pPr>
        <w:pStyle w:val="Heading5"/>
      </w:pPr>
      <w:r>
        <w:t>Efficacy</w:t>
      </w:r>
    </w:p>
    <w:p w14:paraId="6A8B4D30" w14:textId="77777777" w:rsidR="00AB27A3" w:rsidRDefault="00AB27A3" w:rsidP="00AB27A3">
      <w:r>
        <w:t>Three Phase III trials were submitted in support of the proposed indication:</w:t>
      </w:r>
    </w:p>
    <w:p w14:paraId="7D1D1E93" w14:textId="27AE7303" w:rsidR="00AB27A3" w:rsidRDefault="00AB27A3" w:rsidP="00AB27A3">
      <w:pPr>
        <w:pStyle w:val="ListBullet"/>
      </w:pPr>
      <w:r>
        <w:t xml:space="preserve">ORION-9 trial: 482 subjects with </w:t>
      </w:r>
      <w:proofErr w:type="spellStart"/>
      <w:r>
        <w:t>HeFH</w:t>
      </w:r>
      <w:proofErr w:type="spellEnd"/>
      <w:r>
        <w:t xml:space="preserve"> and elevated LDL-C despite maximally tolerated statin therapy.</w:t>
      </w:r>
    </w:p>
    <w:p w14:paraId="612ADC12" w14:textId="282786F3" w:rsidR="00AB27A3" w:rsidRDefault="00AB27A3" w:rsidP="00AB27A3">
      <w:pPr>
        <w:pStyle w:val="ListBullet"/>
      </w:pPr>
      <w:r>
        <w:t>ORION-10 trial: 1561 subjects with ASCVD and elevated LDL-C despite maximally tolerated statin therapy.</w:t>
      </w:r>
    </w:p>
    <w:p w14:paraId="44498351" w14:textId="1C56F4EE" w:rsidR="00AB27A3" w:rsidRDefault="00AB27A3" w:rsidP="00AB27A3">
      <w:pPr>
        <w:pStyle w:val="ListBullet"/>
      </w:pPr>
      <w:r>
        <w:t>ORION-11 trial: 1617 subjects with ASCVD or ASCVD-risk equivalents (</w:t>
      </w:r>
      <w:r w:rsidR="00DA7DE6">
        <w:t xml:space="preserve">type </w:t>
      </w:r>
      <w:r>
        <w:t xml:space="preserve">2 diabetes, FH, or </w:t>
      </w:r>
      <w:proofErr w:type="gramStart"/>
      <w:r>
        <w:t>10 year</w:t>
      </w:r>
      <w:proofErr w:type="gramEnd"/>
      <w:r>
        <w:t xml:space="preserve"> </w:t>
      </w:r>
      <w:r w:rsidR="00B407E8">
        <w:t xml:space="preserve">cardiovascular </w:t>
      </w:r>
      <w:r w:rsidR="00C91BEC">
        <w:t>(</w:t>
      </w:r>
      <w:r>
        <w:t>CV</w:t>
      </w:r>
      <w:r w:rsidR="00C91BEC">
        <w:t>)</w:t>
      </w:r>
      <w:r>
        <w:t xml:space="preserve"> event risk ≥</w:t>
      </w:r>
      <w:r w:rsidR="00DA7DE6">
        <w:t xml:space="preserve"> </w:t>
      </w:r>
      <w:r>
        <w:t>20%) and elevated LDL-C despite maximally tolerated statin.</w:t>
      </w:r>
    </w:p>
    <w:p w14:paraId="35EB604C" w14:textId="5F5D4FC6" w:rsidR="00583677" w:rsidRDefault="00AB27A3" w:rsidP="00AB27A3">
      <w:r>
        <w:t>The three studies shared similar design: randomised, placebo controlled, double blind trials of 18</w:t>
      </w:r>
      <w:r w:rsidR="00C91BEC">
        <w:t> </w:t>
      </w:r>
      <w:r>
        <w:t>months duration evaluating the efficacy and safety of 300</w:t>
      </w:r>
      <w:r w:rsidR="00C91BEC">
        <w:t> </w:t>
      </w:r>
      <w:r>
        <w:t xml:space="preserve">mg </w:t>
      </w:r>
      <w:proofErr w:type="spellStart"/>
      <w:r>
        <w:t>inclisiran</w:t>
      </w:r>
      <w:proofErr w:type="spellEnd"/>
      <w:r>
        <w:t xml:space="preserve"> sodium (284</w:t>
      </w:r>
      <w:r w:rsidR="00C91BEC">
        <w:t> </w:t>
      </w:r>
      <w:r>
        <w:t xml:space="preserve">mg </w:t>
      </w:r>
      <w:proofErr w:type="spellStart"/>
      <w:r>
        <w:t>inclisiran</w:t>
      </w:r>
      <w:proofErr w:type="spellEnd"/>
      <w:r>
        <w:t xml:space="preserve">) administered on Day 1, Day 90, Day </w:t>
      </w:r>
      <w:proofErr w:type="gramStart"/>
      <w:r>
        <w:t>270</w:t>
      </w:r>
      <w:proofErr w:type="gramEnd"/>
      <w:r>
        <w:t xml:space="preserve"> and Day 450 (</w:t>
      </w:r>
      <w:r>
        <w:fldChar w:fldCharType="begin"/>
      </w:r>
      <w:r>
        <w:instrText xml:space="preserve"> REF _Ref97286139 \h </w:instrText>
      </w:r>
      <w:r>
        <w:fldChar w:fldCharType="separate"/>
      </w:r>
      <w:r w:rsidR="002C4E0E" w:rsidRPr="00AB27A3">
        <w:t xml:space="preserve">Figure </w:t>
      </w:r>
      <w:r w:rsidR="002C4E0E">
        <w:rPr>
          <w:noProof/>
        </w:rPr>
        <w:t>8</w:t>
      </w:r>
      <w:r>
        <w:fldChar w:fldCharType="end"/>
      </w:r>
      <w:r>
        <w:t>).</w:t>
      </w:r>
    </w:p>
    <w:p w14:paraId="66A161F8" w14:textId="4ADAFADE" w:rsidR="00AB27A3" w:rsidRDefault="00AB27A3" w:rsidP="00AB27A3">
      <w:pPr>
        <w:pStyle w:val="FigureTitle"/>
      </w:pPr>
      <w:bookmarkStart w:id="52" w:name="_Ref97286139"/>
      <w:r w:rsidRPr="00AB27A3">
        <w:lastRenderedPageBreak/>
        <w:t xml:space="preserve">Figure </w:t>
      </w:r>
      <w:r>
        <w:fldChar w:fldCharType="begin"/>
      </w:r>
      <w:r>
        <w:instrText>SEQ Figure \* ARABIC</w:instrText>
      </w:r>
      <w:r>
        <w:fldChar w:fldCharType="separate"/>
      </w:r>
      <w:r w:rsidR="002C4E0E">
        <w:rPr>
          <w:noProof/>
        </w:rPr>
        <w:t>8</w:t>
      </w:r>
      <w:r>
        <w:fldChar w:fldCharType="end"/>
      </w:r>
      <w:bookmarkEnd w:id="52"/>
      <w:r>
        <w:t xml:space="preserve">: </w:t>
      </w:r>
      <w:r w:rsidRPr="00CD45BC">
        <w:t xml:space="preserve">Schematic diagram of study design of </w:t>
      </w:r>
      <w:r>
        <w:t>t</w:t>
      </w:r>
      <w:r w:rsidRPr="00CD45BC">
        <w:t>he Phase III studies</w:t>
      </w:r>
    </w:p>
    <w:p w14:paraId="20D546C7" w14:textId="1A47FF79" w:rsidR="00AB27A3" w:rsidRDefault="00AB27A3" w:rsidP="00AB27A3">
      <w:r>
        <w:rPr>
          <w:noProof/>
          <w:lang w:val="en-GB" w:eastAsia="en-GB"/>
        </w:rPr>
        <w:drawing>
          <wp:inline distT="0" distB="0" distL="0" distR="0" wp14:anchorId="42C9B837" wp14:editId="64318BC9">
            <wp:extent cx="5252313" cy="1572848"/>
            <wp:effectExtent l="0" t="0" r="5715" b="8890"/>
            <wp:docPr id="39" name="Picture 39" descr="Patients were screened two weeks prior to start of the trial. Inclisiran were given to participant on Day 1 (Visit 1), Day 90 (Visit 3), Day 270 (Visit 5) and Day450 (Visit 7). Study assessment were performed on Visit 1, Visit 2 (Day 30), Visit 3, Visit 4 (Day 150), Visit 5, Visit 6 (Day 330), Visit 7, Visit 8 (Day 510) and Visit 9, end of study on Day 540 or 90 days post last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atients were screened two weeks prior to start of the trial. Inclisiran were given to participant on Day 1 (Visit 1), Day 90 (Visit 3), Day 270 (Visit 5) and Day450 (Visit 7). Study assessment were performed on Visit 1, Visit 2 (Day 30), Visit 3, Visit 4 (Day 150), Visit 5, Visit 6 (Day 330), Visit 7, Visit 8 (Day 510) and Visit 9, end of study on Day 540 or 90 days post last dose."/>
                    <pic:cNvPicPr/>
                  </pic:nvPicPr>
                  <pic:blipFill rotWithShape="1">
                    <a:blip r:embed="rId27"/>
                    <a:srcRect b="10291"/>
                    <a:stretch/>
                  </pic:blipFill>
                  <pic:spPr bwMode="auto">
                    <a:xfrm>
                      <a:off x="0" y="0"/>
                      <a:ext cx="5261794" cy="1575687"/>
                    </a:xfrm>
                    <a:prstGeom prst="rect">
                      <a:avLst/>
                    </a:prstGeom>
                    <a:ln>
                      <a:noFill/>
                    </a:ln>
                    <a:extLst>
                      <a:ext uri="{53640926-AAD7-44D8-BBD7-CCE9431645EC}">
                        <a14:shadowObscured xmlns:a14="http://schemas.microsoft.com/office/drawing/2010/main"/>
                      </a:ext>
                    </a:extLst>
                  </pic:spPr>
                </pic:pic>
              </a:graphicData>
            </a:graphic>
          </wp:inline>
        </w:drawing>
      </w:r>
    </w:p>
    <w:p w14:paraId="5720764C" w14:textId="618106B6" w:rsidR="00AB27A3" w:rsidRDefault="00AB27A3" w:rsidP="00AB27A3">
      <w:pPr>
        <w:pStyle w:val="TableDescription"/>
      </w:pPr>
      <w:r>
        <w:t xml:space="preserve">Abbreviations: </w:t>
      </w:r>
      <w:r w:rsidR="00DA7DE6">
        <w:t xml:space="preserve">EOS = End of study; </w:t>
      </w:r>
      <w:r>
        <w:t>FUP = follow up; V = visit</w:t>
      </w:r>
    </w:p>
    <w:p w14:paraId="640478DE" w14:textId="5233D7D3" w:rsidR="00DF229C" w:rsidRDefault="00DF229C" w:rsidP="00DF229C">
      <w:r>
        <w:t>The studies included adult subjects who were unable to achieve target LDL-C despite receiving maximally tolerated statin therapy with or without other LDL-C lowering agents. Statin</w:t>
      </w:r>
      <w:r w:rsidR="00C91BEC">
        <w:t xml:space="preserve"> </w:t>
      </w:r>
      <w:r>
        <w:t>intolerant subjects were required to be intolerant to all doses of at least two different statins. Enrolment of statin</w:t>
      </w:r>
      <w:r w:rsidR="00C91BEC">
        <w:t xml:space="preserve"> </w:t>
      </w:r>
      <w:r>
        <w:t>intolerant subjects was capped at 15% of total study enrolment. All subjects were required to have fasting triglyceride</w:t>
      </w:r>
      <w:r w:rsidR="00DA7DE6">
        <w:t>s</w:t>
      </w:r>
      <w:r>
        <w:t xml:space="preserve"> &lt;</w:t>
      </w:r>
      <w:r w:rsidR="00C91BEC">
        <w:t xml:space="preserve"> </w:t>
      </w:r>
      <w:r>
        <w:t>4.52 mmol/L at screening.</w:t>
      </w:r>
    </w:p>
    <w:p w14:paraId="1A9DBD62" w14:textId="524904BF" w:rsidR="00DF229C" w:rsidRDefault="00DF229C" w:rsidP="00DF229C">
      <w:r>
        <w:t xml:space="preserve">Inclusion criteria unique to each of the studies are shown in </w:t>
      </w:r>
      <w:r w:rsidR="00C91BEC">
        <w:rPr>
          <w:highlight w:val="yellow"/>
        </w:rPr>
        <w:fldChar w:fldCharType="begin"/>
      </w:r>
      <w:r w:rsidR="00C91BEC">
        <w:instrText xml:space="preserve"> REF _Ref97289178 \h </w:instrText>
      </w:r>
      <w:r w:rsidR="00C91BEC">
        <w:rPr>
          <w:highlight w:val="yellow"/>
        </w:rPr>
      </w:r>
      <w:r w:rsidR="00C91BEC">
        <w:rPr>
          <w:highlight w:val="yellow"/>
        </w:rPr>
        <w:fldChar w:fldCharType="separate"/>
      </w:r>
      <w:r w:rsidR="002C4E0E">
        <w:t xml:space="preserve">Table </w:t>
      </w:r>
      <w:r w:rsidR="002C4E0E">
        <w:rPr>
          <w:noProof/>
        </w:rPr>
        <w:t>5</w:t>
      </w:r>
      <w:r w:rsidR="00C91BEC">
        <w:rPr>
          <w:highlight w:val="yellow"/>
        </w:rPr>
        <w:fldChar w:fldCharType="end"/>
      </w:r>
      <w:r>
        <w:t>. Exclusion criteria were identical across the three studies. Patients previously or currently treated with anti-PCSK9 monoclonal antibodies were excluded.</w:t>
      </w:r>
    </w:p>
    <w:p w14:paraId="508908CA" w14:textId="3269DFBD" w:rsidR="00DF229C" w:rsidRDefault="00DF229C" w:rsidP="00DF229C">
      <w:r>
        <w:t>The primary and secondary efficacy endpoints were the same across the three studies (</w:t>
      </w:r>
      <w:r w:rsidR="00C91BEC">
        <w:rPr>
          <w:highlight w:val="yellow"/>
        </w:rPr>
        <w:fldChar w:fldCharType="begin"/>
      </w:r>
      <w:r w:rsidR="00C91BEC">
        <w:instrText xml:space="preserve"> REF _Ref97806450 \h </w:instrText>
      </w:r>
      <w:r w:rsidR="00C91BEC">
        <w:rPr>
          <w:highlight w:val="yellow"/>
        </w:rPr>
      </w:r>
      <w:r w:rsidR="00C91BEC">
        <w:rPr>
          <w:highlight w:val="yellow"/>
        </w:rPr>
        <w:fldChar w:fldCharType="separate"/>
      </w:r>
      <w:r w:rsidR="002C4E0E" w:rsidRPr="00035BDE">
        <w:t xml:space="preserve">Table </w:t>
      </w:r>
      <w:r w:rsidR="002C4E0E">
        <w:rPr>
          <w:noProof/>
        </w:rPr>
        <w:t>6</w:t>
      </w:r>
      <w:r w:rsidR="00C91BEC">
        <w:rPr>
          <w:highlight w:val="yellow"/>
        </w:rPr>
        <w:fldChar w:fldCharType="end"/>
      </w:r>
      <w:r>
        <w:t xml:space="preserve">). </w:t>
      </w:r>
      <w:proofErr w:type="gramStart"/>
      <w:r>
        <w:t>All of</w:t>
      </w:r>
      <w:proofErr w:type="gramEnd"/>
      <w:r>
        <w:t xml:space="preserve"> the major efficacy endpoints were laboratory parameters. CV outcomes, including CV death, resuscitated cardiac arrest, non-fatal myocardial infarction, and non-fatal stroke (ischaemic and haemorrhagic), were exploratory.</w:t>
      </w:r>
    </w:p>
    <w:p w14:paraId="7520ECEB" w14:textId="78C88116" w:rsidR="00DF229C" w:rsidRDefault="00DF229C" w:rsidP="00DF229C">
      <w:pPr>
        <w:pStyle w:val="TableTitle"/>
      </w:pPr>
      <w:bookmarkStart w:id="53" w:name="_Ref97289178"/>
      <w:r>
        <w:t xml:space="preserve">Table </w:t>
      </w:r>
      <w:r>
        <w:fldChar w:fldCharType="begin"/>
      </w:r>
      <w:r>
        <w:instrText>SEQ Table \* ARABIC</w:instrText>
      </w:r>
      <w:r>
        <w:fldChar w:fldCharType="separate"/>
      </w:r>
      <w:r w:rsidR="002C4E0E">
        <w:rPr>
          <w:noProof/>
        </w:rPr>
        <w:t>5</w:t>
      </w:r>
      <w:r>
        <w:fldChar w:fldCharType="end"/>
      </w:r>
      <w:bookmarkEnd w:id="53"/>
      <w:r>
        <w:t xml:space="preserve">: </w:t>
      </w:r>
      <w:r w:rsidR="00DA7DE6">
        <w:t>ORION-9, ORION-10 and ORION-11 trials</w:t>
      </w:r>
      <w:r w:rsidR="00EA70AC">
        <w:t xml:space="preserve">, </w:t>
      </w:r>
      <w:r w:rsidRPr="005B26F5">
        <w:t xml:space="preserve">Unique </w:t>
      </w:r>
      <w:r>
        <w:t>i</w:t>
      </w:r>
      <w:r w:rsidRPr="005B26F5">
        <w:t xml:space="preserve">nclusion </w:t>
      </w:r>
      <w:r>
        <w:t>c</w:t>
      </w:r>
      <w:r w:rsidRPr="005B26F5">
        <w:t>riteria</w:t>
      </w:r>
    </w:p>
    <w:p w14:paraId="4481F37C" w14:textId="70D8E459" w:rsidR="00DF229C" w:rsidRDefault="00DF229C" w:rsidP="00DF229C">
      <w:r>
        <w:rPr>
          <w:noProof/>
          <w:lang w:val="en-GB" w:eastAsia="en-GB"/>
        </w:rPr>
        <w:drawing>
          <wp:inline distT="0" distB="0" distL="0" distR="0" wp14:anchorId="5FEFAEEB" wp14:editId="537D5369">
            <wp:extent cx="5196558" cy="2977286"/>
            <wp:effectExtent l="0" t="0" r="4445" b="0"/>
            <wp:docPr id="4" name="Picture 4" descr="Unique inclusion criteria for the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que inclusion criteria for the Phase III studies"/>
                    <pic:cNvPicPr/>
                  </pic:nvPicPr>
                  <pic:blipFill rotWithShape="1">
                    <a:blip r:embed="rId28"/>
                    <a:srcRect b="14504"/>
                    <a:stretch/>
                  </pic:blipFill>
                  <pic:spPr bwMode="auto">
                    <a:xfrm>
                      <a:off x="0" y="0"/>
                      <a:ext cx="5222198" cy="2991976"/>
                    </a:xfrm>
                    <a:prstGeom prst="rect">
                      <a:avLst/>
                    </a:prstGeom>
                    <a:ln>
                      <a:noFill/>
                    </a:ln>
                    <a:extLst>
                      <a:ext uri="{53640926-AAD7-44D8-BBD7-CCE9431645EC}">
                        <a14:shadowObscured xmlns:a14="http://schemas.microsoft.com/office/drawing/2010/main"/>
                      </a:ext>
                    </a:extLst>
                  </pic:spPr>
                </pic:pic>
              </a:graphicData>
            </a:graphic>
          </wp:inline>
        </w:drawing>
      </w:r>
    </w:p>
    <w:p w14:paraId="4BBD3014" w14:textId="2CD9519E" w:rsidR="00035BDE" w:rsidRDefault="00035BDE" w:rsidP="00035BDE">
      <w:pPr>
        <w:pStyle w:val="TableDescription"/>
      </w:pPr>
      <w:r>
        <w:t xml:space="preserve">Abbreviations: ASCVD = atherosclerotic cardiovascular disease; CHD = coronary heart disease; CV = cardiovascular; CVD = cardiovascular disease; FH = familial hypercholesterolemia; eGFR = estimated glomerular filtration rate; </w:t>
      </w:r>
      <w:proofErr w:type="spellStart"/>
      <w:r>
        <w:t>HeFH</w:t>
      </w:r>
      <w:proofErr w:type="spellEnd"/>
      <w:r>
        <w:t xml:space="preserve"> = heterozygous familial hypercholesterolemia; LDL-C = low density lipoprotein cholesterol; NCEP = National Cholesterol Education Program; PAD = peripheral artery disease.</w:t>
      </w:r>
    </w:p>
    <w:p w14:paraId="1079B19A" w14:textId="6122DBF2" w:rsidR="00DF229C" w:rsidRPr="001422AD" w:rsidRDefault="00DF229C" w:rsidP="00035BDE">
      <w:pPr>
        <w:pStyle w:val="TableTitle"/>
      </w:pPr>
      <w:bookmarkStart w:id="54" w:name="_Ref97806450"/>
      <w:r w:rsidRPr="00035BDE">
        <w:lastRenderedPageBreak/>
        <w:t xml:space="preserve">Table </w:t>
      </w:r>
      <w:r>
        <w:fldChar w:fldCharType="begin"/>
      </w:r>
      <w:r>
        <w:instrText>SEQ Table \* ARABIC</w:instrText>
      </w:r>
      <w:r>
        <w:fldChar w:fldCharType="separate"/>
      </w:r>
      <w:r w:rsidR="002C4E0E">
        <w:rPr>
          <w:noProof/>
        </w:rPr>
        <w:t>6</w:t>
      </w:r>
      <w:r>
        <w:fldChar w:fldCharType="end"/>
      </w:r>
      <w:bookmarkEnd w:id="54"/>
      <w:r>
        <w:t xml:space="preserve">: </w:t>
      </w:r>
      <w:r w:rsidR="00035BDE">
        <w:t>ORION-9, OR</w:t>
      </w:r>
      <w:r w:rsidR="00DA7DE6">
        <w:t>I</w:t>
      </w:r>
      <w:r w:rsidR="00035BDE">
        <w:t>ON-10 and ORION-11 trials</w:t>
      </w:r>
      <w:r w:rsidR="00EA70AC">
        <w:t>,</w:t>
      </w:r>
      <w:r w:rsidR="00035BDE">
        <w:t xml:space="preserve"> </w:t>
      </w:r>
      <w:r>
        <w:t xml:space="preserve">Primary and </w:t>
      </w:r>
      <w:r w:rsidR="00035BDE">
        <w:t>s</w:t>
      </w:r>
      <w:r>
        <w:t xml:space="preserve">econdary </w:t>
      </w:r>
      <w:r w:rsidR="00035BDE">
        <w:t>e</w:t>
      </w:r>
      <w:r w:rsidRPr="001422AD">
        <w:t xml:space="preserve">fficacy </w:t>
      </w:r>
      <w:r w:rsidR="00035BDE">
        <w:t>e</w:t>
      </w:r>
      <w:r w:rsidRPr="001422AD">
        <w:t>ndpoints</w:t>
      </w:r>
    </w:p>
    <w:p w14:paraId="20C08877" w14:textId="41378F98" w:rsidR="00DF229C" w:rsidRDefault="00035BDE" w:rsidP="00DF229C">
      <w:pPr>
        <w:pStyle w:val="Caption"/>
      </w:pPr>
      <w:r>
        <w:rPr>
          <w:noProof/>
          <w:lang w:val="en-GB" w:eastAsia="en-GB"/>
        </w:rPr>
        <w:drawing>
          <wp:inline distT="0" distB="0" distL="0" distR="0" wp14:anchorId="656D8E90" wp14:editId="1AB99F93">
            <wp:extent cx="4366405" cy="3556000"/>
            <wp:effectExtent l="0" t="0" r="0" b="6350"/>
            <wp:docPr id="5" name="Picture 5" descr="ORION-9, ORON-10 and ORION-11 trials Primary and secondary efficac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ION-9, ORON-10 and ORION-11 trials Primary and secondary efficacy endpoints"/>
                    <pic:cNvPicPr/>
                  </pic:nvPicPr>
                  <pic:blipFill rotWithShape="1">
                    <a:blip r:embed="rId29"/>
                    <a:srcRect b="6031"/>
                    <a:stretch/>
                  </pic:blipFill>
                  <pic:spPr bwMode="auto">
                    <a:xfrm>
                      <a:off x="0" y="0"/>
                      <a:ext cx="4370622" cy="3559434"/>
                    </a:xfrm>
                    <a:prstGeom prst="rect">
                      <a:avLst/>
                    </a:prstGeom>
                    <a:ln>
                      <a:noFill/>
                    </a:ln>
                    <a:extLst>
                      <a:ext uri="{53640926-AAD7-44D8-BBD7-CCE9431645EC}">
                        <a14:shadowObscured xmlns:a14="http://schemas.microsoft.com/office/drawing/2010/main"/>
                      </a:ext>
                    </a:extLst>
                  </pic:spPr>
                </pic:pic>
              </a:graphicData>
            </a:graphic>
          </wp:inline>
        </w:drawing>
      </w:r>
    </w:p>
    <w:p w14:paraId="0B8C8B4B" w14:textId="2FA2FBC3" w:rsidR="00035BDE" w:rsidRDefault="00035BDE" w:rsidP="00035BDE">
      <w:pPr>
        <w:pStyle w:val="TableDescription"/>
      </w:pPr>
      <w:r>
        <w:t>Abbreviations: ACSVD = atherosclerotic cardiovascular disease; Apo-B = apolipoprotein B; HDL-C = high density lipoprotein- C; LDL-C = low density lipoprotein cholesterol; PCSK9 = proprotein convertase subtilisin/</w:t>
      </w:r>
      <w:proofErr w:type="spellStart"/>
      <w:r>
        <w:t>kexin</w:t>
      </w:r>
      <w:proofErr w:type="spellEnd"/>
      <w:r>
        <w:t xml:space="preserve"> type 9.</w:t>
      </w:r>
    </w:p>
    <w:p w14:paraId="7C5CF167" w14:textId="4A52B98D" w:rsidR="00035BDE" w:rsidRDefault="00035BDE" w:rsidP="00035BDE">
      <w:pPr>
        <w:pStyle w:val="Heading6"/>
      </w:pPr>
      <w:r>
        <w:t>ORION-9 trial</w:t>
      </w:r>
    </w:p>
    <w:p w14:paraId="1723F0E7" w14:textId="0B03AF53" w:rsidR="00035BDE" w:rsidRDefault="00EA70AC" w:rsidP="00035BDE">
      <w:r>
        <w:t xml:space="preserve">The </w:t>
      </w:r>
      <w:r w:rsidR="00035BDE">
        <w:t xml:space="preserve">ORION-9 trial was a Phase III study of adults with </w:t>
      </w:r>
      <w:proofErr w:type="spellStart"/>
      <w:r w:rsidR="00035BDE">
        <w:t>HeFH</w:t>
      </w:r>
      <w:proofErr w:type="spellEnd"/>
      <w:r w:rsidR="00035BDE">
        <w:t xml:space="preserve"> (confirmed by genotyping or clinical criteria) and LDL-C ≥ 2.6 mmol/L despite maximally tolerated statin therapy with or without other LDL-C lowering agents. It was conducted in 47 centres in eight countries: Canada, Czech Republic, Denmark, Netherlands, South Africa, Spain, Sweden, and USA. The inclusion criteria specific to this study are shown in </w:t>
      </w:r>
      <w:r w:rsidR="00035BDE">
        <w:fldChar w:fldCharType="begin"/>
      </w:r>
      <w:r w:rsidR="00035BDE">
        <w:instrText xml:space="preserve"> REF _Ref97289178 \h </w:instrText>
      </w:r>
      <w:r w:rsidR="00035BDE">
        <w:fldChar w:fldCharType="separate"/>
      </w:r>
      <w:r w:rsidR="002C4E0E">
        <w:t xml:space="preserve">Table </w:t>
      </w:r>
      <w:r w:rsidR="002C4E0E">
        <w:rPr>
          <w:noProof/>
        </w:rPr>
        <w:t>5</w:t>
      </w:r>
      <w:r w:rsidR="00035BDE">
        <w:fldChar w:fldCharType="end"/>
      </w:r>
      <w:r w:rsidR="00035BDE">
        <w:t xml:space="preserve">. The genetic profile of subjects in </w:t>
      </w:r>
      <w:r>
        <w:t xml:space="preserve">the </w:t>
      </w:r>
      <w:r w:rsidR="00035BDE">
        <w:t>ORION-9</w:t>
      </w:r>
      <w:r>
        <w:t xml:space="preserve"> trial</w:t>
      </w:r>
      <w:r w:rsidR="00035BDE">
        <w:t xml:space="preserve"> is shown in </w:t>
      </w:r>
      <w:r w:rsidR="00035BDE">
        <w:fldChar w:fldCharType="begin"/>
      </w:r>
      <w:r w:rsidR="00035BDE">
        <w:instrText xml:space="preserve"> REF _Ref97289225 \h </w:instrText>
      </w:r>
      <w:r w:rsidR="00035BDE">
        <w:fldChar w:fldCharType="separate"/>
      </w:r>
      <w:r w:rsidR="002C4E0E" w:rsidRPr="00035BDE">
        <w:t xml:space="preserve">Table </w:t>
      </w:r>
      <w:r w:rsidR="002C4E0E">
        <w:rPr>
          <w:noProof/>
        </w:rPr>
        <w:t>7</w:t>
      </w:r>
      <w:r w:rsidR="00035BDE">
        <w:fldChar w:fldCharType="end"/>
      </w:r>
      <w:r w:rsidR="00035BDE">
        <w:t>.</w:t>
      </w:r>
    </w:p>
    <w:p w14:paraId="0DBDEB3A" w14:textId="195340CD" w:rsidR="00035BDE" w:rsidRDefault="00035BDE" w:rsidP="00035BDE">
      <w:pPr>
        <w:pStyle w:val="TableTitle"/>
      </w:pPr>
      <w:bookmarkStart w:id="55" w:name="_Ref97289225"/>
      <w:r w:rsidRPr="00035BDE">
        <w:t xml:space="preserve">Table </w:t>
      </w:r>
      <w:r>
        <w:fldChar w:fldCharType="begin"/>
      </w:r>
      <w:r>
        <w:instrText>SEQ Table \* ARABIC</w:instrText>
      </w:r>
      <w:r>
        <w:fldChar w:fldCharType="separate"/>
      </w:r>
      <w:r w:rsidR="002C4E0E">
        <w:rPr>
          <w:noProof/>
        </w:rPr>
        <w:t>7</w:t>
      </w:r>
      <w:r>
        <w:fldChar w:fldCharType="end"/>
      </w:r>
      <w:bookmarkEnd w:id="55"/>
      <w:r>
        <w:t>:</w:t>
      </w:r>
      <w:r w:rsidRPr="00035BDE">
        <w:t xml:space="preserve"> </w:t>
      </w:r>
      <w:r>
        <w:t>ORION-9 trial</w:t>
      </w:r>
      <w:r w:rsidR="00EA70AC">
        <w:t>,</w:t>
      </w:r>
      <w:r>
        <w:t xml:space="preserve"> </w:t>
      </w:r>
      <w:r w:rsidRPr="00035BDE">
        <w:t>Genetic profile of subjects</w:t>
      </w:r>
    </w:p>
    <w:p w14:paraId="5C25536C" w14:textId="16F6846F" w:rsidR="00035BDE" w:rsidRDefault="00035BDE" w:rsidP="00035BDE">
      <w:r w:rsidRPr="00157C4C">
        <w:rPr>
          <w:noProof/>
          <w:lang w:val="en-GB" w:eastAsia="en-GB"/>
        </w:rPr>
        <w:drawing>
          <wp:inline distT="0" distB="0" distL="0" distR="0" wp14:anchorId="1C0DB1F8" wp14:editId="1D2DE690">
            <wp:extent cx="5241428" cy="2494484"/>
            <wp:effectExtent l="0" t="0" r="0" b="1270"/>
            <wp:docPr id="35" name="Picture 35" descr="ORION-9 trial Genetic profile o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RION-9 trial Genetic profile of subjects"/>
                    <pic:cNvPicPr/>
                  </pic:nvPicPr>
                  <pic:blipFill rotWithShape="1">
                    <a:blip r:embed="rId30"/>
                    <a:srcRect b="14063"/>
                    <a:stretch/>
                  </pic:blipFill>
                  <pic:spPr bwMode="auto">
                    <a:xfrm>
                      <a:off x="0" y="0"/>
                      <a:ext cx="5268487" cy="2507362"/>
                    </a:xfrm>
                    <a:prstGeom prst="rect">
                      <a:avLst/>
                    </a:prstGeom>
                    <a:ln>
                      <a:noFill/>
                    </a:ln>
                    <a:extLst>
                      <a:ext uri="{53640926-AAD7-44D8-BBD7-CCE9431645EC}">
                        <a14:shadowObscured xmlns:a14="http://schemas.microsoft.com/office/drawing/2010/main"/>
                      </a:ext>
                    </a:extLst>
                  </pic:spPr>
                </pic:pic>
              </a:graphicData>
            </a:graphic>
          </wp:inline>
        </w:drawing>
      </w:r>
    </w:p>
    <w:p w14:paraId="0A434190" w14:textId="159CE2E4" w:rsidR="00035BDE" w:rsidRDefault="00035BDE" w:rsidP="00035BDE">
      <w:pPr>
        <w:pStyle w:val="TableDescription"/>
      </w:pPr>
      <w:r>
        <w:t xml:space="preserve">Abbreviations: </w:t>
      </w:r>
      <w:proofErr w:type="spellStart"/>
      <w:r>
        <w:t>APoB</w:t>
      </w:r>
      <w:proofErr w:type="spellEnd"/>
      <w:r>
        <w:t xml:space="preserve"> = apolipoprotein B; GOF = gain of function; LDL-R = low density lipoprotein receptor; PCSK9 = proprotein convertase subtilisin/</w:t>
      </w:r>
      <w:proofErr w:type="spellStart"/>
      <w:r>
        <w:t>kexin</w:t>
      </w:r>
      <w:proofErr w:type="spellEnd"/>
      <w:r>
        <w:t xml:space="preserve"> type 9.</w:t>
      </w:r>
    </w:p>
    <w:p w14:paraId="4A0F4009" w14:textId="010E5FEA" w:rsidR="002B187C" w:rsidRDefault="00EA70AC" w:rsidP="002B187C">
      <w:r>
        <w:lastRenderedPageBreak/>
        <w:t xml:space="preserve">For this trial, </w:t>
      </w:r>
      <w:r w:rsidR="002B187C">
        <w:t xml:space="preserve">617 subjects were screened and 482 were randomised and included in the intent to treat (ITT) population. Of the 482 subjects randomised, 481 subjects were treated (240 with placebo and 241 with </w:t>
      </w:r>
      <w:proofErr w:type="spellStart"/>
      <w:r w:rsidR="002B187C">
        <w:t>inclisiran</w:t>
      </w:r>
      <w:proofErr w:type="spellEnd"/>
      <w:r w:rsidR="002B187C">
        <w:t xml:space="preserve">) and included in the safety population. 96.7% of subjects completed the trial and 95.4% of subjects in the </w:t>
      </w:r>
      <w:proofErr w:type="spellStart"/>
      <w:r w:rsidR="002B187C">
        <w:t>inclisiran</w:t>
      </w:r>
      <w:proofErr w:type="spellEnd"/>
      <w:r w:rsidR="002B187C">
        <w:t xml:space="preserve"> group received all four doses.</w:t>
      </w:r>
    </w:p>
    <w:p w14:paraId="46187103" w14:textId="1B655FBD" w:rsidR="002B187C" w:rsidRDefault="002B187C" w:rsidP="002B187C">
      <w:r>
        <w:t>Demographic and baseline characteristics were balanced across the treatment groups.</w:t>
      </w:r>
      <w:r w:rsidR="00E35EC7">
        <w:t xml:space="preserve"> </w:t>
      </w:r>
      <w:r>
        <w:t>47.1% of subjects were male, mean age was 54.7 years, and 94% of subjects were White, 2.5% were Asian and 3.1% were Black or African American. 72.6% of subjects had ASCVD</w:t>
      </w:r>
      <w:r w:rsidR="00CD1959">
        <w:t xml:space="preserve"> </w:t>
      </w:r>
      <w:r>
        <w:t xml:space="preserve">risk equivalents and 27.4% had ASCVD. 10% of all subjects had diabetes, 38.6% were current or former smokers, and 42.1% had hypertension. 63.5% had mild or moderate renal impairment. Patients with severe renal impairment were not included in this study. The mean LDL-C at </w:t>
      </w:r>
      <w:r w:rsidR="00CD1959">
        <w:t>B</w:t>
      </w:r>
      <w:r>
        <w:t>aseline was 3.9 mmol/L.</w:t>
      </w:r>
    </w:p>
    <w:p w14:paraId="32B44E77" w14:textId="6C4D5A3F" w:rsidR="002B187C" w:rsidRDefault="002B187C" w:rsidP="002B187C">
      <w:r>
        <w:t>94.4% of subjects were receiving statins or other lipid</w:t>
      </w:r>
      <w:r w:rsidR="00E35EC7">
        <w:t xml:space="preserve"> </w:t>
      </w:r>
      <w:r>
        <w:t xml:space="preserve">modifying therapies (LMT) at </w:t>
      </w:r>
      <w:r w:rsidR="00E35EC7">
        <w:t>B</w:t>
      </w:r>
      <w:r>
        <w:t>aseline. 90.5% of subjects were on statin therapy (73.9% high</w:t>
      </w:r>
      <w:r w:rsidR="00E35EC7">
        <w:t xml:space="preserve"> </w:t>
      </w:r>
      <w:r>
        <w:t>intensity, 14.5% moderate intensity, 1.9% low intensity), and 9.5% were not on statin therapy (5.6% were on no LMT, 3.9% were on other LMT). 52.3% of subjects were receiving ezetimibe.</w:t>
      </w:r>
    </w:p>
    <w:p w14:paraId="4A3304EB" w14:textId="77777777" w:rsidR="002B187C" w:rsidRDefault="002B187C" w:rsidP="002B187C">
      <w:r>
        <w:t>Outcomes for the co-primary efficacy endpoints were:</w:t>
      </w:r>
    </w:p>
    <w:p w14:paraId="22509579" w14:textId="5CC4A0CF" w:rsidR="002B187C" w:rsidRDefault="002B187C" w:rsidP="00E35EC7">
      <w:pPr>
        <w:pStyle w:val="ListBullet"/>
      </w:pPr>
      <w:r>
        <w:t>The placebo</w:t>
      </w:r>
      <w:r w:rsidR="00E35EC7">
        <w:t xml:space="preserve"> </w:t>
      </w:r>
      <w:r>
        <w:t xml:space="preserve">adjusted percentage change in LDL-C from </w:t>
      </w:r>
      <w:r w:rsidR="00E35EC7">
        <w:t>B</w:t>
      </w:r>
      <w:r>
        <w:t>aseline to Day 510 using observed values was -</w:t>
      </w:r>
      <w:r w:rsidR="00CD1959">
        <w:t xml:space="preserve"> </w:t>
      </w:r>
      <w:r>
        <w:t>49.5% (p</w:t>
      </w:r>
      <w:r w:rsidR="00E35EC7">
        <w:t xml:space="preserve"> </w:t>
      </w:r>
      <w:r>
        <w:t>&lt;</w:t>
      </w:r>
      <w:r w:rsidR="00E35EC7">
        <w:t xml:space="preserve"> </w:t>
      </w:r>
      <w:r>
        <w:t>0.0001). The primary analysis used a pre-specified washout model to account for missing data. The placebo</w:t>
      </w:r>
      <w:r w:rsidR="00E35EC7">
        <w:t xml:space="preserve"> </w:t>
      </w:r>
      <w:r>
        <w:t xml:space="preserve">adjusted percentage change in LDL-C from </w:t>
      </w:r>
      <w:r w:rsidR="00E35EC7">
        <w:t>B</w:t>
      </w:r>
      <w:r>
        <w:t>aseline to Day 510 using imputed values was -</w:t>
      </w:r>
      <w:r w:rsidR="00CD1959">
        <w:t xml:space="preserve"> </w:t>
      </w:r>
      <w:r>
        <w:t>47.9% (p</w:t>
      </w:r>
      <w:r w:rsidR="00E35EC7">
        <w:t xml:space="preserve"> </w:t>
      </w:r>
      <w:r>
        <w:t>&lt;</w:t>
      </w:r>
      <w:r w:rsidR="00E35EC7">
        <w:t xml:space="preserve"> </w:t>
      </w:r>
      <w:r>
        <w:t>0.0001).</w:t>
      </w:r>
    </w:p>
    <w:p w14:paraId="0882FE3B" w14:textId="7E5A09F9" w:rsidR="002B187C" w:rsidRDefault="002B187C" w:rsidP="00E35EC7">
      <w:pPr>
        <w:pStyle w:val="ListBullet"/>
      </w:pPr>
      <w:r>
        <w:t>Compared to placebo the time</w:t>
      </w:r>
      <w:r w:rsidR="00E35EC7">
        <w:t xml:space="preserve"> </w:t>
      </w:r>
      <w:r>
        <w:t xml:space="preserve">adjusted percentage change in LDL-C from </w:t>
      </w:r>
      <w:r w:rsidR="00E35EC7">
        <w:t>B</w:t>
      </w:r>
      <w:r>
        <w:t>aseline after Day 90 and up to Day 540 was -</w:t>
      </w:r>
      <w:r w:rsidR="00CD1959">
        <w:t xml:space="preserve"> </w:t>
      </w:r>
      <w:r>
        <w:t>44.3% (p</w:t>
      </w:r>
      <w:r w:rsidR="00E35EC7">
        <w:t xml:space="preserve"> </w:t>
      </w:r>
      <w:r>
        <w:t>&lt;</w:t>
      </w:r>
      <w:r w:rsidR="00E35EC7">
        <w:t xml:space="preserve"> </w:t>
      </w:r>
      <w:r>
        <w:t>0.0001).</w:t>
      </w:r>
    </w:p>
    <w:p w14:paraId="3A51BD31" w14:textId="2D888468" w:rsidR="00A84BA4" w:rsidRDefault="002B187C" w:rsidP="002B187C">
      <w:r>
        <w:t>Key secondary outcomes (</w:t>
      </w:r>
      <w:r w:rsidR="00E35EC7">
        <w:fldChar w:fldCharType="begin"/>
      </w:r>
      <w:r w:rsidR="00E35EC7">
        <w:instrText xml:space="preserve"> REF _Ref97296232 \h </w:instrText>
      </w:r>
      <w:r w:rsidR="00E35EC7">
        <w:fldChar w:fldCharType="separate"/>
      </w:r>
      <w:r w:rsidR="002C4E0E" w:rsidRPr="00E35EC7">
        <w:t xml:space="preserve">Table </w:t>
      </w:r>
      <w:r w:rsidR="002C4E0E">
        <w:rPr>
          <w:noProof/>
        </w:rPr>
        <w:t>8</w:t>
      </w:r>
      <w:r w:rsidR="00E35EC7">
        <w:fldChar w:fldCharType="end"/>
      </w:r>
      <w:r>
        <w:t xml:space="preserve">) were supportive of the co-primary endpoints. The maximal effect of </w:t>
      </w:r>
      <w:proofErr w:type="spellStart"/>
      <w:r>
        <w:t>inclisiran</w:t>
      </w:r>
      <w:proofErr w:type="spellEnd"/>
      <w:r>
        <w:t xml:space="preserve"> on LDL-C was observed at Day 150 (</w:t>
      </w:r>
      <w:r w:rsidR="00E35EC7">
        <w:fldChar w:fldCharType="begin"/>
      </w:r>
      <w:r w:rsidR="00E35EC7">
        <w:instrText xml:space="preserve"> REF _Ref97296353 \h </w:instrText>
      </w:r>
      <w:r w:rsidR="00E35EC7">
        <w:fldChar w:fldCharType="separate"/>
      </w:r>
      <w:r w:rsidR="002C4E0E" w:rsidRPr="00E35EC7">
        <w:t xml:space="preserve">Figure </w:t>
      </w:r>
      <w:r w:rsidR="002C4E0E">
        <w:rPr>
          <w:noProof/>
        </w:rPr>
        <w:t>9</w:t>
      </w:r>
      <w:r w:rsidR="00E35EC7">
        <w:fldChar w:fldCharType="end"/>
      </w:r>
      <w:r>
        <w:t>). LDL-C lowering was maintained through to the end of study (Day 540), with fluctuations corresponding to the maintenance dosing schedule.</w:t>
      </w:r>
    </w:p>
    <w:p w14:paraId="509FD786" w14:textId="6827A371" w:rsidR="00E35EC7" w:rsidRDefault="002B187C" w:rsidP="002B187C">
      <w:r>
        <w:t xml:space="preserve">Subgroup analyses showed consistent outcomes across subgroups for the percentage change from </w:t>
      </w:r>
      <w:r w:rsidR="00E35EC7">
        <w:t>B</w:t>
      </w:r>
      <w:r>
        <w:t>aseline in LDL-C at Day 510 (</w:t>
      </w:r>
      <w:r w:rsidR="007A5A65">
        <w:fldChar w:fldCharType="begin"/>
      </w:r>
      <w:r w:rsidR="007A5A65">
        <w:instrText xml:space="preserve"> REF _Ref97296601 \h </w:instrText>
      </w:r>
      <w:r w:rsidR="007A5A65">
        <w:fldChar w:fldCharType="separate"/>
      </w:r>
      <w:r w:rsidR="002C4E0E" w:rsidRPr="00E35EC7">
        <w:t xml:space="preserve">Figure </w:t>
      </w:r>
      <w:r w:rsidR="002C4E0E">
        <w:rPr>
          <w:noProof/>
        </w:rPr>
        <w:t>10</w:t>
      </w:r>
      <w:r w:rsidR="007A5A65">
        <w:fldChar w:fldCharType="end"/>
      </w:r>
      <w:r>
        <w:t>) and the time</w:t>
      </w:r>
      <w:r w:rsidR="00E35EC7">
        <w:t xml:space="preserve"> </w:t>
      </w:r>
      <w:r>
        <w:t>adjusted percentage change in LDL-C after Day 90 and up to Day 540. Similar outcomes were seen in subjects with ASCVD and those who were ASCVD</w:t>
      </w:r>
      <w:r w:rsidR="00CD1959">
        <w:t xml:space="preserve"> </w:t>
      </w:r>
      <w:r>
        <w:t>risk equivalent. Outcomes in subgroups based on lipid management treatment were also similar. There was a trend towards a higher placebo</w:t>
      </w:r>
      <w:r w:rsidR="00E35EC7">
        <w:t xml:space="preserve"> </w:t>
      </w:r>
      <w:r>
        <w:t>adjusted percentage reduction in LDL-C in subgroups with lower baseline LDL-C levels.</w:t>
      </w:r>
    </w:p>
    <w:p w14:paraId="3EB90305" w14:textId="6D72C6FE" w:rsidR="002B187C" w:rsidRDefault="00E35EC7" w:rsidP="00E35EC7">
      <w:pPr>
        <w:pStyle w:val="TableTitle"/>
      </w:pPr>
      <w:bookmarkStart w:id="56" w:name="_Ref97296232"/>
      <w:r w:rsidRPr="00E35EC7">
        <w:t xml:space="preserve">Table </w:t>
      </w:r>
      <w:r>
        <w:fldChar w:fldCharType="begin"/>
      </w:r>
      <w:r>
        <w:instrText>SEQ Table \* ARABIC</w:instrText>
      </w:r>
      <w:r>
        <w:fldChar w:fldCharType="separate"/>
      </w:r>
      <w:r w:rsidR="002C4E0E">
        <w:rPr>
          <w:noProof/>
        </w:rPr>
        <w:t>8</w:t>
      </w:r>
      <w:r>
        <w:fldChar w:fldCharType="end"/>
      </w:r>
      <w:bookmarkEnd w:id="56"/>
      <w:r>
        <w:t xml:space="preserve">: ORION-9 trial, </w:t>
      </w:r>
      <w:r w:rsidRPr="00E35EC7">
        <w:t>Key secondary efficacy endpoints</w:t>
      </w:r>
    </w:p>
    <w:p w14:paraId="64D85A17" w14:textId="12863AE7" w:rsidR="00E35EC7" w:rsidRDefault="00E35EC7" w:rsidP="00E35EC7">
      <w:r>
        <w:rPr>
          <w:noProof/>
          <w:lang w:val="en-GB" w:eastAsia="en-GB"/>
        </w:rPr>
        <w:drawing>
          <wp:inline distT="0" distB="0" distL="0" distR="0" wp14:anchorId="24C4C094" wp14:editId="3CF6E416">
            <wp:extent cx="5135270" cy="2333549"/>
            <wp:effectExtent l="0" t="0" r="8255" b="0"/>
            <wp:docPr id="9" name="Picture 9" descr="ORION-9 trial, Key secondary efficacy endpoints"/>
            <wp:cNvGraphicFramePr/>
            <a:graphic xmlns:a="http://schemas.openxmlformats.org/drawingml/2006/main">
              <a:graphicData uri="http://schemas.openxmlformats.org/drawingml/2006/picture">
                <pic:pic xmlns:pic="http://schemas.openxmlformats.org/drawingml/2006/picture">
                  <pic:nvPicPr>
                    <pic:cNvPr id="9" name="Picture 9" descr="ORION-9 trial, Key secondary efficacy endpoints"/>
                    <pic:cNvPicPr/>
                  </pic:nvPicPr>
                  <pic:blipFill>
                    <a:blip r:embed="rId31"/>
                    <a:stretch>
                      <a:fillRect/>
                    </a:stretch>
                  </pic:blipFill>
                  <pic:spPr>
                    <a:xfrm>
                      <a:off x="0" y="0"/>
                      <a:ext cx="5137953" cy="2334768"/>
                    </a:xfrm>
                    <a:prstGeom prst="rect">
                      <a:avLst/>
                    </a:prstGeom>
                  </pic:spPr>
                </pic:pic>
              </a:graphicData>
            </a:graphic>
          </wp:inline>
        </w:drawing>
      </w:r>
    </w:p>
    <w:p w14:paraId="428E7AC6" w14:textId="2462B418" w:rsidR="00E35EC7" w:rsidRDefault="00E35EC7" w:rsidP="00E35EC7">
      <w:pPr>
        <w:pStyle w:val="FigureTitle"/>
      </w:pPr>
      <w:bookmarkStart w:id="57" w:name="_Ref97296353"/>
      <w:r w:rsidRPr="00E35EC7">
        <w:lastRenderedPageBreak/>
        <w:t xml:space="preserve">Figure </w:t>
      </w:r>
      <w:r>
        <w:fldChar w:fldCharType="begin"/>
      </w:r>
      <w:r>
        <w:instrText>SEQ Figure \* ARABIC</w:instrText>
      </w:r>
      <w:r>
        <w:fldChar w:fldCharType="separate"/>
      </w:r>
      <w:r w:rsidR="002C4E0E">
        <w:rPr>
          <w:noProof/>
        </w:rPr>
        <w:t>9</w:t>
      </w:r>
      <w:r>
        <w:fldChar w:fldCharType="end"/>
      </w:r>
      <w:bookmarkEnd w:id="57"/>
      <w:r>
        <w:t>: ORION-9 trial</w:t>
      </w:r>
      <w:r w:rsidR="00EA70AC">
        <w:t>,</w:t>
      </w:r>
      <w:r>
        <w:t xml:space="preserve"> </w:t>
      </w:r>
      <w:r w:rsidRPr="00E35EC7">
        <w:t xml:space="preserve">Mean percentage change from </w:t>
      </w:r>
      <w:r>
        <w:t>B</w:t>
      </w:r>
      <w:r w:rsidRPr="00E35EC7">
        <w:t xml:space="preserve">aseline of </w:t>
      </w:r>
      <w:r w:rsidRPr="00AB27A3">
        <w:t xml:space="preserve">low-density lipoprotein-cholesterol </w:t>
      </w:r>
      <w:r w:rsidRPr="00E35EC7">
        <w:t>by visit</w:t>
      </w:r>
    </w:p>
    <w:p w14:paraId="56722A74" w14:textId="2068886D" w:rsidR="00E35EC7" w:rsidRDefault="00E35EC7" w:rsidP="00E35EC7">
      <w:r>
        <w:rPr>
          <w:noProof/>
          <w:lang w:val="en-GB" w:eastAsia="en-GB"/>
        </w:rPr>
        <w:drawing>
          <wp:inline distT="0" distB="0" distL="0" distR="0" wp14:anchorId="73DE6CEE" wp14:editId="0B49991A">
            <wp:extent cx="5171846" cy="2794407"/>
            <wp:effectExtent l="0" t="0" r="0" b="6350"/>
            <wp:docPr id="80" name="Picture 80" descr="ORION-9 trial Mean percentage change from Baseline of low-density lipoprotein-cholesterol by visit"/>
            <wp:cNvGraphicFramePr/>
            <a:graphic xmlns:a="http://schemas.openxmlformats.org/drawingml/2006/main">
              <a:graphicData uri="http://schemas.openxmlformats.org/drawingml/2006/picture">
                <pic:pic xmlns:pic="http://schemas.openxmlformats.org/drawingml/2006/picture">
                  <pic:nvPicPr>
                    <pic:cNvPr id="80" name="Picture 80" descr="ORION-9 trial Mean percentage change from Baseline of low-density lipoprotein-cholesterol by visit"/>
                    <pic:cNvPicPr/>
                  </pic:nvPicPr>
                  <pic:blipFill>
                    <a:blip r:embed="rId32"/>
                    <a:stretch>
                      <a:fillRect/>
                    </a:stretch>
                  </pic:blipFill>
                  <pic:spPr>
                    <a:xfrm>
                      <a:off x="0" y="0"/>
                      <a:ext cx="5180792" cy="2799241"/>
                    </a:xfrm>
                    <a:prstGeom prst="rect">
                      <a:avLst/>
                    </a:prstGeom>
                  </pic:spPr>
                </pic:pic>
              </a:graphicData>
            </a:graphic>
          </wp:inline>
        </w:drawing>
      </w:r>
    </w:p>
    <w:p w14:paraId="65467A10" w14:textId="0AD5FC62" w:rsidR="00E35EC7" w:rsidRDefault="00E35EC7" w:rsidP="00E35EC7">
      <w:pPr>
        <w:pStyle w:val="FigureTitle"/>
      </w:pPr>
      <w:bookmarkStart w:id="58" w:name="_Ref97296601"/>
      <w:r w:rsidRPr="00E35EC7">
        <w:lastRenderedPageBreak/>
        <w:t xml:space="preserve">Figure </w:t>
      </w:r>
      <w:r>
        <w:fldChar w:fldCharType="begin"/>
      </w:r>
      <w:r>
        <w:instrText>SEQ Figure \* ARABIC</w:instrText>
      </w:r>
      <w:r>
        <w:fldChar w:fldCharType="separate"/>
      </w:r>
      <w:r w:rsidR="002C4E0E">
        <w:rPr>
          <w:noProof/>
        </w:rPr>
        <w:t>10</w:t>
      </w:r>
      <w:r>
        <w:fldChar w:fldCharType="end"/>
      </w:r>
      <w:bookmarkEnd w:id="58"/>
      <w:r>
        <w:t>: ORION-9 trial</w:t>
      </w:r>
      <w:r w:rsidR="00EA70AC">
        <w:t>,</w:t>
      </w:r>
      <w:r>
        <w:t xml:space="preserve"> Forest plot of treatment differences in percentage change from Baseline in </w:t>
      </w:r>
      <w:r w:rsidRPr="00AB27A3">
        <w:t>low-density lipoprotein-cholesterol</w:t>
      </w:r>
      <w:r>
        <w:t xml:space="preserve"> at Day 510 (intent to treat population)</w:t>
      </w:r>
    </w:p>
    <w:p w14:paraId="64C6417B" w14:textId="2425F947" w:rsidR="00E35EC7" w:rsidRDefault="00E35EC7" w:rsidP="00E35EC7">
      <w:r>
        <w:rPr>
          <w:noProof/>
          <w:lang w:val="en-GB" w:eastAsia="en-GB"/>
        </w:rPr>
        <w:drawing>
          <wp:inline distT="0" distB="0" distL="0" distR="0" wp14:anchorId="5582029C" wp14:editId="14660923">
            <wp:extent cx="5400040" cy="5885815"/>
            <wp:effectExtent l="0" t="0" r="0" b="635"/>
            <wp:docPr id="232" name="Picture 232" descr="ORION-9 trial Forest plot of treatment differences in percentage change from Baseline in low-density lipoprotein-cholesterol at Day 510 (intent to treat population)"/>
            <wp:cNvGraphicFramePr/>
            <a:graphic xmlns:a="http://schemas.openxmlformats.org/drawingml/2006/main">
              <a:graphicData uri="http://schemas.openxmlformats.org/drawingml/2006/picture">
                <pic:pic xmlns:pic="http://schemas.openxmlformats.org/drawingml/2006/picture">
                  <pic:nvPicPr>
                    <pic:cNvPr id="232" name="Picture 232" descr="ORION-9 trial Forest plot of treatment differences in percentage change from Baseline in low-density lipoprotein-cholesterol at Day 510 (intent to treat population)"/>
                    <pic:cNvPicPr/>
                  </pic:nvPicPr>
                  <pic:blipFill>
                    <a:blip r:embed="rId33"/>
                    <a:stretch>
                      <a:fillRect/>
                    </a:stretch>
                  </pic:blipFill>
                  <pic:spPr>
                    <a:xfrm>
                      <a:off x="0" y="0"/>
                      <a:ext cx="5400040" cy="5885815"/>
                    </a:xfrm>
                    <a:prstGeom prst="rect">
                      <a:avLst/>
                    </a:prstGeom>
                  </pic:spPr>
                </pic:pic>
              </a:graphicData>
            </a:graphic>
          </wp:inline>
        </w:drawing>
      </w:r>
    </w:p>
    <w:p w14:paraId="5FD8D6D5" w14:textId="326CE1E6" w:rsidR="007A5A65" w:rsidRDefault="007A5A65" w:rsidP="007A5A65">
      <w:r w:rsidRPr="007A5A65">
        <w:t xml:space="preserve">Cardiovascular outcomes in </w:t>
      </w:r>
      <w:r w:rsidR="00EA70AC">
        <w:t xml:space="preserve">the </w:t>
      </w:r>
      <w:r w:rsidRPr="007A5A65">
        <w:t>ORION-9</w:t>
      </w:r>
      <w:r>
        <w:t xml:space="preserve"> trial</w:t>
      </w:r>
      <w:r w:rsidRPr="007A5A65">
        <w:t xml:space="preserve"> were exploratory. </w:t>
      </w:r>
      <w:r>
        <w:t>Major cardiovascular event (</w:t>
      </w:r>
      <w:r w:rsidRPr="007A5A65">
        <w:t>MACE</w:t>
      </w:r>
      <w:r>
        <w:t>)</w:t>
      </w:r>
      <w:r w:rsidRPr="007A5A65">
        <w:t xml:space="preserve"> events</w:t>
      </w:r>
      <w:r>
        <w:t>;</w:t>
      </w:r>
      <w:r>
        <w:rPr>
          <w:rStyle w:val="FootnoteReference"/>
        </w:rPr>
        <w:footnoteReference w:id="14"/>
      </w:r>
      <w:r w:rsidRPr="007A5A65">
        <w:t xml:space="preserve"> were balanced across the treatment groups (</w:t>
      </w:r>
      <w:r>
        <w:fldChar w:fldCharType="begin"/>
      </w:r>
      <w:r>
        <w:instrText xml:space="preserve"> REF _Ref97296823 \h </w:instrText>
      </w:r>
      <w:r>
        <w:fldChar w:fldCharType="separate"/>
      </w:r>
      <w:r w:rsidR="002C4E0E" w:rsidRPr="007A5A65">
        <w:t xml:space="preserve">Table </w:t>
      </w:r>
      <w:r w:rsidR="002C4E0E">
        <w:rPr>
          <w:noProof/>
        </w:rPr>
        <w:t>9</w:t>
      </w:r>
      <w:r>
        <w:fldChar w:fldCharType="end"/>
      </w:r>
      <w:r w:rsidRPr="007A5A65">
        <w:t>).</w:t>
      </w:r>
    </w:p>
    <w:p w14:paraId="7964D715" w14:textId="049CD644" w:rsidR="007A5A65" w:rsidRDefault="007A5A65" w:rsidP="007A5A65">
      <w:pPr>
        <w:pStyle w:val="TableTitle"/>
      </w:pPr>
      <w:bookmarkStart w:id="59" w:name="_Ref97296823"/>
      <w:r w:rsidRPr="007A5A65">
        <w:t xml:space="preserve">Table </w:t>
      </w:r>
      <w:r>
        <w:fldChar w:fldCharType="begin"/>
      </w:r>
      <w:r>
        <w:instrText>SEQ Table \* ARABIC</w:instrText>
      </w:r>
      <w:r>
        <w:fldChar w:fldCharType="separate"/>
      </w:r>
      <w:r w:rsidR="002C4E0E">
        <w:rPr>
          <w:noProof/>
        </w:rPr>
        <w:t>9</w:t>
      </w:r>
      <w:r>
        <w:fldChar w:fldCharType="end"/>
      </w:r>
      <w:bookmarkEnd w:id="59"/>
      <w:r>
        <w:t>: ORION-9 trial</w:t>
      </w:r>
      <w:r w:rsidR="00EA70AC">
        <w:t>,</w:t>
      </w:r>
      <w:r>
        <w:t xml:space="preserve"> Incidence of major cardiovascular events (safety population)</w:t>
      </w:r>
    </w:p>
    <w:p w14:paraId="52DB5832" w14:textId="6DA09027" w:rsidR="007A5A65" w:rsidRDefault="007A5A65" w:rsidP="007A5A65">
      <w:pPr>
        <w:rPr>
          <w:noProof/>
        </w:rPr>
      </w:pPr>
      <w:r>
        <w:rPr>
          <w:noProof/>
          <w:lang w:val="en-GB" w:eastAsia="en-GB"/>
        </w:rPr>
        <w:drawing>
          <wp:inline distT="0" distB="0" distL="0" distR="0" wp14:anchorId="585F41E7" wp14:editId="38F95C14">
            <wp:extent cx="5400040" cy="1037590"/>
            <wp:effectExtent l="0" t="0" r="0" b="0"/>
            <wp:docPr id="31" name="Picture 31" descr="ORION-9 trial Incidence of major cardiovascular events (safety population)"/>
            <wp:cNvGraphicFramePr/>
            <a:graphic xmlns:a="http://schemas.openxmlformats.org/drawingml/2006/main">
              <a:graphicData uri="http://schemas.openxmlformats.org/drawingml/2006/picture">
                <pic:pic xmlns:pic="http://schemas.openxmlformats.org/drawingml/2006/picture">
                  <pic:nvPicPr>
                    <pic:cNvPr id="31" name="Picture 31" descr="ORION-9 trial Incidence of major cardiovascular events (safety population)"/>
                    <pic:cNvPicPr/>
                  </pic:nvPicPr>
                  <pic:blipFill>
                    <a:blip r:embed="rId34"/>
                    <a:stretch>
                      <a:fillRect/>
                    </a:stretch>
                  </pic:blipFill>
                  <pic:spPr>
                    <a:xfrm>
                      <a:off x="0" y="0"/>
                      <a:ext cx="5400040" cy="1037590"/>
                    </a:xfrm>
                    <a:prstGeom prst="rect">
                      <a:avLst/>
                    </a:prstGeom>
                  </pic:spPr>
                </pic:pic>
              </a:graphicData>
            </a:graphic>
          </wp:inline>
        </w:drawing>
      </w:r>
      <w:r w:rsidRPr="007A5A65">
        <w:rPr>
          <w:noProof/>
        </w:rPr>
        <w:t xml:space="preserve"> </w:t>
      </w:r>
      <w:r>
        <w:rPr>
          <w:noProof/>
          <w:lang w:val="en-GB" w:eastAsia="en-GB"/>
        </w:rPr>
        <w:drawing>
          <wp:inline distT="0" distB="0" distL="0" distR="0" wp14:anchorId="5FC2BC19" wp14:editId="1B963CA0">
            <wp:extent cx="5400040" cy="110490"/>
            <wp:effectExtent l="0" t="0" r="0" b="3810"/>
            <wp:docPr id="227" name="Pictu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35"/>
                    <a:stretch>
                      <a:fillRect/>
                    </a:stretch>
                  </pic:blipFill>
                  <pic:spPr>
                    <a:xfrm>
                      <a:off x="0" y="0"/>
                      <a:ext cx="5400040" cy="110490"/>
                    </a:xfrm>
                    <a:prstGeom prst="rect">
                      <a:avLst/>
                    </a:prstGeom>
                  </pic:spPr>
                </pic:pic>
              </a:graphicData>
            </a:graphic>
          </wp:inline>
        </w:drawing>
      </w:r>
    </w:p>
    <w:p w14:paraId="43C713B1" w14:textId="70FD2A95" w:rsidR="007A5A65" w:rsidRDefault="007A5A65" w:rsidP="007A5A65">
      <w:pPr>
        <w:pStyle w:val="TableDescription"/>
      </w:pPr>
      <w:r>
        <w:lastRenderedPageBreak/>
        <w:t>Abbreviation: CV = cardiovascular; MI = myocardial infraction</w:t>
      </w:r>
    </w:p>
    <w:p w14:paraId="0BB6BDE4" w14:textId="24F7E24E" w:rsidR="007A5A65" w:rsidRDefault="007A5A65" w:rsidP="007A5A65">
      <w:pPr>
        <w:pStyle w:val="Heading6"/>
      </w:pPr>
      <w:r>
        <w:t>ORION-10 trial</w:t>
      </w:r>
    </w:p>
    <w:p w14:paraId="7C9F7F6F" w14:textId="78650404" w:rsidR="007A5A65" w:rsidRDefault="00EA70AC" w:rsidP="007A5A65">
      <w:pPr>
        <w:rPr>
          <w:rFonts w:eastAsia="TimesNewRoman"/>
          <w:lang w:eastAsia="en-CA"/>
        </w:rPr>
      </w:pPr>
      <w:r>
        <w:rPr>
          <w:rFonts w:asciiTheme="minorHAnsi" w:hAnsiTheme="minorHAnsi"/>
        </w:rPr>
        <w:t xml:space="preserve">The </w:t>
      </w:r>
      <w:r w:rsidR="007A5A65">
        <w:rPr>
          <w:rFonts w:asciiTheme="minorHAnsi" w:hAnsiTheme="minorHAnsi"/>
        </w:rPr>
        <w:t xml:space="preserve">ORION-10 trial was a Phase III study of adults with ASCVD (CHD, </w:t>
      </w:r>
      <w:r w:rsidR="00CD1959">
        <w:rPr>
          <w:rFonts w:asciiTheme="minorHAnsi" w:hAnsiTheme="minorHAnsi"/>
        </w:rPr>
        <w:t>c</w:t>
      </w:r>
      <w:r w:rsidR="00CD1959" w:rsidRPr="00CD1959">
        <w:rPr>
          <w:rFonts w:asciiTheme="minorHAnsi" w:hAnsiTheme="minorHAnsi"/>
        </w:rPr>
        <w:t>ardiovascular diseases</w:t>
      </w:r>
      <w:r w:rsidR="00CD1959">
        <w:rPr>
          <w:rFonts w:asciiTheme="minorHAnsi" w:hAnsiTheme="minorHAnsi"/>
        </w:rPr>
        <w:t xml:space="preserve"> (CVD)</w:t>
      </w:r>
      <w:r w:rsidR="007A5A65">
        <w:rPr>
          <w:rFonts w:asciiTheme="minorHAnsi" w:hAnsiTheme="minorHAnsi"/>
        </w:rPr>
        <w:t>, or p</w:t>
      </w:r>
      <w:r w:rsidR="007A5A65" w:rsidRPr="007A5A65">
        <w:rPr>
          <w:rFonts w:asciiTheme="minorHAnsi" w:hAnsiTheme="minorHAnsi"/>
        </w:rPr>
        <w:t xml:space="preserve">eripheral arterial disease </w:t>
      </w:r>
      <w:r w:rsidR="007A5A65">
        <w:rPr>
          <w:rFonts w:asciiTheme="minorHAnsi" w:hAnsiTheme="minorHAnsi"/>
        </w:rPr>
        <w:t xml:space="preserve">(PAD)) and LDL-C ≥ 1.8 mmol/L despite </w:t>
      </w:r>
      <w:r w:rsidR="007A5A65">
        <w:t xml:space="preserve">maximally tolerated statin therapy with or without other LDL-C lowering agents. CHD was defined as prior </w:t>
      </w:r>
      <w:r w:rsidR="00CD1959" w:rsidRPr="00CD1959">
        <w:t xml:space="preserve">myocardial infraction </w:t>
      </w:r>
      <w:r w:rsidR="00CD1959">
        <w:t>(</w:t>
      </w:r>
      <w:r w:rsidR="007A5A65">
        <w:t>MI</w:t>
      </w:r>
      <w:r w:rsidR="00CD1959">
        <w:t>)</w:t>
      </w:r>
      <w:r w:rsidR="007A5A65">
        <w:t>, prior coronary revascularisation (p</w:t>
      </w:r>
      <w:r w:rsidR="007A5A65" w:rsidRPr="007A5A65">
        <w:t xml:space="preserve">ercutaneous </w:t>
      </w:r>
      <w:r w:rsidR="007A5A65">
        <w:t>c</w:t>
      </w:r>
      <w:r w:rsidR="007A5A65" w:rsidRPr="007A5A65">
        <w:t xml:space="preserve">oronary </w:t>
      </w:r>
      <w:r w:rsidR="007A5A65">
        <w:t>i</w:t>
      </w:r>
      <w:r w:rsidR="007A5A65" w:rsidRPr="007A5A65">
        <w:t>ntervention</w:t>
      </w:r>
      <w:r w:rsidR="007A5A65">
        <w:t xml:space="preserve"> or c</w:t>
      </w:r>
      <w:r w:rsidR="007A5A65" w:rsidRPr="007A5A65">
        <w:t>oronary artery bypass graft surgery</w:t>
      </w:r>
      <w:r w:rsidR="007A5A65">
        <w:t xml:space="preserve">), or angiographic or </w:t>
      </w:r>
      <w:r w:rsidR="007A5A65" w:rsidRPr="007A5A65">
        <w:t>computeri</w:t>
      </w:r>
      <w:r w:rsidR="00050291">
        <w:t>s</w:t>
      </w:r>
      <w:r w:rsidR="007A5A65" w:rsidRPr="007A5A65">
        <w:t>ed tomography</w:t>
      </w:r>
      <w:r w:rsidR="007A5A65">
        <w:t xml:space="preserve"> imaging evidence of coronary atherosclerosis (</w:t>
      </w:r>
      <w:r w:rsidR="007A5A65">
        <w:rPr>
          <w:rFonts w:eastAsia="TimesNewRoman"/>
          <w:lang w:eastAsia="en-CA"/>
        </w:rPr>
        <w:t xml:space="preserve">&gt; 70% stenosis in at least one major epicardial coronary artery). CVD was defined as prior ischemic stroke confirmed by imaging (not related to atrial fibrillation, valvular heart disease or mural thrombus), carotid artery stenosis &gt; 70% on prior angiography or ultrasound, or history of carotid artery revascularisation. PAD was defined as prior documentation of resting ankle brachial index ≤ 0.85, history of revascularisation of an iliac, </w:t>
      </w:r>
      <w:proofErr w:type="gramStart"/>
      <w:r w:rsidR="007A5A65">
        <w:rPr>
          <w:rFonts w:eastAsia="TimesNewRoman"/>
          <w:lang w:eastAsia="en-CA"/>
        </w:rPr>
        <w:t>femoral</w:t>
      </w:r>
      <w:proofErr w:type="gramEnd"/>
      <w:r w:rsidR="007A5A65">
        <w:rPr>
          <w:rFonts w:eastAsia="TimesNewRoman"/>
          <w:lang w:eastAsia="en-CA"/>
        </w:rPr>
        <w:t xml:space="preserve"> or popliteal artery, or prior non-traumatic amputation of lower extremity due to PAD.</w:t>
      </w:r>
    </w:p>
    <w:p w14:paraId="0DE8BA97" w14:textId="5E57DA5A" w:rsidR="007A5A65" w:rsidRDefault="007A5A65" w:rsidP="007A5A65">
      <w:r>
        <w:t>The study was conducted at 145 sites in the USA.</w:t>
      </w:r>
      <w:r w:rsidR="003051C1">
        <w:t xml:space="preserve"> Of the</w:t>
      </w:r>
      <w:r>
        <w:t xml:space="preserve"> 2329 subjects were screened and 1561 were randomised and included in the ITT population. Of the 1561 randomised subjects, 1559 subjects were treated (778 with placebo and 781 with </w:t>
      </w:r>
      <w:proofErr w:type="spellStart"/>
      <w:r>
        <w:t>inclisiran</w:t>
      </w:r>
      <w:proofErr w:type="spellEnd"/>
      <w:r>
        <w:t xml:space="preserve">) and included in the safety population. 90.6% of subjects completed the study and 89.1% of subjects in the </w:t>
      </w:r>
      <w:proofErr w:type="spellStart"/>
      <w:r>
        <w:t>inclisiran</w:t>
      </w:r>
      <w:proofErr w:type="spellEnd"/>
      <w:r>
        <w:t xml:space="preserve"> group received all four doses.</w:t>
      </w:r>
    </w:p>
    <w:p w14:paraId="344AF0AC" w14:textId="5114B8B0" w:rsidR="007A5A65" w:rsidRPr="00F15260" w:rsidRDefault="007A5A65" w:rsidP="007A5A65">
      <w:r>
        <w:t>De</w:t>
      </w:r>
      <w:r>
        <w:rPr>
          <w:lang w:eastAsia="en-CA"/>
        </w:rPr>
        <w:t xml:space="preserve">mographic and baseline characteristics were balanced across the two treatment groups. </w:t>
      </w:r>
      <w:r>
        <w:t>69.4% of subjects were male, mean age was 66 years old, and 85.7% of subjects were White, 0.6% were Asian and 12.6% were Black or African American. 45% of all subjects had diabetes, 38.6% (186</w:t>
      </w:r>
      <w:r w:rsidR="00F15260">
        <w:t xml:space="preserve"> out of </w:t>
      </w:r>
      <w:r>
        <w:t xml:space="preserve">482) were current or former smokers, and 90.6% had hypertension. 76.4% of subjects had renal impairment (mild, moderate, or severe). The mean LDL-C at </w:t>
      </w:r>
      <w:r w:rsidR="00F15260">
        <w:t>B</w:t>
      </w:r>
      <w:r>
        <w:t>aseline was 2.7 mmol/L.</w:t>
      </w:r>
    </w:p>
    <w:p w14:paraId="39FFCAB4" w14:textId="78A54089" w:rsidR="007A5A65" w:rsidRDefault="007A5A65" w:rsidP="007A5A65">
      <w:r>
        <w:t xml:space="preserve">All subjects had ASCVD (91.1% had CHD, 16.7% had CVD, and 11.1% had PAD). </w:t>
      </w:r>
      <w:r>
        <w:rPr>
          <w:lang w:eastAsia="en-CA"/>
        </w:rPr>
        <w:t xml:space="preserve">1,554 (99.6%) subjects had hyperlipidaemia, with 137 (8.8%) having familial hypercholesterolemia (20 with </w:t>
      </w:r>
      <w:proofErr w:type="spellStart"/>
      <w:r>
        <w:rPr>
          <w:lang w:eastAsia="en-CA"/>
        </w:rPr>
        <w:t>HeFH</w:t>
      </w:r>
      <w:proofErr w:type="spellEnd"/>
      <w:r>
        <w:rPr>
          <w:lang w:eastAsia="en-CA"/>
        </w:rPr>
        <w:t xml:space="preserve">, 3 with </w:t>
      </w:r>
      <w:proofErr w:type="spellStart"/>
      <w:r>
        <w:rPr>
          <w:lang w:eastAsia="en-CA"/>
        </w:rPr>
        <w:t>HoFH</w:t>
      </w:r>
      <w:proofErr w:type="spellEnd"/>
      <w:r>
        <w:rPr>
          <w:lang w:eastAsia="en-CA"/>
        </w:rPr>
        <w:t xml:space="preserve"> and 114 unknown).</w:t>
      </w:r>
      <w:r>
        <w:rPr>
          <w:bCs/>
          <w:lang w:eastAsia="en-CA"/>
        </w:rPr>
        <w:t xml:space="preserve"> 94.7% of subjects were receiving statins or other </w:t>
      </w:r>
      <w:r w:rsidR="005D3AC2">
        <w:rPr>
          <w:bCs/>
          <w:lang w:eastAsia="en-CA"/>
        </w:rPr>
        <w:t>LMT</w:t>
      </w:r>
      <w:r>
        <w:rPr>
          <w:bCs/>
          <w:lang w:eastAsia="en-CA"/>
        </w:rPr>
        <w:t xml:space="preserve"> at </w:t>
      </w:r>
      <w:r w:rsidR="00F15260">
        <w:rPr>
          <w:bCs/>
          <w:lang w:eastAsia="en-CA"/>
        </w:rPr>
        <w:t>B</w:t>
      </w:r>
      <w:r>
        <w:rPr>
          <w:bCs/>
          <w:lang w:eastAsia="en-CA"/>
        </w:rPr>
        <w:t xml:space="preserve">aseline. 89.2% of subjects were on statin therapy at </w:t>
      </w:r>
      <w:r w:rsidR="005D3AC2">
        <w:rPr>
          <w:bCs/>
          <w:lang w:eastAsia="en-CA"/>
        </w:rPr>
        <w:t>B</w:t>
      </w:r>
      <w:r>
        <w:rPr>
          <w:bCs/>
          <w:lang w:eastAsia="en-CA"/>
        </w:rPr>
        <w:t>aseline (69.4% on high intensity statin, 18.7% on medium intensity statin, 0.8% on low intensity statin), and</w:t>
      </w:r>
      <w:r>
        <w:rPr>
          <w:lang w:eastAsia="en-CA"/>
        </w:rPr>
        <w:t xml:space="preserve"> 10.8% were not on statin therapy (5.3% were on no LMT, 5.4% were on other LMT).</w:t>
      </w:r>
    </w:p>
    <w:p w14:paraId="25103B87" w14:textId="77777777" w:rsidR="007A5A65" w:rsidRDefault="007A5A65" w:rsidP="007A5A65">
      <w:r>
        <w:t>Outcomes for the co-primary efficacy endpoints were:</w:t>
      </w:r>
    </w:p>
    <w:p w14:paraId="7AC85F3D" w14:textId="69D3F3ED" w:rsidR="007A5A65" w:rsidRDefault="007A5A65" w:rsidP="00F15260">
      <w:pPr>
        <w:pStyle w:val="ListBullet"/>
      </w:pPr>
      <w:r>
        <w:t>The placebo</w:t>
      </w:r>
      <w:r w:rsidR="00F15260">
        <w:t xml:space="preserve"> </w:t>
      </w:r>
      <w:r>
        <w:t xml:space="preserve">adjusted percentage change in LDL-C from </w:t>
      </w:r>
      <w:r w:rsidR="00F15260">
        <w:t>B</w:t>
      </w:r>
      <w:r>
        <w:t>aseline to Day 510 using observed values was -</w:t>
      </w:r>
      <w:r w:rsidR="005D3AC2">
        <w:t xml:space="preserve"> </w:t>
      </w:r>
      <w:r>
        <w:t>57.6% (p</w:t>
      </w:r>
      <w:r w:rsidR="00F15260">
        <w:t xml:space="preserve"> </w:t>
      </w:r>
      <w:r>
        <w:t>&lt;</w:t>
      </w:r>
      <w:r w:rsidR="00F15260">
        <w:t xml:space="preserve"> </w:t>
      </w:r>
      <w:r>
        <w:t>0.0001). The primary analysis used a pre-specified washout model to account for missing data. The placebo</w:t>
      </w:r>
      <w:r w:rsidR="00F15260">
        <w:t xml:space="preserve"> </w:t>
      </w:r>
      <w:r>
        <w:t xml:space="preserve">adjusted percentage change in LDL-C from </w:t>
      </w:r>
      <w:r w:rsidR="00F15260">
        <w:t>B</w:t>
      </w:r>
      <w:r>
        <w:t>aseline to Day 510 using imputed values was -</w:t>
      </w:r>
      <w:r w:rsidR="005D3AC2">
        <w:t xml:space="preserve"> </w:t>
      </w:r>
      <w:r>
        <w:t>52.2% (p</w:t>
      </w:r>
      <w:r w:rsidR="00F15260">
        <w:t xml:space="preserve"> </w:t>
      </w:r>
      <w:r>
        <w:t>&lt;</w:t>
      </w:r>
      <w:r w:rsidR="00F15260">
        <w:t xml:space="preserve"> </w:t>
      </w:r>
      <w:r>
        <w:t>0.0001).</w:t>
      </w:r>
    </w:p>
    <w:p w14:paraId="73FAA603" w14:textId="0341C203" w:rsidR="007A5A65" w:rsidRDefault="007A5A65" w:rsidP="00F15260">
      <w:pPr>
        <w:pStyle w:val="ListBullet"/>
      </w:pPr>
      <w:r>
        <w:t>Compared to placebo the time</w:t>
      </w:r>
      <w:r w:rsidR="00F15260">
        <w:t xml:space="preserve"> </w:t>
      </w:r>
      <w:r>
        <w:t xml:space="preserve">adjusted percentage change in LDL-C from </w:t>
      </w:r>
      <w:r w:rsidR="00F15260">
        <w:t>B</w:t>
      </w:r>
      <w:r>
        <w:t>aseline after Day 90 and up to Day 540 was -</w:t>
      </w:r>
      <w:r w:rsidR="005D3AC2">
        <w:t xml:space="preserve"> </w:t>
      </w:r>
      <w:r>
        <w:t>53.8% (p</w:t>
      </w:r>
      <w:r w:rsidR="00F15260">
        <w:t xml:space="preserve"> </w:t>
      </w:r>
      <w:r>
        <w:t>&lt;</w:t>
      </w:r>
      <w:r w:rsidR="00F15260">
        <w:t xml:space="preserve"> </w:t>
      </w:r>
      <w:r>
        <w:t>0.0001).</w:t>
      </w:r>
    </w:p>
    <w:p w14:paraId="71BFAEDB" w14:textId="45BBDA39" w:rsidR="007A5A65" w:rsidRDefault="007A5A65" w:rsidP="007A5A65">
      <w:pPr>
        <w:rPr>
          <w:color w:val="000000"/>
          <w:lang w:eastAsia="en-CA"/>
        </w:rPr>
      </w:pPr>
      <w:r>
        <w:t>Outcomes for the key secondary efficacy endpoints (</w:t>
      </w:r>
      <w:r w:rsidR="00F15260">
        <w:fldChar w:fldCharType="begin"/>
      </w:r>
      <w:r w:rsidR="00F15260">
        <w:instrText xml:space="preserve"> REF _Ref97297513 \h </w:instrText>
      </w:r>
      <w:r w:rsidR="00F15260">
        <w:fldChar w:fldCharType="separate"/>
      </w:r>
      <w:r w:rsidR="002C4E0E" w:rsidRPr="00F15260">
        <w:t xml:space="preserve">Table </w:t>
      </w:r>
      <w:r w:rsidR="002C4E0E">
        <w:rPr>
          <w:noProof/>
        </w:rPr>
        <w:t>10</w:t>
      </w:r>
      <w:r w:rsidR="00F15260">
        <w:fldChar w:fldCharType="end"/>
      </w:r>
      <w:r>
        <w:t xml:space="preserve">) were supportive of the co-primary endpoints. </w:t>
      </w:r>
      <w:r>
        <w:rPr>
          <w:color w:val="000000"/>
          <w:lang w:eastAsia="en-CA"/>
        </w:rPr>
        <w:t xml:space="preserve">The maximal effect of </w:t>
      </w:r>
      <w:proofErr w:type="spellStart"/>
      <w:r>
        <w:rPr>
          <w:color w:val="000000"/>
          <w:lang w:eastAsia="en-CA"/>
        </w:rPr>
        <w:t>inclisiran</w:t>
      </w:r>
      <w:proofErr w:type="spellEnd"/>
      <w:r>
        <w:rPr>
          <w:color w:val="000000"/>
          <w:lang w:eastAsia="en-CA"/>
        </w:rPr>
        <w:t xml:space="preserve"> on LDL-C was observed at Day 150 (</w:t>
      </w:r>
      <w:r w:rsidR="00F15260">
        <w:rPr>
          <w:color w:val="000000"/>
          <w:lang w:eastAsia="en-CA"/>
        </w:rPr>
        <w:fldChar w:fldCharType="begin"/>
      </w:r>
      <w:r w:rsidR="00F15260">
        <w:rPr>
          <w:color w:val="000000"/>
          <w:lang w:eastAsia="en-CA"/>
        </w:rPr>
        <w:instrText xml:space="preserve"> REF _Ref97297534 \h </w:instrText>
      </w:r>
      <w:r w:rsidR="00F15260">
        <w:rPr>
          <w:color w:val="000000"/>
          <w:lang w:eastAsia="en-CA"/>
        </w:rPr>
      </w:r>
      <w:r w:rsidR="00F15260">
        <w:rPr>
          <w:color w:val="000000"/>
          <w:lang w:eastAsia="en-CA"/>
        </w:rPr>
        <w:fldChar w:fldCharType="separate"/>
      </w:r>
      <w:r w:rsidR="002C4E0E" w:rsidRPr="00F15260">
        <w:t xml:space="preserve">Figure </w:t>
      </w:r>
      <w:r w:rsidR="002C4E0E">
        <w:rPr>
          <w:noProof/>
        </w:rPr>
        <w:t>11</w:t>
      </w:r>
      <w:r w:rsidR="00F15260">
        <w:rPr>
          <w:color w:val="000000"/>
          <w:lang w:eastAsia="en-CA"/>
        </w:rPr>
        <w:fldChar w:fldCharType="end"/>
      </w:r>
      <w:r w:rsidR="00050291">
        <w:rPr>
          <w:color w:val="000000"/>
          <w:lang w:eastAsia="en-CA"/>
        </w:rPr>
        <w:t>)</w:t>
      </w:r>
      <w:r>
        <w:rPr>
          <w:color w:val="000000"/>
          <w:lang w:eastAsia="en-CA"/>
        </w:rPr>
        <w:t>. LDL-C lowering was maintained through to the end of study (Day 540), with fluctuations corresponding to the maintenance dosing schedule.</w:t>
      </w:r>
    </w:p>
    <w:p w14:paraId="61A40BCE" w14:textId="5C4D800A" w:rsidR="007A5A65" w:rsidRDefault="007A5A65" w:rsidP="007A5A65">
      <w:r>
        <w:t>Subgroup analyses showed consistent outcomes across subgroups (</w:t>
      </w:r>
      <w:r w:rsidR="005D3AC2">
        <w:fldChar w:fldCharType="begin"/>
      </w:r>
      <w:r w:rsidR="005D3AC2">
        <w:instrText xml:space="preserve"> REF _Ref97807207 \h </w:instrText>
      </w:r>
      <w:r w:rsidR="005D3AC2">
        <w:fldChar w:fldCharType="separate"/>
      </w:r>
      <w:r w:rsidR="002C4E0E" w:rsidRPr="00F15260">
        <w:t xml:space="preserve">Figure </w:t>
      </w:r>
      <w:r w:rsidR="002C4E0E">
        <w:rPr>
          <w:noProof/>
        </w:rPr>
        <w:t>12</w:t>
      </w:r>
      <w:r w:rsidR="005D3AC2">
        <w:fldChar w:fldCharType="end"/>
      </w:r>
      <w:r>
        <w:t xml:space="preserve">). Similar outcomes were observed in subjects receiving a statin at </w:t>
      </w:r>
      <w:r w:rsidR="005D3AC2">
        <w:t>B</w:t>
      </w:r>
      <w:r>
        <w:t>aseline and those not receiving a statin, and for subgroups based on lipid management treatment. There was a trend of a higher placebo</w:t>
      </w:r>
      <w:r w:rsidR="00F15260">
        <w:t xml:space="preserve"> </w:t>
      </w:r>
      <w:r>
        <w:t>adjusted percentage reduction in LDL-C for subgroups with lower baseline LDL-C levels.</w:t>
      </w:r>
    </w:p>
    <w:p w14:paraId="3B57985B" w14:textId="3815B2E0" w:rsidR="007A5A65" w:rsidRDefault="00F15260" w:rsidP="00F15260">
      <w:pPr>
        <w:pStyle w:val="TableTitle"/>
      </w:pPr>
      <w:bookmarkStart w:id="60" w:name="_Ref97297513"/>
      <w:r w:rsidRPr="00F15260">
        <w:lastRenderedPageBreak/>
        <w:t xml:space="preserve">Table </w:t>
      </w:r>
      <w:r>
        <w:fldChar w:fldCharType="begin"/>
      </w:r>
      <w:r>
        <w:instrText>SEQ Table \* ARABIC</w:instrText>
      </w:r>
      <w:r>
        <w:fldChar w:fldCharType="separate"/>
      </w:r>
      <w:r w:rsidR="002C4E0E">
        <w:rPr>
          <w:noProof/>
        </w:rPr>
        <w:t>10</w:t>
      </w:r>
      <w:r>
        <w:fldChar w:fldCharType="end"/>
      </w:r>
      <w:bookmarkEnd w:id="60"/>
      <w:r>
        <w:t>: ORION-10 trial</w:t>
      </w:r>
      <w:r w:rsidR="00EA70AC">
        <w:t>,</w:t>
      </w:r>
      <w:r>
        <w:t xml:space="preserve"> </w:t>
      </w:r>
      <w:r w:rsidRPr="00F15260">
        <w:t>Key secondary efficacy endpoints</w:t>
      </w:r>
    </w:p>
    <w:p w14:paraId="3B4800A5" w14:textId="070CE4E7" w:rsidR="00F15260" w:rsidRDefault="00F15260" w:rsidP="00F15260">
      <w:r>
        <w:rPr>
          <w:noProof/>
          <w:lang w:val="en-GB" w:eastAsia="en-GB"/>
        </w:rPr>
        <w:drawing>
          <wp:inline distT="0" distB="0" distL="0" distR="0" wp14:anchorId="1784611E" wp14:editId="1DA8C89D">
            <wp:extent cx="5164455" cy="2143125"/>
            <wp:effectExtent l="0" t="0" r="0" b="9525"/>
            <wp:docPr id="7" name="Picture 7" descr="ORION-10 trial Key secondary efficacy endpoints"/>
            <wp:cNvGraphicFramePr/>
            <a:graphic xmlns:a="http://schemas.openxmlformats.org/drawingml/2006/main">
              <a:graphicData uri="http://schemas.openxmlformats.org/drawingml/2006/picture">
                <pic:pic xmlns:pic="http://schemas.openxmlformats.org/drawingml/2006/picture">
                  <pic:nvPicPr>
                    <pic:cNvPr id="7" name="Picture 7" descr="ORION-10 trial Key secondary efficacy endpoints"/>
                    <pic:cNvPicPr/>
                  </pic:nvPicPr>
                  <pic:blipFill>
                    <a:blip r:embed="rId36"/>
                    <a:stretch>
                      <a:fillRect/>
                    </a:stretch>
                  </pic:blipFill>
                  <pic:spPr>
                    <a:xfrm>
                      <a:off x="0" y="0"/>
                      <a:ext cx="5177128" cy="2148384"/>
                    </a:xfrm>
                    <a:prstGeom prst="rect">
                      <a:avLst/>
                    </a:prstGeom>
                  </pic:spPr>
                </pic:pic>
              </a:graphicData>
            </a:graphic>
          </wp:inline>
        </w:drawing>
      </w:r>
    </w:p>
    <w:p w14:paraId="14B62F5D" w14:textId="608F9510" w:rsidR="00F15260" w:rsidRDefault="00F15260" w:rsidP="00F15260">
      <w:pPr>
        <w:pStyle w:val="FigureTitle"/>
      </w:pPr>
      <w:bookmarkStart w:id="61" w:name="_Ref97297534"/>
      <w:r w:rsidRPr="00F15260">
        <w:t xml:space="preserve">Figure </w:t>
      </w:r>
      <w:r>
        <w:fldChar w:fldCharType="begin"/>
      </w:r>
      <w:r>
        <w:instrText>SEQ Figure \* ARABIC</w:instrText>
      </w:r>
      <w:r>
        <w:fldChar w:fldCharType="separate"/>
      </w:r>
      <w:r w:rsidR="002C4E0E">
        <w:rPr>
          <w:noProof/>
        </w:rPr>
        <w:t>11</w:t>
      </w:r>
      <w:r>
        <w:fldChar w:fldCharType="end"/>
      </w:r>
      <w:bookmarkEnd w:id="61"/>
      <w:r>
        <w:t>: ORION-10 trial</w:t>
      </w:r>
      <w:r w:rsidR="00EA70AC">
        <w:t>,</w:t>
      </w:r>
      <w:r>
        <w:t xml:space="preserve"> Mean percentage change from Baseline of LDL-C by visit (intent to treat population)</w:t>
      </w:r>
    </w:p>
    <w:p w14:paraId="5071C3C4" w14:textId="1C13DBC9" w:rsidR="00F15260" w:rsidRDefault="00F15260" w:rsidP="00F15260">
      <w:r>
        <w:rPr>
          <w:noProof/>
          <w:lang w:val="en-GB" w:eastAsia="en-GB"/>
        </w:rPr>
        <w:drawing>
          <wp:inline distT="0" distB="0" distL="0" distR="0" wp14:anchorId="3144C8CD" wp14:editId="20A98C92">
            <wp:extent cx="4773295" cy="2933700"/>
            <wp:effectExtent l="0" t="0" r="8255" b="0"/>
            <wp:docPr id="228" name="Picture 228" descr="ORION-10 trial Mean percentage change from Baseline of LDL-C by visit (intent to treat population)"/>
            <wp:cNvGraphicFramePr/>
            <a:graphic xmlns:a="http://schemas.openxmlformats.org/drawingml/2006/main">
              <a:graphicData uri="http://schemas.openxmlformats.org/drawingml/2006/picture">
                <pic:pic xmlns:pic="http://schemas.openxmlformats.org/drawingml/2006/picture">
                  <pic:nvPicPr>
                    <pic:cNvPr id="228" name="Picture 228" descr="ORION-10 trial Mean percentage change from Baseline of LDL-C by visit (intent to treat population)"/>
                    <pic:cNvPicPr/>
                  </pic:nvPicPr>
                  <pic:blipFill>
                    <a:blip r:embed="rId37"/>
                    <a:stretch>
                      <a:fillRect/>
                    </a:stretch>
                  </pic:blipFill>
                  <pic:spPr>
                    <a:xfrm>
                      <a:off x="0" y="0"/>
                      <a:ext cx="4773295" cy="2933700"/>
                    </a:xfrm>
                    <a:prstGeom prst="rect">
                      <a:avLst/>
                    </a:prstGeom>
                  </pic:spPr>
                </pic:pic>
              </a:graphicData>
            </a:graphic>
          </wp:inline>
        </w:drawing>
      </w:r>
    </w:p>
    <w:p w14:paraId="40E35DAD" w14:textId="0571B8DB" w:rsidR="00F15260" w:rsidRDefault="00F15260" w:rsidP="00F15260">
      <w:pPr>
        <w:pStyle w:val="FigureTitle"/>
      </w:pPr>
      <w:bookmarkStart w:id="62" w:name="_Ref97807207"/>
      <w:r w:rsidRPr="00F15260">
        <w:lastRenderedPageBreak/>
        <w:t xml:space="preserve">Figure </w:t>
      </w:r>
      <w:r>
        <w:fldChar w:fldCharType="begin"/>
      </w:r>
      <w:r>
        <w:instrText>SEQ Figure \* ARABIC</w:instrText>
      </w:r>
      <w:r>
        <w:fldChar w:fldCharType="separate"/>
      </w:r>
      <w:r w:rsidR="002C4E0E">
        <w:rPr>
          <w:noProof/>
        </w:rPr>
        <w:t>12</w:t>
      </w:r>
      <w:r>
        <w:fldChar w:fldCharType="end"/>
      </w:r>
      <w:bookmarkEnd w:id="62"/>
      <w:r>
        <w:t>: ORION-10 trial</w:t>
      </w:r>
      <w:r w:rsidR="002C341B">
        <w:t>,</w:t>
      </w:r>
      <w:r>
        <w:t xml:space="preserve"> Forest plot of treatment </w:t>
      </w:r>
      <w:r w:rsidR="005D3AC2">
        <w:t>d</w:t>
      </w:r>
      <w:r>
        <w:t xml:space="preserve">ifferences in percentage change from Baseline in </w:t>
      </w:r>
      <w:r w:rsidRPr="00AB27A3">
        <w:t>low-density lipoprotein-cholesterol</w:t>
      </w:r>
      <w:r>
        <w:t xml:space="preserve"> at Day 510 (subgroup analyses)</w:t>
      </w:r>
    </w:p>
    <w:p w14:paraId="07CBD7A3" w14:textId="7DEF06AB" w:rsidR="00F15260" w:rsidRDefault="00F15260" w:rsidP="00F15260">
      <w:r>
        <w:rPr>
          <w:noProof/>
          <w:lang w:val="en-GB" w:eastAsia="en-GB"/>
        </w:rPr>
        <w:drawing>
          <wp:inline distT="0" distB="0" distL="0" distR="0" wp14:anchorId="46656975" wp14:editId="041EC379">
            <wp:extent cx="5244998" cy="5427879"/>
            <wp:effectExtent l="0" t="0" r="0" b="1905"/>
            <wp:docPr id="225" name="Picture 225" descr="ORION-10 trial Forest plot of treatment differences in percentage change from Baseline in low-density lipoprotein-cholesterol at Day 510 (subgroup analyses)"/>
            <wp:cNvGraphicFramePr/>
            <a:graphic xmlns:a="http://schemas.openxmlformats.org/drawingml/2006/main">
              <a:graphicData uri="http://schemas.openxmlformats.org/drawingml/2006/picture">
                <pic:pic xmlns:pic="http://schemas.openxmlformats.org/drawingml/2006/picture">
                  <pic:nvPicPr>
                    <pic:cNvPr id="225" name="Picture 225" descr="ORION-10 trial Forest plot of treatment differences in percentage change from Baseline in low-density lipoprotein-cholesterol at Day 510 (subgroup analyses)"/>
                    <pic:cNvPicPr/>
                  </pic:nvPicPr>
                  <pic:blipFill>
                    <a:blip r:embed="rId38"/>
                    <a:stretch>
                      <a:fillRect/>
                    </a:stretch>
                  </pic:blipFill>
                  <pic:spPr>
                    <a:xfrm>
                      <a:off x="0" y="0"/>
                      <a:ext cx="5246379" cy="5429308"/>
                    </a:xfrm>
                    <a:prstGeom prst="rect">
                      <a:avLst/>
                    </a:prstGeom>
                  </pic:spPr>
                </pic:pic>
              </a:graphicData>
            </a:graphic>
          </wp:inline>
        </w:drawing>
      </w:r>
    </w:p>
    <w:p w14:paraId="03BF1265" w14:textId="4A374389" w:rsidR="00F15260" w:rsidRDefault="00F15260" w:rsidP="00F15260">
      <w:r>
        <w:t xml:space="preserve">Cardiovascular outcomes in </w:t>
      </w:r>
      <w:r w:rsidR="002C341B">
        <w:t xml:space="preserve">the </w:t>
      </w:r>
      <w:r>
        <w:t xml:space="preserve">ORION-10 trial were exploratory. There were fewer MACE events in the </w:t>
      </w:r>
      <w:proofErr w:type="spellStart"/>
      <w:r>
        <w:t>inclisiran</w:t>
      </w:r>
      <w:proofErr w:type="spellEnd"/>
      <w:r>
        <w:t xml:space="preserve"> group, with the difference driven by non-fatal MI (</w:t>
      </w:r>
      <w:r w:rsidR="003051C1">
        <w:fldChar w:fldCharType="begin"/>
      </w:r>
      <w:r w:rsidR="003051C1">
        <w:instrText xml:space="preserve"> REF _Ref97539608 \h </w:instrText>
      </w:r>
      <w:r w:rsidR="003051C1">
        <w:fldChar w:fldCharType="separate"/>
      </w:r>
      <w:r w:rsidR="002C4E0E" w:rsidRPr="00F15260">
        <w:t xml:space="preserve">Table </w:t>
      </w:r>
      <w:r w:rsidR="002C4E0E">
        <w:rPr>
          <w:noProof/>
        </w:rPr>
        <w:t>11</w:t>
      </w:r>
      <w:r w:rsidR="003051C1">
        <w:fldChar w:fldCharType="end"/>
      </w:r>
      <w:r w:rsidR="005D3AC2">
        <w:t>)</w:t>
      </w:r>
      <w:r w:rsidR="002C341B">
        <w:t>.</w:t>
      </w:r>
    </w:p>
    <w:p w14:paraId="55DFBFA3" w14:textId="7BBFF94D" w:rsidR="00F15260" w:rsidRDefault="00F15260" w:rsidP="00F15260">
      <w:pPr>
        <w:pStyle w:val="TableTitle"/>
      </w:pPr>
      <w:bookmarkStart w:id="63" w:name="_Ref97539608"/>
      <w:r w:rsidRPr="00F15260">
        <w:t xml:space="preserve">Table </w:t>
      </w:r>
      <w:r>
        <w:fldChar w:fldCharType="begin"/>
      </w:r>
      <w:r>
        <w:instrText>SEQ Table \* ARABIC</w:instrText>
      </w:r>
      <w:r>
        <w:fldChar w:fldCharType="separate"/>
      </w:r>
      <w:r w:rsidR="002C4E0E">
        <w:rPr>
          <w:noProof/>
        </w:rPr>
        <w:t>11</w:t>
      </w:r>
      <w:r>
        <w:fldChar w:fldCharType="end"/>
      </w:r>
      <w:bookmarkEnd w:id="63"/>
      <w:r>
        <w:t xml:space="preserve">: </w:t>
      </w:r>
      <w:r w:rsidRPr="00F15260">
        <w:t>ORION-10</w:t>
      </w:r>
      <w:r>
        <w:t xml:space="preserve"> trial</w:t>
      </w:r>
      <w:r w:rsidR="002C341B">
        <w:t>,</w:t>
      </w:r>
      <w:r>
        <w:t xml:space="preserve"> </w:t>
      </w:r>
      <w:r w:rsidRPr="00F15260">
        <w:t xml:space="preserve">Incidence of </w:t>
      </w:r>
      <w:r>
        <w:t>major cardiovascular event</w:t>
      </w:r>
      <w:r w:rsidRPr="00F15260">
        <w:t xml:space="preserve"> </w:t>
      </w:r>
      <w:r>
        <w:t>(s</w:t>
      </w:r>
      <w:r w:rsidRPr="00F15260">
        <w:t>afety population</w:t>
      </w:r>
      <w:r>
        <w:t>)</w:t>
      </w:r>
    </w:p>
    <w:p w14:paraId="4990FEFD" w14:textId="6C32BEC6" w:rsidR="00F15260" w:rsidRDefault="00F15260" w:rsidP="00F15260">
      <w:r>
        <w:rPr>
          <w:noProof/>
          <w:lang w:val="en-GB" w:eastAsia="en-GB"/>
        </w:rPr>
        <w:drawing>
          <wp:inline distT="0" distB="0" distL="0" distR="0" wp14:anchorId="6C4EE5AE" wp14:editId="0A0ABCAA">
            <wp:extent cx="4776825" cy="1148080"/>
            <wp:effectExtent l="0" t="0" r="5080" b="0"/>
            <wp:docPr id="28" name="Picture 28" descr="ORION-10 trial Incidence of major cardiovascular event (safety population)"/>
            <wp:cNvGraphicFramePr/>
            <a:graphic xmlns:a="http://schemas.openxmlformats.org/drawingml/2006/main">
              <a:graphicData uri="http://schemas.openxmlformats.org/drawingml/2006/picture">
                <pic:pic xmlns:pic="http://schemas.openxmlformats.org/drawingml/2006/picture">
                  <pic:nvPicPr>
                    <pic:cNvPr id="28" name="Picture 28" descr="ORION-10 trial Incidence of major cardiovascular event (safety population)"/>
                    <pic:cNvPicPr/>
                  </pic:nvPicPr>
                  <pic:blipFill rotWithShape="1">
                    <a:blip r:embed="rId39"/>
                    <a:srcRect r="5699" b="34871"/>
                    <a:stretch/>
                  </pic:blipFill>
                  <pic:spPr bwMode="auto">
                    <a:xfrm>
                      <a:off x="0" y="0"/>
                      <a:ext cx="4778514" cy="1148486"/>
                    </a:xfrm>
                    <a:prstGeom prst="rect">
                      <a:avLst/>
                    </a:prstGeom>
                    <a:ln>
                      <a:noFill/>
                    </a:ln>
                    <a:extLst>
                      <a:ext uri="{53640926-AAD7-44D8-BBD7-CCE9431645EC}">
                        <a14:shadowObscured xmlns:a14="http://schemas.microsoft.com/office/drawing/2010/main"/>
                      </a:ext>
                    </a:extLst>
                  </pic:spPr>
                </pic:pic>
              </a:graphicData>
            </a:graphic>
          </wp:inline>
        </w:drawing>
      </w:r>
    </w:p>
    <w:p w14:paraId="71CDA5B1" w14:textId="603D59D4" w:rsidR="00F15260" w:rsidRDefault="002374EC" w:rsidP="00F15260">
      <w:pPr>
        <w:pStyle w:val="TableDescription"/>
      </w:pPr>
      <w:r>
        <w:t>*MACE (major cardiovascular</w:t>
      </w:r>
      <w:r w:rsidR="00C4396F">
        <w:t xml:space="preserve"> event) is defined as the composite of cardiovascular death</w:t>
      </w:r>
      <w:r w:rsidR="0051522B">
        <w:t>, r</w:t>
      </w:r>
      <w:r w:rsidR="00C4396F">
        <w:t>esuscitated cardiac arrest, non-fatal myocadiac infraction and stroke (ischemic or haemorrhagic).</w:t>
      </w:r>
    </w:p>
    <w:p w14:paraId="0C1E724E" w14:textId="3ACC9030" w:rsidR="00C4396F" w:rsidRDefault="00C4396F" w:rsidP="00F15260">
      <w:pPr>
        <w:pStyle w:val="TableDescription"/>
      </w:pPr>
      <w:r>
        <w:t>Abbreviation: CV = cardiovascular; MACE = major cardiovascular event; MI = myocardial infarction</w:t>
      </w:r>
    </w:p>
    <w:p w14:paraId="10BC8CC6" w14:textId="6C39D0EC" w:rsidR="00C4396F" w:rsidRDefault="00C4396F" w:rsidP="00C4396F">
      <w:pPr>
        <w:pStyle w:val="Heading6"/>
      </w:pPr>
      <w:r>
        <w:lastRenderedPageBreak/>
        <w:t>ORION-11</w:t>
      </w:r>
      <w:r w:rsidR="005D3AC2">
        <w:t xml:space="preserve"> trial</w:t>
      </w:r>
    </w:p>
    <w:p w14:paraId="2C714047" w14:textId="0BA2E468" w:rsidR="00C4396F" w:rsidRDefault="002C341B" w:rsidP="00C4396F">
      <w:r>
        <w:t xml:space="preserve">The </w:t>
      </w:r>
      <w:r w:rsidR="00C4396F">
        <w:t xml:space="preserve">ORION-11 </w:t>
      </w:r>
      <w:r w:rsidR="005D3AC2">
        <w:t xml:space="preserve">trial </w:t>
      </w:r>
      <w:r w:rsidR="00C4396F">
        <w:t>was a Phase III study of adults with ASCVD (CHD, CVD, or PAD) or ASCVD</w:t>
      </w:r>
      <w:r w:rsidR="005D3AC2">
        <w:t xml:space="preserve"> </w:t>
      </w:r>
      <w:r w:rsidR="00C4396F">
        <w:t>risk equivalents and with LDL-C ≥ 1.8 mmol/L (ASCVD subjects) or ≥ 2.6 mmol/L (ASCVD</w:t>
      </w:r>
      <w:r w:rsidR="005D3AC2">
        <w:t xml:space="preserve"> </w:t>
      </w:r>
      <w:r w:rsidR="00C4396F">
        <w:t>risk equivalents) despite maximally tolerated statin therapy with or without other LDL-C lowering agents. ASCVD</w:t>
      </w:r>
      <w:r w:rsidR="005D3AC2">
        <w:t xml:space="preserve"> </w:t>
      </w:r>
      <w:r w:rsidR="00C4396F">
        <w:t xml:space="preserve">risk equivalent was defined as subjects with type two diabetes, FH, or </w:t>
      </w:r>
      <w:proofErr w:type="gramStart"/>
      <w:r w:rsidR="00C4396F">
        <w:t>10 year</w:t>
      </w:r>
      <w:proofErr w:type="gramEnd"/>
      <w:r w:rsidR="00C4396F">
        <w:t xml:space="preserve"> risk of a CV event ≥ 20% (that is target LDL-C &lt; 2.6 mmol/L).</w:t>
      </w:r>
    </w:p>
    <w:p w14:paraId="0FBBAE0D" w14:textId="016EC7D8" w:rsidR="00C4396F" w:rsidRDefault="00C4396F" w:rsidP="00C4396F">
      <w:r>
        <w:t xml:space="preserve">The study was conducted in 71 centres in seven countries: Czech Republic, Germany, Hungary, Netherlands, Poland, South Africa, Ukraine, and United Kingdom. </w:t>
      </w:r>
      <w:r w:rsidR="003051C1">
        <w:t xml:space="preserve">Of the </w:t>
      </w:r>
      <w:r>
        <w:t>2381</w:t>
      </w:r>
      <w:r w:rsidR="002C341B">
        <w:t> </w:t>
      </w:r>
      <w:r>
        <w:t>subjects were screened</w:t>
      </w:r>
      <w:r w:rsidR="003051C1">
        <w:t xml:space="preserve">, </w:t>
      </w:r>
      <w:r>
        <w:t xml:space="preserve">1617 were randomised. Of the 1617 randomised subjects, 1615 were treated (805 with placebo and 810 with </w:t>
      </w:r>
      <w:proofErr w:type="spellStart"/>
      <w:r>
        <w:t>inclisiran</w:t>
      </w:r>
      <w:proofErr w:type="spellEnd"/>
      <w:r>
        <w:t xml:space="preserve">) and included in the safety population. 95.4% of subjects completed the trial and 92.1% of subjects in the </w:t>
      </w:r>
      <w:proofErr w:type="spellStart"/>
      <w:r>
        <w:t>inclisiran</w:t>
      </w:r>
      <w:proofErr w:type="spellEnd"/>
      <w:r>
        <w:t xml:space="preserve"> group received all four doses.</w:t>
      </w:r>
    </w:p>
    <w:p w14:paraId="2E10DC6D" w14:textId="19DDAADE" w:rsidR="00C4396F" w:rsidRDefault="00C4396F" w:rsidP="00C4396F">
      <w:r>
        <w:t>Demographic and baseline characteristics were well balanced across the two treatment groups. 71.7% of subjects were male, mean age was 64.8 years old, and 98.1% of subjects were White, 0.5% were Asian and 1.2% were Black or African American. 45% of all subjects had diabetes, 38.6% were current or former smokers, and 90.6% had hypertension. 70.9% of subjects had mild or moderate renal impairment. Patients with severe renal impairment were not included in this study.</w:t>
      </w:r>
    </w:p>
    <w:p w14:paraId="57E501CF" w14:textId="74059570" w:rsidR="00C4396F" w:rsidRDefault="00C4396F" w:rsidP="00C4396F">
      <w:r>
        <w:t xml:space="preserve">One thousand </w:t>
      </w:r>
      <w:r w:rsidR="003051C1">
        <w:t xml:space="preserve">four hundred and fourteen </w:t>
      </w:r>
      <w:r>
        <w:t xml:space="preserve">subjects (87.4%) had ASCVD and 203 (12.6%) were ASCVD risk equivalent. Of the subjects with ASCVD, 87.5% had CHD, 16.5% had CVD, and 10.4% had PAD. Of the subjects who were ASCVD risk equivalent, 65% (132 out of 203) had diabetes, 56.2% (114 out of 203) had </w:t>
      </w:r>
      <w:proofErr w:type="gramStart"/>
      <w:r>
        <w:t>10 year</w:t>
      </w:r>
      <w:proofErr w:type="gramEnd"/>
      <w:r>
        <w:t xml:space="preserve"> risk of a CV event ≥ 20%, and 5.4% (11 out of 203) had </w:t>
      </w:r>
      <w:proofErr w:type="spellStart"/>
      <w:r>
        <w:t>HeFH</w:t>
      </w:r>
      <w:proofErr w:type="spellEnd"/>
      <w:r>
        <w:t>. Overall, 35.1% of subjects had diabetes and 80.5% had hypertension. The mean LDL-C at Baseline was 2.7 mmol/L.</w:t>
      </w:r>
    </w:p>
    <w:p w14:paraId="07835598" w14:textId="5FDD459E" w:rsidR="00C4396F" w:rsidRDefault="00C4396F" w:rsidP="00C4396F">
      <w:r>
        <w:t xml:space="preserve">96.8% of subjects were receiving statins or other lipid-modifying therapies at </w:t>
      </w:r>
      <w:r w:rsidR="003051C1">
        <w:t>B</w:t>
      </w:r>
      <w:r>
        <w:t xml:space="preserve">aseline. 94.7% were on statin therapy at </w:t>
      </w:r>
      <w:r w:rsidR="003051C1">
        <w:t>B</w:t>
      </w:r>
      <w:r>
        <w:t>aseline (78% on high intensity statin, 15.5% on moderate intensity statin, 0.4% on low intensity statin), and 5.3% were not on statin therapy (3.2% were on no LMT, 2% were on other LMT).</w:t>
      </w:r>
    </w:p>
    <w:p w14:paraId="54775134" w14:textId="77777777" w:rsidR="00C4396F" w:rsidRDefault="00C4396F" w:rsidP="00C4396F">
      <w:r>
        <w:t>Outcomes for the co-primary efficacy endpoints were:</w:t>
      </w:r>
    </w:p>
    <w:p w14:paraId="00731F72" w14:textId="586B1E52" w:rsidR="00C4396F" w:rsidRDefault="00C4396F" w:rsidP="003051C1">
      <w:pPr>
        <w:pStyle w:val="ListBullet"/>
      </w:pPr>
      <w:r>
        <w:t>The placebo</w:t>
      </w:r>
      <w:r w:rsidR="003051C1">
        <w:t xml:space="preserve"> </w:t>
      </w:r>
      <w:r>
        <w:t xml:space="preserve">adjusted percentage change in LDL-C from </w:t>
      </w:r>
      <w:r w:rsidR="003051C1">
        <w:t>B</w:t>
      </w:r>
      <w:r>
        <w:t>aseline to Day 510 using observed values was -53.5% (p</w:t>
      </w:r>
      <w:r w:rsidR="003051C1">
        <w:t xml:space="preserve"> </w:t>
      </w:r>
      <w:r>
        <w:t>&lt;</w:t>
      </w:r>
      <w:r w:rsidR="003051C1">
        <w:t> </w:t>
      </w:r>
      <w:r>
        <w:t>0.0001). The primary analysis used a pre-specified washout model to account for missing data. The placebo</w:t>
      </w:r>
      <w:r w:rsidR="003051C1">
        <w:t xml:space="preserve"> </w:t>
      </w:r>
      <w:r>
        <w:t xml:space="preserve">adjusted percentage change in LDL-C from </w:t>
      </w:r>
      <w:r w:rsidR="003051C1">
        <w:t>B</w:t>
      </w:r>
      <w:r>
        <w:t>aseline to Day 510 was -</w:t>
      </w:r>
      <w:r w:rsidR="005D3AC2">
        <w:t xml:space="preserve"> </w:t>
      </w:r>
      <w:r>
        <w:t>47.8% (p</w:t>
      </w:r>
      <w:r w:rsidR="003051C1">
        <w:t xml:space="preserve"> </w:t>
      </w:r>
      <w:r>
        <w:t>&lt;</w:t>
      </w:r>
      <w:r w:rsidR="003051C1">
        <w:t> </w:t>
      </w:r>
      <w:r>
        <w:t>0.0001).</w:t>
      </w:r>
    </w:p>
    <w:p w14:paraId="5B8A0CF0" w14:textId="207701D6" w:rsidR="00C4396F" w:rsidRDefault="00C4396F" w:rsidP="003051C1">
      <w:pPr>
        <w:pStyle w:val="ListBullet"/>
      </w:pPr>
      <w:r>
        <w:t>Compared to placebo the time</w:t>
      </w:r>
      <w:r w:rsidR="003051C1">
        <w:t xml:space="preserve"> </w:t>
      </w:r>
      <w:r>
        <w:t xml:space="preserve">adjusted percentage change in LDL-C from </w:t>
      </w:r>
      <w:r w:rsidR="003051C1">
        <w:t>B</w:t>
      </w:r>
      <w:r>
        <w:t>aseline after Day 90 and up to Day 540 was -</w:t>
      </w:r>
      <w:r w:rsidR="005D3AC2">
        <w:t xml:space="preserve"> </w:t>
      </w:r>
      <w:r>
        <w:t>49.2% (p</w:t>
      </w:r>
      <w:r w:rsidR="003051C1">
        <w:t xml:space="preserve"> </w:t>
      </w:r>
      <w:r>
        <w:t>&lt;</w:t>
      </w:r>
      <w:r w:rsidR="003051C1">
        <w:t> </w:t>
      </w:r>
      <w:r>
        <w:t>0.0001).</w:t>
      </w:r>
    </w:p>
    <w:p w14:paraId="5A1F39B0" w14:textId="15C50FE6" w:rsidR="00C4396F" w:rsidRDefault="00C4396F" w:rsidP="00C4396F">
      <w:r>
        <w:t xml:space="preserve">Outcomes for the key secondary efficacy endpoints </w:t>
      </w:r>
      <w:r w:rsidR="003051C1">
        <w:t>(</w:t>
      </w:r>
      <w:r w:rsidR="003051C1">
        <w:fldChar w:fldCharType="begin"/>
      </w:r>
      <w:r w:rsidR="003051C1">
        <w:instrText xml:space="preserve"> REF _Ref97539762 \h </w:instrText>
      </w:r>
      <w:r w:rsidR="003051C1">
        <w:fldChar w:fldCharType="separate"/>
      </w:r>
      <w:r w:rsidR="002C4E0E" w:rsidRPr="003051C1">
        <w:t xml:space="preserve">Table </w:t>
      </w:r>
      <w:r w:rsidR="002C4E0E">
        <w:rPr>
          <w:noProof/>
        </w:rPr>
        <w:t>12</w:t>
      </w:r>
      <w:r w:rsidR="003051C1">
        <w:fldChar w:fldCharType="end"/>
      </w:r>
      <w:r>
        <w:t>) were supportive of the co</w:t>
      </w:r>
      <w:r w:rsidR="003051C1">
        <w:noBreakHyphen/>
      </w:r>
      <w:r>
        <w:t xml:space="preserve">primary endpoints. The maximal effect of </w:t>
      </w:r>
      <w:proofErr w:type="spellStart"/>
      <w:r>
        <w:t>inclisiran</w:t>
      </w:r>
      <w:proofErr w:type="spellEnd"/>
      <w:r>
        <w:t xml:space="preserve"> on LDL-C was observed at Day 150 (</w:t>
      </w:r>
      <w:r w:rsidR="003051C1">
        <w:fldChar w:fldCharType="begin"/>
      </w:r>
      <w:r w:rsidR="003051C1">
        <w:instrText xml:space="preserve"> REF _Ref97539884 \h </w:instrText>
      </w:r>
      <w:r w:rsidR="003051C1">
        <w:fldChar w:fldCharType="separate"/>
      </w:r>
      <w:r w:rsidR="002C4E0E" w:rsidRPr="003051C1">
        <w:t xml:space="preserve">Figure </w:t>
      </w:r>
      <w:r w:rsidR="002C4E0E">
        <w:rPr>
          <w:noProof/>
        </w:rPr>
        <w:t>13</w:t>
      </w:r>
      <w:r w:rsidR="003051C1">
        <w:fldChar w:fldCharType="end"/>
      </w:r>
      <w:r w:rsidRPr="003051C1">
        <w:t>).</w:t>
      </w:r>
      <w:r>
        <w:t xml:space="preserve"> LDL-C lowering was maintained through to the end of study (Day 540), with fluctuations corresponding to the maintenance dosing schedule.</w:t>
      </w:r>
    </w:p>
    <w:p w14:paraId="69270967" w14:textId="264882F0" w:rsidR="00C4396F" w:rsidRDefault="00C4396F" w:rsidP="00C4396F">
      <w:r>
        <w:t>Subgroup analyses showed consistent outcomes across subgroups (</w:t>
      </w:r>
      <w:r w:rsidR="00CC0BD0">
        <w:rPr>
          <w:highlight w:val="yellow"/>
        </w:rPr>
        <w:fldChar w:fldCharType="begin"/>
      </w:r>
      <w:r w:rsidR="00CC0BD0">
        <w:instrText xml:space="preserve"> REF _Ref97540033 \h </w:instrText>
      </w:r>
      <w:r w:rsidR="00CC0BD0">
        <w:rPr>
          <w:highlight w:val="yellow"/>
        </w:rPr>
      </w:r>
      <w:r w:rsidR="00CC0BD0">
        <w:rPr>
          <w:highlight w:val="yellow"/>
        </w:rPr>
        <w:fldChar w:fldCharType="separate"/>
      </w:r>
      <w:r w:rsidR="002C4E0E" w:rsidRPr="00CC0BD0">
        <w:t xml:space="preserve">Figure </w:t>
      </w:r>
      <w:r w:rsidR="002C4E0E">
        <w:rPr>
          <w:noProof/>
        </w:rPr>
        <w:t>14</w:t>
      </w:r>
      <w:r w:rsidR="00CC0BD0">
        <w:rPr>
          <w:highlight w:val="yellow"/>
        </w:rPr>
        <w:fldChar w:fldCharType="end"/>
      </w:r>
      <w:r>
        <w:t xml:space="preserve">). Reduction in LDL-C was similar for subjects with ASCVD and ASCVD-risk equivalents. </w:t>
      </w:r>
      <w:r w:rsidR="00190449">
        <w:t>Outcomes</w:t>
      </w:r>
      <w:r>
        <w:t xml:space="preserve"> were also similar for subgroups based on lipid management treatment. There was a trend of a higher placebo</w:t>
      </w:r>
      <w:r w:rsidR="003051C1">
        <w:t xml:space="preserve"> </w:t>
      </w:r>
      <w:r>
        <w:t>adjusted percentage reduction in LDL-C for subgroups with lower baseline LDL-C.</w:t>
      </w:r>
    </w:p>
    <w:p w14:paraId="70743ACF" w14:textId="3B05530E" w:rsidR="003051C1" w:rsidRDefault="003051C1" w:rsidP="003051C1">
      <w:pPr>
        <w:pStyle w:val="TableTitle"/>
      </w:pPr>
      <w:bookmarkStart w:id="64" w:name="_Ref97539762"/>
      <w:r w:rsidRPr="003051C1">
        <w:lastRenderedPageBreak/>
        <w:t xml:space="preserve">Table </w:t>
      </w:r>
      <w:r>
        <w:fldChar w:fldCharType="begin"/>
      </w:r>
      <w:r>
        <w:instrText>SEQ Table \* ARABIC</w:instrText>
      </w:r>
      <w:r>
        <w:fldChar w:fldCharType="separate"/>
      </w:r>
      <w:r w:rsidR="002C4E0E">
        <w:rPr>
          <w:noProof/>
        </w:rPr>
        <w:t>12</w:t>
      </w:r>
      <w:r>
        <w:fldChar w:fldCharType="end"/>
      </w:r>
      <w:bookmarkEnd w:id="64"/>
      <w:r>
        <w:t>: ORION-11 trial</w:t>
      </w:r>
      <w:r w:rsidR="002C341B">
        <w:t>,</w:t>
      </w:r>
      <w:r>
        <w:t xml:space="preserve"> Key secondary efficacy endpoint</w:t>
      </w:r>
    </w:p>
    <w:p w14:paraId="62D1E07E" w14:textId="58D4B73C" w:rsidR="003051C1" w:rsidRDefault="003051C1" w:rsidP="003051C1">
      <w:r>
        <w:rPr>
          <w:noProof/>
          <w:lang w:val="en-GB" w:eastAsia="en-GB"/>
        </w:rPr>
        <w:drawing>
          <wp:inline distT="0" distB="0" distL="0" distR="0" wp14:anchorId="07FC5357" wp14:editId="7DF58FEC">
            <wp:extent cx="5288889" cy="1373505"/>
            <wp:effectExtent l="0" t="0" r="7620" b="0"/>
            <wp:docPr id="10" name="Picture 10" descr="ORION-11 trial Key secondary efficacy endpoint"/>
            <wp:cNvGraphicFramePr/>
            <a:graphic xmlns:a="http://schemas.openxmlformats.org/drawingml/2006/main">
              <a:graphicData uri="http://schemas.openxmlformats.org/drawingml/2006/picture">
                <pic:pic xmlns:pic="http://schemas.openxmlformats.org/drawingml/2006/picture">
                  <pic:nvPicPr>
                    <pic:cNvPr id="10" name="Picture 10" descr="ORION-11 trial Key secondary efficacy endpoint"/>
                    <pic:cNvPicPr/>
                  </pic:nvPicPr>
                  <pic:blipFill rotWithShape="1">
                    <a:blip r:embed="rId40"/>
                    <a:srcRect r="2059"/>
                    <a:stretch/>
                  </pic:blipFill>
                  <pic:spPr bwMode="auto">
                    <a:xfrm>
                      <a:off x="0" y="0"/>
                      <a:ext cx="5288889" cy="137350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04D74246" wp14:editId="0164A5C5">
            <wp:extent cx="5288280" cy="1073150"/>
            <wp:effectExtent l="0" t="0" r="762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41"/>
                    <a:srcRect r="2070"/>
                    <a:stretch/>
                  </pic:blipFill>
                  <pic:spPr bwMode="auto">
                    <a:xfrm>
                      <a:off x="0" y="0"/>
                      <a:ext cx="5288280" cy="1073150"/>
                    </a:xfrm>
                    <a:prstGeom prst="rect">
                      <a:avLst/>
                    </a:prstGeom>
                    <a:ln>
                      <a:noFill/>
                    </a:ln>
                    <a:extLst>
                      <a:ext uri="{53640926-AAD7-44D8-BBD7-CCE9431645EC}">
                        <a14:shadowObscured xmlns:a14="http://schemas.microsoft.com/office/drawing/2010/main"/>
                      </a:ext>
                    </a:extLst>
                  </pic:spPr>
                </pic:pic>
              </a:graphicData>
            </a:graphic>
          </wp:inline>
        </w:drawing>
      </w:r>
    </w:p>
    <w:p w14:paraId="73865ED9" w14:textId="69FA2ED5" w:rsidR="003051C1" w:rsidRDefault="003051C1" w:rsidP="003051C1">
      <w:pPr>
        <w:pStyle w:val="FigureTitle"/>
      </w:pPr>
      <w:bookmarkStart w:id="65" w:name="_Ref97539884"/>
      <w:r w:rsidRPr="003051C1">
        <w:t xml:space="preserve">Figure </w:t>
      </w:r>
      <w:r>
        <w:fldChar w:fldCharType="begin"/>
      </w:r>
      <w:r>
        <w:instrText>SEQ Figure \* ARABIC</w:instrText>
      </w:r>
      <w:r>
        <w:fldChar w:fldCharType="separate"/>
      </w:r>
      <w:r w:rsidR="002C4E0E">
        <w:rPr>
          <w:noProof/>
        </w:rPr>
        <w:t>13</w:t>
      </w:r>
      <w:r>
        <w:fldChar w:fldCharType="end"/>
      </w:r>
      <w:bookmarkEnd w:id="65"/>
      <w:r>
        <w:t>: ORION-11 trial</w:t>
      </w:r>
      <w:r w:rsidR="002C341B">
        <w:t>,</w:t>
      </w:r>
      <w:r>
        <w:t xml:space="preserve"> Mean percentage change from Baseline of </w:t>
      </w:r>
      <w:r w:rsidRPr="00AB27A3">
        <w:t>low-density lipoprotein-cholesterol</w:t>
      </w:r>
      <w:r>
        <w:t xml:space="preserve"> by visit (intent to treat population)</w:t>
      </w:r>
    </w:p>
    <w:p w14:paraId="1BBADE48" w14:textId="25F03224" w:rsidR="003051C1" w:rsidRDefault="003051C1" w:rsidP="003051C1">
      <w:r>
        <w:rPr>
          <w:noProof/>
          <w:lang w:val="en-GB" w:eastAsia="en-GB"/>
        </w:rPr>
        <w:drawing>
          <wp:inline distT="0" distB="0" distL="0" distR="0" wp14:anchorId="67AAEC75" wp14:editId="01D106F6">
            <wp:extent cx="4756785" cy="2926080"/>
            <wp:effectExtent l="0" t="0" r="5715" b="7620"/>
            <wp:docPr id="237" name="Picture 237" descr="ORION-11 trial Mean percentage change from Baseline of low-density lipoprotein-cholesterol by visit (intent to treat population)"/>
            <wp:cNvGraphicFramePr/>
            <a:graphic xmlns:a="http://schemas.openxmlformats.org/drawingml/2006/main">
              <a:graphicData uri="http://schemas.openxmlformats.org/drawingml/2006/picture">
                <pic:pic xmlns:pic="http://schemas.openxmlformats.org/drawingml/2006/picture">
                  <pic:nvPicPr>
                    <pic:cNvPr id="237" name="Picture 237" descr="ORION-11 trial Mean percentage change from Baseline of low-density lipoprotein-cholesterol by visit (intent to treat population)"/>
                    <pic:cNvPicPr/>
                  </pic:nvPicPr>
                  <pic:blipFill>
                    <a:blip r:embed="rId42"/>
                    <a:stretch>
                      <a:fillRect/>
                    </a:stretch>
                  </pic:blipFill>
                  <pic:spPr>
                    <a:xfrm>
                      <a:off x="0" y="0"/>
                      <a:ext cx="4756785" cy="2926080"/>
                    </a:xfrm>
                    <a:prstGeom prst="rect">
                      <a:avLst/>
                    </a:prstGeom>
                  </pic:spPr>
                </pic:pic>
              </a:graphicData>
            </a:graphic>
          </wp:inline>
        </w:drawing>
      </w:r>
    </w:p>
    <w:p w14:paraId="0AC05CA2" w14:textId="008F38BB" w:rsidR="003051C1" w:rsidRDefault="00CC0BD0" w:rsidP="00CC0BD0">
      <w:pPr>
        <w:pStyle w:val="FigureTitle"/>
      </w:pPr>
      <w:bookmarkStart w:id="66" w:name="_Ref97540033"/>
      <w:r w:rsidRPr="00CC0BD0">
        <w:lastRenderedPageBreak/>
        <w:t xml:space="preserve">Figure </w:t>
      </w:r>
      <w:r>
        <w:fldChar w:fldCharType="begin"/>
      </w:r>
      <w:r>
        <w:instrText>SEQ Figure \* ARABIC</w:instrText>
      </w:r>
      <w:r>
        <w:fldChar w:fldCharType="separate"/>
      </w:r>
      <w:r w:rsidR="002C4E0E">
        <w:rPr>
          <w:noProof/>
        </w:rPr>
        <w:t>14</w:t>
      </w:r>
      <w:r>
        <w:fldChar w:fldCharType="end"/>
      </w:r>
      <w:bookmarkEnd w:id="66"/>
      <w:r>
        <w:t>: ORION-11 trial</w:t>
      </w:r>
      <w:r w:rsidR="002C341B">
        <w:t>,</w:t>
      </w:r>
      <w:r>
        <w:t xml:space="preserve"> Forest plot of treatment differences in percentage change from Baseline in </w:t>
      </w:r>
      <w:r w:rsidRPr="00AB27A3">
        <w:t>low-density lipoprotein-cholesterol</w:t>
      </w:r>
      <w:r>
        <w:t xml:space="preserve"> at Day 510 (intent to treat population)</w:t>
      </w:r>
    </w:p>
    <w:p w14:paraId="3D6F30B5" w14:textId="7E3CFB5A" w:rsidR="00CC0BD0" w:rsidRDefault="00CC0BD0" w:rsidP="00CC0BD0">
      <w:r>
        <w:rPr>
          <w:noProof/>
          <w:lang w:val="en-GB" w:eastAsia="en-GB"/>
        </w:rPr>
        <w:drawing>
          <wp:inline distT="0" distB="0" distL="0" distR="0" wp14:anchorId="2EECC27A" wp14:editId="688DC29F">
            <wp:extent cx="4975860" cy="5634990"/>
            <wp:effectExtent l="0" t="0" r="0" b="3810"/>
            <wp:docPr id="231" name="Picture 231" descr="ORION-11 trial Forest plot of treatment differences in percentage change from Baseline in low-density lipoprotein-cholesterol at Day 510 (intent to treat population)"/>
            <wp:cNvGraphicFramePr/>
            <a:graphic xmlns:a="http://schemas.openxmlformats.org/drawingml/2006/main">
              <a:graphicData uri="http://schemas.openxmlformats.org/drawingml/2006/picture">
                <pic:pic xmlns:pic="http://schemas.openxmlformats.org/drawingml/2006/picture">
                  <pic:nvPicPr>
                    <pic:cNvPr id="231" name="Picture 231" descr="ORION-11 trial Forest plot of treatment differences in percentage change from Baseline in low-density lipoprotein-cholesterol at Day 510 (intent to treat population)"/>
                    <pic:cNvPicPr/>
                  </pic:nvPicPr>
                  <pic:blipFill>
                    <a:blip r:embed="rId43"/>
                    <a:stretch>
                      <a:fillRect/>
                    </a:stretch>
                  </pic:blipFill>
                  <pic:spPr>
                    <a:xfrm>
                      <a:off x="0" y="0"/>
                      <a:ext cx="4975860" cy="5634990"/>
                    </a:xfrm>
                    <a:prstGeom prst="rect">
                      <a:avLst/>
                    </a:prstGeom>
                  </pic:spPr>
                </pic:pic>
              </a:graphicData>
            </a:graphic>
          </wp:inline>
        </w:drawing>
      </w:r>
    </w:p>
    <w:p w14:paraId="0483A8FB" w14:textId="511B434E" w:rsidR="00CC0BD0" w:rsidRDefault="00CC0BD0" w:rsidP="00CC0BD0">
      <w:r w:rsidRPr="00CC0BD0">
        <w:t xml:space="preserve">Cardiovascular outcomes in </w:t>
      </w:r>
      <w:r w:rsidR="002C341B">
        <w:t xml:space="preserve">the </w:t>
      </w:r>
      <w:r w:rsidRPr="00CC0BD0">
        <w:t xml:space="preserve">ORION-11 </w:t>
      </w:r>
      <w:r>
        <w:t xml:space="preserve">trial </w:t>
      </w:r>
      <w:r w:rsidRPr="00CC0BD0">
        <w:t xml:space="preserve">were exploratory. MACE events were lower in the </w:t>
      </w:r>
      <w:proofErr w:type="spellStart"/>
      <w:r w:rsidRPr="00CC0BD0">
        <w:t>inclisiran</w:t>
      </w:r>
      <w:proofErr w:type="spellEnd"/>
      <w:r w:rsidRPr="00CC0BD0">
        <w:t xml:space="preserve"> arm, with the difference driven primarily by non-fatal MI (</w:t>
      </w:r>
      <w:r w:rsidR="0051522B">
        <w:fldChar w:fldCharType="begin"/>
      </w:r>
      <w:r w:rsidR="0051522B">
        <w:instrText xml:space="preserve"> REF _Ref97541106 \h </w:instrText>
      </w:r>
      <w:r w:rsidR="0051522B">
        <w:fldChar w:fldCharType="separate"/>
      </w:r>
      <w:r w:rsidR="002C4E0E" w:rsidRPr="0051522B">
        <w:t xml:space="preserve">Table </w:t>
      </w:r>
      <w:r w:rsidR="002C4E0E">
        <w:rPr>
          <w:noProof/>
        </w:rPr>
        <w:t>13</w:t>
      </w:r>
      <w:r w:rsidR="0051522B">
        <w:fldChar w:fldCharType="end"/>
      </w:r>
      <w:r w:rsidRPr="00CC0BD0">
        <w:t>).</w:t>
      </w:r>
    </w:p>
    <w:p w14:paraId="50A438D7" w14:textId="59B09C1E" w:rsidR="00CC0BD0" w:rsidRDefault="00CC0BD0" w:rsidP="0051522B">
      <w:pPr>
        <w:pStyle w:val="TableTitle"/>
        <w:rPr>
          <w:lang w:eastAsia="en-CA"/>
        </w:rPr>
      </w:pPr>
      <w:bookmarkStart w:id="67" w:name="_Ref97541106"/>
      <w:r w:rsidRPr="0051522B">
        <w:t xml:space="preserve">Table </w:t>
      </w:r>
      <w:r>
        <w:fldChar w:fldCharType="begin"/>
      </w:r>
      <w:r>
        <w:instrText>SEQ Table \* ARABIC</w:instrText>
      </w:r>
      <w:r>
        <w:fldChar w:fldCharType="separate"/>
      </w:r>
      <w:r w:rsidR="002C4E0E">
        <w:rPr>
          <w:noProof/>
        </w:rPr>
        <w:t>13</w:t>
      </w:r>
      <w:r>
        <w:fldChar w:fldCharType="end"/>
      </w:r>
      <w:bookmarkEnd w:id="67"/>
      <w:r>
        <w:t xml:space="preserve">: </w:t>
      </w:r>
      <w:r w:rsidR="0051522B">
        <w:t>ORION-11 trial</w:t>
      </w:r>
      <w:r w:rsidR="002C341B">
        <w:t>,</w:t>
      </w:r>
      <w:r w:rsidR="0051522B">
        <w:t xml:space="preserve"> </w:t>
      </w:r>
      <w:r w:rsidR="0051522B">
        <w:rPr>
          <w:lang w:eastAsia="en-CA"/>
        </w:rPr>
        <w:t xml:space="preserve">Incidence of </w:t>
      </w:r>
      <w:r w:rsidR="0051522B">
        <w:t>major cardiovascular event</w:t>
      </w:r>
      <w:r w:rsidR="0051522B">
        <w:rPr>
          <w:lang w:eastAsia="en-CA"/>
        </w:rPr>
        <w:t xml:space="preserve"> (safety population)</w:t>
      </w:r>
    </w:p>
    <w:p w14:paraId="070327F0" w14:textId="0A192E94" w:rsidR="0051522B" w:rsidRDefault="0051522B" w:rsidP="0051522B">
      <w:pPr>
        <w:rPr>
          <w:lang w:eastAsia="en-CA"/>
        </w:rPr>
      </w:pPr>
      <w:r>
        <w:rPr>
          <w:noProof/>
          <w:lang w:val="en-GB" w:eastAsia="en-GB"/>
        </w:rPr>
        <w:drawing>
          <wp:inline distT="0" distB="0" distL="0" distR="0" wp14:anchorId="031C9286" wp14:editId="4F7C38DD">
            <wp:extent cx="5063067" cy="1041400"/>
            <wp:effectExtent l="0" t="0" r="4445" b="6350"/>
            <wp:docPr id="297" name="Picture 297" descr="ORION-11 trial Incidence of major cardiovascular event (safety population)"/>
            <wp:cNvGraphicFramePr/>
            <a:graphic xmlns:a="http://schemas.openxmlformats.org/drawingml/2006/main">
              <a:graphicData uri="http://schemas.openxmlformats.org/drawingml/2006/picture">
                <pic:pic xmlns:pic="http://schemas.openxmlformats.org/drawingml/2006/picture">
                  <pic:nvPicPr>
                    <pic:cNvPr id="297" name="Picture 297" descr="ORION-11 trial Incidence of major cardiovascular event (safety population)"/>
                    <pic:cNvPicPr/>
                  </pic:nvPicPr>
                  <pic:blipFill rotWithShape="1">
                    <a:blip r:embed="rId44"/>
                    <a:srcRect b="33265"/>
                    <a:stretch/>
                  </pic:blipFill>
                  <pic:spPr bwMode="auto">
                    <a:xfrm>
                      <a:off x="0" y="0"/>
                      <a:ext cx="5090684" cy="1047080"/>
                    </a:xfrm>
                    <a:prstGeom prst="rect">
                      <a:avLst/>
                    </a:prstGeom>
                    <a:ln>
                      <a:noFill/>
                    </a:ln>
                    <a:extLst>
                      <a:ext uri="{53640926-AAD7-44D8-BBD7-CCE9431645EC}">
                        <a14:shadowObscured xmlns:a14="http://schemas.microsoft.com/office/drawing/2010/main"/>
                      </a:ext>
                    </a:extLst>
                  </pic:spPr>
                </pic:pic>
              </a:graphicData>
            </a:graphic>
          </wp:inline>
        </w:drawing>
      </w:r>
    </w:p>
    <w:p w14:paraId="356F7567" w14:textId="497147E9" w:rsidR="0051522B" w:rsidRDefault="0051522B" w:rsidP="0051522B">
      <w:pPr>
        <w:pStyle w:val="TableDescription"/>
      </w:pPr>
      <w:r>
        <w:t>MACE (major cardiovascular event) is defined as the composite of cardiovascular death, resuscitated cardiac arrest, non-fatal myocadiac infraction and stroke (ischemic or haemorrhagic).</w:t>
      </w:r>
    </w:p>
    <w:p w14:paraId="0FF7BA60" w14:textId="2CAC0D42" w:rsidR="0051522B" w:rsidRDefault="0051522B" w:rsidP="0051522B">
      <w:pPr>
        <w:pStyle w:val="TableDescription"/>
      </w:pPr>
      <w:r>
        <w:t>Abbreviation: CV = cardiovascular; MACE = major cardiovascular event; MI = myocardial infarction</w:t>
      </w:r>
    </w:p>
    <w:p w14:paraId="191A6D26" w14:textId="510D4F02" w:rsidR="0051522B" w:rsidRDefault="0051522B" w:rsidP="0051522B">
      <w:pPr>
        <w:pStyle w:val="Heading6"/>
      </w:pPr>
      <w:r>
        <w:lastRenderedPageBreak/>
        <w:t xml:space="preserve">Pooled </w:t>
      </w:r>
      <w:r w:rsidR="002C341B">
        <w:t>a</w:t>
      </w:r>
      <w:r>
        <w:t xml:space="preserve">nalyses of </w:t>
      </w:r>
      <w:r w:rsidR="002C341B">
        <w:t>e</w:t>
      </w:r>
      <w:r>
        <w:t>fficacy</w:t>
      </w:r>
    </w:p>
    <w:p w14:paraId="25DA064D" w14:textId="77777777" w:rsidR="0051522B" w:rsidRDefault="0051522B" w:rsidP="0051522B">
      <w:r>
        <w:t>The primary analyses of efficacy are based on data from the individual Phase III studies, but the similarities in the study designs allowed analyses of pooled data:</w:t>
      </w:r>
    </w:p>
    <w:p w14:paraId="383073FE" w14:textId="06302854" w:rsidR="0051522B" w:rsidRDefault="0051522B" w:rsidP="009705E7">
      <w:pPr>
        <w:pStyle w:val="ListBullet"/>
      </w:pPr>
      <w:r>
        <w:t xml:space="preserve">Efficacy </w:t>
      </w:r>
      <w:r w:rsidR="009705E7">
        <w:t>p</w:t>
      </w:r>
      <w:r>
        <w:t xml:space="preserve">ool </w:t>
      </w:r>
      <w:r w:rsidR="009705E7">
        <w:t>1</w:t>
      </w:r>
      <w:r>
        <w:t>: ORION-9, ORION-10, and ORION-11 trials</w:t>
      </w:r>
    </w:p>
    <w:p w14:paraId="35DE9DB5" w14:textId="754A607A" w:rsidR="0051522B" w:rsidRDefault="0051522B" w:rsidP="009705E7">
      <w:pPr>
        <w:pStyle w:val="ListBullet"/>
      </w:pPr>
      <w:r>
        <w:t xml:space="preserve">Efficacy </w:t>
      </w:r>
      <w:r w:rsidR="009705E7">
        <w:t>p</w:t>
      </w:r>
      <w:r>
        <w:t xml:space="preserve">ool 2: ORION-10 and ORION-11 trials </w:t>
      </w:r>
      <w:r w:rsidR="009705E7">
        <w:t>(</w:t>
      </w:r>
      <w:r w:rsidR="009705E7">
        <w:fldChar w:fldCharType="begin"/>
      </w:r>
      <w:r w:rsidR="009705E7">
        <w:instrText xml:space="preserve"> REF _Ref97541820 \h </w:instrText>
      </w:r>
      <w:r w:rsidR="009705E7">
        <w:fldChar w:fldCharType="separate"/>
      </w:r>
      <w:r w:rsidR="002C4E0E" w:rsidRPr="0051522B">
        <w:t xml:space="preserve">Table </w:t>
      </w:r>
      <w:r w:rsidR="002C4E0E">
        <w:rPr>
          <w:noProof/>
        </w:rPr>
        <w:t>14</w:t>
      </w:r>
      <w:r w:rsidR="009705E7">
        <w:fldChar w:fldCharType="end"/>
      </w:r>
      <w:r w:rsidR="009705E7">
        <w:t>)</w:t>
      </w:r>
    </w:p>
    <w:p w14:paraId="3854F8B4" w14:textId="78EFA8BF" w:rsidR="0051522B" w:rsidRDefault="0051522B" w:rsidP="0051522B">
      <w:pPr>
        <w:rPr>
          <w:rFonts w:asciiTheme="minorHAnsi" w:hAnsiTheme="minorHAnsi"/>
        </w:rPr>
      </w:pPr>
      <w:r>
        <w:t xml:space="preserve">The three studies shared the same efficacy endpoints and dosing regimen, but there were differences in the study populations. </w:t>
      </w:r>
      <w:r w:rsidR="002C341B">
        <w:t xml:space="preserve">The </w:t>
      </w:r>
      <w:r>
        <w:t xml:space="preserve">ORION-9 trial evaluated subjects with </w:t>
      </w:r>
      <w:proofErr w:type="spellStart"/>
      <w:r>
        <w:t>HeFH</w:t>
      </w:r>
      <w:proofErr w:type="spellEnd"/>
      <w:r>
        <w:t xml:space="preserve">, who were generally younger than subjects in </w:t>
      </w:r>
      <w:r w:rsidR="002C341B">
        <w:t xml:space="preserve">the </w:t>
      </w:r>
      <w:r>
        <w:t xml:space="preserve">ORION-10 trial (ASCVD) and </w:t>
      </w:r>
      <w:r w:rsidR="002C341B">
        <w:t xml:space="preserve">the </w:t>
      </w:r>
      <w:r>
        <w:t>ORION-11 trial (ASCVD or ASCVD-risk equivalent) and had higher baseline LDL-C and a lower baseline prevalence of ASCVD, diabetes and hypertension.</w:t>
      </w:r>
    </w:p>
    <w:p w14:paraId="245A40AA" w14:textId="22E2F13E" w:rsidR="0051522B" w:rsidRDefault="0051522B" w:rsidP="0051522B">
      <w:pPr>
        <w:pStyle w:val="TableTitle"/>
      </w:pPr>
      <w:bookmarkStart w:id="68" w:name="_Ref97541820"/>
      <w:r w:rsidRPr="0051522B">
        <w:t xml:space="preserve">Table </w:t>
      </w:r>
      <w:r>
        <w:fldChar w:fldCharType="begin"/>
      </w:r>
      <w:r>
        <w:instrText>SEQ Table \* ARABIC</w:instrText>
      </w:r>
      <w:r>
        <w:fldChar w:fldCharType="separate"/>
      </w:r>
      <w:r w:rsidR="002C4E0E">
        <w:rPr>
          <w:noProof/>
        </w:rPr>
        <w:t>14</w:t>
      </w:r>
      <w:r>
        <w:fldChar w:fldCharType="end"/>
      </w:r>
      <w:bookmarkEnd w:id="68"/>
      <w:r>
        <w:t>: Pools of data for integrated analyses of efficacy</w:t>
      </w:r>
    </w:p>
    <w:p w14:paraId="2B7B2BD2" w14:textId="5456CF0D" w:rsidR="0051522B" w:rsidRDefault="0051522B" w:rsidP="0051522B">
      <w:pPr>
        <w:rPr>
          <w:lang w:eastAsia="en-CA"/>
        </w:rPr>
      </w:pPr>
      <w:r>
        <w:rPr>
          <w:noProof/>
          <w:lang w:val="en-GB" w:eastAsia="en-GB"/>
        </w:rPr>
        <w:drawing>
          <wp:inline distT="0" distB="0" distL="0" distR="0" wp14:anchorId="5EAE2436" wp14:editId="24CD7ED4">
            <wp:extent cx="4879238" cy="1111911"/>
            <wp:effectExtent l="0" t="0" r="0" b="0"/>
            <wp:docPr id="17" name="Picture 17" descr="Pools of data for integrated analyses of efficacy"/>
            <wp:cNvGraphicFramePr/>
            <a:graphic xmlns:a="http://schemas.openxmlformats.org/drawingml/2006/main">
              <a:graphicData uri="http://schemas.openxmlformats.org/drawingml/2006/picture">
                <pic:pic xmlns:pic="http://schemas.openxmlformats.org/drawingml/2006/picture">
                  <pic:nvPicPr>
                    <pic:cNvPr id="17" name="Picture 17" descr="Pools of data for integrated analyses of efficacy"/>
                    <pic:cNvPicPr/>
                  </pic:nvPicPr>
                  <pic:blipFill rotWithShape="1">
                    <a:blip r:embed="rId45"/>
                    <a:srcRect b="18682"/>
                    <a:stretch/>
                  </pic:blipFill>
                  <pic:spPr bwMode="auto">
                    <a:xfrm>
                      <a:off x="0" y="0"/>
                      <a:ext cx="4923013" cy="1121887"/>
                    </a:xfrm>
                    <a:prstGeom prst="rect">
                      <a:avLst/>
                    </a:prstGeom>
                    <a:ln>
                      <a:noFill/>
                    </a:ln>
                    <a:extLst>
                      <a:ext uri="{53640926-AAD7-44D8-BBD7-CCE9431645EC}">
                        <a14:shadowObscured xmlns:a14="http://schemas.microsoft.com/office/drawing/2010/main"/>
                      </a:ext>
                    </a:extLst>
                  </pic:spPr>
                </pic:pic>
              </a:graphicData>
            </a:graphic>
          </wp:inline>
        </w:drawing>
      </w:r>
    </w:p>
    <w:p w14:paraId="21520F13" w14:textId="0C59ABF9" w:rsidR="0051522B" w:rsidRDefault="0051522B" w:rsidP="0051522B">
      <w:pPr>
        <w:pStyle w:val="TableDescription"/>
        <w:rPr>
          <w:lang w:eastAsia="en-CA"/>
        </w:rPr>
      </w:pPr>
      <w:r>
        <w:rPr>
          <w:lang w:eastAsia="en-CA"/>
        </w:rPr>
        <w:t>Abbreviations: ITT = intent to treat, LDL-C = low density lipoprotein cholesterol</w:t>
      </w:r>
    </w:p>
    <w:p w14:paraId="3E623021" w14:textId="13A848B4" w:rsidR="0051522B" w:rsidRDefault="0051522B" w:rsidP="009705E7">
      <w:r>
        <w:t xml:space="preserve">In </w:t>
      </w:r>
      <w:r w:rsidR="009705E7">
        <w:t>e</w:t>
      </w:r>
      <w:r>
        <w:t xml:space="preserve">fficacy </w:t>
      </w:r>
      <w:r w:rsidR="009705E7">
        <w:t>p</w:t>
      </w:r>
      <w:r>
        <w:t>ool 1, 85% of subjects had ASCVD and 15% had ASCVD</w:t>
      </w:r>
      <w:r w:rsidR="009705E7">
        <w:t xml:space="preserve"> </w:t>
      </w:r>
      <w:r>
        <w:t xml:space="preserve">risk equivalents. In efficacy </w:t>
      </w:r>
      <w:r w:rsidR="009705E7">
        <w:t>p</w:t>
      </w:r>
      <w:r>
        <w:t>ool 2, 94% of subjects had ASCVD and 6% had ASCVD</w:t>
      </w:r>
      <w:r w:rsidR="009705E7">
        <w:t xml:space="preserve"> </w:t>
      </w:r>
      <w:r>
        <w:t>risk equivalents. 94% of subjects in each efficacy pool were receiving a statin at study entry (74% were receiving high</w:t>
      </w:r>
      <w:r w:rsidR="009705E7">
        <w:t xml:space="preserve"> </w:t>
      </w:r>
      <w:r>
        <w:t xml:space="preserve">intensity statin). Despite maximally tolerated statin therapy, mean baseline LDL-C was 3.9 mmol/L in </w:t>
      </w:r>
      <w:r w:rsidR="002C341B">
        <w:t xml:space="preserve">the </w:t>
      </w:r>
      <w:r>
        <w:t>ORION-9</w:t>
      </w:r>
      <w:r w:rsidR="009705E7">
        <w:t xml:space="preserve"> trial</w:t>
      </w:r>
      <w:r>
        <w:t xml:space="preserve"> and 2.7 mmol/L in </w:t>
      </w:r>
      <w:r w:rsidR="002C341B">
        <w:t xml:space="preserve">the </w:t>
      </w:r>
      <w:r>
        <w:t xml:space="preserve">ORION-10 and </w:t>
      </w:r>
      <w:r w:rsidR="002C341B">
        <w:t xml:space="preserve">the </w:t>
      </w:r>
      <w:r>
        <w:t>ORION-11</w:t>
      </w:r>
      <w:r w:rsidR="009705E7">
        <w:t xml:space="preserve"> trials</w:t>
      </w:r>
      <w:r>
        <w:t xml:space="preserve">. </w:t>
      </w:r>
      <w:r w:rsidR="009705E7">
        <w:t>O</w:t>
      </w:r>
      <w:r>
        <w:t xml:space="preserve">f </w:t>
      </w:r>
      <w:r w:rsidR="009705E7">
        <w:t xml:space="preserve">the </w:t>
      </w:r>
      <w:r>
        <w:t>1833 subjects</w:t>
      </w:r>
      <w:r w:rsidR="009705E7">
        <w:t xml:space="preserve">, 515 (28%) subjects </w:t>
      </w:r>
      <w:r>
        <w:t xml:space="preserve">treated with </w:t>
      </w:r>
      <w:proofErr w:type="spellStart"/>
      <w:r w:rsidR="00190449">
        <w:t>inclisiran</w:t>
      </w:r>
      <w:proofErr w:type="spellEnd"/>
      <w:r>
        <w:t xml:space="preserve"> in </w:t>
      </w:r>
      <w:r w:rsidR="009705E7">
        <w:t>e</w:t>
      </w:r>
      <w:r>
        <w:t xml:space="preserve">fficacy </w:t>
      </w:r>
      <w:r w:rsidR="009705E7">
        <w:t>p</w:t>
      </w:r>
      <w:r>
        <w:t xml:space="preserve">ool 1 had normal renal function at </w:t>
      </w:r>
      <w:r w:rsidR="009705E7">
        <w:t>B</w:t>
      </w:r>
      <w:r>
        <w:t xml:space="preserve">aseline, 1012 (55%) had mild renal impairment at </w:t>
      </w:r>
      <w:r w:rsidR="009705E7">
        <w:t>B</w:t>
      </w:r>
      <w:r>
        <w:t xml:space="preserve">aseline, 295 (16%) had moderate renal impairment at </w:t>
      </w:r>
      <w:r w:rsidR="009705E7">
        <w:t>B</w:t>
      </w:r>
      <w:r>
        <w:t xml:space="preserve">aseline, and 11 (0.6%) had severe renal impairment at </w:t>
      </w:r>
      <w:r w:rsidR="009705E7">
        <w:t>B</w:t>
      </w:r>
      <w:r>
        <w:t>aseline.</w:t>
      </w:r>
    </w:p>
    <w:p w14:paraId="57DD33E2" w14:textId="77777777" w:rsidR="0051522B" w:rsidRDefault="0051522B" w:rsidP="009705E7">
      <w:r>
        <w:t>Outcomes for the co-primary efficacy endpoints in the pooled analysis were:</w:t>
      </w:r>
    </w:p>
    <w:p w14:paraId="5C1C5365" w14:textId="5E35E932" w:rsidR="0051522B" w:rsidRDefault="0051522B" w:rsidP="009705E7">
      <w:pPr>
        <w:pStyle w:val="ListBullet"/>
      </w:pPr>
      <w:r>
        <w:t>The placebo</w:t>
      </w:r>
      <w:r w:rsidR="009705E7">
        <w:t xml:space="preserve"> </w:t>
      </w:r>
      <w:r>
        <w:t xml:space="preserve">adjusted percentage change in LDL-C from </w:t>
      </w:r>
      <w:r w:rsidR="009705E7">
        <w:t>B</w:t>
      </w:r>
      <w:r>
        <w:t>aseline to Day 510 using observed values was -</w:t>
      </w:r>
      <w:r w:rsidR="00535655">
        <w:t xml:space="preserve"> </w:t>
      </w:r>
      <w:r>
        <w:t>54.7% (p</w:t>
      </w:r>
      <w:r w:rsidR="009705E7">
        <w:t xml:space="preserve"> </w:t>
      </w:r>
      <w:r>
        <w:t>&lt;</w:t>
      </w:r>
      <w:r w:rsidR="009705E7">
        <w:t> </w:t>
      </w:r>
      <w:r>
        <w:t xml:space="preserve">0.0001) in </w:t>
      </w:r>
      <w:r w:rsidR="009705E7">
        <w:t>e</w:t>
      </w:r>
      <w:r>
        <w:t xml:space="preserve">fficacy </w:t>
      </w:r>
      <w:r w:rsidR="009705E7">
        <w:t>p</w:t>
      </w:r>
      <w:r>
        <w:t>ool 1 and -</w:t>
      </w:r>
      <w:r w:rsidR="00535655">
        <w:t xml:space="preserve"> </w:t>
      </w:r>
      <w:r>
        <w:t>55.6% (p</w:t>
      </w:r>
      <w:r w:rsidR="009705E7">
        <w:t xml:space="preserve"> </w:t>
      </w:r>
      <w:r>
        <w:t>&lt;</w:t>
      </w:r>
      <w:r w:rsidR="009705E7">
        <w:t> </w:t>
      </w:r>
      <w:r>
        <w:t xml:space="preserve">0.0001) in </w:t>
      </w:r>
      <w:r w:rsidR="009705E7">
        <w:t>e</w:t>
      </w:r>
      <w:r>
        <w:t xml:space="preserve">fficacy </w:t>
      </w:r>
      <w:r w:rsidR="009705E7">
        <w:t>p</w:t>
      </w:r>
      <w:r>
        <w:t>ool 2. The primary analysis used a pre-specified washout model to account for missing data. The placebo</w:t>
      </w:r>
      <w:r w:rsidR="009705E7">
        <w:t xml:space="preserve"> </w:t>
      </w:r>
      <w:r>
        <w:t xml:space="preserve">adjusted percentage change in LDL-C from </w:t>
      </w:r>
      <w:r w:rsidR="009705E7">
        <w:t>B</w:t>
      </w:r>
      <w:r>
        <w:t>aseline to Day 510 was -</w:t>
      </w:r>
      <w:r w:rsidR="00535655">
        <w:t xml:space="preserve"> </w:t>
      </w:r>
      <w:r>
        <w:t>50.7% (p</w:t>
      </w:r>
      <w:r w:rsidR="009705E7">
        <w:t xml:space="preserve"> </w:t>
      </w:r>
      <w:r>
        <w:t>&lt;</w:t>
      </w:r>
      <w:r w:rsidR="009705E7">
        <w:t> </w:t>
      </w:r>
      <w:r>
        <w:t xml:space="preserve">0.0001) in </w:t>
      </w:r>
      <w:r w:rsidR="009705E7">
        <w:t>e</w:t>
      </w:r>
      <w:r>
        <w:t xml:space="preserve">fficacy </w:t>
      </w:r>
      <w:r w:rsidR="009705E7">
        <w:t>p</w:t>
      </w:r>
      <w:r>
        <w:t>ool 1 and -</w:t>
      </w:r>
      <w:r w:rsidR="00535655">
        <w:t xml:space="preserve"> </w:t>
      </w:r>
      <w:r>
        <w:t>51% (p</w:t>
      </w:r>
      <w:r w:rsidR="009705E7">
        <w:t xml:space="preserve"> </w:t>
      </w:r>
      <w:r>
        <w:t>&lt;</w:t>
      </w:r>
      <w:r w:rsidR="009705E7">
        <w:t> </w:t>
      </w:r>
      <w:r>
        <w:t xml:space="preserve">0.0001) in </w:t>
      </w:r>
      <w:r w:rsidR="009705E7">
        <w:t>e</w:t>
      </w:r>
      <w:r>
        <w:t xml:space="preserve">fficacy </w:t>
      </w:r>
      <w:r w:rsidR="009705E7">
        <w:t>p</w:t>
      </w:r>
      <w:r>
        <w:t>ool 2.</w:t>
      </w:r>
    </w:p>
    <w:p w14:paraId="45B831EB" w14:textId="4F59DE3E" w:rsidR="0051522B" w:rsidRDefault="0051522B" w:rsidP="009705E7">
      <w:pPr>
        <w:pStyle w:val="ListBullet"/>
      </w:pPr>
      <w:r>
        <w:t>Compared to placebo the time</w:t>
      </w:r>
      <w:r w:rsidR="009705E7">
        <w:t xml:space="preserve"> </w:t>
      </w:r>
      <w:r>
        <w:t xml:space="preserve">adjusted percentage change in LDL-C from </w:t>
      </w:r>
      <w:r w:rsidR="009705E7">
        <w:t>B</w:t>
      </w:r>
      <w:r>
        <w:t>aseline after Day 90 and up to Day 540 was -</w:t>
      </w:r>
      <w:r w:rsidR="00535655">
        <w:t xml:space="preserve"> </w:t>
      </w:r>
      <w:r>
        <w:t>50.5% (p</w:t>
      </w:r>
      <w:r w:rsidR="009705E7">
        <w:t xml:space="preserve"> </w:t>
      </w:r>
      <w:r>
        <w:t>&lt;</w:t>
      </w:r>
      <w:r w:rsidR="009705E7">
        <w:t> </w:t>
      </w:r>
      <w:r>
        <w:t xml:space="preserve">0.0001) in </w:t>
      </w:r>
      <w:r w:rsidR="009705E7">
        <w:t>e</w:t>
      </w:r>
      <w:r>
        <w:t xml:space="preserve">fficacy </w:t>
      </w:r>
      <w:r w:rsidR="009705E7">
        <w:t>p</w:t>
      </w:r>
      <w:r>
        <w:t>ool 1 and -</w:t>
      </w:r>
      <w:r w:rsidR="00535655">
        <w:t xml:space="preserve"> </w:t>
      </w:r>
      <w:r>
        <w:t>51.4% (p</w:t>
      </w:r>
      <w:r w:rsidR="009705E7">
        <w:t xml:space="preserve"> </w:t>
      </w:r>
      <w:r>
        <w:t>&lt;</w:t>
      </w:r>
      <w:r w:rsidR="009705E7">
        <w:t> </w:t>
      </w:r>
      <w:r>
        <w:t xml:space="preserve">0.0001) in </w:t>
      </w:r>
      <w:r w:rsidR="009705E7">
        <w:t>e</w:t>
      </w:r>
      <w:r>
        <w:t xml:space="preserve">fficacy </w:t>
      </w:r>
      <w:r w:rsidR="009705E7">
        <w:t>p</w:t>
      </w:r>
      <w:r>
        <w:t>ool 2.</w:t>
      </w:r>
    </w:p>
    <w:p w14:paraId="465FD13F" w14:textId="10B5E41A" w:rsidR="0051522B" w:rsidRDefault="0051522B" w:rsidP="009705E7">
      <w:r>
        <w:t xml:space="preserve">In </w:t>
      </w:r>
      <w:r w:rsidR="009705E7">
        <w:t>e</w:t>
      </w:r>
      <w:r>
        <w:t xml:space="preserve">fficacy </w:t>
      </w:r>
      <w:r w:rsidR="009705E7">
        <w:t>p</w:t>
      </w:r>
      <w:r>
        <w:t>ool 1, the placebo</w:t>
      </w:r>
      <w:r w:rsidR="009705E7">
        <w:t xml:space="preserve"> </w:t>
      </w:r>
      <w:r>
        <w:t xml:space="preserve">adjusted absolute change in LDL-C levels from </w:t>
      </w:r>
      <w:r w:rsidR="009705E7">
        <w:t>B</w:t>
      </w:r>
      <w:r>
        <w:t>aseline to Day 510 was -</w:t>
      </w:r>
      <w:r w:rsidR="00535655">
        <w:t xml:space="preserve"> </w:t>
      </w:r>
      <w:r>
        <w:t>55.1</w:t>
      </w:r>
      <w:r w:rsidR="00B35FEB">
        <w:t> </w:t>
      </w:r>
      <w:r>
        <w:t>mg/dL (p</w:t>
      </w:r>
      <w:r w:rsidR="009705E7">
        <w:t xml:space="preserve"> </w:t>
      </w:r>
      <w:r>
        <w:t>&lt;</w:t>
      </w:r>
      <w:r w:rsidR="009705E7">
        <w:t xml:space="preserve"> </w:t>
      </w:r>
      <w:r>
        <w:t>0.0001), equivalent to -</w:t>
      </w:r>
      <w:r w:rsidR="00535655">
        <w:t xml:space="preserve"> </w:t>
      </w:r>
      <w:r>
        <w:t xml:space="preserve">1.4 mmol/L. In </w:t>
      </w:r>
      <w:r w:rsidR="009705E7">
        <w:t>e</w:t>
      </w:r>
      <w:r>
        <w:t xml:space="preserve">fficacy </w:t>
      </w:r>
      <w:r w:rsidR="009705E7">
        <w:t>p</w:t>
      </w:r>
      <w:r>
        <w:t>ool 2, the placebo</w:t>
      </w:r>
      <w:r w:rsidR="009705E7">
        <w:t xml:space="preserve"> </w:t>
      </w:r>
      <w:r>
        <w:t xml:space="preserve">adjusted absolute change in LDL-C levels from </w:t>
      </w:r>
      <w:r w:rsidR="009705E7">
        <w:t>B</w:t>
      </w:r>
      <w:r>
        <w:t>aseline to Day 510 was -</w:t>
      </w:r>
      <w:r w:rsidR="00535655">
        <w:t xml:space="preserve"> </w:t>
      </w:r>
      <w:r>
        <w:t>52.9</w:t>
      </w:r>
      <w:r w:rsidR="00B35FEB">
        <w:t> </w:t>
      </w:r>
      <w:r>
        <w:t>mg/dL (p</w:t>
      </w:r>
      <w:r w:rsidR="009705E7">
        <w:t xml:space="preserve"> </w:t>
      </w:r>
      <w:r>
        <w:t>&lt;</w:t>
      </w:r>
      <w:r w:rsidR="009705E7">
        <w:t> </w:t>
      </w:r>
      <w:r>
        <w:t>0.0001), equivalent to -</w:t>
      </w:r>
      <w:r w:rsidR="00535655">
        <w:t xml:space="preserve"> </w:t>
      </w:r>
      <w:r>
        <w:t>1.4 mmol/L.</w:t>
      </w:r>
    </w:p>
    <w:p w14:paraId="64EB45A9" w14:textId="09D4C74C" w:rsidR="0051522B" w:rsidRDefault="0051522B" w:rsidP="009705E7">
      <w:r>
        <w:t>The proportion of subjects who attained global lipid targets at Day 510</w:t>
      </w:r>
      <w:r>
        <w:rPr>
          <w:color w:val="000000"/>
        </w:rPr>
        <w:t xml:space="preserve"> </w:t>
      </w:r>
      <w:r>
        <w:t xml:space="preserve">for their level of ASCVD risk </w:t>
      </w:r>
      <w:r>
        <w:rPr>
          <w:color w:val="000000"/>
        </w:rPr>
        <w:t>(</w:t>
      </w:r>
      <w:r w:rsidR="009705E7">
        <w:rPr>
          <w:color w:val="000000"/>
        </w:rPr>
        <w:t xml:space="preserve">that is </w:t>
      </w:r>
      <w:r>
        <w:rPr>
          <w:color w:val="000000"/>
        </w:rPr>
        <w:t>˂</w:t>
      </w:r>
      <w:r w:rsidR="009705E7">
        <w:rPr>
          <w:color w:val="000000"/>
        </w:rPr>
        <w:t> </w:t>
      </w:r>
      <w:r>
        <w:rPr>
          <w:color w:val="000000"/>
        </w:rPr>
        <w:t>1.8 mmol/L for ASCVD, ˂</w:t>
      </w:r>
      <w:r w:rsidR="009705E7">
        <w:rPr>
          <w:color w:val="000000"/>
        </w:rPr>
        <w:t> </w:t>
      </w:r>
      <w:r>
        <w:rPr>
          <w:color w:val="000000"/>
        </w:rPr>
        <w:t>2.6 mmol/L for ASCVD</w:t>
      </w:r>
      <w:r w:rsidR="009705E7">
        <w:rPr>
          <w:color w:val="000000"/>
        </w:rPr>
        <w:t xml:space="preserve"> </w:t>
      </w:r>
      <w:r>
        <w:rPr>
          <w:color w:val="000000"/>
        </w:rPr>
        <w:t xml:space="preserve">risk equivalent) </w:t>
      </w:r>
      <w:r>
        <w:t xml:space="preserve">was 82% for </w:t>
      </w:r>
      <w:proofErr w:type="spellStart"/>
      <w:r>
        <w:t>inclisiran</w:t>
      </w:r>
      <w:proofErr w:type="spellEnd"/>
      <w:r>
        <w:t xml:space="preserve"> and 16% for placebo in ASCVD subjects, and 70% for </w:t>
      </w:r>
      <w:proofErr w:type="spellStart"/>
      <w:r>
        <w:t>inclisiran</w:t>
      </w:r>
      <w:proofErr w:type="spellEnd"/>
      <w:r>
        <w:t xml:space="preserve"> and 17% for placebo in ASCVD</w:t>
      </w:r>
      <w:r w:rsidR="009705E7">
        <w:t xml:space="preserve"> </w:t>
      </w:r>
      <w:r>
        <w:t>risk equivalent subjects.</w:t>
      </w:r>
    </w:p>
    <w:p w14:paraId="672717EB" w14:textId="35106724" w:rsidR="0051522B" w:rsidRDefault="007C1E6F" w:rsidP="007C1E6F">
      <w:pPr>
        <w:pStyle w:val="TableTitle"/>
      </w:pPr>
      <w:r w:rsidRPr="00BC5A73">
        <w:lastRenderedPageBreak/>
        <w:t xml:space="preserve">Table </w:t>
      </w:r>
      <w:r>
        <w:fldChar w:fldCharType="begin"/>
      </w:r>
      <w:r>
        <w:instrText>SEQ Table \* ARABIC</w:instrText>
      </w:r>
      <w:r>
        <w:fldChar w:fldCharType="separate"/>
      </w:r>
      <w:r w:rsidR="002C4E0E">
        <w:rPr>
          <w:noProof/>
        </w:rPr>
        <w:t>15</w:t>
      </w:r>
      <w:r>
        <w:fldChar w:fldCharType="end"/>
      </w:r>
      <w:r w:rsidRPr="00BC5A73">
        <w:t>: Percentage change from Baseline low density lipoprotein cholesterol by visit in efficacy pool 1 and pool 2 (intent to treat population)</w:t>
      </w:r>
    </w:p>
    <w:p w14:paraId="6BA616DA" w14:textId="2CFF9CCF" w:rsidR="007C1E6F" w:rsidRDefault="007C1E6F" w:rsidP="007C1E6F">
      <w:r>
        <w:rPr>
          <w:noProof/>
          <w:lang w:val="en-GB" w:eastAsia="en-GB"/>
        </w:rPr>
        <w:drawing>
          <wp:inline distT="0" distB="0" distL="0" distR="0" wp14:anchorId="75ADF45C" wp14:editId="351A3248">
            <wp:extent cx="4242816" cy="3628339"/>
            <wp:effectExtent l="0" t="0" r="5715" b="0"/>
            <wp:docPr id="18" name="Picture 18" descr="Percentage change from Baseline low density lipoprotein cholesterol by visit in efficacy pool 1 and pool 2 (intent to treat population)"/>
            <wp:cNvGraphicFramePr/>
            <a:graphic xmlns:a="http://schemas.openxmlformats.org/drawingml/2006/main">
              <a:graphicData uri="http://schemas.openxmlformats.org/drawingml/2006/picture">
                <pic:pic xmlns:pic="http://schemas.openxmlformats.org/drawingml/2006/picture">
                  <pic:nvPicPr>
                    <pic:cNvPr id="18" name="Picture 18" descr="Percentage change from Baseline low density lipoprotein cholesterol by visit in efficacy pool 1 and pool 2 (intent to treat population)"/>
                    <pic:cNvPicPr/>
                  </pic:nvPicPr>
                  <pic:blipFill rotWithShape="1">
                    <a:blip r:embed="rId46"/>
                    <a:srcRect r="2227" b="10046"/>
                    <a:stretch/>
                  </pic:blipFill>
                  <pic:spPr bwMode="auto">
                    <a:xfrm>
                      <a:off x="0" y="0"/>
                      <a:ext cx="4275230" cy="3656058"/>
                    </a:xfrm>
                    <a:prstGeom prst="rect">
                      <a:avLst/>
                    </a:prstGeom>
                    <a:ln>
                      <a:noFill/>
                    </a:ln>
                    <a:extLst>
                      <a:ext uri="{53640926-AAD7-44D8-BBD7-CCE9431645EC}">
                        <a14:shadowObscured xmlns:a14="http://schemas.microsoft.com/office/drawing/2010/main"/>
                      </a:ext>
                    </a:extLst>
                  </pic:spPr>
                </pic:pic>
              </a:graphicData>
            </a:graphic>
          </wp:inline>
        </w:drawing>
      </w:r>
    </w:p>
    <w:p w14:paraId="78EE483F" w14:textId="6D236FF6" w:rsidR="007C1E6F" w:rsidRDefault="007C1E6F" w:rsidP="007C1E6F">
      <w:r>
        <w:t xml:space="preserve">Ten subjects (0.6%) in the pivotal trials were identified as non-responders to </w:t>
      </w:r>
      <w:proofErr w:type="spellStart"/>
      <w:r>
        <w:t>inclisiran</w:t>
      </w:r>
      <w:proofErr w:type="spellEnd"/>
      <w:r>
        <w:t xml:space="preserve"> (defined as subjects with no reduction in LDL-C from Baseline at any point in the study). Nine of these subjects had a decrease in PCSK9 post-baseline, indicating that </w:t>
      </w:r>
      <w:proofErr w:type="spellStart"/>
      <w:r>
        <w:t>inclisiran</w:t>
      </w:r>
      <w:proofErr w:type="spellEnd"/>
      <w:r>
        <w:t xml:space="preserve"> was successful in reaching its target in the liver. One subject had only one PCSK9 measurement taken before withdrawing consent. Nine (0.5%), 22 (1.3%), and 38 (2.3%) </w:t>
      </w:r>
      <w:proofErr w:type="spellStart"/>
      <w:r>
        <w:t>inclisiran</w:t>
      </w:r>
      <w:proofErr w:type="spellEnd"/>
      <w:r>
        <w:t xml:space="preserve"> treated subjects in the pivotal studies did not experience a reduction in LDL-C from Baseline to end of study after administration of the second, third, and fourth dose, respectively. The sponsor’s hypothesis (supported by an exploratory analysis of statin plasma concentrations in </w:t>
      </w:r>
      <w:r w:rsidR="002C341B">
        <w:t xml:space="preserve">the </w:t>
      </w:r>
      <w:r>
        <w:t>ORION-10 trial) is that non-compliance with background lipid lowering therapy contributed to the non-responder rates.</w:t>
      </w:r>
    </w:p>
    <w:p w14:paraId="6856889A" w14:textId="46D1B625" w:rsidR="007C1E6F" w:rsidRDefault="007C1E6F" w:rsidP="007C1E6F">
      <w:r>
        <w:t>Approximately 30% of subjects in the Phase III studies had LDL-C &lt; 25</w:t>
      </w:r>
      <w:r w:rsidR="00B35FEB">
        <w:t xml:space="preserve"> </w:t>
      </w:r>
      <w:r>
        <w:t>mg/dL on at least one occasion, and 14% of subjects had LDL-C &lt; 25</w:t>
      </w:r>
      <w:r w:rsidR="00B35FEB">
        <w:t xml:space="preserve"> </w:t>
      </w:r>
      <w:r>
        <w:t>mg/dL on at two consecutive occasions. Diabetes mellitus, ASCVD, and baseline LDL-C ≤ 81 mg/dL were identified as associated factors in subjects who achieved LDL-C &lt; 25</w:t>
      </w:r>
      <w:r w:rsidR="00B35FEB">
        <w:t xml:space="preserve"> </w:t>
      </w:r>
      <w:r>
        <w:t xml:space="preserve">mg/dL with </w:t>
      </w:r>
      <w:proofErr w:type="spellStart"/>
      <w:r>
        <w:t>inclisiran</w:t>
      </w:r>
      <w:proofErr w:type="spellEnd"/>
      <w:r>
        <w:t xml:space="preserve"> treatment.</w:t>
      </w:r>
    </w:p>
    <w:p w14:paraId="750ED9B4" w14:textId="04F53E70" w:rsidR="007C1E6F" w:rsidRDefault="007C1E6F" w:rsidP="007C1E6F">
      <w:pPr>
        <w:pStyle w:val="Heading6"/>
      </w:pPr>
      <w:r>
        <w:t>ORION-3 trial</w:t>
      </w:r>
    </w:p>
    <w:p w14:paraId="55C2D569" w14:textId="61329B91" w:rsidR="007C1E6F" w:rsidRDefault="002C341B" w:rsidP="007C1E6F">
      <w:r>
        <w:t xml:space="preserve">The </w:t>
      </w:r>
      <w:r w:rsidR="007C1E6F">
        <w:t xml:space="preserve">ORION-3 trial is an ongoing, Phase II, open label, active comparator, long term (4 year) extension study to assess the effect of </w:t>
      </w:r>
      <w:proofErr w:type="gramStart"/>
      <w:r w:rsidR="007C1E6F">
        <w:t>long term</w:t>
      </w:r>
      <w:proofErr w:type="gramEnd"/>
      <w:r w:rsidR="007C1E6F">
        <w:t xml:space="preserve"> dosing of </w:t>
      </w:r>
      <w:proofErr w:type="spellStart"/>
      <w:r w:rsidR="007C1E6F">
        <w:t>inclisiran</w:t>
      </w:r>
      <w:proofErr w:type="spellEnd"/>
      <w:r w:rsidR="007C1E6F">
        <w:t xml:space="preserve"> and </w:t>
      </w:r>
      <w:proofErr w:type="spellStart"/>
      <w:r w:rsidR="007C1E6F">
        <w:t>evolocumab</w:t>
      </w:r>
      <w:proofErr w:type="spellEnd"/>
      <w:r w:rsidR="007C1E6F">
        <w:t xml:space="preserve"> in subjects with high CV risk and elevated LDL-C. </w:t>
      </w:r>
      <w:r>
        <w:t xml:space="preserve">The </w:t>
      </w:r>
      <w:r w:rsidR="007C1E6F">
        <w:t xml:space="preserve">ORION-3 trial enrolled subjects who completed </w:t>
      </w:r>
      <w:r>
        <w:t xml:space="preserve">the </w:t>
      </w:r>
      <w:r w:rsidR="007C1E6F">
        <w:t>ORION-1 trial.</w:t>
      </w:r>
    </w:p>
    <w:p w14:paraId="2E820346" w14:textId="3DBB768E" w:rsidR="007C1E6F" w:rsidRDefault="007C1E6F" w:rsidP="007C1E6F">
      <w:r>
        <w:t xml:space="preserve">The primary objective is to evaluate the effect of </w:t>
      </w:r>
      <w:proofErr w:type="spellStart"/>
      <w:r>
        <w:t>inclisiran</w:t>
      </w:r>
      <w:proofErr w:type="spellEnd"/>
      <w:r>
        <w:t xml:space="preserve"> treatment on LDL-C levels at Day 210 compared to baseline of ORION-1 trial in the </w:t>
      </w:r>
      <w:proofErr w:type="spellStart"/>
      <w:r>
        <w:t>inclisiran</w:t>
      </w:r>
      <w:proofErr w:type="spellEnd"/>
      <w:r>
        <w:t xml:space="preserve"> only arm. Secondary objectives (</w:t>
      </w:r>
      <w:proofErr w:type="spellStart"/>
      <w:r>
        <w:t>inclisiran</w:t>
      </w:r>
      <w:proofErr w:type="spellEnd"/>
      <w:r>
        <w:t xml:space="preserve"> only arm) include evaluation of the change in LDL-C over time, change in PCSK9 over time, change in other lipids, lipoproteins and apolipoproteins over time, proportion of subjects achieving target levels pre-specified in global lipid guidelines, proportion of subjects achieving at least 50% LDL-C reduction from Baseline of </w:t>
      </w:r>
      <w:r w:rsidR="002C341B">
        <w:t xml:space="preserve">the </w:t>
      </w:r>
      <w:r>
        <w:t xml:space="preserve">ORION-1 trial over time, individual responsiveness to </w:t>
      </w:r>
      <w:proofErr w:type="spellStart"/>
      <w:r>
        <w:t>inclisiran</w:t>
      </w:r>
      <w:proofErr w:type="spellEnd"/>
      <w:r>
        <w:t xml:space="preserve">, duration of lipid lowering effect), and the safety and tolerability of </w:t>
      </w:r>
      <w:proofErr w:type="spellStart"/>
      <w:r>
        <w:t>inclisiran</w:t>
      </w:r>
      <w:proofErr w:type="spellEnd"/>
      <w:r>
        <w:t xml:space="preserve">. Exploratory objectives include the </w:t>
      </w:r>
      <w:r>
        <w:lastRenderedPageBreak/>
        <w:t xml:space="preserve">evaluation of the efficacy and safety of concurrent administration of </w:t>
      </w:r>
      <w:proofErr w:type="spellStart"/>
      <w:r>
        <w:t>evolocumab</w:t>
      </w:r>
      <w:proofErr w:type="spellEnd"/>
      <w:r>
        <w:t xml:space="preserve"> and </w:t>
      </w:r>
      <w:proofErr w:type="spellStart"/>
      <w:r w:rsidR="00BC5A73">
        <w:t>inclisiran</w:t>
      </w:r>
      <w:proofErr w:type="spellEnd"/>
      <w:r w:rsidR="00BC5A73">
        <w:t xml:space="preserve"> and</w:t>
      </w:r>
      <w:r>
        <w:t xml:space="preserve"> transitioning from </w:t>
      </w:r>
      <w:proofErr w:type="spellStart"/>
      <w:r>
        <w:t>evolocumab</w:t>
      </w:r>
      <w:proofErr w:type="spellEnd"/>
      <w:r>
        <w:t xml:space="preserve"> to </w:t>
      </w:r>
      <w:proofErr w:type="spellStart"/>
      <w:r>
        <w:t>inclisiran</w:t>
      </w:r>
      <w:proofErr w:type="spellEnd"/>
      <w:r>
        <w:t>.</w:t>
      </w:r>
    </w:p>
    <w:p w14:paraId="4CC45E02" w14:textId="01008489" w:rsidR="007C1E6F" w:rsidRDefault="002C341B" w:rsidP="007C1E6F">
      <w:r>
        <w:t xml:space="preserve">The </w:t>
      </w:r>
      <w:r w:rsidR="007C1E6F">
        <w:t xml:space="preserve">ORION-3 trial enrolled subjects who completed ORION-1 trial to at least Day 210 and whose LDL-C had returned to within 20% of the baseline value or who reached Day 360 of </w:t>
      </w:r>
      <w:r>
        <w:t xml:space="preserve">the </w:t>
      </w:r>
      <w:r w:rsidR="007C1E6F">
        <w:t xml:space="preserve">ORION-1 trial with no contraindication to receiving </w:t>
      </w:r>
      <w:proofErr w:type="spellStart"/>
      <w:r w:rsidR="007C1E6F">
        <w:t>inclisiran</w:t>
      </w:r>
      <w:proofErr w:type="spellEnd"/>
      <w:r w:rsidR="007C1E6F">
        <w:t xml:space="preserve"> or </w:t>
      </w:r>
      <w:proofErr w:type="spellStart"/>
      <w:r w:rsidR="007C1E6F">
        <w:t>evolocumab</w:t>
      </w:r>
      <w:proofErr w:type="spellEnd"/>
      <w:r w:rsidR="007C1E6F">
        <w:t>. Subjects had ASCVD or ASCVD risk equivalent (for example, diabetes or FH) and elevated LDL-C despite maximum tolerated dose of LDL-C lowering therapies.</w:t>
      </w:r>
    </w:p>
    <w:p w14:paraId="24575ACE" w14:textId="40AEA3B0" w:rsidR="007C1E6F" w:rsidRDefault="007C1E6F" w:rsidP="007C1E6F">
      <w:r>
        <w:t xml:space="preserve">Subjects were allocated to treatment in </w:t>
      </w:r>
      <w:r w:rsidR="00043696">
        <w:t xml:space="preserve">the </w:t>
      </w:r>
      <w:r>
        <w:t xml:space="preserve">ORION-3 trial based on the treatment received in </w:t>
      </w:r>
      <w:r w:rsidR="00043696">
        <w:t xml:space="preserve">the </w:t>
      </w:r>
      <w:r>
        <w:t xml:space="preserve">ORION-1 trial. Subjects who received </w:t>
      </w:r>
      <w:proofErr w:type="spellStart"/>
      <w:r>
        <w:t>inclisiran</w:t>
      </w:r>
      <w:proofErr w:type="spellEnd"/>
      <w:r>
        <w:t xml:space="preserve"> in </w:t>
      </w:r>
      <w:r w:rsidR="00043696">
        <w:t xml:space="preserve">the </w:t>
      </w:r>
      <w:r>
        <w:t xml:space="preserve">ORION-1 trial continued to receive </w:t>
      </w:r>
      <w:proofErr w:type="spellStart"/>
      <w:r>
        <w:t>inclisiran</w:t>
      </w:r>
      <w:proofErr w:type="spellEnd"/>
      <w:r>
        <w:t xml:space="preserve"> in </w:t>
      </w:r>
      <w:r w:rsidR="00043696">
        <w:t xml:space="preserve">the </w:t>
      </w:r>
      <w:r>
        <w:t xml:space="preserve">ORION-3 trial (Group 1; </w:t>
      </w:r>
      <w:proofErr w:type="spellStart"/>
      <w:r>
        <w:t>inclisiran</w:t>
      </w:r>
      <w:proofErr w:type="spellEnd"/>
      <w:r>
        <w:t xml:space="preserve"> only arm). Subjects who received placebo in </w:t>
      </w:r>
      <w:r w:rsidR="00043696">
        <w:t xml:space="preserve">the </w:t>
      </w:r>
      <w:r>
        <w:t xml:space="preserve">ORION-1 trial received </w:t>
      </w:r>
      <w:proofErr w:type="spellStart"/>
      <w:r>
        <w:t>evolocumab</w:t>
      </w:r>
      <w:proofErr w:type="spellEnd"/>
      <w:r>
        <w:t xml:space="preserve"> 140 mg subcutaneous once every two weeks in </w:t>
      </w:r>
      <w:r w:rsidR="00043696">
        <w:t xml:space="preserve">the </w:t>
      </w:r>
      <w:r>
        <w:t xml:space="preserve">ORION-3 trial until Day 336 before transitioning to </w:t>
      </w:r>
      <w:proofErr w:type="spellStart"/>
      <w:r>
        <w:t>inclisiran</w:t>
      </w:r>
      <w:proofErr w:type="spellEnd"/>
      <w:r>
        <w:t xml:space="preserve"> for the remainder of the study (Group 2; switching arm).</w:t>
      </w:r>
    </w:p>
    <w:p w14:paraId="46434FC7" w14:textId="496EDB97" w:rsidR="007C1E6F" w:rsidRDefault="007C1E6F" w:rsidP="007C1E6F">
      <w:r>
        <w:t xml:space="preserve">Subjects in Group 1 received </w:t>
      </w:r>
      <w:proofErr w:type="spellStart"/>
      <w:r>
        <w:t>inclisiran</w:t>
      </w:r>
      <w:proofErr w:type="spellEnd"/>
      <w:r>
        <w:t xml:space="preserve"> sodium 300 mg </w:t>
      </w:r>
      <w:r w:rsidR="00DB1045">
        <w:t>subcutaneous</w:t>
      </w:r>
      <w:r>
        <w:t xml:space="preserve"> on Day 1 and then on Day</w:t>
      </w:r>
      <w:r w:rsidR="00961DEA">
        <w:t> </w:t>
      </w:r>
      <w:r>
        <w:t xml:space="preserve">180, </w:t>
      </w:r>
      <w:r w:rsidR="00043696">
        <w:t xml:space="preserve">Day </w:t>
      </w:r>
      <w:r>
        <w:t xml:space="preserve">360, </w:t>
      </w:r>
      <w:r w:rsidR="00043696">
        <w:t xml:space="preserve">Day </w:t>
      </w:r>
      <w:r>
        <w:t xml:space="preserve">540, </w:t>
      </w:r>
      <w:r w:rsidR="00043696">
        <w:t xml:space="preserve">Day </w:t>
      </w:r>
      <w:r>
        <w:t xml:space="preserve">720, </w:t>
      </w:r>
      <w:r w:rsidR="00043696">
        <w:t xml:space="preserve">Day </w:t>
      </w:r>
      <w:r>
        <w:t>810,</w:t>
      </w:r>
      <w:r w:rsidR="00DB1045">
        <w:rPr>
          <w:rStyle w:val="FootnoteReference"/>
        </w:rPr>
        <w:footnoteReference w:id="15"/>
      </w:r>
      <w:r>
        <w:t xml:space="preserve"> </w:t>
      </w:r>
      <w:r w:rsidR="00043696">
        <w:t xml:space="preserve">Day </w:t>
      </w:r>
      <w:r>
        <w:t xml:space="preserve">990, </w:t>
      </w:r>
      <w:r w:rsidR="00043696">
        <w:t xml:space="preserve">Day </w:t>
      </w:r>
      <w:r>
        <w:t xml:space="preserve">1170, and </w:t>
      </w:r>
      <w:r w:rsidR="00043696">
        <w:t xml:space="preserve">Day </w:t>
      </w:r>
      <w:r>
        <w:t xml:space="preserve">1350. Subjects in Group 2 received their first dose of </w:t>
      </w:r>
      <w:proofErr w:type="spellStart"/>
      <w:r>
        <w:t>evolocumab</w:t>
      </w:r>
      <w:proofErr w:type="spellEnd"/>
      <w:r>
        <w:t xml:space="preserve"> 140 mg </w:t>
      </w:r>
      <w:r w:rsidR="00DB1045">
        <w:t>subcutaneous</w:t>
      </w:r>
      <w:r>
        <w:t xml:space="preserve"> on Day 1 administered by the investigator, and then self-administered </w:t>
      </w:r>
      <w:proofErr w:type="spellStart"/>
      <w:r>
        <w:t>evolocumab</w:t>
      </w:r>
      <w:proofErr w:type="spellEnd"/>
      <w:r>
        <w:t xml:space="preserve"> 140 mg </w:t>
      </w:r>
      <w:r w:rsidR="00DB1045">
        <w:t>subcutaneous</w:t>
      </w:r>
      <w:r>
        <w:t xml:space="preserve"> </w:t>
      </w:r>
      <w:r w:rsidR="00DB1045">
        <w:t>once every two weeks</w:t>
      </w:r>
      <w:r>
        <w:t xml:space="preserve"> until Day 336. Two different transitions from </w:t>
      </w:r>
      <w:proofErr w:type="spellStart"/>
      <w:r>
        <w:t>evolocumab</w:t>
      </w:r>
      <w:proofErr w:type="spellEnd"/>
      <w:r>
        <w:t xml:space="preserve"> to </w:t>
      </w:r>
      <w:proofErr w:type="spellStart"/>
      <w:r>
        <w:t>inclisiran</w:t>
      </w:r>
      <w:proofErr w:type="spellEnd"/>
      <w:r>
        <w:t xml:space="preserve"> were evaluated. The staged transition group </w:t>
      </w:r>
      <w:r w:rsidRPr="00961DEA">
        <w:t>(Transition 1)</w:t>
      </w:r>
      <w:r>
        <w:t xml:space="preserve"> received only </w:t>
      </w:r>
      <w:proofErr w:type="spellStart"/>
      <w:r>
        <w:t>inclisiran</w:t>
      </w:r>
      <w:proofErr w:type="spellEnd"/>
      <w:r>
        <w:t xml:space="preserve"> on Day 360, whereas the concurrent transition group (Transition 2) received both </w:t>
      </w:r>
      <w:proofErr w:type="spellStart"/>
      <w:r>
        <w:t>evolocumab</w:t>
      </w:r>
      <w:proofErr w:type="spellEnd"/>
      <w:r>
        <w:t xml:space="preserve"> and </w:t>
      </w:r>
      <w:proofErr w:type="spellStart"/>
      <w:r>
        <w:t>inclisiran</w:t>
      </w:r>
      <w:proofErr w:type="spellEnd"/>
      <w:r>
        <w:t xml:space="preserve"> on Day 360. </w:t>
      </w:r>
      <w:proofErr w:type="spellStart"/>
      <w:r>
        <w:t>Inclisiran</w:t>
      </w:r>
      <w:proofErr w:type="spellEnd"/>
      <w:r>
        <w:t xml:space="preserve"> was subsequently administered on Day 450 and then every </w:t>
      </w:r>
      <w:r w:rsidR="00DB1045">
        <w:t>six</w:t>
      </w:r>
      <w:r>
        <w:t xml:space="preserve"> months (Days</w:t>
      </w:r>
      <w:r w:rsidR="00961DEA">
        <w:t> </w:t>
      </w:r>
      <w:r>
        <w:t>630, 810, 990, 1170, and 1350). The end of study visit was Day at 1440 (4 years).</w:t>
      </w:r>
    </w:p>
    <w:p w14:paraId="1F584EF3" w14:textId="0E87D1E7" w:rsidR="007C1E6F" w:rsidRDefault="007C1E6F" w:rsidP="007C1E6F">
      <w:r>
        <w:t xml:space="preserve">Of the 382 subjects who consented to participate in </w:t>
      </w:r>
      <w:r w:rsidR="00043696">
        <w:t xml:space="preserve">the </w:t>
      </w:r>
      <w:r>
        <w:t>ORION-3</w:t>
      </w:r>
      <w:r w:rsidR="00DB1045">
        <w:t xml:space="preserve"> trial</w:t>
      </w:r>
      <w:r>
        <w:t>:</w:t>
      </w:r>
    </w:p>
    <w:p w14:paraId="19D988F6" w14:textId="26B55097" w:rsidR="007C1E6F" w:rsidRDefault="007C1E6F" w:rsidP="00DB1045">
      <w:pPr>
        <w:pStyle w:val="ListBullet"/>
      </w:pPr>
      <w:r>
        <w:t xml:space="preserve">290 had received </w:t>
      </w:r>
      <w:proofErr w:type="spellStart"/>
      <w:r>
        <w:t>inclisiran</w:t>
      </w:r>
      <w:proofErr w:type="spellEnd"/>
      <w:r>
        <w:t xml:space="preserve"> in </w:t>
      </w:r>
      <w:r w:rsidR="00043696">
        <w:t xml:space="preserve">the </w:t>
      </w:r>
      <w:r>
        <w:t>ORION-1</w:t>
      </w:r>
      <w:r w:rsidR="00DB1045">
        <w:t xml:space="preserve"> trial</w:t>
      </w:r>
      <w:r>
        <w:t xml:space="preserve">, so received only </w:t>
      </w:r>
      <w:proofErr w:type="spellStart"/>
      <w:r>
        <w:t>inclisiran</w:t>
      </w:r>
      <w:proofErr w:type="spellEnd"/>
      <w:r>
        <w:t xml:space="preserve"> in </w:t>
      </w:r>
      <w:r w:rsidR="00043696">
        <w:t xml:space="preserve">the </w:t>
      </w:r>
      <w:r>
        <w:t xml:space="preserve">ORION-3 </w:t>
      </w:r>
      <w:r w:rsidR="00DB1045">
        <w:t xml:space="preserve">trial </w:t>
      </w:r>
      <w:r>
        <w:t>(Group 1)</w:t>
      </w:r>
    </w:p>
    <w:p w14:paraId="49680030" w14:textId="6D8539F8" w:rsidR="007C1E6F" w:rsidRDefault="007C1E6F" w:rsidP="00DB1045">
      <w:pPr>
        <w:pStyle w:val="ListBullet"/>
      </w:pPr>
      <w:r>
        <w:t xml:space="preserve">92 had received placebo in </w:t>
      </w:r>
      <w:r w:rsidR="00043696">
        <w:t xml:space="preserve">the </w:t>
      </w:r>
      <w:r>
        <w:t>ORION-1</w:t>
      </w:r>
      <w:r w:rsidR="00DB1045">
        <w:t xml:space="preserve"> trial</w:t>
      </w:r>
      <w:r>
        <w:t xml:space="preserve">, so received </w:t>
      </w:r>
      <w:proofErr w:type="spellStart"/>
      <w:r>
        <w:t>evolocumab</w:t>
      </w:r>
      <w:proofErr w:type="spellEnd"/>
      <w:r>
        <w:t xml:space="preserve"> followed by </w:t>
      </w:r>
      <w:proofErr w:type="spellStart"/>
      <w:r>
        <w:t>inclisiran</w:t>
      </w:r>
      <w:proofErr w:type="spellEnd"/>
      <w:r>
        <w:t xml:space="preserve"> in </w:t>
      </w:r>
      <w:r w:rsidR="00043696">
        <w:t xml:space="preserve">the </w:t>
      </w:r>
      <w:r>
        <w:t>ORION-3</w:t>
      </w:r>
      <w:r w:rsidR="00DB1045">
        <w:t xml:space="preserve"> trial</w:t>
      </w:r>
      <w:r>
        <w:t xml:space="preserve"> (Group 2).</w:t>
      </w:r>
    </w:p>
    <w:p w14:paraId="35DBFB78" w14:textId="421BFC39" w:rsidR="007C1E6F" w:rsidRDefault="007C1E6F" w:rsidP="007C1E6F">
      <w:r>
        <w:t>In Group 1, 65.3% of subjects were male and the mean age was 63.2 years. 73.4% of subjects had mild or moderate renal impairment, 23.3% had diabetes mellitus, and 65.9% had hypertension. In Group 2, 63.1% of subjects were male and the mean age was 62.1 years. 71.4% of subjects had mild or moderate renal impairment, 20.5% had diabetes mellitus, and 70.2% had hypertension.</w:t>
      </w:r>
    </w:p>
    <w:p w14:paraId="534AEFC0" w14:textId="3CEB1A7B" w:rsidR="007C1E6F" w:rsidRDefault="007C1E6F" w:rsidP="007C1E6F">
      <w:r>
        <w:t xml:space="preserve">This application presented data up to the 8 May 2019 data </w:t>
      </w:r>
      <w:r w:rsidR="00043696">
        <w:t>cut-off</w:t>
      </w:r>
      <w:r>
        <w:t xml:space="preserve"> </w:t>
      </w:r>
      <w:proofErr w:type="gramStart"/>
      <w:r>
        <w:t>date, when</w:t>
      </w:r>
      <w:proofErr w:type="gramEnd"/>
      <w:r>
        <w:t xml:space="preserve"> the last subject completed the Day 450 visit. Efficacy data are presented up to Day 630. </w:t>
      </w:r>
      <w:proofErr w:type="gramStart"/>
      <w:r>
        <w:t>The majority of</w:t>
      </w:r>
      <w:proofErr w:type="gramEnd"/>
      <w:r>
        <w:t xml:space="preserve"> subjects (85.6%) in the </w:t>
      </w:r>
      <w:proofErr w:type="spellStart"/>
      <w:r>
        <w:t>inclisiran</w:t>
      </w:r>
      <w:proofErr w:type="spellEnd"/>
      <w:r w:rsidR="00DB1045">
        <w:t xml:space="preserve"> </w:t>
      </w:r>
      <w:r>
        <w:t xml:space="preserve">only arm had received </w:t>
      </w:r>
      <w:r w:rsidR="00DB1045">
        <w:t>four</w:t>
      </w:r>
      <w:r>
        <w:t xml:space="preserve"> administrations of </w:t>
      </w:r>
      <w:proofErr w:type="spellStart"/>
      <w:r>
        <w:t>inclisiran</w:t>
      </w:r>
      <w:proofErr w:type="spellEnd"/>
      <w:r>
        <w:t xml:space="preserve"> in </w:t>
      </w:r>
      <w:r w:rsidR="00043696">
        <w:t xml:space="preserve">the </w:t>
      </w:r>
      <w:r>
        <w:t>ORION-3</w:t>
      </w:r>
      <w:r w:rsidR="00DB1045">
        <w:t xml:space="preserve"> trial</w:t>
      </w:r>
      <w:r>
        <w:t>. The mean duration on study was 584 days.</w:t>
      </w:r>
    </w:p>
    <w:p w14:paraId="7CDC8BB0" w14:textId="06834E8A" w:rsidR="007C1E6F" w:rsidRDefault="007C1E6F" w:rsidP="007C1E6F">
      <w:r>
        <w:t xml:space="preserve">The primary efficacy endpoint (percentage change in LDL-C from </w:t>
      </w:r>
      <w:r w:rsidR="00DB1045">
        <w:t>B</w:t>
      </w:r>
      <w:r>
        <w:t xml:space="preserve">aseline in </w:t>
      </w:r>
      <w:r w:rsidR="00043696">
        <w:t xml:space="preserve">the </w:t>
      </w:r>
      <w:r>
        <w:t xml:space="preserve">ORION-1 </w:t>
      </w:r>
      <w:r w:rsidR="00DB1045">
        <w:t xml:space="preserve">trial </w:t>
      </w:r>
      <w:r>
        <w:t xml:space="preserve">to Day 210 in </w:t>
      </w:r>
      <w:r w:rsidR="00043696">
        <w:t xml:space="preserve">the </w:t>
      </w:r>
      <w:r>
        <w:t>ORION-3</w:t>
      </w:r>
      <w:r w:rsidR="00DB1045">
        <w:t xml:space="preserve"> trial</w:t>
      </w:r>
      <w:r>
        <w:t xml:space="preserve">; </w:t>
      </w:r>
      <w:proofErr w:type="spellStart"/>
      <w:r>
        <w:t>inclisiran</w:t>
      </w:r>
      <w:proofErr w:type="spellEnd"/>
      <w:r w:rsidR="00DB1045">
        <w:t xml:space="preserve"> </w:t>
      </w:r>
      <w:r>
        <w:t>only arm) was -</w:t>
      </w:r>
      <w:r w:rsidR="00583273">
        <w:t xml:space="preserve"> </w:t>
      </w:r>
      <w:r>
        <w:t>50.6% (p</w:t>
      </w:r>
      <w:r w:rsidR="00DB1045">
        <w:t xml:space="preserve"> </w:t>
      </w:r>
      <w:r>
        <w:t>&lt;</w:t>
      </w:r>
      <w:r w:rsidR="00DB1045">
        <w:t> </w:t>
      </w:r>
      <w:r>
        <w:t xml:space="preserve">0.0001). The response in LDL-C to </w:t>
      </w:r>
      <w:r w:rsidR="00DB1045">
        <w:t xml:space="preserve">six </w:t>
      </w:r>
      <w:r>
        <w:t xml:space="preserve">monthly </w:t>
      </w:r>
      <w:proofErr w:type="spellStart"/>
      <w:r>
        <w:t>inclisiran</w:t>
      </w:r>
      <w:proofErr w:type="spellEnd"/>
      <w:r>
        <w:t xml:space="preserve"> was maintained out to Day 630 (</w:t>
      </w:r>
      <w:r w:rsidR="00DB1045">
        <w:rPr>
          <w:highlight w:val="yellow"/>
        </w:rPr>
        <w:fldChar w:fldCharType="begin"/>
      </w:r>
      <w:r w:rsidR="00DB1045">
        <w:instrText xml:space="preserve"> REF _Ref97543569 \h </w:instrText>
      </w:r>
      <w:r w:rsidR="00DB1045">
        <w:rPr>
          <w:highlight w:val="yellow"/>
        </w:rPr>
      </w:r>
      <w:r w:rsidR="00DB1045">
        <w:rPr>
          <w:highlight w:val="yellow"/>
        </w:rPr>
        <w:fldChar w:fldCharType="separate"/>
      </w:r>
      <w:r w:rsidR="002C4E0E" w:rsidRPr="00DB1045">
        <w:t xml:space="preserve">Figure </w:t>
      </w:r>
      <w:r w:rsidR="002C4E0E">
        <w:rPr>
          <w:noProof/>
        </w:rPr>
        <w:t>15</w:t>
      </w:r>
      <w:r w:rsidR="00DB1045">
        <w:rPr>
          <w:highlight w:val="yellow"/>
        </w:rPr>
        <w:fldChar w:fldCharType="end"/>
      </w:r>
      <w:r>
        <w:t xml:space="preserve">). Reductions in PCSK9, </w:t>
      </w:r>
      <w:proofErr w:type="spellStart"/>
      <w:r>
        <w:t>ApoB</w:t>
      </w:r>
      <w:proofErr w:type="spellEnd"/>
      <w:r>
        <w:t>, non-HDL-C, and TC were also maintained. 79% of subjects in Group 1 had ≥</w:t>
      </w:r>
      <w:r w:rsidR="00DB1045">
        <w:t> </w:t>
      </w:r>
      <w:r>
        <w:t xml:space="preserve">50% reduction in LDL-C from </w:t>
      </w:r>
      <w:r w:rsidR="00DB1045">
        <w:t>B</w:t>
      </w:r>
      <w:r>
        <w:t>aseline of ORION-1</w:t>
      </w:r>
      <w:r w:rsidR="00DB1045">
        <w:t xml:space="preserve"> trial</w:t>
      </w:r>
      <w:r>
        <w:t xml:space="preserve"> at any time point during the study. 90.8% of subjects achieved an LDL-C level of &lt;</w:t>
      </w:r>
      <w:r w:rsidR="00DB1045">
        <w:t> </w:t>
      </w:r>
      <w:r>
        <w:t>100 mg/dL (&lt;</w:t>
      </w:r>
      <w:r w:rsidR="00043696">
        <w:t> </w:t>
      </w:r>
      <w:r>
        <w:t>2.6</w:t>
      </w:r>
      <w:r w:rsidR="00043696">
        <w:t> </w:t>
      </w:r>
      <w:r>
        <w:t>mmol/L) at any time point during the study, and 77.1% achieved an LDL-C level of less than 70 mg/dL (&lt;</w:t>
      </w:r>
      <w:r w:rsidR="00DB1045">
        <w:t> </w:t>
      </w:r>
      <w:r>
        <w:t>1.8 mmol/L) at any time point during the study. 57.7% of subjects achieved an LDL-C level of &lt;</w:t>
      </w:r>
      <w:r w:rsidR="00DB1045">
        <w:t> </w:t>
      </w:r>
      <w:r>
        <w:t>50 mg/dL (&lt;</w:t>
      </w:r>
      <w:r w:rsidR="00DB1045">
        <w:t> </w:t>
      </w:r>
      <w:r>
        <w:t>1.3 mmol/L), and 26.8% of subjects achieved an LDL-C level of &lt;</w:t>
      </w:r>
      <w:r w:rsidR="00DB1045">
        <w:t> </w:t>
      </w:r>
      <w:r>
        <w:t>25</w:t>
      </w:r>
      <w:r w:rsidR="00DB1045">
        <w:t> </w:t>
      </w:r>
      <w:r>
        <w:t>mg/dL (&lt;</w:t>
      </w:r>
      <w:r w:rsidR="00DB1045">
        <w:t> </w:t>
      </w:r>
      <w:r>
        <w:t>0.6 mmol/L) at any time point in the study.</w:t>
      </w:r>
    </w:p>
    <w:p w14:paraId="33E7D134" w14:textId="41EC0DC3" w:rsidR="007C1E6F" w:rsidRDefault="007C1E6F" w:rsidP="007C1E6F">
      <w:r>
        <w:lastRenderedPageBreak/>
        <w:t xml:space="preserve">All efficacy analyses in Group 2 (switching arm) are exploratory. Subjects who transitioned from </w:t>
      </w:r>
      <w:proofErr w:type="spellStart"/>
      <w:r>
        <w:t>evolocumab</w:t>
      </w:r>
      <w:proofErr w:type="spellEnd"/>
      <w:r>
        <w:t xml:space="preserve"> to </w:t>
      </w:r>
      <w:proofErr w:type="spellStart"/>
      <w:r>
        <w:t>inclisiran</w:t>
      </w:r>
      <w:proofErr w:type="spellEnd"/>
      <w:r>
        <w:t xml:space="preserve"> concurrently (Transition 2) experienced a greater percentage reduction in LDL-C at 30 days after switching compared to those who had a staged transition (Transition 1), but no meaningful difference between the two transition strategies was seen at Day 450 (90 days after switching) and beyond (</w:t>
      </w:r>
      <w:r w:rsidR="00583273">
        <w:rPr>
          <w:highlight w:val="yellow"/>
        </w:rPr>
        <w:fldChar w:fldCharType="begin"/>
      </w:r>
      <w:r w:rsidR="00583273">
        <w:instrText xml:space="preserve"> REF _Ref97810594 \h </w:instrText>
      </w:r>
      <w:r w:rsidR="00583273">
        <w:rPr>
          <w:highlight w:val="yellow"/>
        </w:rPr>
      </w:r>
      <w:r w:rsidR="00583273">
        <w:rPr>
          <w:highlight w:val="yellow"/>
        </w:rPr>
        <w:fldChar w:fldCharType="separate"/>
      </w:r>
      <w:r w:rsidR="002C4E0E" w:rsidRPr="00DB1045">
        <w:t xml:space="preserve">Table </w:t>
      </w:r>
      <w:r w:rsidR="002C4E0E">
        <w:rPr>
          <w:noProof/>
        </w:rPr>
        <w:t>16</w:t>
      </w:r>
      <w:r w:rsidR="00583273">
        <w:rPr>
          <w:highlight w:val="yellow"/>
        </w:rPr>
        <w:fldChar w:fldCharType="end"/>
      </w:r>
      <w:r>
        <w:t xml:space="preserve">). After doses of </w:t>
      </w:r>
      <w:proofErr w:type="spellStart"/>
      <w:r>
        <w:t>inclisiran</w:t>
      </w:r>
      <w:proofErr w:type="spellEnd"/>
      <w:r>
        <w:t xml:space="preserve"> at Days 360 and 450, the percentage change in PCSK9 levels at Day 510 was -</w:t>
      </w:r>
      <w:r w:rsidR="00965EC9">
        <w:t xml:space="preserve"> </w:t>
      </w:r>
      <w:r>
        <w:t xml:space="preserve">73.2% for </w:t>
      </w:r>
      <w:r w:rsidR="00DB1045">
        <w:t>T</w:t>
      </w:r>
      <w:r>
        <w:t>ransition 1 and -</w:t>
      </w:r>
      <w:r w:rsidR="00965EC9">
        <w:t xml:space="preserve"> </w:t>
      </w:r>
      <w:r>
        <w:t xml:space="preserve">75.2% for </w:t>
      </w:r>
      <w:r w:rsidR="00DB1045">
        <w:t>T</w:t>
      </w:r>
      <w:r>
        <w:t>ransition 2.</w:t>
      </w:r>
    </w:p>
    <w:p w14:paraId="5F5191E1" w14:textId="728FD875" w:rsidR="007C1E6F" w:rsidRDefault="007C1E6F" w:rsidP="007C1E6F">
      <w:r>
        <w:t xml:space="preserve">During the </w:t>
      </w:r>
      <w:proofErr w:type="spellStart"/>
      <w:r>
        <w:t>evolocumab</w:t>
      </w:r>
      <w:proofErr w:type="spellEnd"/>
      <w:r>
        <w:t xml:space="preserve"> treatment phase in Group 2, 89% of subjects had a ≥</w:t>
      </w:r>
      <w:r w:rsidR="00DB1045">
        <w:t> </w:t>
      </w:r>
      <w:r>
        <w:t xml:space="preserve">50% reduction in LDL-C from </w:t>
      </w:r>
      <w:r w:rsidR="00DB1045">
        <w:t>B</w:t>
      </w:r>
      <w:r>
        <w:t>aseline of ORION-3</w:t>
      </w:r>
      <w:r w:rsidR="00DB1045">
        <w:t xml:space="preserve"> trial</w:t>
      </w:r>
      <w:r>
        <w:t xml:space="preserve"> at any time point. At Day 360, 53.7% of subjects had ≥</w:t>
      </w:r>
      <w:r w:rsidR="00DB1045">
        <w:t> </w:t>
      </w:r>
      <w:r>
        <w:t xml:space="preserve">50% reduction in LDL-C from </w:t>
      </w:r>
      <w:r w:rsidR="00DB1045">
        <w:t>B</w:t>
      </w:r>
      <w:r>
        <w:t xml:space="preserve">aseline. After switching to </w:t>
      </w:r>
      <w:proofErr w:type="spellStart"/>
      <w:r>
        <w:t>inclisiran</w:t>
      </w:r>
      <w:proofErr w:type="spellEnd"/>
      <w:r>
        <w:t xml:space="preserve"> treatment, 79.7% of subjects for </w:t>
      </w:r>
      <w:r w:rsidR="00DB1045">
        <w:t>T</w:t>
      </w:r>
      <w:r>
        <w:t xml:space="preserve">ransition 1 and 88.9% of subjects for </w:t>
      </w:r>
      <w:r w:rsidR="00DB1045">
        <w:t>T</w:t>
      </w:r>
      <w:r>
        <w:t>ransition 2 had a ≥</w:t>
      </w:r>
      <w:r w:rsidR="00DB1045">
        <w:t> </w:t>
      </w:r>
      <w:r>
        <w:t xml:space="preserve">50% reduction in LDL-C from </w:t>
      </w:r>
      <w:r w:rsidR="00DB1045">
        <w:t>B</w:t>
      </w:r>
      <w:r>
        <w:t xml:space="preserve">aseline of </w:t>
      </w:r>
      <w:r w:rsidR="00043696">
        <w:t xml:space="preserve">the </w:t>
      </w:r>
      <w:r>
        <w:t>ORION-3</w:t>
      </w:r>
      <w:r w:rsidR="00DB1045">
        <w:t xml:space="preserve"> trial</w:t>
      </w:r>
      <w:r>
        <w:t xml:space="preserve"> at any time point. </w:t>
      </w:r>
      <w:proofErr w:type="spellStart"/>
      <w:r>
        <w:t>Inclisiran</w:t>
      </w:r>
      <w:proofErr w:type="spellEnd"/>
      <w:r>
        <w:t xml:space="preserve"> was administered on Day 360 and Day 450, so outcomes for </w:t>
      </w:r>
      <w:r w:rsidR="00DB1045">
        <w:t xml:space="preserve">six </w:t>
      </w:r>
      <w:r>
        <w:t xml:space="preserve">monthly maintenance treatment with </w:t>
      </w:r>
      <w:proofErr w:type="spellStart"/>
      <w:r>
        <w:t>inclisiran</w:t>
      </w:r>
      <w:proofErr w:type="spellEnd"/>
      <w:r>
        <w:t xml:space="preserve"> in Group 2 were not available in this interim dataset.</w:t>
      </w:r>
    </w:p>
    <w:p w14:paraId="652F8A5D" w14:textId="0A2088DD" w:rsidR="007C1E6F" w:rsidRDefault="00DB1045" w:rsidP="00DB1045">
      <w:pPr>
        <w:pStyle w:val="FigureTitle"/>
        <w:rPr>
          <w:lang w:eastAsia="en-CA"/>
        </w:rPr>
      </w:pPr>
      <w:bookmarkStart w:id="69" w:name="_Ref97543569"/>
      <w:r w:rsidRPr="00DB1045">
        <w:t xml:space="preserve">Figure </w:t>
      </w:r>
      <w:r>
        <w:fldChar w:fldCharType="begin"/>
      </w:r>
      <w:r>
        <w:instrText>SEQ Figure \* ARABIC</w:instrText>
      </w:r>
      <w:r>
        <w:fldChar w:fldCharType="separate"/>
      </w:r>
      <w:r w:rsidR="002C4E0E">
        <w:rPr>
          <w:noProof/>
        </w:rPr>
        <w:t>15</w:t>
      </w:r>
      <w:r>
        <w:fldChar w:fldCharType="end"/>
      </w:r>
      <w:bookmarkEnd w:id="69"/>
      <w:r>
        <w:t>: ORION-3 trial</w:t>
      </w:r>
      <w:r w:rsidR="00043696">
        <w:t>,</w:t>
      </w:r>
      <w:r>
        <w:t xml:space="preserve"> </w:t>
      </w:r>
      <w:r>
        <w:rPr>
          <w:lang w:eastAsia="en-CA"/>
        </w:rPr>
        <w:t xml:space="preserve">Percent change from Baseline </w:t>
      </w:r>
      <w:r w:rsidRPr="00DB1045">
        <w:t xml:space="preserve">low density lipoprotein cholesterol </w:t>
      </w:r>
      <w:r>
        <w:rPr>
          <w:lang w:eastAsia="en-CA"/>
        </w:rPr>
        <w:t>(calculated) by visit to Day 630, Group 1 (</w:t>
      </w:r>
      <w:proofErr w:type="spellStart"/>
      <w:r>
        <w:rPr>
          <w:lang w:eastAsia="en-CA"/>
        </w:rPr>
        <w:t>inclisiran</w:t>
      </w:r>
      <w:proofErr w:type="spellEnd"/>
      <w:r>
        <w:rPr>
          <w:lang w:eastAsia="en-CA"/>
        </w:rPr>
        <w:t>-only arm) (modified intent to treat population)</w:t>
      </w:r>
    </w:p>
    <w:p w14:paraId="183B826A" w14:textId="77777777" w:rsidR="00DB1045" w:rsidRDefault="00DB1045" w:rsidP="00DB1045">
      <w:pPr>
        <w:pStyle w:val="Caption"/>
      </w:pPr>
      <w:r>
        <w:rPr>
          <w:noProof/>
          <w:lang w:val="en-GB" w:eastAsia="en-GB"/>
        </w:rPr>
        <w:drawing>
          <wp:inline distT="0" distB="0" distL="0" distR="0" wp14:anchorId="732D3216" wp14:editId="1B003A90">
            <wp:extent cx="4861560" cy="2991485"/>
            <wp:effectExtent l="0" t="0" r="0" b="0"/>
            <wp:docPr id="116" name="Picture 116" descr="ORION-3 trial Percent change from Baseline low density lipoprotein cholesterol (calculated) by visit to Day 630, Group 1 (inclisiran-only arm) (modified intent to treat population)"/>
            <wp:cNvGraphicFramePr/>
            <a:graphic xmlns:a="http://schemas.openxmlformats.org/drawingml/2006/main">
              <a:graphicData uri="http://schemas.openxmlformats.org/drawingml/2006/picture">
                <pic:pic xmlns:pic="http://schemas.openxmlformats.org/drawingml/2006/picture">
                  <pic:nvPicPr>
                    <pic:cNvPr id="116" name="Picture 116" descr="ORION-3 trial Percent change from Baseline low density lipoprotein cholesterol (calculated) by visit to Day 630, Group 1 (inclisiran-only arm) (modified intent to treat population)"/>
                    <pic:cNvPicPr/>
                  </pic:nvPicPr>
                  <pic:blipFill>
                    <a:blip r:embed="rId47"/>
                    <a:stretch>
                      <a:fillRect/>
                    </a:stretch>
                  </pic:blipFill>
                  <pic:spPr>
                    <a:xfrm>
                      <a:off x="0" y="0"/>
                      <a:ext cx="4861560" cy="2991485"/>
                    </a:xfrm>
                    <a:prstGeom prst="rect">
                      <a:avLst/>
                    </a:prstGeom>
                  </pic:spPr>
                </pic:pic>
              </a:graphicData>
            </a:graphic>
          </wp:inline>
        </w:drawing>
      </w:r>
    </w:p>
    <w:p w14:paraId="4CF8FAD7" w14:textId="38C52AAE" w:rsidR="00DB1045" w:rsidRDefault="00DB1045" w:rsidP="00DB1045">
      <w:pPr>
        <w:pStyle w:val="TableTitle"/>
        <w:rPr>
          <w:lang w:eastAsia="en-CA"/>
        </w:rPr>
      </w:pPr>
      <w:bookmarkStart w:id="70" w:name="_Ref97810594"/>
      <w:r w:rsidRPr="00DB1045">
        <w:t xml:space="preserve">Table </w:t>
      </w:r>
      <w:r>
        <w:fldChar w:fldCharType="begin"/>
      </w:r>
      <w:r>
        <w:instrText>SEQ Table \* ARABIC</w:instrText>
      </w:r>
      <w:r>
        <w:fldChar w:fldCharType="separate"/>
      </w:r>
      <w:r w:rsidR="002C4E0E">
        <w:rPr>
          <w:noProof/>
        </w:rPr>
        <w:t>16</w:t>
      </w:r>
      <w:r>
        <w:fldChar w:fldCharType="end"/>
      </w:r>
      <w:bookmarkEnd w:id="70"/>
      <w:r>
        <w:t>: O</w:t>
      </w:r>
      <w:r w:rsidR="00583273">
        <w:t>RION</w:t>
      </w:r>
      <w:r>
        <w:t>-3 trial</w:t>
      </w:r>
      <w:r w:rsidR="006255F8">
        <w:t>,</w:t>
      </w:r>
      <w:r>
        <w:t xml:space="preserve"> </w:t>
      </w:r>
      <w:r>
        <w:rPr>
          <w:lang w:eastAsia="en-CA"/>
        </w:rPr>
        <w:t xml:space="preserve">Percentage change in </w:t>
      </w:r>
      <w:r w:rsidRPr="00DB1045">
        <w:t>low density lipoprotein cholesterol</w:t>
      </w:r>
      <w:r>
        <w:rPr>
          <w:lang w:eastAsia="en-CA"/>
        </w:rPr>
        <w:t xml:space="preserve"> at Day 360 (</w:t>
      </w:r>
      <w:proofErr w:type="spellStart"/>
      <w:r>
        <w:rPr>
          <w:lang w:eastAsia="en-CA"/>
        </w:rPr>
        <w:t>evolocumab</w:t>
      </w:r>
      <w:proofErr w:type="spellEnd"/>
      <w:r>
        <w:rPr>
          <w:lang w:eastAsia="en-CA"/>
        </w:rPr>
        <w:t xml:space="preserve">) and after transition to treatment with </w:t>
      </w:r>
      <w:proofErr w:type="spellStart"/>
      <w:r>
        <w:rPr>
          <w:lang w:eastAsia="en-CA"/>
        </w:rPr>
        <w:t>inclisiran</w:t>
      </w:r>
      <w:proofErr w:type="spellEnd"/>
      <w:r>
        <w:rPr>
          <w:lang w:eastAsia="en-CA"/>
        </w:rPr>
        <w:t>, Group 2 (switching arm)</w:t>
      </w:r>
    </w:p>
    <w:p w14:paraId="084177FC" w14:textId="4D6B6C49" w:rsidR="00DB1045" w:rsidRDefault="00DB1045" w:rsidP="00DB1045">
      <w:pPr>
        <w:rPr>
          <w:lang w:eastAsia="en-CA"/>
        </w:rPr>
      </w:pPr>
      <w:r>
        <w:rPr>
          <w:noProof/>
          <w:lang w:val="en-GB" w:eastAsia="en-GB"/>
        </w:rPr>
        <w:drawing>
          <wp:inline distT="0" distB="0" distL="0" distR="0" wp14:anchorId="78537E99" wp14:editId="5EFA9501">
            <wp:extent cx="5171440" cy="1250900"/>
            <wp:effectExtent l="0" t="0" r="0" b="6985"/>
            <wp:docPr id="27" name="Picture 27" descr="ORION-3 trial Percentage change in low density lipoprotein cholesterol at Day 360 (evolocumab) and after transition to treatment with inclisiran, Group 2 (switching arm)"/>
            <wp:cNvGraphicFramePr/>
            <a:graphic xmlns:a="http://schemas.openxmlformats.org/drawingml/2006/main">
              <a:graphicData uri="http://schemas.openxmlformats.org/drawingml/2006/picture">
                <pic:pic xmlns:pic="http://schemas.openxmlformats.org/drawingml/2006/picture">
                  <pic:nvPicPr>
                    <pic:cNvPr id="27" name="Picture 27" descr="ORION-3 trial Percentage change in low density lipoprotein cholesterol at Day 360 (evolocumab) and after transition to treatment with inclisiran, Group 2 (switching arm)"/>
                    <pic:cNvPicPr/>
                  </pic:nvPicPr>
                  <pic:blipFill rotWithShape="1">
                    <a:blip r:embed="rId48"/>
                    <a:srcRect b="26604"/>
                    <a:stretch/>
                  </pic:blipFill>
                  <pic:spPr bwMode="auto">
                    <a:xfrm>
                      <a:off x="0" y="0"/>
                      <a:ext cx="5189356" cy="1255234"/>
                    </a:xfrm>
                    <a:prstGeom prst="rect">
                      <a:avLst/>
                    </a:prstGeom>
                    <a:ln>
                      <a:noFill/>
                    </a:ln>
                    <a:extLst>
                      <a:ext uri="{53640926-AAD7-44D8-BBD7-CCE9431645EC}">
                        <a14:shadowObscured xmlns:a14="http://schemas.microsoft.com/office/drawing/2010/main"/>
                      </a:ext>
                    </a:extLst>
                  </pic:spPr>
                </pic:pic>
              </a:graphicData>
            </a:graphic>
          </wp:inline>
        </w:drawing>
      </w:r>
    </w:p>
    <w:p w14:paraId="2D2602B0" w14:textId="683E12F2" w:rsidR="002642F4" w:rsidRDefault="002642F4" w:rsidP="002642F4">
      <w:pPr>
        <w:pStyle w:val="TableDescription"/>
        <w:rPr>
          <w:lang w:eastAsia="en-CA"/>
        </w:rPr>
      </w:pPr>
      <w:r>
        <w:rPr>
          <w:lang w:eastAsia="en-CA"/>
        </w:rPr>
        <w:t xml:space="preserve">* Transition 1: Day 336 was the final dose of </w:t>
      </w:r>
      <w:proofErr w:type="spellStart"/>
      <w:r>
        <w:rPr>
          <w:lang w:eastAsia="en-CA"/>
        </w:rPr>
        <w:t>evolocumab</w:t>
      </w:r>
      <w:proofErr w:type="spellEnd"/>
      <w:r>
        <w:rPr>
          <w:lang w:eastAsia="en-CA"/>
        </w:rPr>
        <w:t xml:space="preserve"> therapy and the first dose of </w:t>
      </w:r>
      <w:proofErr w:type="spellStart"/>
      <w:r>
        <w:rPr>
          <w:lang w:eastAsia="en-CA"/>
        </w:rPr>
        <w:t>inclisiran</w:t>
      </w:r>
      <w:proofErr w:type="spellEnd"/>
      <w:r>
        <w:rPr>
          <w:lang w:eastAsia="en-CA"/>
        </w:rPr>
        <w:t xml:space="preserve"> was administered at the Day 360 visit</w:t>
      </w:r>
    </w:p>
    <w:p w14:paraId="1BBDC3C8" w14:textId="33FA201E" w:rsidR="002642F4" w:rsidRDefault="002642F4" w:rsidP="002642F4">
      <w:pPr>
        <w:pStyle w:val="TableDescription"/>
        <w:rPr>
          <w:lang w:eastAsia="en-CA"/>
        </w:rPr>
      </w:pPr>
      <w:r>
        <w:rPr>
          <w:lang w:eastAsia="en-CA"/>
        </w:rPr>
        <w:t xml:space="preserve">** Transition 2: Day 336 was the final dose of </w:t>
      </w:r>
      <w:proofErr w:type="spellStart"/>
      <w:r>
        <w:rPr>
          <w:lang w:eastAsia="en-CA"/>
        </w:rPr>
        <w:t>evolocumab</w:t>
      </w:r>
      <w:proofErr w:type="spellEnd"/>
      <w:r>
        <w:rPr>
          <w:lang w:eastAsia="en-CA"/>
        </w:rPr>
        <w:t xml:space="preserve"> therapy at home. At the Day 360 visit subject received an additional dose of </w:t>
      </w:r>
      <w:proofErr w:type="spellStart"/>
      <w:r>
        <w:rPr>
          <w:lang w:eastAsia="en-CA"/>
        </w:rPr>
        <w:t>evolocumab</w:t>
      </w:r>
      <w:proofErr w:type="spellEnd"/>
      <w:r>
        <w:rPr>
          <w:lang w:eastAsia="en-CA"/>
        </w:rPr>
        <w:t xml:space="preserve"> and their first dose of </w:t>
      </w:r>
      <w:proofErr w:type="spellStart"/>
      <w:r>
        <w:rPr>
          <w:lang w:eastAsia="en-CA"/>
        </w:rPr>
        <w:t>inclisiran</w:t>
      </w:r>
      <w:proofErr w:type="spellEnd"/>
      <w:r>
        <w:rPr>
          <w:lang w:eastAsia="en-CA"/>
        </w:rPr>
        <w:t>, both administer by the investigator</w:t>
      </w:r>
    </w:p>
    <w:p w14:paraId="554A4CB3" w14:textId="77777777" w:rsidR="002642F4" w:rsidRDefault="002642F4" w:rsidP="002642F4">
      <w:pPr>
        <w:pStyle w:val="Heading5"/>
        <w:rPr>
          <w:rFonts w:eastAsia="Cambria"/>
        </w:rPr>
      </w:pPr>
      <w:r>
        <w:lastRenderedPageBreak/>
        <w:t>Safety</w:t>
      </w:r>
    </w:p>
    <w:p w14:paraId="1E6D6052" w14:textId="6BD11A03" w:rsidR="002642F4" w:rsidRDefault="002642F4" w:rsidP="002642F4">
      <w:pPr>
        <w:rPr>
          <w:color w:val="000000"/>
        </w:rPr>
      </w:pPr>
      <w:r>
        <w:t xml:space="preserve">Overall, the clinical dossier provides safety data from 4332 subjects, including 2452 on </w:t>
      </w:r>
      <w:proofErr w:type="spellStart"/>
      <w:r>
        <w:t>inclisiran</w:t>
      </w:r>
      <w:proofErr w:type="spellEnd"/>
      <w:r>
        <w:t xml:space="preserve"> at any dose and 2118 on </w:t>
      </w:r>
      <w:proofErr w:type="spellStart"/>
      <w:r>
        <w:t>inclisiran</w:t>
      </w:r>
      <w:proofErr w:type="spellEnd"/>
      <w:r>
        <w:t xml:space="preserve"> at the proposed dose. The primary analysis of safety was based on pooled data from the safety population of the three Phase III studies (the safety pool), which assessed the safety of </w:t>
      </w:r>
      <w:proofErr w:type="spellStart"/>
      <w:r>
        <w:t>inclisiran</w:t>
      </w:r>
      <w:proofErr w:type="spellEnd"/>
      <w:r>
        <w:t xml:space="preserve"> compared to placebo in subjects with </w:t>
      </w:r>
      <w:proofErr w:type="spellStart"/>
      <w:r>
        <w:t>HeFH</w:t>
      </w:r>
      <w:proofErr w:type="spellEnd"/>
      <w:r>
        <w:t xml:space="preserve">, ASCVD, and/or ASCVD risk equivalents over a duration of 18 months. The safety of </w:t>
      </w:r>
      <w:proofErr w:type="spellStart"/>
      <w:r>
        <w:t>inclisiran</w:t>
      </w:r>
      <w:proofErr w:type="spellEnd"/>
      <w:r>
        <w:t xml:space="preserve"> beyond 18 months of treatment is being assessed in three ongoing trials: </w:t>
      </w:r>
      <w:r w:rsidR="006255F8">
        <w:t xml:space="preserve">the </w:t>
      </w:r>
      <w:r>
        <w:t>ORION-3 (interim data presented in this submission), ORION-8, and ORION-4 trials.</w:t>
      </w:r>
    </w:p>
    <w:p w14:paraId="6514F5D7" w14:textId="35E19DF3" w:rsidR="002642F4" w:rsidRDefault="002642F4" w:rsidP="002642F4">
      <w:r>
        <w:t xml:space="preserve">The safety pool included 3655 subjects, 1833 treated with </w:t>
      </w:r>
      <w:proofErr w:type="spellStart"/>
      <w:r>
        <w:t>inclisiran</w:t>
      </w:r>
      <w:proofErr w:type="spellEnd"/>
      <w:r>
        <w:t xml:space="preserve"> and 1822 on placebo. 90.6% of placebo subjects and 90.9% of </w:t>
      </w:r>
      <w:proofErr w:type="spellStart"/>
      <w:r>
        <w:t>inclisiran</w:t>
      </w:r>
      <w:proofErr w:type="spellEnd"/>
      <w:r>
        <w:t xml:space="preserve"> treated subjects received all four doses of study drug. Mean duration of follow up was 523 days for placebo and 526 days for </w:t>
      </w:r>
      <w:proofErr w:type="spellStart"/>
      <w:r>
        <w:t>inclisiran</w:t>
      </w:r>
      <w:proofErr w:type="spellEnd"/>
      <w:r>
        <w:t>.</w:t>
      </w:r>
      <w:r>
        <w:rPr>
          <w:color w:val="000000"/>
        </w:rPr>
        <w:t xml:space="preserve"> The safety profile of </w:t>
      </w:r>
      <w:proofErr w:type="spellStart"/>
      <w:r>
        <w:rPr>
          <w:color w:val="000000"/>
        </w:rPr>
        <w:t>inclisiran</w:t>
      </w:r>
      <w:proofErr w:type="spellEnd"/>
      <w:r>
        <w:rPr>
          <w:color w:val="000000"/>
        </w:rPr>
        <w:t xml:space="preserve"> in all three pivotal trials was similar.</w:t>
      </w:r>
    </w:p>
    <w:p w14:paraId="702820F4" w14:textId="1F118E8F" w:rsidR="002642F4" w:rsidRDefault="002642F4" w:rsidP="002642F4">
      <w:r>
        <w:t xml:space="preserve">The overall incidence of </w:t>
      </w:r>
      <w:r w:rsidR="006255F8">
        <w:t>treatment-emergent adverse events (</w:t>
      </w:r>
      <w:r>
        <w:t>TEAEs</w:t>
      </w:r>
      <w:r w:rsidR="006255F8">
        <w:t>)</w:t>
      </w:r>
      <w:r>
        <w:t xml:space="preserve">, treatment-emergent serious adverse events (TESAE), TEAEs leading to discontinuation, and deaths were similar for </w:t>
      </w:r>
      <w:proofErr w:type="spellStart"/>
      <w:r>
        <w:t>inclisiran</w:t>
      </w:r>
      <w:proofErr w:type="spellEnd"/>
      <w:r>
        <w:t xml:space="preserve"> and placebo (</w:t>
      </w:r>
      <w:r>
        <w:fldChar w:fldCharType="begin"/>
      </w:r>
      <w:r>
        <w:instrText xml:space="preserve"> REF _Ref97544353 \h </w:instrText>
      </w:r>
      <w:r>
        <w:fldChar w:fldCharType="separate"/>
      </w:r>
      <w:r w:rsidR="002C4E0E" w:rsidRPr="002642F4">
        <w:t xml:space="preserve">Table </w:t>
      </w:r>
      <w:r w:rsidR="002C4E0E">
        <w:rPr>
          <w:noProof/>
        </w:rPr>
        <w:t>17</w:t>
      </w:r>
      <w:r>
        <w:fldChar w:fldCharType="end"/>
      </w:r>
      <w:r>
        <w:t xml:space="preserve">). The majority of TEAEs were of mild or moderate severity, with severe TEAEs reported in 15.3% of placebo treated subjects and 13% of </w:t>
      </w:r>
      <w:proofErr w:type="spellStart"/>
      <w:r>
        <w:t>inclisiran</w:t>
      </w:r>
      <w:proofErr w:type="spellEnd"/>
      <w:r>
        <w:t xml:space="preserve"> treated subjects.</w:t>
      </w:r>
    </w:p>
    <w:p w14:paraId="11F1A2CB" w14:textId="0F967CC5" w:rsidR="002642F4" w:rsidRDefault="002642F4" w:rsidP="002642F4">
      <w:pPr>
        <w:pStyle w:val="TableTitle"/>
      </w:pPr>
      <w:bookmarkStart w:id="71" w:name="_Ref97544353"/>
      <w:r w:rsidRPr="002642F4">
        <w:t xml:space="preserve">Table </w:t>
      </w:r>
      <w:r>
        <w:fldChar w:fldCharType="begin"/>
      </w:r>
      <w:r>
        <w:instrText>SEQ Table \* ARABIC</w:instrText>
      </w:r>
      <w:r>
        <w:fldChar w:fldCharType="separate"/>
      </w:r>
      <w:r w:rsidR="002C4E0E">
        <w:rPr>
          <w:noProof/>
        </w:rPr>
        <w:t>17</w:t>
      </w:r>
      <w:r>
        <w:fldChar w:fldCharType="end"/>
      </w:r>
      <w:bookmarkEnd w:id="71"/>
      <w:r>
        <w:t>: Overall summary of treatment</w:t>
      </w:r>
      <w:r w:rsidR="006255F8">
        <w:noBreakHyphen/>
      </w:r>
      <w:r>
        <w:t>emergent adverse events for the safety pool (safety population)</w:t>
      </w:r>
    </w:p>
    <w:p w14:paraId="68F543C8" w14:textId="3DC032DF" w:rsidR="002642F4" w:rsidRDefault="002642F4" w:rsidP="002642F4">
      <w:pPr>
        <w:rPr>
          <w:lang w:eastAsia="en-CA"/>
        </w:rPr>
      </w:pPr>
      <w:r>
        <w:rPr>
          <w:noProof/>
          <w:lang w:val="en-GB" w:eastAsia="en-GB"/>
        </w:rPr>
        <w:drawing>
          <wp:inline distT="0" distB="0" distL="0" distR="0" wp14:anchorId="73335AD5" wp14:editId="1C020D30">
            <wp:extent cx="4841817" cy="1572768"/>
            <wp:effectExtent l="0" t="0" r="0" b="8890"/>
            <wp:docPr id="19" name="Picture 19" descr="Overall summary of treatment emergent adverse events for the safety pool (safety population)"/>
            <wp:cNvGraphicFramePr/>
            <a:graphic xmlns:a="http://schemas.openxmlformats.org/drawingml/2006/main">
              <a:graphicData uri="http://schemas.openxmlformats.org/drawingml/2006/picture">
                <pic:pic xmlns:pic="http://schemas.openxmlformats.org/drawingml/2006/picture">
                  <pic:nvPicPr>
                    <pic:cNvPr id="19" name="Picture 19" descr="Overall summary of treatment emergent adverse events for the safety pool (safety population)"/>
                    <pic:cNvPicPr/>
                  </pic:nvPicPr>
                  <pic:blipFill rotWithShape="1">
                    <a:blip r:embed="rId49"/>
                    <a:srcRect b="22648"/>
                    <a:stretch/>
                  </pic:blipFill>
                  <pic:spPr bwMode="auto">
                    <a:xfrm>
                      <a:off x="0" y="0"/>
                      <a:ext cx="4856557" cy="1577556"/>
                    </a:xfrm>
                    <a:prstGeom prst="rect">
                      <a:avLst/>
                    </a:prstGeom>
                    <a:ln>
                      <a:noFill/>
                    </a:ln>
                    <a:extLst>
                      <a:ext uri="{53640926-AAD7-44D8-BBD7-CCE9431645EC}">
                        <a14:shadowObscured xmlns:a14="http://schemas.microsoft.com/office/drawing/2010/main"/>
                      </a:ext>
                    </a:extLst>
                  </pic:spPr>
                </pic:pic>
              </a:graphicData>
            </a:graphic>
          </wp:inline>
        </w:drawing>
      </w:r>
    </w:p>
    <w:p w14:paraId="116C75E6" w14:textId="51B2D27E" w:rsidR="002642F4" w:rsidRDefault="002642F4" w:rsidP="002642F4">
      <w:pPr>
        <w:pStyle w:val="TableDescription"/>
        <w:rPr>
          <w:lang w:eastAsia="en-CA"/>
        </w:rPr>
      </w:pPr>
      <w:r>
        <w:rPr>
          <w:lang w:eastAsia="en-CA"/>
        </w:rPr>
        <w:t>* An event is ‘related’ when it is determined by the investigator that there is a reasonable possibility that the administration of the investigational product caused the TESAE.</w:t>
      </w:r>
    </w:p>
    <w:p w14:paraId="54420D67" w14:textId="75745030" w:rsidR="002642F4" w:rsidRDefault="002642F4" w:rsidP="002642F4">
      <w:pPr>
        <w:pStyle w:val="TableDescription"/>
        <w:rPr>
          <w:lang w:eastAsia="en-CA"/>
        </w:rPr>
      </w:pPr>
      <w:r>
        <w:rPr>
          <w:lang w:eastAsia="en-CA"/>
        </w:rPr>
        <w:t>Abbreviations: TEAE = treatment emergent adverse event; TESAE = treatment emergent serious adverse event</w:t>
      </w:r>
    </w:p>
    <w:p w14:paraId="55D7062C" w14:textId="2D7A586E" w:rsidR="002642F4" w:rsidRDefault="002642F4" w:rsidP="002642F4">
      <w:pPr>
        <w:rPr>
          <w:lang w:eastAsia="en-CA"/>
        </w:rPr>
      </w:pPr>
      <w:r>
        <w:rPr>
          <w:lang w:eastAsia="en-CA"/>
        </w:rPr>
        <w:t>T</w:t>
      </w:r>
      <w:r w:rsidRPr="002642F4">
        <w:rPr>
          <w:lang w:eastAsia="en-CA"/>
        </w:rPr>
        <w:t>reatment emergent adverse events</w:t>
      </w:r>
      <w:r>
        <w:rPr>
          <w:lang w:eastAsia="en-CA"/>
        </w:rPr>
        <w:t xml:space="preserve"> by Preferred Term (PT) (≥ 3% in either group) are shown in </w:t>
      </w:r>
      <w:r>
        <w:rPr>
          <w:lang w:eastAsia="en-CA"/>
        </w:rPr>
        <w:fldChar w:fldCharType="begin"/>
      </w:r>
      <w:r>
        <w:rPr>
          <w:lang w:eastAsia="en-CA"/>
        </w:rPr>
        <w:instrText xml:space="preserve"> REF _Ref97544387 \h </w:instrText>
      </w:r>
      <w:r>
        <w:rPr>
          <w:lang w:eastAsia="en-CA"/>
        </w:rPr>
      </w:r>
      <w:r>
        <w:rPr>
          <w:lang w:eastAsia="en-CA"/>
        </w:rPr>
        <w:fldChar w:fldCharType="separate"/>
      </w:r>
      <w:r w:rsidR="002C4E0E" w:rsidRPr="00104052">
        <w:t xml:space="preserve">Table </w:t>
      </w:r>
      <w:r w:rsidR="002C4E0E">
        <w:rPr>
          <w:noProof/>
        </w:rPr>
        <w:t>18</w:t>
      </w:r>
      <w:r>
        <w:rPr>
          <w:lang w:eastAsia="en-CA"/>
        </w:rPr>
        <w:fldChar w:fldCharType="end"/>
      </w:r>
      <w:r>
        <w:rPr>
          <w:lang w:eastAsia="en-CA"/>
        </w:rPr>
        <w:t xml:space="preserve">. The most common TEAEs with a higher incidence with </w:t>
      </w:r>
      <w:proofErr w:type="spellStart"/>
      <w:r>
        <w:rPr>
          <w:lang w:eastAsia="en-CA"/>
        </w:rPr>
        <w:t>inclisiran</w:t>
      </w:r>
      <w:proofErr w:type="spellEnd"/>
      <w:r>
        <w:rPr>
          <w:lang w:eastAsia="en-CA"/>
        </w:rPr>
        <w:t xml:space="preserve"> than placebo </w:t>
      </w:r>
      <w:proofErr w:type="gramStart"/>
      <w:r>
        <w:rPr>
          <w:lang w:eastAsia="en-CA"/>
        </w:rPr>
        <w:t>were</w:t>
      </w:r>
      <w:proofErr w:type="gramEnd"/>
      <w:r>
        <w:rPr>
          <w:lang w:eastAsia="en-CA"/>
        </w:rPr>
        <w:t xml:space="preserve"> diabetes mellitus, nasopharyngitis, arthralgia, back pain, urinary tract infection, diarrhoea, bronchitis, and cough. The largest observed difference was for injection site reactions (3.1% </w:t>
      </w:r>
      <w:proofErr w:type="spellStart"/>
      <w:r>
        <w:rPr>
          <w:lang w:eastAsia="en-CA"/>
        </w:rPr>
        <w:t>inclisiran</w:t>
      </w:r>
      <w:proofErr w:type="spellEnd"/>
      <w:r>
        <w:rPr>
          <w:lang w:eastAsia="en-CA"/>
        </w:rPr>
        <w:t xml:space="preserve"> versus 0.1% placebo). The incidence of dizziness in the </w:t>
      </w:r>
      <w:proofErr w:type="spellStart"/>
      <w:r>
        <w:rPr>
          <w:lang w:eastAsia="en-CA"/>
        </w:rPr>
        <w:t>inclisiran</w:t>
      </w:r>
      <w:proofErr w:type="spellEnd"/>
      <w:r>
        <w:rPr>
          <w:lang w:eastAsia="en-CA"/>
        </w:rPr>
        <w:t xml:space="preserve"> group was </w:t>
      </w:r>
      <w:proofErr w:type="gramStart"/>
      <w:r>
        <w:rPr>
          <w:lang w:eastAsia="en-CA"/>
        </w:rPr>
        <w:t>similar to</w:t>
      </w:r>
      <w:proofErr w:type="gramEnd"/>
      <w:r>
        <w:rPr>
          <w:lang w:eastAsia="en-CA"/>
        </w:rPr>
        <w:t xml:space="preserve"> placebo.</w:t>
      </w:r>
    </w:p>
    <w:p w14:paraId="3514ADB0" w14:textId="6EC18805" w:rsidR="002642F4" w:rsidRDefault="002642F4" w:rsidP="002642F4">
      <w:pPr>
        <w:rPr>
          <w:lang w:eastAsia="en-CA"/>
        </w:rPr>
      </w:pPr>
      <w:r>
        <w:rPr>
          <w:lang w:eastAsia="en-CA"/>
        </w:rPr>
        <w:t>T</w:t>
      </w:r>
      <w:r w:rsidRPr="002642F4">
        <w:rPr>
          <w:lang w:eastAsia="en-CA"/>
        </w:rPr>
        <w:t>reatment emergent adverse events</w:t>
      </w:r>
      <w:r>
        <w:rPr>
          <w:lang w:eastAsia="en-CA"/>
        </w:rPr>
        <w:t xml:space="preserve"> at the injection site occurred more frequently with </w:t>
      </w:r>
      <w:proofErr w:type="spellStart"/>
      <w:r>
        <w:rPr>
          <w:lang w:eastAsia="en-CA"/>
        </w:rPr>
        <w:t>inclisiran</w:t>
      </w:r>
      <w:proofErr w:type="spellEnd"/>
      <w:r>
        <w:rPr>
          <w:lang w:eastAsia="en-CA"/>
        </w:rPr>
        <w:t xml:space="preserve"> (8.2%) than placebo (1.8%). TEAEs at the injection site were localised, mostly mild (occasionally moderate), and generally transient. There were no severe TEAEs at the injection site, and no TESAEs at the injection site. Four </w:t>
      </w:r>
      <w:proofErr w:type="spellStart"/>
      <w:r>
        <w:rPr>
          <w:lang w:eastAsia="en-CA"/>
        </w:rPr>
        <w:t>inclisiran</w:t>
      </w:r>
      <w:proofErr w:type="spellEnd"/>
      <w:r w:rsidR="00104052">
        <w:rPr>
          <w:lang w:eastAsia="en-CA"/>
        </w:rPr>
        <w:t xml:space="preserve"> </w:t>
      </w:r>
      <w:r>
        <w:rPr>
          <w:lang w:eastAsia="en-CA"/>
        </w:rPr>
        <w:t>treated subjects withdrew from study drug due to TEAEs at the injection site.</w:t>
      </w:r>
    </w:p>
    <w:p w14:paraId="7557FB65" w14:textId="31707143" w:rsidR="002642F4" w:rsidRDefault="77F358DE" w:rsidP="002642F4">
      <w:pPr>
        <w:rPr>
          <w:lang w:eastAsia="en-CA"/>
        </w:rPr>
      </w:pPr>
      <w:r w:rsidRPr="451FBB42">
        <w:rPr>
          <w:lang w:eastAsia="en-CA"/>
        </w:rPr>
        <w:t xml:space="preserve">A higher incidence of lower respiratory tract and lung infections was observed in the </w:t>
      </w:r>
      <w:proofErr w:type="spellStart"/>
      <w:r w:rsidRPr="451FBB42">
        <w:rPr>
          <w:lang w:eastAsia="en-CA"/>
        </w:rPr>
        <w:t>inclisiran</w:t>
      </w:r>
      <w:proofErr w:type="spellEnd"/>
      <w:r w:rsidRPr="451FBB42">
        <w:rPr>
          <w:lang w:eastAsia="en-CA"/>
        </w:rPr>
        <w:t xml:space="preserve"> group (8.1%) than the placebo group (6%). Conditions contributing to this difference included bronchitis (4.3% v</w:t>
      </w:r>
      <w:r w:rsidR="03436BA2" w:rsidRPr="451FBB42">
        <w:rPr>
          <w:lang w:eastAsia="en-CA"/>
        </w:rPr>
        <w:t>ersu</w:t>
      </w:r>
      <w:r w:rsidRPr="451FBB42">
        <w:rPr>
          <w:lang w:eastAsia="en-CA"/>
        </w:rPr>
        <w:t>s 2.7%), lower respiratory tract infection (1.9% v</w:t>
      </w:r>
      <w:r w:rsidR="03436BA2" w:rsidRPr="451FBB42">
        <w:rPr>
          <w:lang w:eastAsia="en-CA"/>
        </w:rPr>
        <w:t>ersu</w:t>
      </w:r>
      <w:r w:rsidRPr="451FBB42">
        <w:rPr>
          <w:lang w:eastAsia="en-CA"/>
        </w:rPr>
        <w:t>s 1.5%), and pneumonia (2.5% v</w:t>
      </w:r>
      <w:r w:rsidR="03436BA2" w:rsidRPr="451FBB42">
        <w:rPr>
          <w:lang w:eastAsia="en-CA"/>
        </w:rPr>
        <w:t>ersu</w:t>
      </w:r>
      <w:r w:rsidRPr="451FBB42">
        <w:rPr>
          <w:lang w:eastAsia="en-CA"/>
        </w:rPr>
        <w:t>s 2%).</w:t>
      </w:r>
      <w:r w:rsidR="524E6969" w:rsidRPr="451FBB42">
        <w:rPr>
          <w:lang w:eastAsia="en-CA"/>
        </w:rPr>
        <w:t xml:space="preserve"> </w:t>
      </w:r>
      <w:r w:rsidRPr="451FBB42">
        <w:rPr>
          <w:lang w:eastAsia="en-CA"/>
        </w:rPr>
        <w:t xml:space="preserve">The relative risk for bronchitis was 1.6 (95% CI 1.1, 2.2). The </w:t>
      </w:r>
      <w:r w:rsidR="03436BA2" w:rsidRPr="451FBB42">
        <w:rPr>
          <w:lang w:eastAsia="en-CA"/>
        </w:rPr>
        <w:t>s</w:t>
      </w:r>
      <w:r w:rsidRPr="451FBB42">
        <w:rPr>
          <w:lang w:eastAsia="en-CA"/>
        </w:rPr>
        <w:t xml:space="preserve">ponsor commented that there are no nonclinical or mechanistic </w:t>
      </w:r>
      <w:r w:rsidRPr="451FBB42">
        <w:rPr>
          <w:lang w:eastAsia="en-CA"/>
        </w:rPr>
        <w:lastRenderedPageBreak/>
        <w:t xml:space="preserve">data that support the potential for adverse respiratory system effects or effects on immunity. The nonclinical evaluation commented that the CLEC10A membrane receptor has binding affinity for </w:t>
      </w:r>
      <w:proofErr w:type="spellStart"/>
      <w:r w:rsidRPr="451FBB42">
        <w:rPr>
          <w:lang w:eastAsia="en-CA"/>
        </w:rPr>
        <w:t>GalNAc</w:t>
      </w:r>
      <w:proofErr w:type="spellEnd"/>
      <w:r w:rsidRPr="451FBB42">
        <w:rPr>
          <w:lang w:eastAsia="en-CA"/>
        </w:rPr>
        <w:t xml:space="preserve"> and is expressed in the lungs. The clinical evaluation concluded that a causal relationship between </w:t>
      </w:r>
      <w:proofErr w:type="spellStart"/>
      <w:r w:rsidRPr="451FBB42">
        <w:rPr>
          <w:lang w:eastAsia="en-CA"/>
        </w:rPr>
        <w:t>inclisiran</w:t>
      </w:r>
      <w:proofErr w:type="spellEnd"/>
      <w:r w:rsidRPr="451FBB42">
        <w:rPr>
          <w:lang w:eastAsia="en-CA"/>
        </w:rPr>
        <w:t xml:space="preserve"> treatment and the reported events of lower respiratory tract and lung infections cannot be excluded.</w:t>
      </w:r>
    </w:p>
    <w:p w14:paraId="4B545650" w14:textId="79F3EC09" w:rsidR="002642F4" w:rsidRDefault="002642F4" w:rsidP="002642F4">
      <w:pPr>
        <w:rPr>
          <w:lang w:eastAsia="en-CA"/>
        </w:rPr>
      </w:pPr>
      <w:r>
        <w:rPr>
          <w:lang w:eastAsia="en-CA"/>
        </w:rPr>
        <w:t xml:space="preserve">Osteoporosis/osteopenia events were numerically higher with </w:t>
      </w:r>
      <w:proofErr w:type="spellStart"/>
      <w:r>
        <w:rPr>
          <w:lang w:eastAsia="en-CA"/>
        </w:rPr>
        <w:t>inclisiran</w:t>
      </w:r>
      <w:proofErr w:type="spellEnd"/>
      <w:r>
        <w:rPr>
          <w:lang w:eastAsia="en-CA"/>
        </w:rPr>
        <w:t xml:space="preserve"> (12 subjects, 0.7%) than placebo (7 subjects, 0.4%). All these events were of mild to moderate intensity, and none were serious. Spinal fractures/dislocations and pelvic fractures/dislocations were reported at a low incidence overall but were numerically higher in the </w:t>
      </w:r>
      <w:proofErr w:type="spellStart"/>
      <w:r>
        <w:rPr>
          <w:lang w:eastAsia="en-CA"/>
        </w:rPr>
        <w:t>inclisiran</w:t>
      </w:r>
      <w:proofErr w:type="spellEnd"/>
      <w:r>
        <w:rPr>
          <w:lang w:eastAsia="en-CA"/>
        </w:rPr>
        <w:t xml:space="preserve"> group than placebo (spinal fractures/dislocations were reported in 10 subjects (0.5%) in the </w:t>
      </w:r>
      <w:proofErr w:type="spellStart"/>
      <w:r>
        <w:rPr>
          <w:lang w:eastAsia="en-CA"/>
        </w:rPr>
        <w:t>inclisiran</w:t>
      </w:r>
      <w:proofErr w:type="spellEnd"/>
      <w:r>
        <w:rPr>
          <w:lang w:eastAsia="en-CA"/>
        </w:rPr>
        <w:t xml:space="preserve"> group and 3 subjects (0.2%) in the placebo group; pelvic fractures/dislocations were reported in 3 subjects (0.2%) in the </w:t>
      </w:r>
      <w:proofErr w:type="spellStart"/>
      <w:r>
        <w:rPr>
          <w:lang w:eastAsia="en-CA"/>
        </w:rPr>
        <w:t>inclisiran</w:t>
      </w:r>
      <w:proofErr w:type="spellEnd"/>
      <w:r>
        <w:rPr>
          <w:lang w:eastAsia="en-CA"/>
        </w:rPr>
        <w:t xml:space="preserve"> group and none in the placebo group). The </w:t>
      </w:r>
      <w:r w:rsidR="00104052">
        <w:rPr>
          <w:lang w:eastAsia="en-CA"/>
        </w:rPr>
        <w:t>s</w:t>
      </w:r>
      <w:r>
        <w:rPr>
          <w:lang w:eastAsia="en-CA"/>
        </w:rPr>
        <w:t>ponsor commented that these observations are not supported by nonclinical findings or mechanistic data, and that the small observed differences are in line with the variability of the data and are due to chance. The clinical evaluation concluded that a causal relationship cannot be excluded.</w:t>
      </w:r>
    </w:p>
    <w:p w14:paraId="0A3536B4" w14:textId="513E6639" w:rsidR="002642F4" w:rsidRDefault="002642F4" w:rsidP="002642F4">
      <w:pPr>
        <w:rPr>
          <w:lang w:eastAsia="en-CA"/>
        </w:rPr>
      </w:pPr>
      <w:r>
        <w:rPr>
          <w:lang w:eastAsia="en-CA"/>
        </w:rPr>
        <w:t xml:space="preserve">Events of joint disorders were numerically higher with </w:t>
      </w:r>
      <w:proofErr w:type="spellStart"/>
      <w:r>
        <w:rPr>
          <w:lang w:eastAsia="en-CA"/>
        </w:rPr>
        <w:t>inclisiran</w:t>
      </w:r>
      <w:proofErr w:type="spellEnd"/>
      <w:r>
        <w:rPr>
          <w:lang w:eastAsia="en-CA"/>
        </w:rPr>
        <w:t xml:space="preserve"> (10.6%) than with placebo (9.4%). The evaluation noted that conditions contributing to this difference included arthritis, arthropathy, rotator cuff syndrome, and arthralgia. The </w:t>
      </w:r>
      <w:r w:rsidR="00104052">
        <w:rPr>
          <w:lang w:eastAsia="en-CA"/>
        </w:rPr>
        <w:t>s</w:t>
      </w:r>
      <w:r>
        <w:rPr>
          <w:lang w:eastAsia="en-CA"/>
        </w:rPr>
        <w:t xml:space="preserve">ponsor commented that an association between </w:t>
      </w:r>
      <w:proofErr w:type="spellStart"/>
      <w:r>
        <w:rPr>
          <w:lang w:eastAsia="en-CA"/>
        </w:rPr>
        <w:t>inclisiran</w:t>
      </w:r>
      <w:proofErr w:type="spellEnd"/>
      <w:r>
        <w:rPr>
          <w:lang w:eastAsia="en-CA"/>
        </w:rPr>
        <w:t xml:space="preserve"> and musculoskeletal/connective tissue disorders could not be established based on the available clinical data, mechanistic </w:t>
      </w:r>
      <w:proofErr w:type="gramStart"/>
      <w:r>
        <w:rPr>
          <w:lang w:eastAsia="en-CA"/>
        </w:rPr>
        <w:t>data</w:t>
      </w:r>
      <w:proofErr w:type="gramEnd"/>
      <w:r>
        <w:rPr>
          <w:lang w:eastAsia="en-CA"/>
        </w:rPr>
        <w:t xml:space="preserve"> and non-clinical data. The clinical evaluation concluded that a causal relationship cannot be ruled out.</w:t>
      </w:r>
    </w:p>
    <w:p w14:paraId="0A95DAD2" w14:textId="49DBBF7A" w:rsidR="002642F4" w:rsidRPr="00104052" w:rsidRDefault="002642F4" w:rsidP="00104052">
      <w:pPr>
        <w:pStyle w:val="TableTitle"/>
      </w:pPr>
      <w:bookmarkStart w:id="72" w:name="_Ref97544387"/>
      <w:r w:rsidRPr="00104052">
        <w:t xml:space="preserve">Table </w:t>
      </w:r>
      <w:r>
        <w:fldChar w:fldCharType="begin"/>
      </w:r>
      <w:r>
        <w:instrText>SEQ Table \* ARABIC</w:instrText>
      </w:r>
      <w:r>
        <w:fldChar w:fldCharType="separate"/>
      </w:r>
      <w:r w:rsidR="002C4E0E">
        <w:rPr>
          <w:noProof/>
        </w:rPr>
        <w:t>18</w:t>
      </w:r>
      <w:r>
        <w:fldChar w:fldCharType="end"/>
      </w:r>
      <w:bookmarkEnd w:id="72"/>
      <w:r>
        <w:t>:</w:t>
      </w:r>
      <w:r w:rsidR="00104052" w:rsidRPr="00104052">
        <w:t xml:space="preserve"> </w:t>
      </w:r>
      <w:r w:rsidR="00104052">
        <w:rPr>
          <w:lang w:eastAsia="en-CA"/>
        </w:rPr>
        <w:t>T</w:t>
      </w:r>
      <w:r w:rsidR="00104052" w:rsidRPr="002642F4">
        <w:rPr>
          <w:lang w:eastAsia="en-CA"/>
        </w:rPr>
        <w:t>reatment emergent adverse events</w:t>
      </w:r>
      <w:r w:rsidR="00104052">
        <w:t xml:space="preserve"> by Preferred Term (≥ 3% in either group) in the safety pool (safety population)</w:t>
      </w:r>
    </w:p>
    <w:p w14:paraId="009532F1" w14:textId="5A40ECB9" w:rsidR="002642F4" w:rsidRDefault="002642F4" w:rsidP="002642F4">
      <w:r>
        <w:rPr>
          <w:noProof/>
          <w:lang w:val="en-GB" w:eastAsia="en-GB"/>
        </w:rPr>
        <w:drawing>
          <wp:inline distT="0" distB="0" distL="0" distR="0" wp14:anchorId="5AC941CB" wp14:editId="537CBFFD">
            <wp:extent cx="4981260" cy="3547872"/>
            <wp:effectExtent l="0" t="0" r="0" b="0"/>
            <wp:docPr id="20" name="Picture 20" descr="Treatment emergent adverse events by Preferred Term (≥ 3% in either group) in the safety pool (safety population)"/>
            <wp:cNvGraphicFramePr/>
            <a:graphic xmlns:a="http://schemas.openxmlformats.org/drawingml/2006/main">
              <a:graphicData uri="http://schemas.openxmlformats.org/drawingml/2006/picture">
                <pic:pic xmlns:pic="http://schemas.openxmlformats.org/drawingml/2006/picture">
                  <pic:nvPicPr>
                    <pic:cNvPr id="20" name="Picture 20" descr="Treatment emergent adverse events by Preferred Term (≥ 3% in either group) in the safety pool (safety population)"/>
                    <pic:cNvPicPr/>
                  </pic:nvPicPr>
                  <pic:blipFill rotWithShape="1">
                    <a:blip r:embed="rId50"/>
                    <a:srcRect b="15792"/>
                    <a:stretch/>
                  </pic:blipFill>
                  <pic:spPr bwMode="auto">
                    <a:xfrm>
                      <a:off x="0" y="0"/>
                      <a:ext cx="4989515" cy="3553751"/>
                    </a:xfrm>
                    <a:prstGeom prst="rect">
                      <a:avLst/>
                    </a:prstGeom>
                    <a:ln>
                      <a:noFill/>
                    </a:ln>
                    <a:extLst>
                      <a:ext uri="{53640926-AAD7-44D8-BBD7-CCE9431645EC}">
                        <a14:shadowObscured xmlns:a14="http://schemas.microsoft.com/office/drawing/2010/main"/>
                      </a:ext>
                    </a:extLst>
                  </pic:spPr>
                </pic:pic>
              </a:graphicData>
            </a:graphic>
          </wp:inline>
        </w:drawing>
      </w:r>
    </w:p>
    <w:p w14:paraId="07C6587E" w14:textId="5B955429" w:rsidR="00104052" w:rsidRDefault="00104052" w:rsidP="00104052">
      <w:pPr>
        <w:pStyle w:val="TableDescription"/>
      </w:pPr>
      <w:r>
        <w:t xml:space="preserve">* Risk ratio of </w:t>
      </w:r>
      <w:proofErr w:type="spellStart"/>
      <w:r>
        <w:t>inclisiran</w:t>
      </w:r>
      <w:proofErr w:type="spellEnd"/>
      <w:r>
        <w:t>/placebo</w:t>
      </w:r>
    </w:p>
    <w:p w14:paraId="0ACA9325" w14:textId="4D10E18F" w:rsidR="00104052" w:rsidRDefault="00104052" w:rsidP="00104052">
      <w:pPr>
        <w:pStyle w:val="TableDescription"/>
      </w:pPr>
      <w:r>
        <w:t>** Includes all subjects, not just subjects with most common adverse event</w:t>
      </w:r>
    </w:p>
    <w:p w14:paraId="1BAA0A09" w14:textId="5E72167F" w:rsidR="00104052" w:rsidRDefault="00104052" w:rsidP="00104052">
      <w:pPr>
        <w:pStyle w:val="TableDescription"/>
      </w:pPr>
      <w:r>
        <w:t xml:space="preserve">Note: Includes adverse events with onset after study treatment began. Preferred terms are sorted by the total count first, then </w:t>
      </w:r>
      <w:proofErr w:type="spellStart"/>
      <w:r>
        <w:t>inclisiran</w:t>
      </w:r>
      <w:proofErr w:type="spellEnd"/>
      <w:r>
        <w:t>, then placebo.</w:t>
      </w:r>
    </w:p>
    <w:p w14:paraId="59D5E106" w14:textId="19A3CA6B" w:rsidR="00104052" w:rsidRDefault="00104052" w:rsidP="00104052">
      <w:pPr>
        <w:pStyle w:val="TableDescription"/>
      </w:pPr>
      <w:r>
        <w:t>Abbreviations: CI = confidence interval; E = event count; TEAE = treatment emergent adverse event</w:t>
      </w:r>
    </w:p>
    <w:p w14:paraId="45E539F2" w14:textId="792BD288" w:rsidR="00104052" w:rsidRDefault="00104052" w:rsidP="00104052">
      <w:r>
        <w:lastRenderedPageBreak/>
        <w:t>Treatment</w:t>
      </w:r>
      <w:r w:rsidR="001D5E94">
        <w:t xml:space="preserve"> </w:t>
      </w:r>
      <w:r>
        <w:t xml:space="preserve">emergent serious adverse events were reported in 20.4% of subjects in the </w:t>
      </w:r>
      <w:proofErr w:type="spellStart"/>
      <w:r>
        <w:t>inclisiran</w:t>
      </w:r>
      <w:proofErr w:type="spellEnd"/>
      <w:r>
        <w:t xml:space="preserve"> group and 23% in the placebo group (</w:t>
      </w:r>
      <w:r>
        <w:fldChar w:fldCharType="begin"/>
      </w:r>
      <w:r>
        <w:instrText xml:space="preserve"> REF _Ref97544902 \h </w:instrText>
      </w:r>
      <w:r>
        <w:fldChar w:fldCharType="separate"/>
      </w:r>
      <w:r w:rsidR="002C4E0E" w:rsidRPr="00104052">
        <w:t xml:space="preserve">Table </w:t>
      </w:r>
      <w:r w:rsidR="002C4E0E">
        <w:rPr>
          <w:noProof/>
        </w:rPr>
        <w:t>19</w:t>
      </w:r>
      <w:r>
        <w:fldChar w:fldCharType="end"/>
      </w:r>
      <w:r>
        <w:t xml:space="preserve">). The majority of TESAEs were CV events. </w:t>
      </w:r>
      <w:r>
        <w:rPr>
          <w:color w:val="000000"/>
        </w:rPr>
        <w:t xml:space="preserve">In the safety pool, the incidence of </w:t>
      </w:r>
      <w:r>
        <w:rPr>
          <w:bCs/>
        </w:rPr>
        <w:t xml:space="preserve">MACE (a composite of CV death, resuscitated cardiac arrest, non-fatal MI, and stroke) </w:t>
      </w:r>
      <w:r>
        <w:rPr>
          <w:color w:val="000000"/>
        </w:rPr>
        <w:t xml:space="preserve">was 7.1% in the </w:t>
      </w:r>
      <w:proofErr w:type="spellStart"/>
      <w:r>
        <w:rPr>
          <w:color w:val="000000"/>
        </w:rPr>
        <w:t>inclisiran</w:t>
      </w:r>
      <w:proofErr w:type="spellEnd"/>
      <w:r>
        <w:rPr>
          <w:color w:val="000000"/>
        </w:rPr>
        <w:t xml:space="preserve"> group compared to 9.4% in the placebo group</w:t>
      </w:r>
      <w:r>
        <w:t xml:space="preserve"> (</w:t>
      </w:r>
      <w:r>
        <w:fldChar w:fldCharType="begin"/>
      </w:r>
      <w:r>
        <w:instrText xml:space="preserve"> REF _Ref97544913 \h </w:instrText>
      </w:r>
      <w:r>
        <w:fldChar w:fldCharType="separate"/>
      </w:r>
      <w:r w:rsidR="002C4E0E" w:rsidRPr="00104052">
        <w:t xml:space="preserve">Table </w:t>
      </w:r>
      <w:r w:rsidR="002C4E0E">
        <w:rPr>
          <w:noProof/>
        </w:rPr>
        <w:t>20</w:t>
      </w:r>
      <w:r>
        <w:fldChar w:fldCharType="end"/>
      </w:r>
      <w:r>
        <w:t>)</w:t>
      </w:r>
      <w:r>
        <w:rPr>
          <w:color w:val="000000"/>
        </w:rPr>
        <w:t>. Non-fatal MI was the major driver of the MACE outcome</w:t>
      </w:r>
      <w:r>
        <w:t xml:space="preserve">. CV death was reported in 17 subjects (0.9%) in the </w:t>
      </w:r>
      <w:proofErr w:type="spellStart"/>
      <w:r>
        <w:t>inclisiran</w:t>
      </w:r>
      <w:proofErr w:type="spellEnd"/>
      <w:r>
        <w:t xml:space="preserve"> group and 14 subjects (0.8%) in the placebo group. </w:t>
      </w:r>
      <w:proofErr w:type="spellStart"/>
      <w:r>
        <w:t xml:space="preserve">All </w:t>
      </w:r>
      <w:proofErr w:type="gramStart"/>
      <w:r>
        <w:t>cause</w:t>
      </w:r>
      <w:proofErr w:type="spellEnd"/>
      <w:proofErr w:type="gramEnd"/>
      <w:r>
        <w:t xml:space="preserve"> mortality was comparable in both arms (1.5%).</w:t>
      </w:r>
    </w:p>
    <w:p w14:paraId="05ECC1F9" w14:textId="6AABF48F" w:rsidR="00104052" w:rsidRDefault="00104052" w:rsidP="00104052">
      <w:r>
        <w:t xml:space="preserve">No systemic allergic reactions were reported with </w:t>
      </w:r>
      <w:proofErr w:type="spellStart"/>
      <w:r>
        <w:t>inclisiran</w:t>
      </w:r>
      <w:proofErr w:type="spellEnd"/>
      <w:r>
        <w:t xml:space="preserve">. </w:t>
      </w:r>
      <w:proofErr w:type="gramStart"/>
      <w:r>
        <w:t>With the exception of</w:t>
      </w:r>
      <w:proofErr w:type="gramEnd"/>
      <w:r>
        <w:t xml:space="preserve"> injection site events, TEAEs related to hypersensitivity were similar for </w:t>
      </w:r>
      <w:proofErr w:type="spellStart"/>
      <w:r>
        <w:t>inclisiran</w:t>
      </w:r>
      <w:proofErr w:type="spellEnd"/>
      <w:r>
        <w:t xml:space="preserve"> and placebo. There was no meaningful difference in neurological events or neurocognitive disorders between </w:t>
      </w:r>
      <w:proofErr w:type="spellStart"/>
      <w:r>
        <w:t>inclisiran</w:t>
      </w:r>
      <w:proofErr w:type="spellEnd"/>
      <w:r>
        <w:t xml:space="preserve"> and placebo. TESAEs for neoplasms were similar between the groups (2.7% for placebo, 2.4% for </w:t>
      </w:r>
      <w:proofErr w:type="spellStart"/>
      <w:r>
        <w:t>inclisiran</w:t>
      </w:r>
      <w:proofErr w:type="spellEnd"/>
      <w:r>
        <w:t>).</w:t>
      </w:r>
    </w:p>
    <w:p w14:paraId="3B99197A" w14:textId="61A62C74" w:rsidR="00104052" w:rsidRDefault="00104052" w:rsidP="00104052">
      <w:pPr>
        <w:pStyle w:val="TableTitle"/>
        <w:rPr>
          <w:rFonts w:asciiTheme="minorHAnsi" w:eastAsiaTheme="minorHAnsi" w:hAnsiTheme="minorHAnsi" w:cs="TimesNewRomanPS-BoldMT"/>
          <w:bCs/>
          <w:szCs w:val="19"/>
        </w:rPr>
      </w:pPr>
      <w:bookmarkStart w:id="73" w:name="_Ref97544902"/>
      <w:r w:rsidRPr="00104052">
        <w:t xml:space="preserve">Table </w:t>
      </w:r>
      <w:r>
        <w:fldChar w:fldCharType="begin"/>
      </w:r>
      <w:r>
        <w:instrText>SEQ Table \* ARABIC</w:instrText>
      </w:r>
      <w:r>
        <w:fldChar w:fldCharType="separate"/>
      </w:r>
      <w:r w:rsidR="002C4E0E">
        <w:rPr>
          <w:noProof/>
        </w:rPr>
        <w:t>19</w:t>
      </w:r>
      <w:r>
        <w:fldChar w:fldCharType="end"/>
      </w:r>
      <w:bookmarkEnd w:id="73"/>
      <w:r>
        <w:t xml:space="preserve">: Treatment-emergent serious adverse events </w:t>
      </w:r>
      <w:r>
        <w:rPr>
          <w:rFonts w:asciiTheme="minorHAnsi" w:eastAsiaTheme="minorHAnsi" w:hAnsiTheme="minorHAnsi" w:cs="TimesNewRomanPS-BoldMT"/>
          <w:bCs/>
          <w:szCs w:val="19"/>
        </w:rPr>
        <w:t>(≥ 0.5% in either treatment group) in the safety pool (safety population)</w:t>
      </w:r>
    </w:p>
    <w:p w14:paraId="7EC097FE" w14:textId="6894FA65" w:rsidR="00104052" w:rsidRDefault="00104052" w:rsidP="00104052">
      <w:r>
        <w:rPr>
          <w:noProof/>
          <w:lang w:val="en-GB" w:eastAsia="en-GB"/>
        </w:rPr>
        <w:drawing>
          <wp:inline distT="0" distB="0" distL="0" distR="0" wp14:anchorId="3280B46F" wp14:editId="62D4ABB9">
            <wp:extent cx="4652467" cy="2516429"/>
            <wp:effectExtent l="0" t="0" r="0" b="0"/>
            <wp:docPr id="22" name="Picture 22" descr="Treatment-emergent serious adverse events (≥ 0.5% in either treatment group) in the safety pool (safety population)"/>
            <wp:cNvGraphicFramePr/>
            <a:graphic xmlns:a="http://schemas.openxmlformats.org/drawingml/2006/main">
              <a:graphicData uri="http://schemas.openxmlformats.org/drawingml/2006/picture">
                <pic:pic xmlns:pic="http://schemas.openxmlformats.org/drawingml/2006/picture">
                  <pic:nvPicPr>
                    <pic:cNvPr id="22" name="Picture 22" descr="Treatment-emergent serious adverse events (≥ 0.5% in either treatment group) in the safety pool (safety population)"/>
                    <pic:cNvPicPr/>
                  </pic:nvPicPr>
                  <pic:blipFill rotWithShape="1">
                    <a:blip r:embed="rId51"/>
                    <a:srcRect b="12308"/>
                    <a:stretch/>
                  </pic:blipFill>
                  <pic:spPr bwMode="auto">
                    <a:xfrm>
                      <a:off x="0" y="0"/>
                      <a:ext cx="4670610" cy="2526242"/>
                    </a:xfrm>
                    <a:prstGeom prst="rect">
                      <a:avLst/>
                    </a:prstGeom>
                    <a:ln>
                      <a:noFill/>
                    </a:ln>
                    <a:extLst>
                      <a:ext uri="{53640926-AAD7-44D8-BBD7-CCE9431645EC}">
                        <a14:shadowObscured xmlns:a14="http://schemas.microsoft.com/office/drawing/2010/main"/>
                      </a:ext>
                    </a:extLst>
                  </pic:spPr>
                </pic:pic>
              </a:graphicData>
            </a:graphic>
          </wp:inline>
        </w:drawing>
      </w:r>
    </w:p>
    <w:p w14:paraId="3656DB7E" w14:textId="745107F2" w:rsidR="00104052" w:rsidRDefault="00104052" w:rsidP="00104052">
      <w:pPr>
        <w:pStyle w:val="TableDescription"/>
      </w:pPr>
      <w:r>
        <w:t>Note: Includes adverse events with onset after study treatment began</w:t>
      </w:r>
    </w:p>
    <w:p w14:paraId="5A43E686" w14:textId="79EF861B" w:rsidR="00104052" w:rsidRDefault="00104052" w:rsidP="00104052">
      <w:pPr>
        <w:pStyle w:val="TableDescription"/>
      </w:pPr>
      <w:r>
        <w:t>Abbreviations: E = event count; TEAE = treatment emergent adverse event</w:t>
      </w:r>
    </w:p>
    <w:p w14:paraId="64DEBD36" w14:textId="2D17C45E" w:rsidR="00104052" w:rsidRDefault="00104052" w:rsidP="00104052">
      <w:pPr>
        <w:pStyle w:val="TableTitle"/>
      </w:pPr>
      <w:bookmarkStart w:id="74" w:name="_Ref97544913"/>
      <w:r w:rsidRPr="00104052">
        <w:t xml:space="preserve">Table </w:t>
      </w:r>
      <w:r>
        <w:fldChar w:fldCharType="begin"/>
      </w:r>
      <w:r>
        <w:instrText>SEQ Table \* ARABIC</w:instrText>
      </w:r>
      <w:r>
        <w:fldChar w:fldCharType="separate"/>
      </w:r>
      <w:r w:rsidR="002C4E0E">
        <w:rPr>
          <w:noProof/>
        </w:rPr>
        <w:t>20</w:t>
      </w:r>
      <w:r>
        <w:fldChar w:fldCharType="end"/>
      </w:r>
      <w:bookmarkEnd w:id="74"/>
      <w:r>
        <w:t>: Treatment-emergent cardiac adverse events in safety pool (safety population)</w:t>
      </w:r>
    </w:p>
    <w:p w14:paraId="6D1AE367" w14:textId="02D5CE0D" w:rsidR="00104052" w:rsidRDefault="00AC2A2B" w:rsidP="00207761">
      <w:pPr>
        <w:pStyle w:val="TableDescription"/>
      </w:pPr>
      <w:r>
        <w:rPr>
          <w:noProof/>
          <w:lang w:val="en-GB" w:eastAsia="en-GB"/>
        </w:rPr>
        <w:drawing>
          <wp:inline distT="0" distB="0" distL="0" distR="0" wp14:anchorId="692BCEA7" wp14:editId="4E96689A">
            <wp:extent cx="4718304" cy="1272845"/>
            <wp:effectExtent l="0" t="0" r="6350" b="3810"/>
            <wp:docPr id="23" name="Picture 23" descr="Treatment-emergent cardiac adverse events in safety pool (safety population)"/>
            <wp:cNvGraphicFramePr/>
            <a:graphic xmlns:a="http://schemas.openxmlformats.org/drawingml/2006/main">
              <a:graphicData uri="http://schemas.openxmlformats.org/drawingml/2006/picture">
                <pic:pic xmlns:pic="http://schemas.openxmlformats.org/drawingml/2006/picture">
                  <pic:nvPicPr>
                    <pic:cNvPr id="23" name="Picture 23" descr="Treatment-emergent cardiac adverse events in safety pool (safety population)"/>
                    <pic:cNvPicPr/>
                  </pic:nvPicPr>
                  <pic:blipFill rotWithShape="1">
                    <a:blip r:embed="rId52"/>
                    <a:srcRect r="36467" b="36029"/>
                    <a:stretch/>
                  </pic:blipFill>
                  <pic:spPr bwMode="auto">
                    <a:xfrm>
                      <a:off x="0" y="0"/>
                      <a:ext cx="4744273" cy="1279851"/>
                    </a:xfrm>
                    <a:prstGeom prst="rect">
                      <a:avLst/>
                    </a:prstGeom>
                    <a:ln>
                      <a:noFill/>
                    </a:ln>
                    <a:extLst>
                      <a:ext uri="{53640926-AAD7-44D8-BBD7-CCE9431645EC}">
                        <a14:shadowObscured xmlns:a14="http://schemas.microsoft.com/office/drawing/2010/main"/>
                      </a:ext>
                    </a:extLst>
                  </pic:spPr>
                </pic:pic>
              </a:graphicData>
            </a:graphic>
          </wp:inline>
        </w:drawing>
      </w:r>
    </w:p>
    <w:p w14:paraId="5F4E760D" w14:textId="65D34EDC" w:rsidR="00207761" w:rsidRDefault="00207761" w:rsidP="00207761">
      <w:pPr>
        <w:pStyle w:val="TableDescription"/>
      </w:pPr>
      <w:r>
        <w:t>*MACE (major cardiovascular event) is defined as the composite of cardiovascular death, resuscitated cardiac arrest, non-fatal myocardial infarction, and stroke (ischemic or haemorrhagic)</w:t>
      </w:r>
    </w:p>
    <w:p w14:paraId="7685425C" w14:textId="55828268" w:rsidR="00207761" w:rsidRDefault="00207761" w:rsidP="00207761">
      <w:pPr>
        <w:pStyle w:val="TableDescription"/>
      </w:pPr>
      <w:r>
        <w:t>Abbreviation: CV = cardiovascular; E = event count; ISAP = integrated statistical analysis plan; MI = myocardial infarction.</w:t>
      </w:r>
    </w:p>
    <w:p w14:paraId="55686502" w14:textId="77777777" w:rsidR="00207761" w:rsidRDefault="00207761" w:rsidP="00C51202">
      <w:pPr>
        <w:pStyle w:val="Heading6"/>
        <w:rPr>
          <w:rFonts w:eastAsia="TimesNewRoman"/>
        </w:rPr>
      </w:pPr>
      <w:r>
        <w:rPr>
          <w:rFonts w:eastAsia="TimesNewRoman"/>
        </w:rPr>
        <w:t>Hepatic safety</w:t>
      </w:r>
    </w:p>
    <w:p w14:paraId="20F7E248" w14:textId="5EAE1B01" w:rsidR="00207761" w:rsidRDefault="00207761" w:rsidP="00C51202">
      <w:r>
        <w:t xml:space="preserve">TEAEs related to hepatic events were balanced across the </w:t>
      </w:r>
      <w:proofErr w:type="spellStart"/>
      <w:r>
        <w:t>inclisiran</w:t>
      </w:r>
      <w:proofErr w:type="spellEnd"/>
      <w:r>
        <w:t xml:space="preserve"> and placebo treatment groups.</w:t>
      </w:r>
    </w:p>
    <w:p w14:paraId="60B0B4DA" w14:textId="718E630C" w:rsidR="00207761" w:rsidRDefault="00207761" w:rsidP="00C51202">
      <w:r>
        <w:lastRenderedPageBreak/>
        <w:t xml:space="preserve">Evaluation of laboratory parameters for liver function showed that clinically significant elevations in </w:t>
      </w:r>
      <w:r w:rsidR="001D5E94" w:rsidRPr="001D5E94">
        <w:t xml:space="preserve">alanine aminotransferase </w:t>
      </w:r>
      <w:r w:rsidR="001D5E94">
        <w:t>(</w:t>
      </w:r>
      <w:r>
        <w:t>ALT</w:t>
      </w:r>
      <w:r w:rsidR="001D5E94">
        <w:t>)</w:t>
      </w:r>
      <w:r>
        <w:t xml:space="preserve"> and </w:t>
      </w:r>
      <w:r w:rsidR="001D5E94">
        <w:t>a</w:t>
      </w:r>
      <w:r w:rsidR="001D5E94" w:rsidRPr="001D5E94">
        <w:t xml:space="preserve">spartate transaminase </w:t>
      </w:r>
      <w:r w:rsidR="001D5E94">
        <w:t>(</w:t>
      </w:r>
      <w:r>
        <w:t>AST</w:t>
      </w:r>
      <w:r w:rsidR="001D5E94">
        <w:t>)</w:t>
      </w:r>
      <w:r>
        <w:t xml:space="preserve"> &gt;</w:t>
      </w:r>
      <w:r w:rsidR="001D5E94">
        <w:t> </w:t>
      </w:r>
      <w:r>
        <w:t>3</w:t>
      </w:r>
      <w:r w:rsidR="00C51202">
        <w:t xml:space="preserve"> </w:t>
      </w:r>
      <w:r w:rsidR="00D74BF9">
        <w:t>times of the</w:t>
      </w:r>
      <w:r>
        <w:t xml:space="preserve"> </w:t>
      </w:r>
      <w:r w:rsidR="00D74BF9">
        <w:t>upper limit of normal (</w:t>
      </w:r>
      <w:r>
        <w:t>ULN</w:t>
      </w:r>
      <w:r w:rsidR="00D74BF9">
        <w:t>)</w:t>
      </w:r>
      <w:r>
        <w:t xml:space="preserve"> were comparable in the </w:t>
      </w:r>
      <w:proofErr w:type="spellStart"/>
      <w:r>
        <w:t>inclisiran</w:t>
      </w:r>
      <w:proofErr w:type="spellEnd"/>
      <w:r w:rsidR="00C51202">
        <w:t xml:space="preserve"> </w:t>
      </w:r>
      <w:r>
        <w:t>treated and placebo</w:t>
      </w:r>
      <w:r w:rsidR="00C51202">
        <w:t xml:space="preserve"> </w:t>
      </w:r>
      <w:r>
        <w:t xml:space="preserve">treated groups in the </w:t>
      </w:r>
      <w:r w:rsidR="00D74BF9">
        <w:t>s</w:t>
      </w:r>
      <w:r>
        <w:t xml:space="preserve">afety </w:t>
      </w:r>
      <w:r w:rsidR="00D74BF9">
        <w:t>p</w:t>
      </w:r>
      <w:r>
        <w:t>ool. Elevations in ALT and AST &gt;</w:t>
      </w:r>
      <w:r w:rsidR="00C51202">
        <w:t xml:space="preserve"> </w:t>
      </w:r>
      <w:r>
        <w:t>1</w:t>
      </w:r>
      <w:r w:rsidR="00D74BF9">
        <w:t xml:space="preserve"> times the</w:t>
      </w:r>
      <w:r>
        <w:t xml:space="preserve"> ULN and ≤</w:t>
      </w:r>
      <w:r w:rsidR="001D5E94">
        <w:t> </w:t>
      </w:r>
      <w:r>
        <w:t xml:space="preserve">3 </w:t>
      </w:r>
      <w:r w:rsidR="00D74BF9">
        <w:t>times</w:t>
      </w:r>
      <w:r>
        <w:t xml:space="preserve"> ULN were observed more frequently with </w:t>
      </w:r>
      <w:proofErr w:type="spellStart"/>
      <w:r>
        <w:t>inclisiran</w:t>
      </w:r>
      <w:proofErr w:type="spellEnd"/>
      <w:r>
        <w:t xml:space="preserve"> (19.7% for ALT, 17.2% for AST) than placebo (13.6% for ALT, 11.1% for AST). </w:t>
      </w:r>
      <w:r>
        <w:rPr>
          <w:color w:val="000000"/>
        </w:rPr>
        <w:t xml:space="preserve">The effect on liver enzymes was transient in most cases, although some subjects in the </w:t>
      </w:r>
      <w:proofErr w:type="spellStart"/>
      <w:r>
        <w:rPr>
          <w:color w:val="000000"/>
        </w:rPr>
        <w:t>inclisiran</w:t>
      </w:r>
      <w:proofErr w:type="spellEnd"/>
      <w:r>
        <w:rPr>
          <w:color w:val="000000"/>
        </w:rPr>
        <w:t xml:space="preserve"> group showed a more sustained effect (</w:t>
      </w:r>
      <w:r w:rsidR="00C51202">
        <w:rPr>
          <w:color w:val="000000"/>
        </w:rPr>
        <w:t>that is</w:t>
      </w:r>
      <w:r>
        <w:rPr>
          <w:color w:val="000000"/>
        </w:rPr>
        <w:t xml:space="preserve"> </w:t>
      </w:r>
      <w:r>
        <w:t xml:space="preserve">for at least </w:t>
      </w:r>
      <w:r w:rsidR="00C51202">
        <w:t>two</w:t>
      </w:r>
      <w:r>
        <w:t xml:space="preserve"> consecutive visits). Subjects across the entire clinical trial program were assessed against two definitions </w:t>
      </w:r>
      <w:r w:rsidRPr="004B4012">
        <w:t xml:space="preserve">of Hy’s law described in the Health Canada guidance document </w:t>
      </w:r>
      <w:r w:rsidRPr="004B4012">
        <w:rPr>
          <w:rFonts w:asciiTheme="minorHAnsi" w:eastAsiaTheme="minorHAnsi" w:hAnsiTheme="minorHAnsi"/>
          <w:iCs/>
        </w:rPr>
        <w:t>Pre-Market Evaluation of Hepatotoxicity in Health Products</w:t>
      </w:r>
      <w:r>
        <w:rPr>
          <w:rFonts w:asciiTheme="minorHAnsi" w:eastAsiaTheme="minorHAnsi" w:hAnsiTheme="minorHAnsi"/>
          <w:iCs/>
        </w:rPr>
        <w:t>,</w:t>
      </w:r>
      <w:r w:rsidR="004B4012">
        <w:rPr>
          <w:rStyle w:val="FootnoteReference"/>
          <w:rFonts w:asciiTheme="minorHAnsi" w:eastAsiaTheme="minorHAnsi" w:hAnsiTheme="minorHAnsi"/>
          <w:iCs/>
        </w:rPr>
        <w:footnoteReference w:id="16"/>
      </w:r>
      <w:r>
        <w:rPr>
          <w:rFonts w:asciiTheme="minorHAnsi" w:eastAsiaTheme="minorHAnsi" w:hAnsiTheme="minorHAnsi"/>
          <w:iCs/>
        </w:rPr>
        <w:t xml:space="preserve"> and there were n</w:t>
      </w:r>
      <w:r>
        <w:t>o cases which met either definition of Hy’s law.</w:t>
      </w:r>
    </w:p>
    <w:p w14:paraId="76170115" w14:textId="4CD36138" w:rsidR="00207761" w:rsidRDefault="00207761" w:rsidP="00C51202">
      <w:r>
        <w:t>A</w:t>
      </w:r>
      <w:r w:rsidR="00D74BF9">
        <w:t>dverse events</w:t>
      </w:r>
      <w:r>
        <w:t xml:space="preserve"> by hepatic function were assessed in the hepatic impairment study and in post-hoc analyses in the </w:t>
      </w:r>
      <w:r w:rsidR="00D74BF9">
        <w:t>s</w:t>
      </w:r>
      <w:r>
        <w:t xml:space="preserve">afety </w:t>
      </w:r>
      <w:r w:rsidR="00D74BF9">
        <w:t>p</w:t>
      </w:r>
      <w:r>
        <w:t>ool.</w:t>
      </w:r>
      <w:r w:rsidR="00D74BF9">
        <w:t xml:space="preserve"> </w:t>
      </w:r>
      <w:r>
        <w:t xml:space="preserve">The safety of </w:t>
      </w:r>
      <w:proofErr w:type="spellStart"/>
      <w:r>
        <w:t>inclisiran</w:t>
      </w:r>
      <w:proofErr w:type="spellEnd"/>
      <w:r>
        <w:t xml:space="preserve"> has not been assessed in patients with severe hepatic impairment.</w:t>
      </w:r>
      <w:r w:rsidR="00D74BF9">
        <w:t xml:space="preserve"> </w:t>
      </w:r>
      <w:r>
        <w:t xml:space="preserve">Subjects with </w:t>
      </w:r>
      <w:r>
        <w:rPr>
          <w:color w:val="000000"/>
        </w:rPr>
        <w:t>active liver disease or unexplained elevations in ALT, AST, &gt;</w:t>
      </w:r>
      <w:r w:rsidR="00165454">
        <w:rPr>
          <w:color w:val="000000"/>
        </w:rPr>
        <w:t xml:space="preserve"> </w:t>
      </w:r>
      <w:r>
        <w:rPr>
          <w:color w:val="000000"/>
        </w:rPr>
        <w:t>3</w:t>
      </w:r>
      <w:r w:rsidR="00165454">
        <w:rPr>
          <w:color w:val="000000"/>
        </w:rPr>
        <w:t xml:space="preserve"> times</w:t>
      </w:r>
      <w:r>
        <w:rPr>
          <w:color w:val="000000"/>
        </w:rPr>
        <w:t xml:space="preserve"> the ULN, or total bilirubin &gt;</w:t>
      </w:r>
      <w:r w:rsidR="00165454">
        <w:rPr>
          <w:color w:val="000000"/>
        </w:rPr>
        <w:t xml:space="preserve"> </w:t>
      </w:r>
      <w:r>
        <w:rPr>
          <w:color w:val="000000"/>
        </w:rPr>
        <w:t>2</w:t>
      </w:r>
      <w:r w:rsidR="00165454">
        <w:rPr>
          <w:color w:val="000000"/>
        </w:rPr>
        <w:t xml:space="preserve"> times</w:t>
      </w:r>
      <w:r>
        <w:rPr>
          <w:color w:val="000000"/>
        </w:rPr>
        <w:t xml:space="preserve"> </w:t>
      </w:r>
      <w:r w:rsidR="00165454">
        <w:rPr>
          <w:color w:val="000000"/>
        </w:rPr>
        <w:t xml:space="preserve">the </w:t>
      </w:r>
      <w:r>
        <w:rPr>
          <w:color w:val="000000"/>
        </w:rPr>
        <w:t xml:space="preserve">ULN, </w:t>
      </w:r>
      <w:r>
        <w:t>were excluded from the pivotal trials.</w:t>
      </w:r>
    </w:p>
    <w:p w14:paraId="6B91866D" w14:textId="77777777" w:rsidR="00207761" w:rsidRDefault="00207761" w:rsidP="00165454">
      <w:pPr>
        <w:pStyle w:val="Heading6"/>
      </w:pPr>
      <w:r>
        <w:t>Renal safety</w:t>
      </w:r>
    </w:p>
    <w:p w14:paraId="48DEF0EB" w14:textId="5ECD0DC6" w:rsidR="00207761" w:rsidRPr="00165454" w:rsidRDefault="00207761" w:rsidP="00C51202">
      <w:r>
        <w:t xml:space="preserve">There were no clinically meaningful differences between the treatment groups </w:t>
      </w:r>
      <w:proofErr w:type="gramStart"/>
      <w:r>
        <w:t>with regard to</w:t>
      </w:r>
      <w:proofErr w:type="gramEnd"/>
      <w:r>
        <w:t xml:space="preserve"> changes in renal function (serum creatinine, blood urea nitrogen, and eGFR), creatine kinase, and haematology and coagulation parameters.</w:t>
      </w:r>
    </w:p>
    <w:p w14:paraId="2BCD41D0" w14:textId="5F8AE60B" w:rsidR="00207761" w:rsidRDefault="00207761" w:rsidP="00C51202">
      <w:r>
        <w:t xml:space="preserve">Subjects with mild and moderate renal impairment represented 55% and 16% of the pivotal trials’ populations, respectively. Safety findings in these populations were </w:t>
      </w:r>
      <w:proofErr w:type="gramStart"/>
      <w:r>
        <w:t>similar to</w:t>
      </w:r>
      <w:proofErr w:type="gramEnd"/>
      <w:r>
        <w:t xml:space="preserve"> subjects with normal renal function. Subjects with severe renal impairment represented 0.6% of the pivotal trials’ populations, so safety conclusions in this population are limited. Patients with ESRD were not studied.</w:t>
      </w:r>
    </w:p>
    <w:p w14:paraId="7C628540" w14:textId="77777777" w:rsidR="00207761" w:rsidRDefault="00207761" w:rsidP="00165454">
      <w:pPr>
        <w:pStyle w:val="Heading6"/>
      </w:pPr>
      <w:r w:rsidRPr="00165454">
        <w:t>Other laboratory parameters</w:t>
      </w:r>
    </w:p>
    <w:p w14:paraId="6A9EED65" w14:textId="2F6E2EB8" w:rsidR="00207761" w:rsidRDefault="00207761" w:rsidP="00C51202">
      <w:r>
        <w:t xml:space="preserve">There were no clinically meaningful differences between the treatment groups </w:t>
      </w:r>
      <w:proofErr w:type="gramStart"/>
      <w:r>
        <w:t>with regard to</w:t>
      </w:r>
      <w:proofErr w:type="gramEnd"/>
      <w:r>
        <w:t xml:space="preserve"> changes in creatine kinase, and haematology and coagulation parameters.</w:t>
      </w:r>
    </w:p>
    <w:p w14:paraId="6E063359" w14:textId="77777777" w:rsidR="00207761" w:rsidRDefault="00207761" w:rsidP="00165454">
      <w:pPr>
        <w:pStyle w:val="Heading6"/>
        <w:rPr>
          <w:rFonts w:eastAsia="TimesNewRoman"/>
        </w:rPr>
      </w:pPr>
      <w:r>
        <w:rPr>
          <w:rFonts w:eastAsia="TimesNewRoman"/>
        </w:rPr>
        <w:t>Diabetes and glycaemic control</w:t>
      </w:r>
    </w:p>
    <w:p w14:paraId="7EECE09A" w14:textId="657F04A0" w:rsidR="00207761" w:rsidRDefault="00207761" w:rsidP="00C51202">
      <w:r>
        <w:t>Safety analyses relating to diabetes included change in glucose</w:t>
      </w:r>
      <w:r w:rsidR="00165454">
        <w:t xml:space="preserve"> </w:t>
      </w:r>
      <w:r>
        <w:t xml:space="preserve">related laboratory values over time, shifts from </w:t>
      </w:r>
      <w:r w:rsidR="006E2CE7">
        <w:t>B</w:t>
      </w:r>
      <w:r>
        <w:t>aseline in glucose control category, incidence of post-baseline new</w:t>
      </w:r>
      <w:r w:rsidR="00165454">
        <w:t xml:space="preserve"> </w:t>
      </w:r>
      <w:r>
        <w:t>onset of diabetes, and TEAEs related to development or worsening of diabetes mellitus.</w:t>
      </w:r>
    </w:p>
    <w:p w14:paraId="60717D23" w14:textId="791A49AC" w:rsidR="00207761" w:rsidRDefault="00207761" w:rsidP="00C51202">
      <w:r>
        <w:t xml:space="preserve">No difference was seen in the shift from </w:t>
      </w:r>
      <w:r w:rsidR="006E2CE7">
        <w:t>B</w:t>
      </w:r>
      <w:r>
        <w:t xml:space="preserve">aseline to maximum change upon treatment for plasma glucose, but a small difference was observed for subjects with </w:t>
      </w:r>
      <w:r w:rsidR="001D5E94">
        <w:t xml:space="preserve">haemoglobin </w:t>
      </w:r>
      <w:r>
        <w:t>A1c ≥</w:t>
      </w:r>
      <w:r w:rsidR="006255F8">
        <w:t> </w:t>
      </w:r>
      <w:r>
        <w:t xml:space="preserve">6.5% (26.5% at </w:t>
      </w:r>
      <w:r w:rsidR="006E2CE7">
        <w:t>B</w:t>
      </w:r>
      <w:r>
        <w:t xml:space="preserve">aseline and 29.4% post-baseline for </w:t>
      </w:r>
      <w:proofErr w:type="spellStart"/>
      <w:r>
        <w:t>inclisiran</w:t>
      </w:r>
      <w:proofErr w:type="spellEnd"/>
      <w:r>
        <w:t xml:space="preserve">, compared to 25.6% at </w:t>
      </w:r>
      <w:r w:rsidR="006E2CE7">
        <w:t>B</w:t>
      </w:r>
      <w:r>
        <w:t>aseline and 26.3% post-baseline for placebo).</w:t>
      </w:r>
    </w:p>
    <w:p w14:paraId="7CDA9807" w14:textId="7495537A" w:rsidR="00207761" w:rsidRDefault="00207761" w:rsidP="00C51202">
      <w:r>
        <w:t xml:space="preserve">Analyses of </w:t>
      </w:r>
      <w:r w:rsidR="006E2CE7">
        <w:t>s</w:t>
      </w:r>
      <w:r>
        <w:t xml:space="preserve">hifts from </w:t>
      </w:r>
      <w:r w:rsidR="006E2CE7">
        <w:t>B</w:t>
      </w:r>
      <w:r>
        <w:t xml:space="preserve">aseline in glucose control category based on fasting glucose and </w:t>
      </w:r>
      <w:r w:rsidR="001D5E94">
        <w:t xml:space="preserve">haemoglobin </w:t>
      </w:r>
      <w:r>
        <w:t>A1c showed a small difference (</w:t>
      </w:r>
      <w:proofErr w:type="spellStart"/>
      <w:r>
        <w:t>inclisiran</w:t>
      </w:r>
      <w:proofErr w:type="spellEnd"/>
      <w:r>
        <w:t xml:space="preserve"> 25.2% v</w:t>
      </w:r>
      <w:r w:rsidR="006E2CE7">
        <w:t>ersus</w:t>
      </w:r>
      <w:r>
        <w:t xml:space="preserve"> placebo 21.7%) in the proportion of patients who shifted to a worse category (</w:t>
      </w:r>
      <w:r w:rsidR="006E2CE7">
        <w:t xml:space="preserve">that is </w:t>
      </w:r>
      <w:r>
        <w:t>normal to impaired, normal to diabetes, or impaired to diabetes). This observation was seen across subgroups defined by baseline metabolic status (subjects with diabetes, metabolic syndrome without diabetes, or neither).</w:t>
      </w:r>
    </w:p>
    <w:p w14:paraId="69074F75" w14:textId="21E44EDE" w:rsidR="00207761" w:rsidRDefault="00207761" w:rsidP="00C51202">
      <w:r>
        <w:t xml:space="preserve">In subjects without diabetes at </w:t>
      </w:r>
      <w:r w:rsidR="006E2CE7">
        <w:t>B</w:t>
      </w:r>
      <w:r>
        <w:t xml:space="preserve">aseline, new onset of diabetes (defined as </w:t>
      </w:r>
      <w:r w:rsidR="001D5E94">
        <w:t>one</w:t>
      </w:r>
      <w:r>
        <w:t xml:space="preserve"> or more of the diabetes components listed in</w:t>
      </w:r>
      <w:r w:rsidR="00765232">
        <w:t xml:space="preserve"> </w:t>
      </w:r>
      <w:r w:rsidR="00765232">
        <w:fldChar w:fldCharType="begin"/>
      </w:r>
      <w:r w:rsidR="00765232">
        <w:instrText xml:space="preserve"> REF _Ref97726493 \h </w:instrText>
      </w:r>
      <w:r w:rsidR="00765232">
        <w:fldChar w:fldCharType="separate"/>
      </w:r>
      <w:r w:rsidR="002C4E0E" w:rsidRPr="00765232">
        <w:t xml:space="preserve">Table </w:t>
      </w:r>
      <w:r w:rsidR="002C4E0E">
        <w:rPr>
          <w:noProof/>
        </w:rPr>
        <w:t>21</w:t>
      </w:r>
      <w:r w:rsidR="00765232">
        <w:fldChar w:fldCharType="end"/>
      </w:r>
      <w:r w:rsidR="00765232">
        <w:t>)</w:t>
      </w:r>
      <w:r>
        <w:t xml:space="preserve"> was reported in 4.3% on </w:t>
      </w:r>
      <w:proofErr w:type="spellStart"/>
      <w:r>
        <w:t>inclisiran</w:t>
      </w:r>
      <w:proofErr w:type="spellEnd"/>
      <w:r>
        <w:t xml:space="preserve"> and 4.7% on placebo, and in subjects with baseline fasting glucose ≥</w:t>
      </w:r>
      <w:r w:rsidR="00765232">
        <w:t xml:space="preserve"> </w:t>
      </w:r>
      <w:r>
        <w:t>100 and &lt;</w:t>
      </w:r>
      <w:r w:rsidR="00765232">
        <w:t xml:space="preserve"> </w:t>
      </w:r>
      <w:r>
        <w:t xml:space="preserve">126 mg/dL, new onset diabetes was reported in 14.6% on </w:t>
      </w:r>
      <w:proofErr w:type="spellStart"/>
      <w:r>
        <w:t>inclisiran</w:t>
      </w:r>
      <w:proofErr w:type="spellEnd"/>
      <w:r>
        <w:t xml:space="preserve"> and 13.8% on placebo</w:t>
      </w:r>
      <w:r w:rsidR="00765232">
        <w:t xml:space="preserve"> (</w:t>
      </w:r>
      <w:r w:rsidR="00765232">
        <w:fldChar w:fldCharType="begin"/>
      </w:r>
      <w:r w:rsidR="00765232">
        <w:instrText xml:space="preserve"> REF _Ref97726493 \h </w:instrText>
      </w:r>
      <w:r w:rsidR="00765232">
        <w:fldChar w:fldCharType="separate"/>
      </w:r>
      <w:r w:rsidR="002C4E0E" w:rsidRPr="00765232">
        <w:t xml:space="preserve">Table </w:t>
      </w:r>
      <w:r w:rsidR="002C4E0E">
        <w:rPr>
          <w:noProof/>
        </w:rPr>
        <w:t>21</w:t>
      </w:r>
      <w:r w:rsidR="00765232">
        <w:fldChar w:fldCharType="end"/>
      </w:r>
      <w:r w:rsidR="00765232">
        <w:t>)</w:t>
      </w:r>
      <w:r>
        <w:t xml:space="preserve">. In </w:t>
      </w:r>
      <w:r>
        <w:lastRenderedPageBreak/>
        <w:t xml:space="preserve">further analyses conducted by the evaluator, a higher incidence of post-baseline new onset of diabetes in the </w:t>
      </w:r>
      <w:proofErr w:type="spellStart"/>
      <w:r>
        <w:t>inclisiran</w:t>
      </w:r>
      <w:proofErr w:type="spellEnd"/>
      <w:r>
        <w:t xml:space="preserve"> group compared to the placebo group was observed only in subjects with metabolic syndrome with no diabetes </w:t>
      </w:r>
      <w:r w:rsidR="00050291">
        <w:t>at Baseline</w:t>
      </w:r>
      <w:r>
        <w:t xml:space="preserve"> and with baseline fasting glucose ≥</w:t>
      </w:r>
      <w:r w:rsidR="00EB0926">
        <w:t> </w:t>
      </w:r>
      <w:r>
        <w:t>100 and &lt;</w:t>
      </w:r>
      <w:r w:rsidR="00EB0926">
        <w:t> </w:t>
      </w:r>
      <w:r>
        <w:t xml:space="preserve">126 mg/dL </w:t>
      </w:r>
      <w:r w:rsidR="00765232">
        <w:t>(</w:t>
      </w:r>
      <w:r w:rsidR="00765232">
        <w:fldChar w:fldCharType="begin"/>
      </w:r>
      <w:r w:rsidR="00765232">
        <w:instrText xml:space="preserve"> REF _Ref97726538 \h </w:instrText>
      </w:r>
      <w:r w:rsidR="00765232">
        <w:fldChar w:fldCharType="separate"/>
      </w:r>
      <w:r w:rsidR="002C4E0E" w:rsidRPr="00AE1F14">
        <w:t xml:space="preserve">Table </w:t>
      </w:r>
      <w:r w:rsidR="002C4E0E">
        <w:rPr>
          <w:noProof/>
        </w:rPr>
        <w:t>22</w:t>
      </w:r>
      <w:r w:rsidR="00765232">
        <w:fldChar w:fldCharType="end"/>
      </w:r>
      <w:r w:rsidR="00765232">
        <w:t>)</w:t>
      </w:r>
      <w:r>
        <w:t>.</w:t>
      </w:r>
    </w:p>
    <w:p w14:paraId="0AD1A01C" w14:textId="19C8A1F9" w:rsidR="00207761" w:rsidRDefault="00765232" w:rsidP="00765232">
      <w:pPr>
        <w:pStyle w:val="TableTitle"/>
      </w:pPr>
      <w:bookmarkStart w:id="75" w:name="_Ref97726493"/>
      <w:r w:rsidRPr="00765232">
        <w:t xml:space="preserve">Table </w:t>
      </w:r>
      <w:r>
        <w:fldChar w:fldCharType="begin"/>
      </w:r>
      <w:r>
        <w:instrText>SEQ Table \* ARABIC</w:instrText>
      </w:r>
      <w:r>
        <w:fldChar w:fldCharType="separate"/>
      </w:r>
      <w:r w:rsidR="002C4E0E">
        <w:rPr>
          <w:noProof/>
        </w:rPr>
        <w:t>21</w:t>
      </w:r>
      <w:r>
        <w:fldChar w:fldCharType="end"/>
      </w:r>
      <w:bookmarkEnd w:id="75"/>
      <w:r>
        <w:t>:</w:t>
      </w:r>
      <w:r w:rsidRPr="00765232">
        <w:t xml:space="preserve"> Incidence of </w:t>
      </w:r>
      <w:r>
        <w:t>p</w:t>
      </w:r>
      <w:r w:rsidRPr="00765232">
        <w:t>ost-</w:t>
      </w:r>
      <w:r>
        <w:t>b</w:t>
      </w:r>
      <w:r w:rsidRPr="00765232">
        <w:t xml:space="preserve">aseline </w:t>
      </w:r>
      <w:r>
        <w:t>n</w:t>
      </w:r>
      <w:r w:rsidRPr="00765232">
        <w:t>ew</w:t>
      </w:r>
      <w:r>
        <w:t xml:space="preserve"> o</w:t>
      </w:r>
      <w:r w:rsidRPr="00765232">
        <w:t xml:space="preserve">nset of </w:t>
      </w:r>
      <w:r>
        <w:t>d</w:t>
      </w:r>
      <w:r w:rsidRPr="00765232">
        <w:t xml:space="preserve">iabetes in the </w:t>
      </w:r>
      <w:r>
        <w:t>s</w:t>
      </w:r>
      <w:r w:rsidRPr="00765232">
        <w:t xml:space="preserve">afety </w:t>
      </w:r>
      <w:r>
        <w:t>p</w:t>
      </w:r>
      <w:r w:rsidRPr="00765232">
        <w:t>ool (</w:t>
      </w:r>
      <w:r>
        <w:t>s</w:t>
      </w:r>
      <w:r w:rsidRPr="00765232">
        <w:t xml:space="preserve">afety </w:t>
      </w:r>
      <w:r>
        <w:t>p</w:t>
      </w:r>
      <w:r w:rsidRPr="00765232">
        <w:t>opulation)</w:t>
      </w:r>
    </w:p>
    <w:p w14:paraId="027C2FE1" w14:textId="3583FC28" w:rsidR="00765232" w:rsidRDefault="00765232" w:rsidP="00765232">
      <w:r>
        <w:rPr>
          <w:noProof/>
          <w:lang w:val="en-GB" w:eastAsia="en-GB"/>
        </w:rPr>
        <w:drawing>
          <wp:inline distT="0" distB="0" distL="0" distR="0" wp14:anchorId="13D798E2" wp14:editId="0AA50548">
            <wp:extent cx="4433011" cy="2962656"/>
            <wp:effectExtent l="0" t="0" r="5715" b="9525"/>
            <wp:docPr id="26" name="Picture 26" descr="Incidence of post-baseline new onset of diabetes in the safety pool (safety population)"/>
            <wp:cNvGraphicFramePr/>
            <a:graphic xmlns:a="http://schemas.openxmlformats.org/drawingml/2006/main">
              <a:graphicData uri="http://schemas.openxmlformats.org/drawingml/2006/picture">
                <pic:pic xmlns:pic="http://schemas.openxmlformats.org/drawingml/2006/picture">
                  <pic:nvPicPr>
                    <pic:cNvPr id="26" name="Picture 26" descr="Incidence of post-baseline new onset of diabetes in the safety pool (safety population)"/>
                    <pic:cNvPicPr/>
                  </pic:nvPicPr>
                  <pic:blipFill rotWithShape="1">
                    <a:blip r:embed="rId53"/>
                    <a:srcRect b="19228"/>
                    <a:stretch/>
                  </pic:blipFill>
                  <pic:spPr bwMode="auto">
                    <a:xfrm>
                      <a:off x="0" y="0"/>
                      <a:ext cx="4447783" cy="2972528"/>
                    </a:xfrm>
                    <a:prstGeom prst="rect">
                      <a:avLst/>
                    </a:prstGeom>
                    <a:ln>
                      <a:noFill/>
                    </a:ln>
                    <a:extLst>
                      <a:ext uri="{53640926-AAD7-44D8-BBD7-CCE9431645EC}">
                        <a14:shadowObscured xmlns:a14="http://schemas.microsoft.com/office/drawing/2010/main"/>
                      </a:ext>
                    </a:extLst>
                  </pic:spPr>
                </pic:pic>
              </a:graphicData>
            </a:graphic>
          </wp:inline>
        </w:drawing>
      </w:r>
    </w:p>
    <w:p w14:paraId="236D5516" w14:textId="549410F4" w:rsidR="00765232" w:rsidRDefault="00765232" w:rsidP="00765232">
      <w:pPr>
        <w:pStyle w:val="TableDescription"/>
      </w:pPr>
      <w:r>
        <w:t>* No diabetes at Baseline is defined as no medical history of diabetes in the targeted medical history CRF, HbA</w:t>
      </w:r>
      <w:r w:rsidR="00AE1F14">
        <w:t>1</w:t>
      </w:r>
      <w:r>
        <w:t xml:space="preserve">c &lt; 6.5% </w:t>
      </w:r>
      <w:r w:rsidR="00050291">
        <w:t>at Baseline</w:t>
      </w:r>
      <w:r>
        <w:t xml:space="preserve">, and fasting glucose &lt; 126 mg/dL at Baseline (note that baseline is defined as the average of Screening and Day 1 fasting glucose values, if 1 </w:t>
      </w:r>
      <w:r w:rsidR="00AE1F14">
        <w:t>fasting glucose value is missing (Screening or Day 1), the assessment will be based on the available data).</w:t>
      </w:r>
    </w:p>
    <w:p w14:paraId="260C3593" w14:textId="3D700193" w:rsidR="00AE1F14" w:rsidRDefault="00AE1F14" w:rsidP="00AE1F14">
      <w:pPr>
        <w:pStyle w:val="TableDescription"/>
      </w:pPr>
      <w:r>
        <w:t xml:space="preserve">Abbreviations: CRF = case report form; Hba1c = glycated </w:t>
      </w:r>
      <w:proofErr w:type="spellStart"/>
      <w:r>
        <w:t>hemoglobin</w:t>
      </w:r>
      <w:proofErr w:type="spellEnd"/>
      <w:r>
        <w:t xml:space="preserve"> A1c; SMQ = standardised MedDRA Queries; TEAE = </w:t>
      </w:r>
      <w:bookmarkStart w:id="76" w:name="_Hlk97727257"/>
      <w:r>
        <w:t>treatment emergent adverse event.</w:t>
      </w:r>
    </w:p>
    <w:p w14:paraId="5065719C" w14:textId="7CFD3769" w:rsidR="00765232" w:rsidRDefault="00765232" w:rsidP="00AE1F14">
      <w:pPr>
        <w:pStyle w:val="TableTitle"/>
      </w:pPr>
      <w:bookmarkStart w:id="77" w:name="_Ref97726538"/>
      <w:bookmarkEnd w:id="76"/>
      <w:r w:rsidRPr="00AE1F14">
        <w:t xml:space="preserve">Table </w:t>
      </w:r>
      <w:r>
        <w:fldChar w:fldCharType="begin"/>
      </w:r>
      <w:r>
        <w:instrText>SEQ Table \* ARABIC</w:instrText>
      </w:r>
      <w:r>
        <w:fldChar w:fldCharType="separate"/>
      </w:r>
      <w:r w:rsidR="002C4E0E">
        <w:rPr>
          <w:noProof/>
        </w:rPr>
        <w:t>22</w:t>
      </w:r>
      <w:r>
        <w:fldChar w:fldCharType="end"/>
      </w:r>
      <w:bookmarkEnd w:id="77"/>
      <w:r>
        <w:t>:</w:t>
      </w:r>
      <w:r w:rsidR="00AE1F14">
        <w:t xml:space="preserve"> </w:t>
      </w:r>
      <w:r w:rsidR="00AE1F14" w:rsidRPr="00AE1F14">
        <w:t xml:space="preserve">Incidence of post-baseline new-onset of diabetes by metabolic status and baseline fasting glucose - </w:t>
      </w:r>
      <w:r w:rsidR="00AE1F14">
        <w:t>c</w:t>
      </w:r>
      <w:r w:rsidR="00AE1F14" w:rsidRPr="00AE1F14">
        <w:t>ontrolled Phase III safety pool (safety population)</w:t>
      </w:r>
    </w:p>
    <w:tbl>
      <w:tblPr>
        <w:tblStyle w:val="TableTGAblue"/>
        <w:tblW w:w="5000" w:type="pct"/>
        <w:tblLook w:val="04A0" w:firstRow="1" w:lastRow="0" w:firstColumn="1" w:lastColumn="0" w:noHBand="0" w:noVBand="1"/>
      </w:tblPr>
      <w:tblGrid>
        <w:gridCol w:w="1435"/>
        <w:gridCol w:w="1981"/>
        <w:gridCol w:w="2701"/>
        <w:gridCol w:w="2377"/>
      </w:tblGrid>
      <w:tr w:rsidR="00AE1F14" w14:paraId="7FA5C659" w14:textId="77777777" w:rsidTr="009007FC">
        <w:trPr>
          <w:cnfStyle w:val="100000000000" w:firstRow="1" w:lastRow="0" w:firstColumn="0" w:lastColumn="0" w:oddVBand="0" w:evenVBand="0" w:oddHBand="0" w:evenHBand="0" w:firstRowFirstColumn="0" w:firstRowLastColumn="0" w:lastRowFirstColumn="0" w:lastRowLastColumn="0"/>
          <w:trHeight w:val="479"/>
        </w:trPr>
        <w:tc>
          <w:tcPr>
            <w:tcW w:w="845" w:type="pct"/>
            <w:vMerge w:val="restart"/>
            <w:tcBorders>
              <w:top w:val="single" w:sz="4" w:space="0" w:color="auto"/>
              <w:left w:val="single" w:sz="4" w:space="0" w:color="auto"/>
              <w:bottom w:val="single" w:sz="4" w:space="0" w:color="auto"/>
              <w:right w:val="single" w:sz="4" w:space="0" w:color="auto"/>
            </w:tcBorders>
            <w:hideMark/>
          </w:tcPr>
          <w:p w14:paraId="2E6AEA3A" w14:textId="2A49BD61" w:rsidR="00AE1F14" w:rsidRPr="00AE1F14" w:rsidRDefault="00AE1F14" w:rsidP="00AE1F14">
            <w:pPr>
              <w:spacing w:after="0"/>
              <w:ind w:left="0"/>
              <w:rPr>
                <w:rFonts w:asciiTheme="minorHAnsi" w:eastAsia="TimesNewRoman" w:hAnsiTheme="minorHAnsi"/>
                <w:bCs/>
                <w:sz w:val="19"/>
                <w:szCs w:val="19"/>
              </w:rPr>
            </w:pPr>
            <w:r w:rsidRPr="00AE1F14">
              <w:rPr>
                <w:rFonts w:asciiTheme="minorHAnsi" w:eastAsia="TimesNewRoman" w:hAnsiTheme="minorHAnsi"/>
                <w:bCs/>
                <w:sz w:val="19"/>
                <w:szCs w:val="19"/>
              </w:rPr>
              <w:t xml:space="preserve">Baseline </w:t>
            </w:r>
            <w:r w:rsidR="006255F8">
              <w:rPr>
                <w:rFonts w:asciiTheme="minorHAnsi" w:eastAsia="TimesNewRoman" w:hAnsiTheme="minorHAnsi"/>
                <w:bCs/>
                <w:sz w:val="19"/>
                <w:szCs w:val="19"/>
              </w:rPr>
              <w:t>m</w:t>
            </w:r>
            <w:r w:rsidRPr="00AE1F14">
              <w:rPr>
                <w:rFonts w:asciiTheme="minorHAnsi" w:eastAsia="TimesNewRoman" w:hAnsiTheme="minorHAnsi"/>
                <w:bCs/>
                <w:sz w:val="19"/>
                <w:szCs w:val="19"/>
              </w:rPr>
              <w:t xml:space="preserve">etabolic </w:t>
            </w:r>
            <w:r w:rsidR="006255F8">
              <w:rPr>
                <w:rFonts w:asciiTheme="minorHAnsi" w:eastAsia="TimesNewRoman" w:hAnsiTheme="minorHAnsi"/>
                <w:bCs/>
                <w:sz w:val="19"/>
                <w:szCs w:val="19"/>
              </w:rPr>
              <w:t>s</w:t>
            </w:r>
            <w:r w:rsidRPr="00AE1F14">
              <w:rPr>
                <w:rFonts w:asciiTheme="minorHAnsi" w:eastAsia="TimesNewRoman" w:hAnsiTheme="minorHAnsi"/>
                <w:bCs/>
                <w:sz w:val="19"/>
                <w:szCs w:val="19"/>
              </w:rPr>
              <w:t>tatus</w:t>
            </w:r>
          </w:p>
        </w:tc>
        <w:tc>
          <w:tcPr>
            <w:tcW w:w="1166" w:type="pct"/>
            <w:vMerge w:val="restart"/>
            <w:tcBorders>
              <w:top w:val="single" w:sz="4" w:space="0" w:color="auto"/>
              <w:left w:val="single" w:sz="4" w:space="0" w:color="auto"/>
              <w:bottom w:val="single" w:sz="4" w:space="0" w:color="auto"/>
              <w:right w:val="single" w:sz="4" w:space="0" w:color="auto"/>
            </w:tcBorders>
            <w:hideMark/>
          </w:tcPr>
          <w:p w14:paraId="56A8748E" w14:textId="50A55419" w:rsidR="00AE1F14" w:rsidRPr="00AE1F14" w:rsidRDefault="00AE1F14" w:rsidP="00AE1F14">
            <w:pPr>
              <w:spacing w:after="0"/>
              <w:ind w:left="0"/>
              <w:rPr>
                <w:rFonts w:asciiTheme="minorHAnsi" w:eastAsia="TimesNewRoman" w:hAnsiTheme="minorHAnsi"/>
                <w:bCs/>
                <w:sz w:val="19"/>
                <w:szCs w:val="19"/>
              </w:rPr>
            </w:pPr>
            <w:r w:rsidRPr="00AE1F14">
              <w:rPr>
                <w:rFonts w:asciiTheme="minorHAnsi" w:eastAsia="TimesNewRoman" w:hAnsiTheme="minorHAnsi"/>
                <w:bCs/>
                <w:sz w:val="19"/>
                <w:szCs w:val="19"/>
              </w:rPr>
              <w:t>Baseline fasting glucose</w:t>
            </w:r>
          </w:p>
        </w:tc>
        <w:tc>
          <w:tcPr>
            <w:tcW w:w="2990" w:type="pct"/>
            <w:gridSpan w:val="2"/>
            <w:tcBorders>
              <w:top w:val="single" w:sz="4" w:space="0" w:color="auto"/>
              <w:left w:val="single" w:sz="4" w:space="0" w:color="auto"/>
              <w:bottom w:val="single" w:sz="4" w:space="0" w:color="auto"/>
              <w:right w:val="single" w:sz="4" w:space="0" w:color="auto"/>
            </w:tcBorders>
            <w:hideMark/>
          </w:tcPr>
          <w:p w14:paraId="178C625A" w14:textId="7B573D86" w:rsidR="00AE1F14" w:rsidRPr="00AE1F14" w:rsidRDefault="00AE1F14" w:rsidP="00AE1F14">
            <w:pPr>
              <w:spacing w:after="0"/>
              <w:ind w:left="0"/>
              <w:rPr>
                <w:rFonts w:asciiTheme="minorHAnsi" w:eastAsia="TimesNewRoman" w:hAnsiTheme="minorHAnsi"/>
                <w:bCs/>
                <w:sz w:val="19"/>
                <w:szCs w:val="19"/>
              </w:rPr>
            </w:pPr>
            <w:r w:rsidRPr="00AE1F14">
              <w:rPr>
                <w:rFonts w:asciiTheme="minorHAnsi" w:eastAsia="TimesNewRoman" w:hAnsiTheme="minorHAnsi"/>
                <w:bCs/>
                <w:sz w:val="19"/>
                <w:szCs w:val="19"/>
              </w:rPr>
              <w:t>Incidence of o</w:t>
            </w:r>
            <w:r w:rsidRPr="00AE1F14">
              <w:rPr>
                <w:rStyle w:val="fontstyle01"/>
                <w:rFonts w:asciiTheme="minorHAnsi" w:hAnsiTheme="minorHAnsi"/>
                <w:b/>
                <w:color w:val="FFFFFF" w:themeColor="background1"/>
                <w:sz w:val="19"/>
                <w:szCs w:val="19"/>
              </w:rPr>
              <w:t>ne or more of the diabetes components</w:t>
            </w:r>
          </w:p>
        </w:tc>
      </w:tr>
      <w:tr w:rsidR="00AE1F14" w14:paraId="77256BB6" w14:textId="77777777" w:rsidTr="009007FC">
        <w:trPr>
          <w:trHeight w:val="439"/>
        </w:trPr>
        <w:tc>
          <w:tcPr>
            <w:tcW w:w="845" w:type="pct"/>
            <w:vMerge/>
            <w:tcBorders>
              <w:top w:val="single" w:sz="4" w:space="0" w:color="auto"/>
              <w:left w:val="single" w:sz="4" w:space="0" w:color="auto"/>
              <w:bottom w:val="single" w:sz="4" w:space="0" w:color="auto"/>
              <w:right w:val="single" w:sz="4" w:space="0" w:color="auto"/>
            </w:tcBorders>
            <w:shd w:val="clear" w:color="auto" w:fill="006DA7"/>
            <w:hideMark/>
          </w:tcPr>
          <w:p w14:paraId="15B73241" w14:textId="77777777" w:rsidR="00AE1F14" w:rsidRPr="00AE1F14" w:rsidRDefault="00AE1F14">
            <w:pPr>
              <w:spacing w:before="0" w:after="0" w:line="240" w:lineRule="auto"/>
              <w:rPr>
                <w:rFonts w:asciiTheme="minorHAnsi" w:eastAsia="TimesNewRoman" w:hAnsiTheme="minorHAnsi"/>
                <w:b/>
                <w:bCs/>
                <w:color w:val="FFFFFF" w:themeColor="background1"/>
                <w:sz w:val="19"/>
                <w:szCs w:val="19"/>
              </w:rPr>
            </w:pPr>
          </w:p>
        </w:tc>
        <w:tc>
          <w:tcPr>
            <w:tcW w:w="1166" w:type="pct"/>
            <w:vMerge/>
            <w:tcBorders>
              <w:top w:val="single" w:sz="4" w:space="0" w:color="auto"/>
              <w:left w:val="single" w:sz="4" w:space="0" w:color="auto"/>
              <w:bottom w:val="single" w:sz="4" w:space="0" w:color="auto"/>
              <w:right w:val="single" w:sz="4" w:space="0" w:color="auto"/>
            </w:tcBorders>
            <w:shd w:val="clear" w:color="auto" w:fill="006DA7"/>
            <w:hideMark/>
          </w:tcPr>
          <w:p w14:paraId="300FAD13" w14:textId="77777777" w:rsidR="00AE1F14" w:rsidRPr="00AE1F14" w:rsidRDefault="00AE1F14">
            <w:pPr>
              <w:spacing w:before="0" w:after="0" w:line="240" w:lineRule="auto"/>
              <w:rPr>
                <w:rFonts w:asciiTheme="minorHAnsi" w:eastAsia="TimesNewRoman" w:hAnsiTheme="minorHAnsi"/>
                <w:b/>
                <w:bCs/>
                <w:color w:val="FFFFFF" w:themeColor="background1"/>
                <w:sz w:val="19"/>
                <w:szCs w:val="19"/>
              </w:rPr>
            </w:pPr>
          </w:p>
        </w:tc>
        <w:tc>
          <w:tcPr>
            <w:tcW w:w="1590" w:type="pct"/>
            <w:tcBorders>
              <w:top w:val="single" w:sz="4" w:space="0" w:color="auto"/>
              <w:left w:val="single" w:sz="4" w:space="0" w:color="auto"/>
              <w:bottom w:val="single" w:sz="4" w:space="0" w:color="auto"/>
              <w:right w:val="single" w:sz="4" w:space="0" w:color="auto"/>
            </w:tcBorders>
            <w:shd w:val="clear" w:color="auto" w:fill="006DA7"/>
            <w:hideMark/>
          </w:tcPr>
          <w:p w14:paraId="646F73FD" w14:textId="77777777" w:rsidR="00AE1F14" w:rsidRPr="00AE1F14" w:rsidRDefault="00AE1F14" w:rsidP="00AE1F14">
            <w:pPr>
              <w:spacing w:after="0"/>
              <w:ind w:left="0"/>
              <w:rPr>
                <w:rFonts w:asciiTheme="minorHAnsi" w:eastAsia="TimesNewRoman" w:hAnsiTheme="minorHAnsi"/>
                <w:b/>
                <w:bCs/>
                <w:color w:val="FFFFFF" w:themeColor="background1"/>
                <w:sz w:val="19"/>
                <w:szCs w:val="19"/>
              </w:rPr>
            </w:pPr>
            <w:r w:rsidRPr="00AE1F14">
              <w:rPr>
                <w:rFonts w:asciiTheme="minorHAnsi" w:eastAsia="TimesNewRoman" w:hAnsiTheme="minorHAnsi"/>
                <w:b/>
                <w:bCs/>
                <w:color w:val="FFFFFF" w:themeColor="background1"/>
                <w:sz w:val="19"/>
                <w:szCs w:val="19"/>
              </w:rPr>
              <w:t>Placebo</w:t>
            </w:r>
          </w:p>
        </w:tc>
        <w:tc>
          <w:tcPr>
            <w:tcW w:w="1400" w:type="pct"/>
            <w:tcBorders>
              <w:top w:val="single" w:sz="4" w:space="0" w:color="auto"/>
              <w:left w:val="single" w:sz="4" w:space="0" w:color="auto"/>
              <w:bottom w:val="single" w:sz="4" w:space="0" w:color="auto"/>
              <w:right w:val="single" w:sz="4" w:space="0" w:color="auto"/>
            </w:tcBorders>
            <w:shd w:val="clear" w:color="auto" w:fill="006DA7"/>
            <w:hideMark/>
          </w:tcPr>
          <w:p w14:paraId="22C192B2" w14:textId="77777777" w:rsidR="00AE1F14" w:rsidRPr="00AE1F14" w:rsidRDefault="00AE1F14" w:rsidP="00AE1F14">
            <w:pPr>
              <w:spacing w:after="0"/>
              <w:ind w:left="0"/>
              <w:rPr>
                <w:rFonts w:asciiTheme="minorHAnsi" w:eastAsia="TimesNewRoman" w:hAnsiTheme="minorHAnsi"/>
                <w:b/>
                <w:bCs/>
                <w:color w:val="FFFFFF" w:themeColor="background1"/>
                <w:sz w:val="19"/>
                <w:szCs w:val="19"/>
              </w:rPr>
            </w:pPr>
            <w:proofErr w:type="spellStart"/>
            <w:r w:rsidRPr="00AE1F14">
              <w:rPr>
                <w:rFonts w:asciiTheme="minorHAnsi" w:eastAsia="TimesNewRoman" w:hAnsiTheme="minorHAnsi"/>
                <w:b/>
                <w:bCs/>
                <w:color w:val="FFFFFF" w:themeColor="background1"/>
                <w:sz w:val="19"/>
                <w:szCs w:val="19"/>
              </w:rPr>
              <w:t>Inclisiran</w:t>
            </w:r>
            <w:proofErr w:type="spellEnd"/>
          </w:p>
        </w:tc>
      </w:tr>
      <w:tr w:rsidR="00AE1F14" w14:paraId="4F62BF55" w14:textId="77777777" w:rsidTr="009007FC">
        <w:trPr>
          <w:trHeight w:val="289"/>
        </w:trPr>
        <w:tc>
          <w:tcPr>
            <w:tcW w:w="845" w:type="pct"/>
            <w:vMerge w:val="restart"/>
            <w:tcBorders>
              <w:top w:val="single" w:sz="4" w:space="0" w:color="auto"/>
            </w:tcBorders>
            <w:hideMark/>
          </w:tcPr>
          <w:p w14:paraId="71A21608" w14:textId="77777777" w:rsidR="00AE1F14" w:rsidRPr="00AE1F14" w:rsidRDefault="00AE1F14" w:rsidP="00AE1F14">
            <w:pPr>
              <w:spacing w:after="0"/>
              <w:ind w:left="0"/>
              <w:rPr>
                <w:rFonts w:asciiTheme="minorHAnsi" w:eastAsia="TimesNewRoman" w:hAnsiTheme="minorHAnsi"/>
                <w:sz w:val="19"/>
                <w:szCs w:val="19"/>
              </w:rPr>
            </w:pPr>
            <w:r w:rsidRPr="00AE1F14">
              <w:rPr>
                <w:rFonts w:asciiTheme="minorHAnsi" w:eastAsia="TimesNewRoman" w:hAnsiTheme="minorHAnsi"/>
                <w:sz w:val="19"/>
                <w:szCs w:val="19"/>
              </w:rPr>
              <w:t>Metabolic syndrome with no diabetes</w:t>
            </w:r>
          </w:p>
        </w:tc>
        <w:tc>
          <w:tcPr>
            <w:tcW w:w="1166" w:type="pct"/>
            <w:tcBorders>
              <w:top w:val="single" w:sz="4" w:space="0" w:color="auto"/>
            </w:tcBorders>
            <w:hideMark/>
          </w:tcPr>
          <w:p w14:paraId="723426EA" w14:textId="77777777" w:rsidR="00AE1F14" w:rsidRPr="00AE1F14" w:rsidRDefault="00AE1F14" w:rsidP="00AE1F14">
            <w:pPr>
              <w:spacing w:after="0"/>
              <w:ind w:left="0"/>
              <w:rPr>
                <w:rFonts w:asciiTheme="minorHAnsi" w:eastAsia="TimesNewRoman" w:hAnsiTheme="minorHAnsi"/>
                <w:sz w:val="19"/>
                <w:szCs w:val="19"/>
              </w:rPr>
            </w:pPr>
            <w:r w:rsidRPr="00AE1F14">
              <w:rPr>
                <w:rFonts w:asciiTheme="minorHAnsi" w:eastAsia="TimesNewRoman" w:hAnsiTheme="minorHAnsi"/>
                <w:sz w:val="19"/>
                <w:szCs w:val="19"/>
              </w:rPr>
              <w:t>All</w:t>
            </w:r>
          </w:p>
        </w:tc>
        <w:tc>
          <w:tcPr>
            <w:tcW w:w="1590" w:type="pct"/>
            <w:tcBorders>
              <w:top w:val="single" w:sz="4" w:space="0" w:color="auto"/>
            </w:tcBorders>
            <w:hideMark/>
          </w:tcPr>
          <w:p w14:paraId="55C5E282" w14:textId="7951A1A4" w:rsidR="00AE1F14" w:rsidRPr="00AE1F14" w:rsidRDefault="00AE1F14" w:rsidP="00AE1F14">
            <w:pPr>
              <w:spacing w:after="0"/>
              <w:ind w:left="0"/>
              <w:jc w:val="both"/>
              <w:rPr>
                <w:rFonts w:asciiTheme="minorHAnsi" w:eastAsia="TimesNewRoman" w:hAnsiTheme="minorHAnsi"/>
                <w:sz w:val="19"/>
                <w:szCs w:val="19"/>
              </w:rPr>
            </w:pPr>
            <w:r w:rsidRPr="00AE1F14">
              <w:rPr>
                <w:rFonts w:asciiTheme="minorHAnsi" w:eastAsia="TimesNewRoman" w:hAnsiTheme="minorHAnsi"/>
                <w:sz w:val="19"/>
                <w:szCs w:val="19"/>
              </w:rPr>
              <w:t>57/484</w:t>
            </w:r>
            <w:r w:rsidR="002179A7">
              <w:rPr>
                <w:rFonts w:asciiTheme="minorHAnsi" w:eastAsia="TimesNewRoman" w:hAnsiTheme="minorHAnsi"/>
                <w:sz w:val="19"/>
                <w:szCs w:val="19"/>
              </w:rPr>
              <w:t xml:space="preserve"> </w:t>
            </w:r>
            <w:r w:rsidRPr="00AE1F14">
              <w:rPr>
                <w:rFonts w:asciiTheme="minorHAnsi" w:eastAsia="TimesNewRoman" w:hAnsiTheme="minorHAnsi"/>
                <w:sz w:val="19"/>
                <w:szCs w:val="19"/>
              </w:rPr>
              <w:t>(11.8%)</w:t>
            </w:r>
          </w:p>
        </w:tc>
        <w:tc>
          <w:tcPr>
            <w:tcW w:w="1400" w:type="pct"/>
            <w:tcBorders>
              <w:top w:val="single" w:sz="4" w:space="0" w:color="auto"/>
            </w:tcBorders>
            <w:hideMark/>
          </w:tcPr>
          <w:p w14:paraId="238F66AD" w14:textId="17ADE96E" w:rsidR="00AE1F14" w:rsidRPr="00AE1F14" w:rsidRDefault="00AE1F14" w:rsidP="00AE1F14">
            <w:pPr>
              <w:ind w:left="0"/>
              <w:jc w:val="both"/>
              <w:rPr>
                <w:rFonts w:asciiTheme="minorHAnsi" w:eastAsia="TimesNewRoman" w:hAnsiTheme="minorHAnsi"/>
                <w:sz w:val="19"/>
                <w:szCs w:val="19"/>
              </w:rPr>
            </w:pPr>
            <w:r w:rsidRPr="00AE1F14">
              <w:rPr>
                <w:rFonts w:asciiTheme="minorHAnsi" w:eastAsia="TimesNewRoman" w:hAnsiTheme="minorHAnsi"/>
                <w:sz w:val="19"/>
                <w:szCs w:val="19"/>
              </w:rPr>
              <w:t>59/454</w:t>
            </w:r>
            <w:r w:rsidR="002179A7">
              <w:rPr>
                <w:rFonts w:asciiTheme="minorHAnsi" w:eastAsia="TimesNewRoman" w:hAnsiTheme="minorHAnsi"/>
                <w:sz w:val="19"/>
                <w:szCs w:val="19"/>
              </w:rPr>
              <w:t xml:space="preserve"> </w:t>
            </w:r>
            <w:r w:rsidRPr="00AE1F14">
              <w:rPr>
                <w:rFonts w:asciiTheme="minorHAnsi" w:eastAsia="TimesNewRoman" w:hAnsiTheme="minorHAnsi"/>
                <w:sz w:val="19"/>
                <w:szCs w:val="19"/>
              </w:rPr>
              <w:t>(13%)</w:t>
            </w:r>
          </w:p>
        </w:tc>
      </w:tr>
      <w:tr w:rsidR="00AE1F14" w14:paraId="15D67F8E" w14:textId="77777777" w:rsidTr="009007FC">
        <w:trPr>
          <w:trHeight w:val="450"/>
        </w:trPr>
        <w:tc>
          <w:tcPr>
            <w:tcW w:w="845" w:type="pct"/>
            <w:vMerge/>
            <w:hideMark/>
          </w:tcPr>
          <w:p w14:paraId="1A52FA78" w14:textId="77777777" w:rsidR="00AE1F14" w:rsidRPr="00AE1F14" w:rsidRDefault="00AE1F14">
            <w:pPr>
              <w:spacing w:before="0" w:after="0" w:line="240" w:lineRule="auto"/>
              <w:rPr>
                <w:rFonts w:asciiTheme="minorHAnsi" w:eastAsia="TimesNewRoman" w:hAnsiTheme="minorHAnsi"/>
                <w:sz w:val="19"/>
                <w:szCs w:val="19"/>
              </w:rPr>
            </w:pPr>
          </w:p>
        </w:tc>
        <w:tc>
          <w:tcPr>
            <w:tcW w:w="1166" w:type="pct"/>
            <w:hideMark/>
          </w:tcPr>
          <w:p w14:paraId="7C5F9838" w14:textId="77777777" w:rsidR="00AE1F14" w:rsidRPr="00AE1F14" w:rsidRDefault="00AE1F14" w:rsidP="00AE1F14">
            <w:pPr>
              <w:spacing w:after="0"/>
              <w:ind w:left="0"/>
              <w:rPr>
                <w:rStyle w:val="fontstyle01"/>
                <w:rFonts w:asciiTheme="minorHAnsi" w:eastAsiaTheme="minorEastAsia" w:hAnsiTheme="minorHAnsi"/>
                <w:b w:val="0"/>
                <w:bCs w:val="0"/>
                <w:sz w:val="19"/>
                <w:szCs w:val="19"/>
              </w:rPr>
            </w:pPr>
            <w:r w:rsidRPr="00AE1F14">
              <w:rPr>
                <w:rStyle w:val="fontstyle01"/>
                <w:rFonts w:asciiTheme="minorHAnsi" w:hAnsiTheme="minorHAnsi"/>
                <w:b w:val="0"/>
                <w:bCs w:val="0"/>
                <w:sz w:val="19"/>
                <w:szCs w:val="19"/>
              </w:rPr>
              <w:t>&lt; 100 mg/dL</w:t>
            </w:r>
          </w:p>
        </w:tc>
        <w:tc>
          <w:tcPr>
            <w:tcW w:w="1590" w:type="pct"/>
            <w:hideMark/>
          </w:tcPr>
          <w:p w14:paraId="7A5F993F" w14:textId="2BFB4660" w:rsidR="00AE1F14" w:rsidRPr="00AE1F14" w:rsidRDefault="00AE1F14" w:rsidP="00AE1F14">
            <w:pPr>
              <w:ind w:left="0"/>
              <w:jc w:val="both"/>
              <w:rPr>
                <w:rFonts w:asciiTheme="minorHAnsi" w:eastAsia="TimesNewRoman" w:hAnsiTheme="minorHAnsi"/>
                <w:color w:val="auto"/>
                <w:sz w:val="19"/>
                <w:szCs w:val="19"/>
              </w:rPr>
            </w:pPr>
            <w:r w:rsidRPr="00AE1F14">
              <w:rPr>
                <w:rFonts w:asciiTheme="minorHAnsi" w:eastAsia="TimesNewRoman" w:hAnsiTheme="minorHAnsi"/>
                <w:sz w:val="19"/>
                <w:szCs w:val="19"/>
              </w:rPr>
              <w:t>16/208</w:t>
            </w:r>
            <w:r w:rsidR="002179A7">
              <w:rPr>
                <w:rFonts w:asciiTheme="minorHAnsi" w:eastAsia="TimesNewRoman" w:hAnsiTheme="minorHAnsi"/>
                <w:sz w:val="19"/>
                <w:szCs w:val="19"/>
              </w:rPr>
              <w:t xml:space="preserve"> </w:t>
            </w:r>
            <w:r w:rsidRPr="00AE1F14">
              <w:rPr>
                <w:rFonts w:asciiTheme="minorHAnsi" w:eastAsia="TimesNewRoman" w:hAnsiTheme="minorHAnsi"/>
                <w:sz w:val="19"/>
                <w:szCs w:val="19"/>
              </w:rPr>
              <w:t>(7.7%)</w:t>
            </w:r>
          </w:p>
        </w:tc>
        <w:tc>
          <w:tcPr>
            <w:tcW w:w="1400" w:type="pct"/>
            <w:hideMark/>
          </w:tcPr>
          <w:p w14:paraId="4086FE4C" w14:textId="4299CF6A" w:rsidR="00AE1F14" w:rsidRPr="00AE1F14" w:rsidRDefault="00AE1F14" w:rsidP="00AE1F14">
            <w:pPr>
              <w:spacing w:after="0"/>
              <w:ind w:left="0"/>
              <w:jc w:val="both"/>
              <w:rPr>
                <w:rFonts w:asciiTheme="minorHAnsi" w:eastAsia="TimesNewRoman" w:hAnsiTheme="minorHAnsi"/>
                <w:sz w:val="19"/>
                <w:szCs w:val="19"/>
              </w:rPr>
            </w:pPr>
            <w:r w:rsidRPr="00AE1F14">
              <w:rPr>
                <w:rFonts w:asciiTheme="minorHAnsi" w:eastAsia="TimesNewRoman" w:hAnsiTheme="minorHAnsi"/>
                <w:sz w:val="19"/>
                <w:szCs w:val="19"/>
              </w:rPr>
              <w:t>12/207</w:t>
            </w:r>
            <w:r w:rsidR="002179A7">
              <w:rPr>
                <w:rFonts w:asciiTheme="minorHAnsi" w:eastAsia="TimesNewRoman" w:hAnsiTheme="minorHAnsi"/>
                <w:sz w:val="19"/>
                <w:szCs w:val="19"/>
              </w:rPr>
              <w:t xml:space="preserve"> </w:t>
            </w:r>
            <w:r w:rsidRPr="00AE1F14">
              <w:rPr>
                <w:rFonts w:asciiTheme="minorHAnsi" w:eastAsia="TimesNewRoman" w:hAnsiTheme="minorHAnsi"/>
                <w:sz w:val="19"/>
                <w:szCs w:val="19"/>
              </w:rPr>
              <w:t>(5.8%)</w:t>
            </w:r>
          </w:p>
        </w:tc>
      </w:tr>
      <w:tr w:rsidR="00AE1F14" w14:paraId="73E08355" w14:textId="77777777" w:rsidTr="009007FC">
        <w:trPr>
          <w:trHeight w:val="439"/>
        </w:trPr>
        <w:tc>
          <w:tcPr>
            <w:tcW w:w="845" w:type="pct"/>
            <w:vMerge/>
            <w:hideMark/>
          </w:tcPr>
          <w:p w14:paraId="60E82B2C" w14:textId="77777777" w:rsidR="00AE1F14" w:rsidRPr="00AE1F14" w:rsidRDefault="00AE1F14">
            <w:pPr>
              <w:spacing w:before="0" w:after="0" w:line="240" w:lineRule="auto"/>
              <w:rPr>
                <w:rFonts w:asciiTheme="minorHAnsi" w:eastAsia="TimesNewRoman" w:hAnsiTheme="minorHAnsi"/>
                <w:sz w:val="19"/>
                <w:szCs w:val="19"/>
              </w:rPr>
            </w:pPr>
          </w:p>
        </w:tc>
        <w:tc>
          <w:tcPr>
            <w:tcW w:w="1166" w:type="pct"/>
            <w:hideMark/>
          </w:tcPr>
          <w:p w14:paraId="45CD26DA" w14:textId="77777777" w:rsidR="00AE1F14" w:rsidRPr="00AE1F14" w:rsidRDefault="00AE1F14" w:rsidP="00AE1F14">
            <w:pPr>
              <w:spacing w:after="0"/>
              <w:ind w:left="0"/>
              <w:rPr>
                <w:rFonts w:asciiTheme="minorHAnsi" w:eastAsia="TimesNewRoman" w:hAnsiTheme="minorHAnsi"/>
                <w:sz w:val="19"/>
                <w:szCs w:val="19"/>
              </w:rPr>
            </w:pPr>
            <w:r w:rsidRPr="00AE1F14">
              <w:rPr>
                <w:rStyle w:val="fontstyle01"/>
                <w:rFonts w:asciiTheme="minorHAnsi" w:eastAsiaTheme="minorEastAsia" w:hAnsiTheme="minorHAnsi"/>
                <w:b w:val="0"/>
                <w:bCs w:val="0"/>
                <w:sz w:val="19"/>
                <w:szCs w:val="19"/>
              </w:rPr>
              <w:t>≥</w:t>
            </w:r>
            <w:r w:rsidRPr="00AE1F14">
              <w:rPr>
                <w:rStyle w:val="fontstyle01"/>
                <w:rFonts w:asciiTheme="minorHAnsi" w:hAnsiTheme="minorHAnsi"/>
                <w:b w:val="0"/>
                <w:bCs w:val="0"/>
                <w:sz w:val="19"/>
                <w:szCs w:val="19"/>
              </w:rPr>
              <w:t>100 and &lt;126 mg/dL</w:t>
            </w:r>
          </w:p>
        </w:tc>
        <w:tc>
          <w:tcPr>
            <w:tcW w:w="1590" w:type="pct"/>
            <w:hideMark/>
          </w:tcPr>
          <w:p w14:paraId="6A585A4D" w14:textId="001A9141" w:rsidR="00AE1F14" w:rsidRPr="00AE1F14" w:rsidRDefault="00AE1F14" w:rsidP="00AE1F14">
            <w:pPr>
              <w:ind w:left="0"/>
              <w:jc w:val="both"/>
              <w:rPr>
                <w:rFonts w:asciiTheme="minorHAnsi" w:eastAsia="TimesNewRoman" w:hAnsiTheme="minorHAnsi"/>
                <w:sz w:val="19"/>
                <w:szCs w:val="19"/>
              </w:rPr>
            </w:pPr>
            <w:r w:rsidRPr="00AE1F14">
              <w:rPr>
                <w:rFonts w:asciiTheme="minorHAnsi" w:eastAsia="TimesNewRoman" w:hAnsiTheme="minorHAnsi"/>
                <w:sz w:val="19"/>
                <w:szCs w:val="19"/>
              </w:rPr>
              <w:t>41/276</w:t>
            </w:r>
            <w:r w:rsidR="002179A7">
              <w:rPr>
                <w:rFonts w:asciiTheme="minorHAnsi" w:eastAsia="TimesNewRoman" w:hAnsiTheme="minorHAnsi"/>
                <w:sz w:val="19"/>
                <w:szCs w:val="19"/>
              </w:rPr>
              <w:t xml:space="preserve"> </w:t>
            </w:r>
            <w:r w:rsidRPr="00AE1F14">
              <w:rPr>
                <w:rFonts w:asciiTheme="minorHAnsi" w:eastAsia="TimesNewRoman" w:hAnsiTheme="minorHAnsi"/>
                <w:sz w:val="19"/>
                <w:szCs w:val="19"/>
              </w:rPr>
              <w:t>(14.9%)</w:t>
            </w:r>
          </w:p>
        </w:tc>
        <w:tc>
          <w:tcPr>
            <w:tcW w:w="1400" w:type="pct"/>
            <w:hideMark/>
          </w:tcPr>
          <w:p w14:paraId="5A8D2565" w14:textId="1C17ABD0" w:rsidR="00AE1F14" w:rsidRPr="00AE1F14" w:rsidRDefault="00AE1F14" w:rsidP="00AE1F14">
            <w:pPr>
              <w:spacing w:after="0"/>
              <w:ind w:left="0"/>
              <w:jc w:val="both"/>
              <w:rPr>
                <w:rFonts w:asciiTheme="minorHAnsi" w:eastAsia="TimesNewRoman" w:hAnsiTheme="minorHAnsi"/>
                <w:sz w:val="19"/>
                <w:szCs w:val="19"/>
              </w:rPr>
            </w:pPr>
            <w:r w:rsidRPr="00AE1F14">
              <w:rPr>
                <w:rFonts w:asciiTheme="minorHAnsi" w:eastAsia="TimesNewRoman" w:hAnsiTheme="minorHAnsi"/>
                <w:sz w:val="19"/>
                <w:szCs w:val="19"/>
              </w:rPr>
              <w:t>47/247</w:t>
            </w:r>
            <w:r w:rsidR="002179A7">
              <w:rPr>
                <w:rFonts w:asciiTheme="minorHAnsi" w:eastAsia="TimesNewRoman" w:hAnsiTheme="minorHAnsi"/>
                <w:sz w:val="19"/>
                <w:szCs w:val="19"/>
              </w:rPr>
              <w:t xml:space="preserve"> </w:t>
            </w:r>
            <w:r w:rsidRPr="00AE1F14">
              <w:rPr>
                <w:rFonts w:asciiTheme="minorHAnsi" w:eastAsia="TimesNewRoman" w:hAnsiTheme="minorHAnsi"/>
                <w:sz w:val="19"/>
                <w:szCs w:val="19"/>
              </w:rPr>
              <w:t>(19%)</w:t>
            </w:r>
          </w:p>
        </w:tc>
      </w:tr>
      <w:tr w:rsidR="00AE1F14" w14:paraId="3E8B99E3" w14:textId="77777777" w:rsidTr="009007FC">
        <w:trPr>
          <w:trHeight w:val="439"/>
        </w:trPr>
        <w:tc>
          <w:tcPr>
            <w:tcW w:w="845" w:type="pct"/>
            <w:vMerge w:val="restart"/>
            <w:hideMark/>
          </w:tcPr>
          <w:p w14:paraId="071B4673" w14:textId="77777777" w:rsidR="00AE1F14" w:rsidRPr="00AE1F14" w:rsidRDefault="00AE1F14" w:rsidP="00AE1F14">
            <w:pPr>
              <w:spacing w:after="0"/>
              <w:ind w:left="0"/>
              <w:rPr>
                <w:rFonts w:asciiTheme="minorHAnsi" w:eastAsia="TimesNewRoman" w:hAnsiTheme="minorHAnsi"/>
                <w:sz w:val="19"/>
                <w:szCs w:val="19"/>
              </w:rPr>
            </w:pPr>
            <w:r w:rsidRPr="00AE1F14">
              <w:rPr>
                <w:rFonts w:asciiTheme="minorHAnsi" w:eastAsia="TimesNewRoman" w:hAnsiTheme="minorHAnsi"/>
                <w:sz w:val="19"/>
                <w:szCs w:val="19"/>
              </w:rPr>
              <w:t>Neither diabetes nor metabolic syndrome</w:t>
            </w:r>
          </w:p>
        </w:tc>
        <w:tc>
          <w:tcPr>
            <w:tcW w:w="1166" w:type="pct"/>
            <w:hideMark/>
          </w:tcPr>
          <w:p w14:paraId="3C6A52EA" w14:textId="77777777" w:rsidR="00AE1F14" w:rsidRPr="00AE1F14" w:rsidRDefault="00AE1F14" w:rsidP="00AE1F14">
            <w:pPr>
              <w:spacing w:after="0"/>
              <w:ind w:left="0"/>
              <w:rPr>
                <w:rStyle w:val="fontstyle01"/>
                <w:rFonts w:asciiTheme="minorHAnsi" w:eastAsiaTheme="minorEastAsia" w:hAnsiTheme="minorHAnsi"/>
                <w:sz w:val="19"/>
                <w:szCs w:val="19"/>
              </w:rPr>
            </w:pPr>
            <w:r w:rsidRPr="00AE1F14">
              <w:rPr>
                <w:rFonts w:asciiTheme="minorHAnsi" w:eastAsia="TimesNewRoman" w:hAnsiTheme="minorHAnsi"/>
                <w:sz w:val="19"/>
                <w:szCs w:val="19"/>
              </w:rPr>
              <w:t>All</w:t>
            </w:r>
          </w:p>
        </w:tc>
        <w:tc>
          <w:tcPr>
            <w:tcW w:w="1590" w:type="pct"/>
            <w:hideMark/>
          </w:tcPr>
          <w:p w14:paraId="55FBAA22" w14:textId="106D21B7" w:rsidR="00AE1F14" w:rsidRPr="00AE1F14" w:rsidRDefault="00AE1F14" w:rsidP="00AE1F14">
            <w:pPr>
              <w:ind w:left="0"/>
              <w:jc w:val="both"/>
              <w:rPr>
                <w:rFonts w:asciiTheme="minorHAnsi" w:eastAsia="TimesNewRoman" w:hAnsiTheme="minorHAnsi"/>
                <w:color w:val="auto"/>
                <w:sz w:val="19"/>
                <w:szCs w:val="19"/>
              </w:rPr>
            </w:pPr>
            <w:r w:rsidRPr="00AE1F14">
              <w:rPr>
                <w:rFonts w:asciiTheme="minorHAnsi" w:eastAsia="TimesNewRoman" w:hAnsiTheme="minorHAnsi"/>
                <w:sz w:val="19"/>
                <w:szCs w:val="19"/>
              </w:rPr>
              <w:t>35/654</w:t>
            </w:r>
            <w:r w:rsidR="002179A7">
              <w:rPr>
                <w:rFonts w:asciiTheme="minorHAnsi" w:eastAsia="TimesNewRoman" w:hAnsiTheme="minorHAnsi"/>
                <w:sz w:val="19"/>
                <w:szCs w:val="19"/>
              </w:rPr>
              <w:t xml:space="preserve"> </w:t>
            </w:r>
            <w:r w:rsidRPr="00AE1F14">
              <w:rPr>
                <w:rFonts w:asciiTheme="minorHAnsi" w:eastAsia="TimesNewRoman" w:hAnsiTheme="minorHAnsi"/>
                <w:sz w:val="19"/>
                <w:szCs w:val="19"/>
              </w:rPr>
              <w:t>(5.4%)</w:t>
            </w:r>
          </w:p>
        </w:tc>
        <w:tc>
          <w:tcPr>
            <w:tcW w:w="1400" w:type="pct"/>
            <w:hideMark/>
          </w:tcPr>
          <w:p w14:paraId="32BAAD00" w14:textId="3E19A2B4" w:rsidR="00AE1F14" w:rsidRPr="00AE1F14" w:rsidRDefault="00AE1F14" w:rsidP="00AE1F14">
            <w:pPr>
              <w:ind w:left="0"/>
              <w:jc w:val="both"/>
              <w:rPr>
                <w:rFonts w:asciiTheme="minorHAnsi" w:eastAsia="TimesNewRoman" w:hAnsiTheme="minorHAnsi"/>
                <w:sz w:val="19"/>
                <w:szCs w:val="19"/>
              </w:rPr>
            </w:pPr>
            <w:r w:rsidRPr="00AE1F14">
              <w:rPr>
                <w:rFonts w:asciiTheme="minorHAnsi" w:eastAsia="TimesNewRoman" w:hAnsiTheme="minorHAnsi"/>
                <w:sz w:val="19"/>
                <w:szCs w:val="19"/>
              </w:rPr>
              <w:t>28/634 (4.4%)</w:t>
            </w:r>
          </w:p>
        </w:tc>
      </w:tr>
      <w:tr w:rsidR="00AE1F14" w14:paraId="54236234" w14:textId="77777777" w:rsidTr="009007FC">
        <w:trPr>
          <w:trHeight w:val="450"/>
        </w:trPr>
        <w:tc>
          <w:tcPr>
            <w:tcW w:w="845" w:type="pct"/>
            <w:vMerge/>
            <w:hideMark/>
          </w:tcPr>
          <w:p w14:paraId="0C9B7ED9" w14:textId="77777777" w:rsidR="00AE1F14" w:rsidRPr="00AE1F14" w:rsidRDefault="00AE1F14">
            <w:pPr>
              <w:spacing w:before="0" w:after="0" w:line="240" w:lineRule="auto"/>
              <w:rPr>
                <w:rFonts w:asciiTheme="minorHAnsi" w:eastAsia="TimesNewRoman" w:hAnsiTheme="minorHAnsi"/>
                <w:sz w:val="19"/>
                <w:szCs w:val="19"/>
              </w:rPr>
            </w:pPr>
          </w:p>
        </w:tc>
        <w:tc>
          <w:tcPr>
            <w:tcW w:w="1166" w:type="pct"/>
            <w:hideMark/>
          </w:tcPr>
          <w:p w14:paraId="445DF517" w14:textId="77777777" w:rsidR="00AE1F14" w:rsidRPr="00AE1F14" w:rsidRDefault="00AE1F14" w:rsidP="00AE1F14">
            <w:pPr>
              <w:spacing w:after="0"/>
              <w:ind w:left="0"/>
              <w:rPr>
                <w:rFonts w:asciiTheme="minorHAnsi" w:eastAsia="TimesNewRoman" w:hAnsiTheme="minorHAnsi"/>
                <w:sz w:val="19"/>
                <w:szCs w:val="19"/>
              </w:rPr>
            </w:pPr>
            <w:r w:rsidRPr="00AE1F14">
              <w:rPr>
                <w:rStyle w:val="fontstyle01"/>
                <w:rFonts w:asciiTheme="minorHAnsi" w:hAnsiTheme="minorHAnsi"/>
                <w:b w:val="0"/>
                <w:bCs w:val="0"/>
                <w:sz w:val="19"/>
                <w:szCs w:val="19"/>
              </w:rPr>
              <w:t>&lt; 100 mg/dL</w:t>
            </w:r>
          </w:p>
        </w:tc>
        <w:tc>
          <w:tcPr>
            <w:tcW w:w="1590" w:type="pct"/>
            <w:hideMark/>
          </w:tcPr>
          <w:p w14:paraId="63905E47" w14:textId="03B47C85" w:rsidR="00AE1F14" w:rsidRPr="00AE1F14" w:rsidRDefault="00AE1F14" w:rsidP="00AE1F14">
            <w:pPr>
              <w:ind w:left="0"/>
              <w:jc w:val="both"/>
              <w:rPr>
                <w:rFonts w:asciiTheme="minorHAnsi" w:eastAsia="TimesNewRoman" w:hAnsiTheme="minorHAnsi"/>
                <w:sz w:val="19"/>
                <w:szCs w:val="19"/>
              </w:rPr>
            </w:pPr>
            <w:r w:rsidRPr="00AE1F14">
              <w:rPr>
                <w:rFonts w:asciiTheme="minorHAnsi" w:eastAsia="TimesNewRoman" w:hAnsiTheme="minorHAnsi"/>
                <w:sz w:val="19"/>
                <w:szCs w:val="19"/>
              </w:rPr>
              <w:t>17/501</w:t>
            </w:r>
            <w:r w:rsidR="002179A7">
              <w:rPr>
                <w:rFonts w:asciiTheme="minorHAnsi" w:eastAsia="TimesNewRoman" w:hAnsiTheme="minorHAnsi"/>
                <w:sz w:val="19"/>
                <w:szCs w:val="19"/>
              </w:rPr>
              <w:t xml:space="preserve"> </w:t>
            </w:r>
            <w:r w:rsidRPr="00AE1F14">
              <w:rPr>
                <w:rFonts w:asciiTheme="minorHAnsi" w:eastAsia="TimesNewRoman" w:hAnsiTheme="minorHAnsi"/>
                <w:sz w:val="19"/>
                <w:szCs w:val="19"/>
              </w:rPr>
              <w:t>(3.4%)</w:t>
            </w:r>
          </w:p>
        </w:tc>
        <w:tc>
          <w:tcPr>
            <w:tcW w:w="1400" w:type="pct"/>
            <w:hideMark/>
          </w:tcPr>
          <w:p w14:paraId="347DAB5A" w14:textId="6E0CA871" w:rsidR="00AE1F14" w:rsidRPr="00AE1F14" w:rsidRDefault="00AE1F14" w:rsidP="00AE1F14">
            <w:pPr>
              <w:spacing w:after="0"/>
              <w:ind w:left="0"/>
              <w:jc w:val="both"/>
              <w:rPr>
                <w:rFonts w:asciiTheme="minorHAnsi" w:eastAsia="TimesNewRoman" w:hAnsiTheme="minorHAnsi"/>
                <w:sz w:val="19"/>
                <w:szCs w:val="19"/>
              </w:rPr>
            </w:pPr>
            <w:r w:rsidRPr="00AE1F14">
              <w:rPr>
                <w:rFonts w:asciiTheme="minorHAnsi" w:eastAsia="TimesNewRoman" w:hAnsiTheme="minorHAnsi"/>
                <w:sz w:val="19"/>
                <w:szCs w:val="19"/>
              </w:rPr>
              <w:t>18/491 (3.7%)</w:t>
            </w:r>
          </w:p>
        </w:tc>
      </w:tr>
      <w:tr w:rsidR="00AE1F14" w14:paraId="6FD55CDD" w14:textId="77777777" w:rsidTr="009007FC">
        <w:trPr>
          <w:trHeight w:val="450"/>
        </w:trPr>
        <w:tc>
          <w:tcPr>
            <w:tcW w:w="845" w:type="pct"/>
            <w:vMerge/>
            <w:hideMark/>
          </w:tcPr>
          <w:p w14:paraId="6C7B3BCE" w14:textId="77777777" w:rsidR="00AE1F14" w:rsidRPr="00AE1F14" w:rsidRDefault="00AE1F14">
            <w:pPr>
              <w:spacing w:before="0" w:after="0" w:line="240" w:lineRule="auto"/>
              <w:rPr>
                <w:rFonts w:asciiTheme="minorHAnsi" w:eastAsia="TimesNewRoman" w:hAnsiTheme="minorHAnsi"/>
                <w:sz w:val="19"/>
                <w:szCs w:val="19"/>
              </w:rPr>
            </w:pPr>
          </w:p>
        </w:tc>
        <w:tc>
          <w:tcPr>
            <w:tcW w:w="1166" w:type="pct"/>
            <w:hideMark/>
          </w:tcPr>
          <w:p w14:paraId="4EB242A6" w14:textId="4DCBA142" w:rsidR="00AE1F14" w:rsidRPr="00AE1F14" w:rsidRDefault="00AE1F14" w:rsidP="00AE1F14">
            <w:pPr>
              <w:spacing w:after="0"/>
              <w:ind w:left="0"/>
              <w:rPr>
                <w:rFonts w:asciiTheme="minorHAnsi" w:eastAsia="TimesNewRoman" w:hAnsiTheme="minorHAnsi"/>
                <w:sz w:val="19"/>
                <w:szCs w:val="19"/>
              </w:rPr>
            </w:pPr>
            <w:r w:rsidRPr="00AE1F14">
              <w:rPr>
                <w:rStyle w:val="fontstyle01"/>
                <w:rFonts w:asciiTheme="minorHAnsi" w:eastAsiaTheme="minorEastAsia" w:hAnsiTheme="minorHAnsi"/>
                <w:b w:val="0"/>
                <w:bCs w:val="0"/>
                <w:sz w:val="19"/>
                <w:szCs w:val="19"/>
              </w:rPr>
              <w:t>≥</w:t>
            </w:r>
            <w:r w:rsidRPr="00AE1F14">
              <w:rPr>
                <w:rStyle w:val="fontstyle01"/>
                <w:rFonts w:asciiTheme="minorHAnsi" w:hAnsiTheme="minorHAnsi"/>
                <w:b w:val="0"/>
                <w:bCs w:val="0"/>
                <w:sz w:val="19"/>
                <w:szCs w:val="19"/>
              </w:rPr>
              <w:t>100 and &lt;126</w:t>
            </w:r>
            <w:r>
              <w:rPr>
                <w:rStyle w:val="fontstyle01"/>
                <w:rFonts w:asciiTheme="minorHAnsi" w:hAnsiTheme="minorHAnsi"/>
                <w:b w:val="0"/>
                <w:bCs w:val="0"/>
                <w:sz w:val="19"/>
                <w:szCs w:val="19"/>
              </w:rPr>
              <w:t xml:space="preserve"> </w:t>
            </w:r>
            <w:r w:rsidRPr="00AE1F14">
              <w:rPr>
                <w:rStyle w:val="fontstyle01"/>
                <w:rFonts w:asciiTheme="minorHAnsi" w:hAnsiTheme="minorHAnsi"/>
                <w:b w:val="0"/>
                <w:bCs w:val="0"/>
                <w:sz w:val="19"/>
                <w:szCs w:val="19"/>
              </w:rPr>
              <w:t>mg/dL</w:t>
            </w:r>
          </w:p>
        </w:tc>
        <w:tc>
          <w:tcPr>
            <w:tcW w:w="1590" w:type="pct"/>
            <w:hideMark/>
          </w:tcPr>
          <w:p w14:paraId="27B3BB0A" w14:textId="74E7899E" w:rsidR="00AE1F14" w:rsidRPr="00AE1F14" w:rsidRDefault="00AE1F14" w:rsidP="00AE1F14">
            <w:pPr>
              <w:ind w:left="0"/>
              <w:jc w:val="both"/>
              <w:rPr>
                <w:rFonts w:asciiTheme="minorHAnsi" w:eastAsia="TimesNewRoman" w:hAnsiTheme="minorHAnsi"/>
                <w:sz w:val="19"/>
                <w:szCs w:val="19"/>
              </w:rPr>
            </w:pPr>
            <w:r w:rsidRPr="00AE1F14">
              <w:rPr>
                <w:rFonts w:asciiTheme="minorHAnsi" w:eastAsia="TimesNewRoman" w:hAnsiTheme="minorHAnsi"/>
                <w:sz w:val="19"/>
                <w:szCs w:val="19"/>
              </w:rPr>
              <w:t>18/153 (11.8%)</w:t>
            </w:r>
          </w:p>
        </w:tc>
        <w:tc>
          <w:tcPr>
            <w:tcW w:w="1400" w:type="pct"/>
            <w:hideMark/>
          </w:tcPr>
          <w:p w14:paraId="351B3537" w14:textId="1AD84CB4" w:rsidR="00AE1F14" w:rsidRPr="00AE1F14" w:rsidRDefault="00AE1F14" w:rsidP="00AE1F14">
            <w:pPr>
              <w:spacing w:after="0"/>
              <w:ind w:left="0"/>
              <w:jc w:val="both"/>
              <w:rPr>
                <w:rFonts w:asciiTheme="minorHAnsi" w:eastAsia="TimesNewRoman" w:hAnsiTheme="minorHAnsi"/>
                <w:sz w:val="19"/>
                <w:szCs w:val="19"/>
              </w:rPr>
            </w:pPr>
            <w:r w:rsidRPr="00AE1F14">
              <w:rPr>
                <w:rFonts w:asciiTheme="minorHAnsi" w:eastAsia="TimesNewRoman" w:hAnsiTheme="minorHAnsi"/>
                <w:sz w:val="19"/>
                <w:szCs w:val="19"/>
              </w:rPr>
              <w:t>10/143 (7%)</w:t>
            </w:r>
          </w:p>
        </w:tc>
      </w:tr>
    </w:tbl>
    <w:p w14:paraId="0E8AD493" w14:textId="0F87FCCD" w:rsidR="00AE1F14" w:rsidRDefault="006B70C6" w:rsidP="00AE1F14">
      <w:r w:rsidRPr="006B70C6">
        <w:t xml:space="preserve">In the </w:t>
      </w:r>
      <w:r>
        <w:t>s</w:t>
      </w:r>
      <w:r w:rsidRPr="006B70C6">
        <w:t xml:space="preserve">afety </w:t>
      </w:r>
      <w:r>
        <w:t>p</w:t>
      </w:r>
      <w:r w:rsidRPr="006B70C6">
        <w:t xml:space="preserve">ool, TEAEs related to development or worsening of diabetes mellitus were similar overall </w:t>
      </w:r>
      <w:r>
        <w:t>(</w:t>
      </w:r>
      <w:r>
        <w:fldChar w:fldCharType="begin"/>
      </w:r>
      <w:r>
        <w:instrText xml:space="preserve"> REF _Ref97727177 \h </w:instrText>
      </w:r>
      <w:r>
        <w:fldChar w:fldCharType="separate"/>
      </w:r>
      <w:r w:rsidR="002C4E0E" w:rsidRPr="006B70C6">
        <w:t xml:space="preserve">Table </w:t>
      </w:r>
      <w:r w:rsidR="002C4E0E">
        <w:rPr>
          <w:noProof/>
        </w:rPr>
        <w:t>23</w:t>
      </w:r>
      <w:r>
        <w:fldChar w:fldCharType="end"/>
      </w:r>
      <w:r>
        <w:t>)</w:t>
      </w:r>
      <w:r w:rsidRPr="006B70C6">
        <w:t xml:space="preserve">. Slightly more TEAEs were reported with </w:t>
      </w:r>
      <w:proofErr w:type="spellStart"/>
      <w:r w:rsidRPr="006B70C6">
        <w:t>inclisiran</w:t>
      </w:r>
      <w:proofErr w:type="spellEnd"/>
      <w:r w:rsidRPr="006B70C6">
        <w:t xml:space="preserve"> for glycosylated haemoglobin increased (0.5% </w:t>
      </w:r>
      <w:proofErr w:type="spellStart"/>
      <w:r w:rsidRPr="006B70C6">
        <w:t>inclisiran</w:t>
      </w:r>
      <w:proofErr w:type="spellEnd"/>
      <w:r w:rsidRPr="006B70C6">
        <w:t xml:space="preserve">, 0.2% placebo) and hyperglycaemia </w:t>
      </w:r>
      <w:r w:rsidRPr="006B70C6">
        <w:lastRenderedPageBreak/>
        <w:t xml:space="preserve">(1.4% </w:t>
      </w:r>
      <w:proofErr w:type="spellStart"/>
      <w:r w:rsidRPr="006B70C6">
        <w:t>inclisiran</w:t>
      </w:r>
      <w:proofErr w:type="spellEnd"/>
      <w:r w:rsidRPr="006B70C6">
        <w:t xml:space="preserve">, 0.8% placebo), but slightly fewer for glucose tolerance impaired (0.4% </w:t>
      </w:r>
      <w:proofErr w:type="spellStart"/>
      <w:r w:rsidRPr="006B70C6">
        <w:t>inclisiran</w:t>
      </w:r>
      <w:proofErr w:type="spellEnd"/>
      <w:r w:rsidRPr="006B70C6">
        <w:t xml:space="preserve">, 0.7% placebo). In subjects without diabetes at </w:t>
      </w:r>
      <w:r>
        <w:t>B</w:t>
      </w:r>
      <w:r w:rsidRPr="006B70C6">
        <w:t xml:space="preserve">aseline, TEAEs related to development of diabetes were reported in 4.4% in the </w:t>
      </w:r>
      <w:proofErr w:type="spellStart"/>
      <w:r w:rsidRPr="006B70C6">
        <w:t>inclisiran</w:t>
      </w:r>
      <w:proofErr w:type="spellEnd"/>
      <w:r w:rsidRPr="006B70C6">
        <w:t xml:space="preserve"> group and 4.7% in the placebo group. For subjects with diabetes at </w:t>
      </w:r>
      <w:r>
        <w:t>B</w:t>
      </w:r>
      <w:r w:rsidRPr="006B70C6">
        <w:t>aseline, the incidence of TEAEs related to worsening of diabetes was similar in both groups (placebo 34% v</w:t>
      </w:r>
      <w:r>
        <w:t>ersu</w:t>
      </w:r>
      <w:r w:rsidRPr="006B70C6">
        <w:t xml:space="preserve">s </w:t>
      </w:r>
      <w:proofErr w:type="spellStart"/>
      <w:r w:rsidRPr="006B70C6">
        <w:t>inclisiran</w:t>
      </w:r>
      <w:proofErr w:type="spellEnd"/>
      <w:r w:rsidRPr="006B70C6">
        <w:t xml:space="preserve"> 33.2%). There are inconsistencies in findings for TEAEs related to development or worsening of diabetes across the individual Phase III studies </w:t>
      </w:r>
      <w:r>
        <w:t>(</w:t>
      </w:r>
      <w:r>
        <w:fldChar w:fldCharType="begin"/>
      </w:r>
      <w:r>
        <w:instrText xml:space="preserve"> REF _Ref97727225 \h </w:instrText>
      </w:r>
      <w:r>
        <w:fldChar w:fldCharType="separate"/>
      </w:r>
      <w:r w:rsidR="002C4E0E" w:rsidRPr="006B70C6">
        <w:t xml:space="preserve">Table </w:t>
      </w:r>
      <w:r w:rsidR="002C4E0E">
        <w:rPr>
          <w:noProof/>
        </w:rPr>
        <w:t>24</w:t>
      </w:r>
      <w:r>
        <w:fldChar w:fldCharType="end"/>
      </w:r>
      <w:r>
        <w:t>).</w:t>
      </w:r>
    </w:p>
    <w:p w14:paraId="3FEF50A8" w14:textId="69C7C65F" w:rsidR="006B70C6" w:rsidRPr="006B70C6" w:rsidRDefault="006B70C6" w:rsidP="006B70C6">
      <w:pPr>
        <w:pStyle w:val="TableTitle"/>
      </w:pPr>
      <w:bookmarkStart w:id="78" w:name="_Ref97727177"/>
      <w:r w:rsidRPr="006B70C6">
        <w:t xml:space="preserve">Table </w:t>
      </w:r>
      <w:r>
        <w:fldChar w:fldCharType="begin"/>
      </w:r>
      <w:r>
        <w:instrText>SEQ Table \* ARABIC</w:instrText>
      </w:r>
      <w:r>
        <w:fldChar w:fldCharType="separate"/>
      </w:r>
      <w:r w:rsidR="002C4E0E">
        <w:rPr>
          <w:noProof/>
        </w:rPr>
        <w:t>23</w:t>
      </w:r>
      <w:r>
        <w:fldChar w:fldCharType="end"/>
      </w:r>
      <w:bookmarkEnd w:id="78"/>
      <w:r>
        <w:t>:</w:t>
      </w:r>
      <w:r w:rsidRPr="006B70C6">
        <w:t xml:space="preserve"> </w:t>
      </w:r>
      <w:r>
        <w:t>T</w:t>
      </w:r>
      <w:r w:rsidRPr="006B70C6">
        <w:t>reatment emergent adverse event</w:t>
      </w:r>
      <w:r>
        <w:t xml:space="preserve">s related to development or worsening of diabetes mellitus in the </w:t>
      </w:r>
      <w:r w:rsidR="00EB0926">
        <w:t>s</w:t>
      </w:r>
      <w:r>
        <w:t xml:space="preserve">afety </w:t>
      </w:r>
      <w:r w:rsidR="00EB0926">
        <w:t>p</w:t>
      </w:r>
      <w:r>
        <w:t>ool (Safety population)</w:t>
      </w:r>
    </w:p>
    <w:p w14:paraId="43DA9C7D" w14:textId="4756BACE" w:rsidR="006B70C6" w:rsidRDefault="006B70C6" w:rsidP="006B70C6">
      <w:r>
        <w:rPr>
          <w:noProof/>
          <w:lang w:val="en-GB" w:eastAsia="en-GB"/>
        </w:rPr>
        <w:drawing>
          <wp:inline distT="0" distB="0" distL="0" distR="0" wp14:anchorId="654951F1" wp14:editId="560C70F1">
            <wp:extent cx="5208270" cy="2267712"/>
            <wp:effectExtent l="0" t="0" r="0" b="0"/>
            <wp:docPr id="328" name="Picture 328" descr="Treatment emergent adverse events related to development or worsening of diabetes mellitus in the safety pool (Safety population)"/>
            <wp:cNvGraphicFramePr/>
            <a:graphic xmlns:a="http://schemas.openxmlformats.org/drawingml/2006/main">
              <a:graphicData uri="http://schemas.openxmlformats.org/drawingml/2006/picture">
                <pic:pic xmlns:pic="http://schemas.openxmlformats.org/drawingml/2006/picture">
                  <pic:nvPicPr>
                    <pic:cNvPr id="328" name="Picture 328" descr="Treatment emergent adverse events related to development or worsening of diabetes mellitus in the safety pool (Safety population)"/>
                    <pic:cNvPicPr/>
                  </pic:nvPicPr>
                  <pic:blipFill>
                    <a:blip r:embed="rId54"/>
                    <a:stretch>
                      <a:fillRect/>
                    </a:stretch>
                  </pic:blipFill>
                  <pic:spPr>
                    <a:xfrm>
                      <a:off x="0" y="0"/>
                      <a:ext cx="5212028" cy="2269348"/>
                    </a:xfrm>
                    <a:prstGeom prst="rect">
                      <a:avLst/>
                    </a:prstGeom>
                  </pic:spPr>
                </pic:pic>
              </a:graphicData>
            </a:graphic>
          </wp:inline>
        </w:drawing>
      </w:r>
    </w:p>
    <w:p w14:paraId="1E5122D9" w14:textId="74B56221" w:rsidR="006B70C6" w:rsidRDefault="006B70C6" w:rsidP="006B70C6">
      <w:pPr>
        <w:pStyle w:val="TableTitle"/>
      </w:pPr>
      <w:bookmarkStart w:id="79" w:name="_Ref97727225"/>
      <w:r w:rsidRPr="006B70C6">
        <w:t xml:space="preserve">Table </w:t>
      </w:r>
      <w:r>
        <w:fldChar w:fldCharType="begin"/>
      </w:r>
      <w:r>
        <w:instrText>SEQ Table \* ARABIC</w:instrText>
      </w:r>
      <w:r>
        <w:fldChar w:fldCharType="separate"/>
      </w:r>
      <w:r w:rsidR="002C4E0E">
        <w:rPr>
          <w:noProof/>
        </w:rPr>
        <w:t>24</w:t>
      </w:r>
      <w:r>
        <w:fldChar w:fldCharType="end"/>
      </w:r>
      <w:bookmarkEnd w:id="79"/>
      <w:r>
        <w:t>:</w:t>
      </w:r>
      <w:r w:rsidRPr="006B70C6">
        <w:t xml:space="preserve"> ORION-9, ORION-10, ORION-11</w:t>
      </w:r>
      <w:r>
        <w:t xml:space="preserve"> trials</w:t>
      </w:r>
      <w:r w:rsidR="006255F8">
        <w:t>,</w:t>
      </w:r>
      <w:r>
        <w:t xml:space="preserve"> T</w:t>
      </w:r>
      <w:r w:rsidRPr="006B70C6">
        <w:t>reatment emergent adverse event</w:t>
      </w:r>
      <w:r>
        <w:t>s</w:t>
      </w:r>
      <w:r w:rsidRPr="006B70C6">
        <w:t xml:space="preserve"> related to development or worsening of diabetes mellitu</w:t>
      </w:r>
      <w:r>
        <w:t>s</w:t>
      </w:r>
    </w:p>
    <w:p w14:paraId="3463D430" w14:textId="44B95D7E" w:rsidR="006B70C6" w:rsidRDefault="006B70C6" w:rsidP="006B70C6">
      <w:r>
        <w:rPr>
          <w:noProof/>
          <w:lang w:val="en-GB" w:eastAsia="en-GB"/>
        </w:rPr>
        <w:drawing>
          <wp:inline distT="0" distB="0" distL="0" distR="0" wp14:anchorId="06C9EC26" wp14:editId="0F58E928">
            <wp:extent cx="5208270" cy="2794407"/>
            <wp:effectExtent l="0" t="0" r="0" b="6350"/>
            <wp:docPr id="226" name="Picture 226" descr="ORION-9, ORION-10, ORION-11 trials Treatment emergent adverse events related to development or worsening of diabetes mellitus"/>
            <wp:cNvGraphicFramePr/>
            <a:graphic xmlns:a="http://schemas.openxmlformats.org/drawingml/2006/main">
              <a:graphicData uri="http://schemas.openxmlformats.org/drawingml/2006/picture">
                <pic:pic xmlns:pic="http://schemas.openxmlformats.org/drawingml/2006/picture">
                  <pic:nvPicPr>
                    <pic:cNvPr id="226" name="Picture 226" descr="ORION-9, ORION-10, ORION-11 trials Treatment emergent adverse events related to development or worsening of diabetes mellitus"/>
                    <pic:cNvPicPr/>
                  </pic:nvPicPr>
                  <pic:blipFill>
                    <a:blip r:embed="rId55"/>
                    <a:stretch>
                      <a:fillRect/>
                    </a:stretch>
                  </pic:blipFill>
                  <pic:spPr>
                    <a:xfrm>
                      <a:off x="0" y="0"/>
                      <a:ext cx="5210052" cy="2795363"/>
                    </a:xfrm>
                    <a:prstGeom prst="rect">
                      <a:avLst/>
                    </a:prstGeom>
                  </pic:spPr>
                </pic:pic>
              </a:graphicData>
            </a:graphic>
          </wp:inline>
        </w:drawing>
      </w:r>
    </w:p>
    <w:p w14:paraId="4C811F34" w14:textId="1EF785B1" w:rsidR="006B70C6" w:rsidRDefault="006B70C6" w:rsidP="006B70C6">
      <w:r>
        <w:t>The sponsor provided an analysis of adverse events of special interest for patients who sustained LDL-C &lt; 25 mg/dL and &lt; 50 mg/dL (</w:t>
      </w:r>
      <w:r>
        <w:fldChar w:fldCharType="begin"/>
      </w:r>
      <w:r>
        <w:instrText xml:space="preserve"> REF _Ref97727380 \h </w:instrText>
      </w:r>
      <w:r>
        <w:fldChar w:fldCharType="separate"/>
      </w:r>
      <w:r w:rsidR="002C4E0E" w:rsidRPr="006B70C6">
        <w:t xml:space="preserve">Table </w:t>
      </w:r>
      <w:r w:rsidR="002C4E0E">
        <w:rPr>
          <w:noProof/>
        </w:rPr>
        <w:t>25</w:t>
      </w:r>
      <w:r>
        <w:fldChar w:fldCharType="end"/>
      </w:r>
      <w:r>
        <w:t xml:space="preserve">). There was a higher incidence of TEAEs related to new onset/worsening diabetes and hypersensitivity in patients with LDL-C &lt; 25 mg/dL, but there were differences in baseline characteristics between the groups, particularly </w:t>
      </w:r>
      <w:proofErr w:type="gramStart"/>
      <w:r>
        <w:t>with regard to</w:t>
      </w:r>
      <w:proofErr w:type="gramEnd"/>
      <w:r>
        <w:t xml:space="preserve"> diabetes events.</w:t>
      </w:r>
    </w:p>
    <w:p w14:paraId="16448AFC" w14:textId="4630DEEC" w:rsidR="006B70C6" w:rsidRDefault="006B70C6" w:rsidP="006B70C6">
      <w:pPr>
        <w:pStyle w:val="TableTitle"/>
      </w:pPr>
      <w:bookmarkStart w:id="80" w:name="_Ref97727380"/>
      <w:r w:rsidRPr="006B70C6">
        <w:lastRenderedPageBreak/>
        <w:t xml:space="preserve">Table </w:t>
      </w:r>
      <w:r>
        <w:fldChar w:fldCharType="begin"/>
      </w:r>
      <w:r>
        <w:instrText>SEQ Table \* ARABIC</w:instrText>
      </w:r>
      <w:r>
        <w:fldChar w:fldCharType="separate"/>
      </w:r>
      <w:r w:rsidR="002C4E0E">
        <w:rPr>
          <w:noProof/>
        </w:rPr>
        <w:t>25</w:t>
      </w:r>
      <w:r>
        <w:fldChar w:fldCharType="end"/>
      </w:r>
      <w:bookmarkEnd w:id="80"/>
      <w:r>
        <w:t>: Number (%) of patients with t</w:t>
      </w:r>
      <w:r w:rsidRPr="006B70C6">
        <w:t>reatment emergent adverse event</w:t>
      </w:r>
      <w:r>
        <w:t>s of special interest by post-baseline LDL-C level less than 25 mg/dL in safety pool (safety population)</w:t>
      </w:r>
    </w:p>
    <w:p w14:paraId="0254B7B1" w14:textId="1996145F" w:rsidR="006B70C6" w:rsidRDefault="004502AD" w:rsidP="006B70C6">
      <w:r w:rsidRPr="004502AD">
        <w:rPr>
          <w:noProof/>
          <w:lang w:val="en-GB" w:eastAsia="en-GB"/>
        </w:rPr>
        <w:drawing>
          <wp:inline distT="0" distB="0" distL="0" distR="0" wp14:anchorId="05C201BC" wp14:editId="40C1883D">
            <wp:extent cx="5397933" cy="1858061"/>
            <wp:effectExtent l="0" t="0" r="0" b="8890"/>
            <wp:docPr id="21" name="Picture 21" descr="Number (%) of patients with treatment emergent adverse events of special interest by post-baseline LDL-C level less than 25 mg/dL in safety poo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umber (%) of patients with treatment emergent adverse events of special interest by post-baseline LDL-C level less than 25 mg/dL in safety pool (safety population)"/>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396"/>
                    <a:stretch/>
                  </pic:blipFill>
                  <pic:spPr bwMode="auto">
                    <a:xfrm>
                      <a:off x="0" y="0"/>
                      <a:ext cx="5398770" cy="1858349"/>
                    </a:xfrm>
                    <a:prstGeom prst="rect">
                      <a:avLst/>
                    </a:prstGeom>
                    <a:noFill/>
                    <a:ln>
                      <a:noFill/>
                    </a:ln>
                    <a:extLst>
                      <a:ext uri="{53640926-AAD7-44D8-BBD7-CCE9431645EC}">
                        <a14:shadowObscured xmlns:a14="http://schemas.microsoft.com/office/drawing/2010/main"/>
                      </a:ext>
                    </a:extLst>
                  </pic:spPr>
                </pic:pic>
              </a:graphicData>
            </a:graphic>
          </wp:inline>
        </w:drawing>
      </w:r>
      <w:r w:rsidRPr="004502AD">
        <w:rPr>
          <w:noProof/>
          <w:lang w:val="en-GB" w:eastAsia="en-GB"/>
        </w:rPr>
        <w:drawing>
          <wp:inline distT="0" distB="0" distL="0" distR="0" wp14:anchorId="434943ED" wp14:editId="51433005">
            <wp:extent cx="5397554" cy="7168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4795" b="28070"/>
                    <a:stretch/>
                  </pic:blipFill>
                  <pic:spPr bwMode="auto">
                    <a:xfrm>
                      <a:off x="0" y="0"/>
                      <a:ext cx="5398770" cy="717051"/>
                    </a:xfrm>
                    <a:prstGeom prst="rect">
                      <a:avLst/>
                    </a:prstGeom>
                    <a:noFill/>
                    <a:ln>
                      <a:noFill/>
                    </a:ln>
                    <a:extLst>
                      <a:ext uri="{53640926-AAD7-44D8-BBD7-CCE9431645EC}">
                        <a14:shadowObscured xmlns:a14="http://schemas.microsoft.com/office/drawing/2010/main"/>
                      </a:ext>
                    </a:extLst>
                  </pic:spPr>
                </pic:pic>
              </a:graphicData>
            </a:graphic>
          </wp:inline>
        </w:drawing>
      </w:r>
    </w:p>
    <w:p w14:paraId="2D985136" w14:textId="1B683148" w:rsidR="004502AD" w:rsidRDefault="004502AD" w:rsidP="004502AD">
      <w:pPr>
        <w:pStyle w:val="TableDescription"/>
      </w:pPr>
      <w:r>
        <w:t>n = number of subjects with event(s) percentage is calculated by n/N*100</w:t>
      </w:r>
    </w:p>
    <w:p w14:paraId="07374D09" w14:textId="7872DA7E" w:rsidR="004502AD" w:rsidRDefault="004502AD" w:rsidP="004502AD">
      <w:pPr>
        <w:pStyle w:val="TableDescription"/>
      </w:pPr>
      <w:r>
        <w:t>TEAE/TESAE = t</w:t>
      </w:r>
      <w:r w:rsidRPr="006B70C6">
        <w:t>reatment emergent adverse event</w:t>
      </w:r>
      <w:r>
        <w:t xml:space="preserve"> / t</w:t>
      </w:r>
      <w:r w:rsidRPr="006B70C6">
        <w:t xml:space="preserve">reatment emergent </w:t>
      </w:r>
      <w:r>
        <w:t xml:space="preserve">serious </w:t>
      </w:r>
      <w:r w:rsidRPr="006B70C6">
        <w:t>adverse event</w:t>
      </w:r>
    </w:p>
    <w:p w14:paraId="5E48AE8E" w14:textId="77777777" w:rsidR="004502AD" w:rsidRDefault="004502AD" w:rsidP="004502AD">
      <w:pPr>
        <w:pStyle w:val="Heading6"/>
      </w:pPr>
      <w:r>
        <w:t>Safety in pregnancy and lactation</w:t>
      </w:r>
    </w:p>
    <w:p w14:paraId="0A00D5FD" w14:textId="6CBBC11F" w:rsidR="004502AD" w:rsidRDefault="004502AD" w:rsidP="004502AD">
      <w:r>
        <w:t xml:space="preserve">There are no clinical data on the use of </w:t>
      </w:r>
      <w:proofErr w:type="spellStart"/>
      <w:r>
        <w:t>inclisiran</w:t>
      </w:r>
      <w:proofErr w:type="spellEnd"/>
      <w:r>
        <w:t xml:space="preserve"> during pregnancy or lactation.</w:t>
      </w:r>
    </w:p>
    <w:p w14:paraId="5D1DF611" w14:textId="000F1043" w:rsidR="004502AD" w:rsidRDefault="004502AD" w:rsidP="004502AD">
      <w:pPr>
        <w:pStyle w:val="Heading6"/>
      </w:pPr>
      <w:r>
        <w:t>Long-term safety</w:t>
      </w:r>
    </w:p>
    <w:p w14:paraId="6175DBFD" w14:textId="02481D94" w:rsidR="004502AD" w:rsidRDefault="004502AD" w:rsidP="004502AD">
      <w:r w:rsidRPr="004502AD">
        <w:t xml:space="preserve">Interim data from the ongoing </w:t>
      </w:r>
      <w:r>
        <w:t>long</w:t>
      </w:r>
      <w:r w:rsidR="004A4D6B">
        <w:t xml:space="preserve"> </w:t>
      </w:r>
      <w:r>
        <w:t xml:space="preserve">term extension study ORION-3 trial contribute to long term safety data for </w:t>
      </w:r>
      <w:proofErr w:type="spellStart"/>
      <w:r>
        <w:t>inclisiran</w:t>
      </w:r>
      <w:proofErr w:type="spellEnd"/>
      <w:r>
        <w:t xml:space="preserve">. As at the 8 May 2019 data </w:t>
      </w:r>
      <w:proofErr w:type="spellStart"/>
      <w:r>
        <w:t>cutoff</w:t>
      </w:r>
      <w:proofErr w:type="spellEnd"/>
      <w:r>
        <w:t xml:space="preserve">, 243 out of 284 (85.6%) subjects in </w:t>
      </w:r>
      <w:r w:rsidR="00961DEA">
        <w:t>Group 1</w:t>
      </w:r>
      <w:r>
        <w:t xml:space="preserve"> (</w:t>
      </w:r>
      <w:proofErr w:type="spellStart"/>
      <w:r>
        <w:t>inclisiran</w:t>
      </w:r>
      <w:proofErr w:type="spellEnd"/>
      <w:r>
        <w:t xml:space="preserve"> only arm) had received four doses of </w:t>
      </w:r>
      <w:proofErr w:type="spellStart"/>
      <w:r>
        <w:t>inclisiran</w:t>
      </w:r>
      <w:proofErr w:type="spellEnd"/>
      <w:r>
        <w:t xml:space="preserve"> in </w:t>
      </w:r>
      <w:r w:rsidR="006255F8">
        <w:t xml:space="preserve">the </w:t>
      </w:r>
      <w:r>
        <w:t xml:space="preserve">ORION-3 trial and the mean duration on study was 583.9 days. 87 subjects received </w:t>
      </w:r>
      <w:proofErr w:type="spellStart"/>
      <w:r>
        <w:t>inclisiran</w:t>
      </w:r>
      <w:proofErr w:type="spellEnd"/>
      <w:r>
        <w:t xml:space="preserve"> in </w:t>
      </w:r>
      <w:r w:rsidR="00961DEA">
        <w:t>Group 2</w:t>
      </w:r>
      <w:r>
        <w:t xml:space="preserve"> (switching arm), 60 in </w:t>
      </w:r>
      <w:r w:rsidR="00961DEA">
        <w:t>Transition 1</w:t>
      </w:r>
      <w:r>
        <w:t xml:space="preserve"> (staged transition) and 27 in </w:t>
      </w:r>
      <w:r w:rsidR="00961DEA">
        <w:t>Transition 2</w:t>
      </w:r>
      <w:r>
        <w:t xml:space="preserve"> (concurrent </w:t>
      </w:r>
      <w:proofErr w:type="spellStart"/>
      <w:r>
        <w:t>evolocumab</w:t>
      </w:r>
      <w:proofErr w:type="spellEnd"/>
      <w:r>
        <w:t xml:space="preserve"> and </w:t>
      </w:r>
      <w:proofErr w:type="spellStart"/>
      <w:r>
        <w:t>inclisiran</w:t>
      </w:r>
      <w:proofErr w:type="spellEnd"/>
      <w:r>
        <w:t xml:space="preserve"> on Day 360). 64.4% of subjects in </w:t>
      </w:r>
      <w:r w:rsidR="00961DEA">
        <w:t>Group 2</w:t>
      </w:r>
      <w:r>
        <w:t xml:space="preserve"> had received two doses of </w:t>
      </w:r>
      <w:proofErr w:type="spellStart"/>
      <w:r>
        <w:t>inclisiran</w:t>
      </w:r>
      <w:proofErr w:type="spellEnd"/>
      <w:r>
        <w:t xml:space="preserve"> (Day 360 and Day 450) and the mean duration on study was 588.3 days.</w:t>
      </w:r>
    </w:p>
    <w:p w14:paraId="018575BF" w14:textId="61E2C0B8" w:rsidR="004502AD" w:rsidRDefault="004502AD" w:rsidP="004502AD">
      <w:r>
        <w:t xml:space="preserve">In </w:t>
      </w:r>
      <w:r w:rsidR="00961DEA">
        <w:t>Group 1</w:t>
      </w:r>
      <w:r>
        <w:t xml:space="preserve">, 89.1% of subjects experienced at least one TEAE. The most common TEAEs were nasopharyngitis (14.8%), influenza (8.5%), urinary tract infection (7.7%), and hypertension (7%). </w:t>
      </w:r>
      <w:proofErr w:type="gramStart"/>
      <w:r>
        <w:t>The majority of</w:t>
      </w:r>
      <w:proofErr w:type="gramEnd"/>
      <w:r>
        <w:t xml:space="preserve"> treatment</w:t>
      </w:r>
      <w:r w:rsidR="004A4D6B">
        <w:t xml:space="preserve"> </w:t>
      </w:r>
      <w:r>
        <w:t>related TEAEs were TEAEs at the injection site. 21.1% experienced at least one TESAE.</w:t>
      </w:r>
    </w:p>
    <w:p w14:paraId="69351D6A" w14:textId="20DA0EF7" w:rsidR="004502AD" w:rsidRDefault="004502AD" w:rsidP="004502AD">
      <w:r>
        <w:t xml:space="preserve">In </w:t>
      </w:r>
      <w:r w:rsidR="00961DEA">
        <w:t>Group 2</w:t>
      </w:r>
      <w:r>
        <w:t xml:space="preserve">, 40 of 60 subjects (66.7%) in </w:t>
      </w:r>
      <w:r w:rsidR="00961DEA">
        <w:t>Transition 1</w:t>
      </w:r>
      <w:r>
        <w:t xml:space="preserve"> reported at least one TEAE and 22 of 27 subjects (81.5%) in </w:t>
      </w:r>
      <w:r w:rsidR="00961DEA">
        <w:t>Transition 2</w:t>
      </w:r>
      <w:r>
        <w:t xml:space="preserve"> reported at least one TEAE. TESAEs were balanced (11.7% in </w:t>
      </w:r>
      <w:r w:rsidR="00961DEA">
        <w:t>Transition 1</w:t>
      </w:r>
      <w:r>
        <w:t xml:space="preserve">, 11.1% in </w:t>
      </w:r>
      <w:r w:rsidR="00961DEA">
        <w:t>Transition 2</w:t>
      </w:r>
      <w:r>
        <w:t>). The most common TEAEs reported between Day 360 and the data cut</w:t>
      </w:r>
      <w:r w:rsidR="006255F8">
        <w:t>-</w:t>
      </w:r>
      <w:r>
        <w:t>off date were hypertension (6.9%), nasopharyngitis (6.9%), arthralgia (4.6%), influenza (4.6%), and injection site pain (4.6%).</w:t>
      </w:r>
    </w:p>
    <w:p w14:paraId="0FCBDC7E" w14:textId="77777777" w:rsidR="008E7846" w:rsidRDefault="00386150" w:rsidP="007B6132">
      <w:pPr>
        <w:pStyle w:val="Heading3"/>
        <w:rPr>
          <w:lang w:eastAsia="en-AU"/>
        </w:rPr>
      </w:pPr>
      <w:bookmarkStart w:id="81" w:name="_Toc99632918"/>
      <w:r>
        <w:rPr>
          <w:lang w:eastAsia="en-AU"/>
        </w:rPr>
        <w:t>Risk m</w:t>
      </w:r>
      <w:r w:rsidR="008E7846">
        <w:rPr>
          <w:lang w:eastAsia="en-AU"/>
        </w:rPr>
        <w:t xml:space="preserve">anagement </w:t>
      </w:r>
      <w:r>
        <w:rPr>
          <w:lang w:eastAsia="en-AU"/>
        </w:rPr>
        <w:t>p</w:t>
      </w:r>
      <w:r w:rsidR="008E7846">
        <w:rPr>
          <w:lang w:eastAsia="en-AU"/>
        </w:rPr>
        <w:t>lan</w:t>
      </w:r>
      <w:bookmarkEnd w:id="41"/>
      <w:bookmarkEnd w:id="81"/>
    </w:p>
    <w:p w14:paraId="20F91C00" w14:textId="356E87AD" w:rsidR="00E67C59" w:rsidRDefault="006255F8" w:rsidP="00E67C59">
      <w:r>
        <w:t>The sponsor</w:t>
      </w:r>
      <w:r w:rsidR="00E67C59" w:rsidRPr="00E67C59">
        <w:t xml:space="preserve"> has submitted an EU approved EU-</w:t>
      </w:r>
      <w:r w:rsidR="00E67C59">
        <w:t>risk management plan (</w:t>
      </w:r>
      <w:r w:rsidR="00E67C59" w:rsidRPr="00E67C59">
        <w:t>RMP</w:t>
      </w:r>
      <w:r w:rsidR="00E67C59">
        <w:t>)</w:t>
      </w:r>
      <w:r w:rsidR="00E67C59" w:rsidRPr="00E67C59">
        <w:t xml:space="preserve"> version 1.0 (date</w:t>
      </w:r>
      <w:r w:rsidR="00E67C59">
        <w:t>d</w:t>
      </w:r>
      <w:r w:rsidR="00E67C59" w:rsidRPr="00E67C59">
        <w:t xml:space="preserve"> 12 October 2020; </w:t>
      </w:r>
      <w:r w:rsidR="00E67C59">
        <w:t>data lock point (D</w:t>
      </w:r>
      <w:r w:rsidR="00E67C59" w:rsidRPr="00E67C59">
        <w:t>LP</w:t>
      </w:r>
      <w:r w:rsidR="00E67C59">
        <w:t>)</w:t>
      </w:r>
      <w:r w:rsidR="00E67C59" w:rsidRPr="00E67C59">
        <w:t xml:space="preserve"> 17 September 2019) and A</w:t>
      </w:r>
      <w:r w:rsidR="00E67C59">
        <w:t>ustralia</w:t>
      </w:r>
      <w:r w:rsidR="00713EA4">
        <w:t>n</w:t>
      </w:r>
      <w:r w:rsidR="00E67C59">
        <w:t xml:space="preserve"> specific annex (A</w:t>
      </w:r>
      <w:r w:rsidR="00E67C59" w:rsidRPr="00E67C59">
        <w:t>SA</w:t>
      </w:r>
      <w:r w:rsidR="00E67C59">
        <w:t>)</w:t>
      </w:r>
      <w:r w:rsidR="00E67C59" w:rsidRPr="00E67C59">
        <w:t xml:space="preserve"> version 1.1 (12 February 2021) in support of this application. On TGA request, sponsor has supplied updated ASA version 1.2 (5 August 2021) to accompany EU</w:t>
      </w:r>
      <w:r>
        <w:noBreakHyphen/>
      </w:r>
      <w:r w:rsidR="00E67C59" w:rsidRPr="00E67C59">
        <w:t>RMP version 1.0 and support the decision on product registration.</w:t>
      </w:r>
    </w:p>
    <w:p w14:paraId="32AD7FF9" w14:textId="45AD4EB8" w:rsidR="007D53B6" w:rsidRDefault="007D53B6" w:rsidP="007D53B6">
      <w:r>
        <w:lastRenderedPageBreak/>
        <w:t xml:space="preserve">The summary of safety concerns and their associated risk monitoring and mitigation strategies are summarised in </w:t>
      </w:r>
      <w:r w:rsidR="00E67C59">
        <w:fldChar w:fldCharType="begin"/>
      </w:r>
      <w:r w:rsidR="00E67C59">
        <w:instrText xml:space="preserve"> REF _Ref97730883 \h </w:instrText>
      </w:r>
      <w:r w:rsidR="00E67C59">
        <w:fldChar w:fldCharType="separate"/>
      </w:r>
      <w:r w:rsidR="002C4E0E" w:rsidRPr="00E67C59">
        <w:t xml:space="preserve">Table </w:t>
      </w:r>
      <w:r w:rsidR="002C4E0E">
        <w:rPr>
          <w:noProof/>
        </w:rPr>
        <w:t>26</w:t>
      </w:r>
      <w:r w:rsidR="00E67C59">
        <w:fldChar w:fldCharType="end"/>
      </w:r>
      <w:r>
        <w:t>.</w:t>
      </w:r>
      <w:r>
        <w:rPr>
          <w:rStyle w:val="FootnoteReference"/>
        </w:rPr>
        <w:footnoteReference w:id="17"/>
      </w:r>
    </w:p>
    <w:p w14:paraId="672B9B4A" w14:textId="14B4E248" w:rsidR="00E67C59" w:rsidRDefault="00E67C59" w:rsidP="00E67C59">
      <w:pPr>
        <w:pStyle w:val="TableTitle"/>
      </w:pPr>
      <w:bookmarkStart w:id="82" w:name="_Ref97730883"/>
      <w:r w:rsidRPr="00E67C59">
        <w:t xml:space="preserve">Table </w:t>
      </w:r>
      <w:r>
        <w:fldChar w:fldCharType="begin"/>
      </w:r>
      <w:r>
        <w:instrText>SEQ Table \* ARABIC</w:instrText>
      </w:r>
      <w:r>
        <w:fldChar w:fldCharType="separate"/>
      </w:r>
      <w:r w:rsidR="002C4E0E">
        <w:rPr>
          <w:noProof/>
        </w:rPr>
        <w:t>26</w:t>
      </w:r>
      <w:r>
        <w:fldChar w:fldCharType="end"/>
      </w:r>
      <w:bookmarkEnd w:id="82"/>
      <w:r>
        <w:t>: Summary of safety concerns</w:t>
      </w:r>
    </w:p>
    <w:tbl>
      <w:tblPr>
        <w:tblStyle w:val="TableTGAblue"/>
        <w:tblW w:w="5000" w:type="pct"/>
        <w:tblLook w:val="04A0" w:firstRow="1" w:lastRow="0" w:firstColumn="1" w:lastColumn="0" w:noHBand="0" w:noVBand="1"/>
      </w:tblPr>
      <w:tblGrid>
        <w:gridCol w:w="1442"/>
        <w:gridCol w:w="1598"/>
        <w:gridCol w:w="1248"/>
        <w:gridCol w:w="1479"/>
        <w:gridCol w:w="1248"/>
        <w:gridCol w:w="1479"/>
      </w:tblGrid>
      <w:tr w:rsidR="00E67C59" w:rsidRPr="00E67C59" w14:paraId="2F5FCC3F" w14:textId="77777777" w:rsidTr="00E67C59">
        <w:trPr>
          <w:cnfStyle w:val="100000000000" w:firstRow="1" w:lastRow="0" w:firstColumn="0" w:lastColumn="0" w:oddVBand="0" w:evenVBand="0" w:oddHBand="0" w:evenHBand="0" w:firstRowFirstColumn="0" w:firstRowLastColumn="0" w:lastRowFirstColumn="0" w:lastRowLastColumn="0"/>
          <w:trHeight w:val="131"/>
        </w:trPr>
        <w:tc>
          <w:tcPr>
            <w:tcW w:w="1789" w:type="pct"/>
            <w:gridSpan w:val="2"/>
            <w:vMerge w:val="restart"/>
            <w:tcBorders>
              <w:top w:val="single" w:sz="4" w:space="0" w:color="auto"/>
              <w:left w:val="single" w:sz="4" w:space="0" w:color="auto"/>
              <w:bottom w:val="single" w:sz="4" w:space="0" w:color="auto"/>
              <w:right w:val="single" w:sz="4" w:space="0" w:color="auto"/>
            </w:tcBorders>
          </w:tcPr>
          <w:p w14:paraId="2329D058" w14:textId="77777777" w:rsidR="00E67C59" w:rsidRPr="00E67C59" w:rsidRDefault="00E67C59" w:rsidP="00F52E08">
            <w:pPr>
              <w:pStyle w:val="Tabletext"/>
              <w:rPr>
                <w:rFonts w:asciiTheme="minorHAnsi" w:hAnsiTheme="minorHAnsi"/>
                <w:bCs/>
                <w:szCs w:val="19"/>
              </w:rPr>
            </w:pPr>
            <w:r w:rsidRPr="00E67C59">
              <w:rPr>
                <w:rFonts w:asciiTheme="minorHAnsi" w:hAnsiTheme="minorHAnsi"/>
                <w:bCs/>
                <w:szCs w:val="19"/>
              </w:rPr>
              <w:t>Summary of safety concerns</w:t>
            </w:r>
          </w:p>
        </w:tc>
        <w:tc>
          <w:tcPr>
            <w:tcW w:w="1605" w:type="pct"/>
            <w:gridSpan w:val="2"/>
            <w:tcBorders>
              <w:top w:val="single" w:sz="4" w:space="0" w:color="auto"/>
              <w:left w:val="single" w:sz="4" w:space="0" w:color="auto"/>
              <w:bottom w:val="single" w:sz="4" w:space="0" w:color="auto"/>
              <w:right w:val="single" w:sz="4" w:space="0" w:color="auto"/>
            </w:tcBorders>
          </w:tcPr>
          <w:p w14:paraId="162A76F8" w14:textId="77777777" w:rsidR="00E67C59" w:rsidRPr="00E67C59" w:rsidRDefault="00E67C59" w:rsidP="00F52E08">
            <w:pPr>
              <w:pStyle w:val="Tabletext"/>
              <w:rPr>
                <w:rFonts w:asciiTheme="minorHAnsi" w:hAnsiTheme="minorHAnsi"/>
                <w:bCs/>
                <w:szCs w:val="19"/>
              </w:rPr>
            </w:pPr>
            <w:r w:rsidRPr="00E67C59">
              <w:rPr>
                <w:rFonts w:asciiTheme="minorHAnsi" w:hAnsiTheme="minorHAnsi"/>
                <w:bCs/>
                <w:szCs w:val="19"/>
              </w:rPr>
              <w:t>Pharmacovigilance</w:t>
            </w:r>
          </w:p>
        </w:tc>
        <w:tc>
          <w:tcPr>
            <w:tcW w:w="1605" w:type="pct"/>
            <w:gridSpan w:val="2"/>
            <w:tcBorders>
              <w:top w:val="single" w:sz="4" w:space="0" w:color="auto"/>
              <w:left w:val="single" w:sz="4" w:space="0" w:color="auto"/>
              <w:bottom w:val="single" w:sz="4" w:space="0" w:color="auto"/>
              <w:right w:val="single" w:sz="4" w:space="0" w:color="auto"/>
            </w:tcBorders>
          </w:tcPr>
          <w:p w14:paraId="7622C801" w14:textId="77777777" w:rsidR="00E67C59" w:rsidRPr="00E67C59" w:rsidRDefault="00E67C59" w:rsidP="00F52E08">
            <w:pPr>
              <w:pStyle w:val="Tabletext"/>
              <w:rPr>
                <w:rFonts w:asciiTheme="minorHAnsi" w:hAnsiTheme="minorHAnsi"/>
                <w:bCs/>
                <w:szCs w:val="19"/>
              </w:rPr>
            </w:pPr>
            <w:r w:rsidRPr="00E67C59">
              <w:rPr>
                <w:rFonts w:asciiTheme="minorHAnsi" w:hAnsiTheme="minorHAnsi"/>
                <w:bCs/>
                <w:szCs w:val="19"/>
              </w:rPr>
              <w:t>Risk Minimisation</w:t>
            </w:r>
          </w:p>
        </w:tc>
      </w:tr>
      <w:tr w:rsidR="00E67C59" w:rsidRPr="00E67C59" w14:paraId="19D5BF9F" w14:textId="77777777" w:rsidTr="00E67C59">
        <w:trPr>
          <w:trHeight w:val="150"/>
        </w:trPr>
        <w:tc>
          <w:tcPr>
            <w:tcW w:w="1789" w:type="pct"/>
            <w:gridSpan w:val="2"/>
            <w:vMerge/>
            <w:tcBorders>
              <w:top w:val="single" w:sz="4" w:space="0" w:color="auto"/>
              <w:left w:val="single" w:sz="4" w:space="0" w:color="auto"/>
              <w:bottom w:val="single" w:sz="4" w:space="0" w:color="auto"/>
              <w:right w:val="single" w:sz="4" w:space="0" w:color="auto"/>
            </w:tcBorders>
            <w:shd w:val="clear" w:color="auto" w:fill="006DA7"/>
          </w:tcPr>
          <w:p w14:paraId="092B465C" w14:textId="77777777" w:rsidR="00E67C59" w:rsidRPr="00E67C59" w:rsidRDefault="00E67C59" w:rsidP="00F52E08">
            <w:pPr>
              <w:pStyle w:val="Tabletext"/>
              <w:rPr>
                <w:rFonts w:asciiTheme="minorHAnsi" w:hAnsiTheme="minorHAnsi"/>
                <w:b/>
                <w:bCs/>
                <w:color w:val="FFFFFF" w:themeColor="background1"/>
                <w:szCs w:val="19"/>
              </w:rPr>
            </w:pPr>
          </w:p>
        </w:tc>
        <w:tc>
          <w:tcPr>
            <w:tcW w:w="735" w:type="pct"/>
            <w:tcBorders>
              <w:top w:val="single" w:sz="4" w:space="0" w:color="auto"/>
              <w:left w:val="single" w:sz="4" w:space="0" w:color="auto"/>
              <w:bottom w:val="single" w:sz="4" w:space="0" w:color="auto"/>
              <w:right w:val="single" w:sz="4" w:space="0" w:color="auto"/>
            </w:tcBorders>
            <w:shd w:val="clear" w:color="auto" w:fill="006DA7"/>
          </w:tcPr>
          <w:p w14:paraId="5C36F71C" w14:textId="77777777" w:rsidR="00E67C59" w:rsidRPr="00E67C59" w:rsidRDefault="00E67C59" w:rsidP="00F52E08">
            <w:pPr>
              <w:pStyle w:val="Tabletext"/>
              <w:rPr>
                <w:rFonts w:asciiTheme="minorHAnsi" w:hAnsiTheme="minorHAnsi"/>
                <w:b/>
                <w:bCs/>
                <w:color w:val="FFFFFF" w:themeColor="background1"/>
                <w:szCs w:val="19"/>
              </w:rPr>
            </w:pPr>
            <w:r w:rsidRPr="00E67C59">
              <w:rPr>
                <w:rFonts w:asciiTheme="minorHAnsi" w:hAnsiTheme="minorHAnsi"/>
                <w:b/>
                <w:bCs/>
                <w:color w:val="FFFFFF" w:themeColor="background1"/>
                <w:szCs w:val="19"/>
              </w:rPr>
              <w:t>Routine</w:t>
            </w:r>
          </w:p>
        </w:tc>
        <w:tc>
          <w:tcPr>
            <w:tcW w:w="871" w:type="pct"/>
            <w:tcBorders>
              <w:top w:val="single" w:sz="4" w:space="0" w:color="auto"/>
              <w:left w:val="single" w:sz="4" w:space="0" w:color="auto"/>
              <w:bottom w:val="single" w:sz="4" w:space="0" w:color="auto"/>
              <w:right w:val="single" w:sz="4" w:space="0" w:color="auto"/>
            </w:tcBorders>
            <w:shd w:val="clear" w:color="auto" w:fill="006DA7"/>
          </w:tcPr>
          <w:p w14:paraId="43B2D626" w14:textId="77777777" w:rsidR="00E67C59" w:rsidRPr="00E67C59" w:rsidRDefault="00E67C59" w:rsidP="00F52E08">
            <w:pPr>
              <w:pStyle w:val="Tabletext"/>
              <w:rPr>
                <w:rFonts w:asciiTheme="minorHAnsi" w:hAnsiTheme="minorHAnsi"/>
                <w:b/>
                <w:bCs/>
                <w:color w:val="FFFFFF" w:themeColor="background1"/>
                <w:szCs w:val="19"/>
              </w:rPr>
            </w:pPr>
            <w:r w:rsidRPr="00E67C59">
              <w:rPr>
                <w:rFonts w:asciiTheme="minorHAnsi" w:hAnsiTheme="minorHAnsi"/>
                <w:b/>
                <w:bCs/>
                <w:color w:val="FFFFFF" w:themeColor="background1"/>
                <w:szCs w:val="19"/>
              </w:rPr>
              <w:t>Additional</w:t>
            </w:r>
          </w:p>
        </w:tc>
        <w:tc>
          <w:tcPr>
            <w:tcW w:w="735" w:type="pct"/>
            <w:tcBorders>
              <w:top w:val="single" w:sz="4" w:space="0" w:color="auto"/>
              <w:left w:val="single" w:sz="4" w:space="0" w:color="auto"/>
              <w:bottom w:val="single" w:sz="4" w:space="0" w:color="auto"/>
              <w:right w:val="single" w:sz="4" w:space="0" w:color="auto"/>
            </w:tcBorders>
            <w:shd w:val="clear" w:color="auto" w:fill="006DA7"/>
          </w:tcPr>
          <w:p w14:paraId="3ECE35A3" w14:textId="77777777" w:rsidR="00E67C59" w:rsidRPr="00E67C59" w:rsidRDefault="00E67C59" w:rsidP="00F52E08">
            <w:pPr>
              <w:pStyle w:val="Tabletext"/>
              <w:rPr>
                <w:rFonts w:asciiTheme="minorHAnsi" w:hAnsiTheme="minorHAnsi"/>
                <w:b/>
                <w:bCs/>
                <w:color w:val="FFFFFF" w:themeColor="background1"/>
                <w:szCs w:val="19"/>
              </w:rPr>
            </w:pPr>
            <w:r w:rsidRPr="00E67C59">
              <w:rPr>
                <w:rFonts w:asciiTheme="minorHAnsi" w:hAnsiTheme="minorHAnsi"/>
                <w:b/>
                <w:bCs/>
                <w:color w:val="FFFFFF" w:themeColor="background1"/>
                <w:szCs w:val="19"/>
              </w:rPr>
              <w:t>Routine</w:t>
            </w:r>
          </w:p>
        </w:tc>
        <w:tc>
          <w:tcPr>
            <w:tcW w:w="871" w:type="pct"/>
            <w:tcBorders>
              <w:top w:val="single" w:sz="4" w:space="0" w:color="auto"/>
              <w:left w:val="single" w:sz="4" w:space="0" w:color="auto"/>
              <w:bottom w:val="single" w:sz="4" w:space="0" w:color="auto"/>
              <w:right w:val="single" w:sz="4" w:space="0" w:color="auto"/>
            </w:tcBorders>
            <w:shd w:val="clear" w:color="auto" w:fill="006DA7"/>
          </w:tcPr>
          <w:p w14:paraId="07EC9326" w14:textId="77777777" w:rsidR="00E67C59" w:rsidRPr="00E67C59" w:rsidRDefault="00E67C59" w:rsidP="00F52E08">
            <w:pPr>
              <w:pStyle w:val="Tabletext"/>
              <w:rPr>
                <w:rFonts w:asciiTheme="minorHAnsi" w:hAnsiTheme="minorHAnsi"/>
                <w:b/>
                <w:bCs/>
                <w:color w:val="FFFFFF" w:themeColor="background1"/>
                <w:szCs w:val="19"/>
              </w:rPr>
            </w:pPr>
            <w:r w:rsidRPr="00E67C59">
              <w:rPr>
                <w:rFonts w:asciiTheme="minorHAnsi" w:hAnsiTheme="minorHAnsi"/>
                <w:b/>
                <w:bCs/>
                <w:color w:val="FFFFFF" w:themeColor="background1"/>
                <w:szCs w:val="19"/>
              </w:rPr>
              <w:t>Additional</w:t>
            </w:r>
          </w:p>
        </w:tc>
      </w:tr>
      <w:tr w:rsidR="00E67C59" w:rsidRPr="00E67C59" w14:paraId="72282883" w14:textId="77777777" w:rsidTr="00E67C59">
        <w:trPr>
          <w:trHeight w:val="862"/>
        </w:trPr>
        <w:tc>
          <w:tcPr>
            <w:tcW w:w="849" w:type="pct"/>
            <w:tcBorders>
              <w:top w:val="single" w:sz="4" w:space="0" w:color="auto"/>
            </w:tcBorders>
          </w:tcPr>
          <w:p w14:paraId="3824EDAF" w14:textId="77777777" w:rsidR="00E67C59" w:rsidRPr="00E67C59" w:rsidRDefault="00E67C59" w:rsidP="00E67C59">
            <w:pPr>
              <w:pStyle w:val="Tabletext"/>
              <w:ind w:left="0"/>
              <w:rPr>
                <w:rFonts w:asciiTheme="minorHAnsi" w:hAnsiTheme="minorHAnsi"/>
                <w:b/>
                <w:szCs w:val="19"/>
              </w:rPr>
            </w:pPr>
            <w:r w:rsidRPr="00E67C59">
              <w:rPr>
                <w:rFonts w:asciiTheme="minorHAnsi" w:hAnsiTheme="minorHAnsi"/>
                <w:b/>
                <w:szCs w:val="19"/>
              </w:rPr>
              <w:t>Important identified risks</w:t>
            </w:r>
          </w:p>
        </w:tc>
        <w:tc>
          <w:tcPr>
            <w:tcW w:w="941" w:type="pct"/>
            <w:tcBorders>
              <w:top w:val="single" w:sz="4" w:space="0" w:color="auto"/>
            </w:tcBorders>
          </w:tcPr>
          <w:p w14:paraId="7BBF31E1" w14:textId="77777777" w:rsidR="00E67C59" w:rsidRPr="00E67C59" w:rsidRDefault="00E67C59" w:rsidP="00F52E08">
            <w:pPr>
              <w:pStyle w:val="Tabletext"/>
              <w:rPr>
                <w:rFonts w:asciiTheme="minorHAnsi" w:hAnsiTheme="minorHAnsi"/>
                <w:szCs w:val="19"/>
              </w:rPr>
            </w:pPr>
            <w:r w:rsidRPr="00E67C59">
              <w:rPr>
                <w:rFonts w:asciiTheme="minorHAnsi" w:hAnsiTheme="minorHAnsi"/>
                <w:szCs w:val="19"/>
              </w:rPr>
              <w:t>None</w:t>
            </w:r>
          </w:p>
        </w:tc>
        <w:tc>
          <w:tcPr>
            <w:tcW w:w="735" w:type="pct"/>
            <w:tcBorders>
              <w:top w:val="single" w:sz="4" w:space="0" w:color="auto"/>
            </w:tcBorders>
          </w:tcPr>
          <w:p w14:paraId="1FBFA86C" w14:textId="239588A8" w:rsidR="00E67C59" w:rsidRPr="00E67C59" w:rsidRDefault="00E67C59" w:rsidP="00E67C59">
            <w:pPr>
              <w:pStyle w:val="Tabletext"/>
              <w:ind w:left="0"/>
              <w:jc w:val="center"/>
              <w:rPr>
                <w:rFonts w:asciiTheme="minorHAnsi" w:hAnsiTheme="minorHAnsi"/>
                <w:szCs w:val="19"/>
              </w:rPr>
            </w:pPr>
            <w:r w:rsidRPr="00E67C59">
              <w:rPr>
                <w:rFonts w:asciiTheme="minorHAnsi" w:hAnsiTheme="minorHAnsi"/>
                <w:szCs w:val="19"/>
              </w:rPr>
              <w:t>–</w:t>
            </w:r>
          </w:p>
        </w:tc>
        <w:tc>
          <w:tcPr>
            <w:tcW w:w="871" w:type="pct"/>
            <w:tcBorders>
              <w:top w:val="single" w:sz="4" w:space="0" w:color="auto"/>
            </w:tcBorders>
          </w:tcPr>
          <w:p w14:paraId="437E7172" w14:textId="69D4CBA6" w:rsidR="00E67C59" w:rsidRPr="00E67C59" w:rsidRDefault="00E67C59" w:rsidP="00E67C59">
            <w:pPr>
              <w:pStyle w:val="Tabletext"/>
              <w:ind w:left="0"/>
              <w:jc w:val="center"/>
              <w:rPr>
                <w:rFonts w:asciiTheme="minorHAnsi" w:hAnsiTheme="minorHAnsi"/>
                <w:szCs w:val="19"/>
              </w:rPr>
            </w:pPr>
            <w:r w:rsidRPr="00E67C59">
              <w:rPr>
                <w:rFonts w:asciiTheme="minorHAnsi" w:hAnsiTheme="minorHAnsi"/>
                <w:szCs w:val="19"/>
              </w:rPr>
              <w:t>–</w:t>
            </w:r>
          </w:p>
        </w:tc>
        <w:tc>
          <w:tcPr>
            <w:tcW w:w="735" w:type="pct"/>
            <w:tcBorders>
              <w:top w:val="single" w:sz="4" w:space="0" w:color="auto"/>
            </w:tcBorders>
          </w:tcPr>
          <w:p w14:paraId="64D2F1C3" w14:textId="77777777" w:rsidR="00E67C59" w:rsidRPr="00E67C59" w:rsidRDefault="00E67C59" w:rsidP="00E67C59">
            <w:pPr>
              <w:pStyle w:val="Tabletext"/>
              <w:jc w:val="center"/>
              <w:rPr>
                <w:rFonts w:asciiTheme="minorHAnsi" w:hAnsiTheme="minorHAnsi"/>
                <w:szCs w:val="19"/>
              </w:rPr>
            </w:pPr>
            <w:r w:rsidRPr="00E67C59">
              <w:rPr>
                <w:rFonts w:asciiTheme="minorHAnsi" w:hAnsiTheme="minorHAnsi"/>
                <w:szCs w:val="19"/>
              </w:rPr>
              <w:t>–</w:t>
            </w:r>
          </w:p>
        </w:tc>
        <w:tc>
          <w:tcPr>
            <w:tcW w:w="871" w:type="pct"/>
            <w:tcBorders>
              <w:top w:val="single" w:sz="4" w:space="0" w:color="auto"/>
            </w:tcBorders>
          </w:tcPr>
          <w:p w14:paraId="0B91C466" w14:textId="77777777" w:rsidR="00E67C59" w:rsidRPr="00E67C59" w:rsidRDefault="00E67C59" w:rsidP="00E67C59">
            <w:pPr>
              <w:pStyle w:val="Tabletext"/>
              <w:jc w:val="center"/>
              <w:rPr>
                <w:rFonts w:asciiTheme="minorHAnsi" w:hAnsiTheme="minorHAnsi"/>
                <w:szCs w:val="19"/>
              </w:rPr>
            </w:pPr>
            <w:r w:rsidRPr="00E67C59">
              <w:rPr>
                <w:rFonts w:asciiTheme="minorHAnsi" w:hAnsiTheme="minorHAnsi"/>
                <w:szCs w:val="19"/>
              </w:rPr>
              <w:t>–</w:t>
            </w:r>
          </w:p>
        </w:tc>
      </w:tr>
      <w:tr w:rsidR="00E67C59" w:rsidRPr="00E67C59" w14:paraId="36780AE7" w14:textId="77777777" w:rsidTr="00E67C59">
        <w:trPr>
          <w:trHeight w:val="889"/>
        </w:trPr>
        <w:tc>
          <w:tcPr>
            <w:tcW w:w="849" w:type="pct"/>
          </w:tcPr>
          <w:p w14:paraId="09A710EB" w14:textId="77777777" w:rsidR="00E67C59" w:rsidRPr="00E67C59" w:rsidRDefault="00E67C59" w:rsidP="00E67C59">
            <w:pPr>
              <w:pStyle w:val="Tabletext"/>
              <w:ind w:left="0"/>
              <w:rPr>
                <w:rFonts w:asciiTheme="minorHAnsi" w:hAnsiTheme="minorHAnsi"/>
                <w:b/>
                <w:szCs w:val="19"/>
              </w:rPr>
            </w:pPr>
            <w:r w:rsidRPr="00E67C59">
              <w:rPr>
                <w:rFonts w:asciiTheme="minorHAnsi" w:hAnsiTheme="minorHAnsi"/>
                <w:b/>
                <w:szCs w:val="19"/>
              </w:rPr>
              <w:t>Important potential risks</w:t>
            </w:r>
          </w:p>
        </w:tc>
        <w:tc>
          <w:tcPr>
            <w:tcW w:w="941" w:type="pct"/>
          </w:tcPr>
          <w:p w14:paraId="6940CD6D" w14:textId="77777777" w:rsidR="00E67C59" w:rsidRPr="00E67C59" w:rsidRDefault="00E67C59" w:rsidP="00F52E08">
            <w:pPr>
              <w:pStyle w:val="Tabletext"/>
              <w:rPr>
                <w:rFonts w:asciiTheme="minorHAnsi" w:hAnsiTheme="minorHAnsi"/>
                <w:szCs w:val="19"/>
              </w:rPr>
            </w:pPr>
            <w:r w:rsidRPr="00E67C59">
              <w:rPr>
                <w:rFonts w:asciiTheme="minorHAnsi" w:hAnsiTheme="minorHAnsi"/>
                <w:szCs w:val="19"/>
              </w:rPr>
              <w:t>None</w:t>
            </w:r>
          </w:p>
        </w:tc>
        <w:tc>
          <w:tcPr>
            <w:tcW w:w="735" w:type="pct"/>
          </w:tcPr>
          <w:p w14:paraId="55331C33" w14:textId="74DE3CC7" w:rsidR="00E67C59" w:rsidRPr="00E67C59" w:rsidRDefault="00E67C59" w:rsidP="00E67C59">
            <w:pPr>
              <w:pStyle w:val="Tabletext"/>
              <w:ind w:left="0"/>
              <w:jc w:val="center"/>
              <w:rPr>
                <w:rFonts w:asciiTheme="minorHAnsi" w:hAnsiTheme="minorHAnsi"/>
                <w:szCs w:val="19"/>
              </w:rPr>
            </w:pPr>
            <w:r w:rsidRPr="00E67C59">
              <w:rPr>
                <w:rFonts w:asciiTheme="minorHAnsi" w:hAnsiTheme="minorHAnsi"/>
                <w:szCs w:val="19"/>
              </w:rPr>
              <w:t>–</w:t>
            </w:r>
          </w:p>
        </w:tc>
        <w:tc>
          <w:tcPr>
            <w:tcW w:w="871" w:type="pct"/>
          </w:tcPr>
          <w:p w14:paraId="49190DF2" w14:textId="0CCE8519" w:rsidR="00E67C59" w:rsidRPr="00E67C59" w:rsidRDefault="00E67C59" w:rsidP="00E67C59">
            <w:pPr>
              <w:pStyle w:val="Tabletext"/>
              <w:ind w:left="0"/>
              <w:jc w:val="center"/>
              <w:rPr>
                <w:rFonts w:asciiTheme="minorHAnsi" w:hAnsiTheme="minorHAnsi"/>
                <w:szCs w:val="19"/>
              </w:rPr>
            </w:pPr>
            <w:r w:rsidRPr="00E67C59">
              <w:rPr>
                <w:rFonts w:asciiTheme="minorHAnsi" w:hAnsiTheme="minorHAnsi"/>
                <w:szCs w:val="19"/>
              </w:rPr>
              <w:t>–</w:t>
            </w:r>
          </w:p>
        </w:tc>
        <w:tc>
          <w:tcPr>
            <w:tcW w:w="735" w:type="pct"/>
          </w:tcPr>
          <w:p w14:paraId="6138D481" w14:textId="77777777" w:rsidR="00E67C59" w:rsidRPr="00E67C59" w:rsidRDefault="00E67C59" w:rsidP="00E67C59">
            <w:pPr>
              <w:pStyle w:val="Tabletext"/>
              <w:jc w:val="center"/>
              <w:rPr>
                <w:rFonts w:asciiTheme="minorHAnsi" w:hAnsiTheme="minorHAnsi"/>
                <w:szCs w:val="19"/>
              </w:rPr>
            </w:pPr>
            <w:r w:rsidRPr="00E67C59">
              <w:rPr>
                <w:rFonts w:asciiTheme="minorHAnsi" w:hAnsiTheme="minorHAnsi"/>
                <w:szCs w:val="19"/>
              </w:rPr>
              <w:t>–</w:t>
            </w:r>
          </w:p>
        </w:tc>
        <w:tc>
          <w:tcPr>
            <w:tcW w:w="871" w:type="pct"/>
          </w:tcPr>
          <w:p w14:paraId="5C3D4B21" w14:textId="77777777" w:rsidR="00E67C59" w:rsidRPr="00E67C59" w:rsidRDefault="00E67C59" w:rsidP="00E67C59">
            <w:pPr>
              <w:pStyle w:val="Tabletext"/>
              <w:jc w:val="center"/>
              <w:rPr>
                <w:rFonts w:asciiTheme="minorHAnsi" w:hAnsiTheme="minorHAnsi"/>
                <w:szCs w:val="19"/>
              </w:rPr>
            </w:pPr>
            <w:r w:rsidRPr="00E67C59">
              <w:rPr>
                <w:rFonts w:asciiTheme="minorHAnsi" w:hAnsiTheme="minorHAnsi"/>
                <w:szCs w:val="19"/>
              </w:rPr>
              <w:t>–</w:t>
            </w:r>
          </w:p>
        </w:tc>
      </w:tr>
      <w:tr w:rsidR="00E67C59" w:rsidRPr="00E67C59" w14:paraId="063029E0" w14:textId="77777777" w:rsidTr="00E67C59">
        <w:trPr>
          <w:trHeight w:val="178"/>
        </w:trPr>
        <w:tc>
          <w:tcPr>
            <w:tcW w:w="849" w:type="pct"/>
            <w:vMerge w:val="restart"/>
          </w:tcPr>
          <w:p w14:paraId="3647188F" w14:textId="77777777" w:rsidR="00E67C59" w:rsidRPr="00E67C59" w:rsidRDefault="00E67C59" w:rsidP="00E67C59">
            <w:pPr>
              <w:pStyle w:val="Tabletext"/>
              <w:ind w:left="0"/>
              <w:rPr>
                <w:rFonts w:asciiTheme="minorHAnsi" w:hAnsiTheme="minorHAnsi"/>
                <w:b/>
                <w:szCs w:val="19"/>
              </w:rPr>
            </w:pPr>
            <w:r w:rsidRPr="00E67C59">
              <w:rPr>
                <w:rFonts w:asciiTheme="minorHAnsi" w:hAnsiTheme="minorHAnsi"/>
                <w:b/>
                <w:szCs w:val="19"/>
              </w:rPr>
              <w:t>Missing information</w:t>
            </w:r>
          </w:p>
        </w:tc>
        <w:tc>
          <w:tcPr>
            <w:tcW w:w="941" w:type="pct"/>
          </w:tcPr>
          <w:p w14:paraId="6085FB37" w14:textId="77777777" w:rsidR="00E67C59" w:rsidRPr="00E67C59" w:rsidRDefault="00E67C59" w:rsidP="00F52E08">
            <w:pPr>
              <w:pStyle w:val="Tabletext"/>
              <w:rPr>
                <w:rFonts w:asciiTheme="minorHAnsi" w:hAnsiTheme="minorHAnsi"/>
                <w:szCs w:val="19"/>
              </w:rPr>
            </w:pPr>
            <w:r w:rsidRPr="00E67C59">
              <w:rPr>
                <w:rFonts w:asciiTheme="minorHAnsi" w:hAnsiTheme="minorHAnsi"/>
                <w:szCs w:val="19"/>
              </w:rPr>
              <w:t>Long-term safety</w:t>
            </w:r>
          </w:p>
        </w:tc>
        <w:tc>
          <w:tcPr>
            <w:tcW w:w="735" w:type="pct"/>
          </w:tcPr>
          <w:p w14:paraId="0F0361F2" w14:textId="77777777" w:rsidR="00E67C59" w:rsidRPr="00E67C59" w:rsidRDefault="00E67C59" w:rsidP="00F52E08">
            <w:pPr>
              <w:pStyle w:val="Tabletext"/>
              <w:jc w:val="center"/>
              <w:rPr>
                <w:rFonts w:asciiTheme="minorHAnsi" w:hAnsiTheme="minorHAnsi"/>
                <w:szCs w:val="19"/>
                <w:vertAlign w:val="superscript"/>
              </w:rPr>
            </w:pPr>
            <w:r w:rsidRPr="00E67C59">
              <w:rPr>
                <w:rFonts w:asciiTheme="minorHAnsi" w:eastAsia="Wingdings" w:hAnsiTheme="minorHAnsi" w:cs="Wingdings"/>
                <w:szCs w:val="19"/>
              </w:rPr>
              <w:t>ü</w:t>
            </w:r>
            <w:r w:rsidRPr="00E67C59">
              <w:rPr>
                <w:rFonts w:asciiTheme="minorHAnsi" w:hAnsiTheme="minorHAnsi"/>
                <w:szCs w:val="19"/>
                <w:vertAlign w:val="superscript"/>
              </w:rPr>
              <w:t>1</w:t>
            </w:r>
          </w:p>
        </w:tc>
        <w:tc>
          <w:tcPr>
            <w:tcW w:w="871" w:type="pct"/>
          </w:tcPr>
          <w:p w14:paraId="0FD14926" w14:textId="77777777" w:rsidR="00E67C59" w:rsidRPr="00E67C59" w:rsidRDefault="00E67C59" w:rsidP="00F52E08">
            <w:pPr>
              <w:pStyle w:val="Tabletext"/>
              <w:jc w:val="center"/>
              <w:rPr>
                <w:rFonts w:asciiTheme="minorHAnsi" w:hAnsiTheme="minorHAnsi"/>
                <w:szCs w:val="19"/>
                <w:vertAlign w:val="superscript"/>
              </w:rPr>
            </w:pPr>
            <w:r w:rsidRPr="00E67C59">
              <w:rPr>
                <w:rFonts w:asciiTheme="minorHAnsi" w:eastAsia="Wingdings" w:hAnsiTheme="minorHAnsi" w:cs="Wingdings"/>
                <w:szCs w:val="19"/>
              </w:rPr>
              <w:t>ü</w:t>
            </w:r>
            <w:r w:rsidRPr="00E67C59">
              <w:rPr>
                <w:rFonts w:asciiTheme="minorHAnsi" w:hAnsiTheme="minorHAnsi"/>
                <w:szCs w:val="19"/>
                <w:vertAlign w:val="superscript"/>
              </w:rPr>
              <w:t>2</w:t>
            </w:r>
          </w:p>
        </w:tc>
        <w:tc>
          <w:tcPr>
            <w:tcW w:w="735" w:type="pct"/>
          </w:tcPr>
          <w:p w14:paraId="6AEFEE2D" w14:textId="77777777" w:rsidR="00E67C59" w:rsidRPr="00E67C59" w:rsidRDefault="00E67C59" w:rsidP="00F52E08">
            <w:pPr>
              <w:pStyle w:val="Tabletext"/>
              <w:jc w:val="center"/>
              <w:rPr>
                <w:rFonts w:asciiTheme="minorHAnsi" w:hAnsiTheme="minorHAnsi"/>
                <w:szCs w:val="19"/>
              </w:rPr>
            </w:pPr>
            <w:r w:rsidRPr="00E67C59">
              <w:rPr>
                <w:rFonts w:asciiTheme="minorHAnsi" w:eastAsia="Wingdings" w:hAnsiTheme="minorHAnsi" w:cs="Wingdings"/>
                <w:szCs w:val="19"/>
              </w:rPr>
              <w:t>ü</w:t>
            </w:r>
          </w:p>
        </w:tc>
        <w:tc>
          <w:tcPr>
            <w:tcW w:w="871" w:type="pct"/>
          </w:tcPr>
          <w:p w14:paraId="1191171B" w14:textId="77777777" w:rsidR="00E67C59" w:rsidRPr="00E67C59" w:rsidRDefault="00E67C59" w:rsidP="00F52E08">
            <w:pPr>
              <w:pStyle w:val="Tabletext"/>
              <w:jc w:val="center"/>
              <w:rPr>
                <w:rFonts w:asciiTheme="minorHAnsi" w:hAnsiTheme="minorHAnsi"/>
                <w:szCs w:val="19"/>
              </w:rPr>
            </w:pPr>
            <w:r w:rsidRPr="00E67C59">
              <w:rPr>
                <w:rFonts w:asciiTheme="minorHAnsi" w:hAnsiTheme="minorHAnsi"/>
                <w:szCs w:val="19"/>
              </w:rPr>
              <w:t>–</w:t>
            </w:r>
          </w:p>
        </w:tc>
      </w:tr>
      <w:tr w:rsidR="00E67C59" w:rsidRPr="00E67C59" w14:paraId="7ED74B6B" w14:textId="77777777" w:rsidTr="00E67C59">
        <w:trPr>
          <w:trHeight w:val="103"/>
        </w:trPr>
        <w:tc>
          <w:tcPr>
            <w:tcW w:w="849" w:type="pct"/>
            <w:vMerge/>
          </w:tcPr>
          <w:p w14:paraId="00C3194C" w14:textId="77777777" w:rsidR="00E67C59" w:rsidRPr="00E67C59" w:rsidRDefault="00E67C59" w:rsidP="00F52E08">
            <w:pPr>
              <w:pStyle w:val="Tabletext"/>
              <w:rPr>
                <w:rFonts w:asciiTheme="minorHAnsi" w:hAnsiTheme="minorHAnsi"/>
                <w:szCs w:val="19"/>
              </w:rPr>
            </w:pPr>
          </w:p>
        </w:tc>
        <w:tc>
          <w:tcPr>
            <w:tcW w:w="941" w:type="pct"/>
          </w:tcPr>
          <w:p w14:paraId="57AE1E72" w14:textId="77777777" w:rsidR="00E67C59" w:rsidRPr="00E67C59" w:rsidRDefault="00E67C59" w:rsidP="00F52E08">
            <w:pPr>
              <w:pStyle w:val="Tabletext"/>
              <w:rPr>
                <w:rFonts w:asciiTheme="minorHAnsi" w:hAnsiTheme="minorHAnsi"/>
                <w:szCs w:val="19"/>
              </w:rPr>
            </w:pPr>
            <w:r w:rsidRPr="00E67C59">
              <w:rPr>
                <w:rFonts w:asciiTheme="minorHAnsi" w:hAnsiTheme="minorHAnsi"/>
                <w:szCs w:val="19"/>
              </w:rPr>
              <w:t>Use in pregnancy and breast-feeding</w:t>
            </w:r>
          </w:p>
        </w:tc>
        <w:tc>
          <w:tcPr>
            <w:tcW w:w="735" w:type="pct"/>
          </w:tcPr>
          <w:p w14:paraId="4DD2F134" w14:textId="77777777" w:rsidR="00E67C59" w:rsidRPr="00E67C59" w:rsidRDefault="00E67C59" w:rsidP="00F52E08">
            <w:pPr>
              <w:pStyle w:val="Tabletext"/>
              <w:jc w:val="center"/>
              <w:rPr>
                <w:rFonts w:asciiTheme="minorHAnsi" w:hAnsiTheme="minorHAnsi"/>
                <w:szCs w:val="19"/>
              </w:rPr>
            </w:pPr>
            <w:r w:rsidRPr="00E67C59">
              <w:rPr>
                <w:rFonts w:asciiTheme="minorHAnsi" w:eastAsia="Wingdings" w:hAnsiTheme="minorHAnsi" w:cs="Wingdings"/>
                <w:szCs w:val="19"/>
              </w:rPr>
              <w:t>ü</w:t>
            </w:r>
          </w:p>
        </w:tc>
        <w:tc>
          <w:tcPr>
            <w:tcW w:w="871" w:type="pct"/>
          </w:tcPr>
          <w:p w14:paraId="307C2B83" w14:textId="77777777" w:rsidR="00E67C59" w:rsidRPr="00E67C59" w:rsidRDefault="00E67C59" w:rsidP="00F52E08">
            <w:pPr>
              <w:pStyle w:val="Tabletext"/>
              <w:jc w:val="center"/>
              <w:rPr>
                <w:rFonts w:asciiTheme="minorHAnsi" w:hAnsiTheme="minorHAnsi"/>
                <w:szCs w:val="19"/>
              </w:rPr>
            </w:pPr>
            <w:r w:rsidRPr="00E67C59">
              <w:rPr>
                <w:rFonts w:asciiTheme="minorHAnsi" w:eastAsia="Wingdings" w:hAnsiTheme="minorHAnsi" w:cs="Wingdings"/>
                <w:szCs w:val="19"/>
              </w:rPr>
              <w:t>ü</w:t>
            </w:r>
            <w:r w:rsidRPr="00E67C59">
              <w:rPr>
                <w:rFonts w:asciiTheme="minorHAnsi" w:hAnsiTheme="minorHAnsi"/>
                <w:szCs w:val="19"/>
                <w:vertAlign w:val="superscript"/>
              </w:rPr>
              <w:t>3</w:t>
            </w:r>
          </w:p>
        </w:tc>
        <w:tc>
          <w:tcPr>
            <w:tcW w:w="735" w:type="pct"/>
          </w:tcPr>
          <w:p w14:paraId="269E0F57" w14:textId="77777777" w:rsidR="00E67C59" w:rsidRPr="00E67C59" w:rsidRDefault="00E67C59" w:rsidP="00F52E08">
            <w:pPr>
              <w:pStyle w:val="Tabletext"/>
              <w:jc w:val="center"/>
              <w:rPr>
                <w:rFonts w:asciiTheme="minorHAnsi" w:hAnsiTheme="minorHAnsi"/>
                <w:szCs w:val="19"/>
              </w:rPr>
            </w:pPr>
            <w:r w:rsidRPr="00E67C59">
              <w:rPr>
                <w:rFonts w:asciiTheme="minorHAnsi" w:eastAsia="Wingdings" w:hAnsiTheme="minorHAnsi" w:cs="Wingdings"/>
                <w:szCs w:val="19"/>
              </w:rPr>
              <w:t>ü</w:t>
            </w:r>
          </w:p>
        </w:tc>
        <w:tc>
          <w:tcPr>
            <w:tcW w:w="871" w:type="pct"/>
          </w:tcPr>
          <w:p w14:paraId="18BF52C7" w14:textId="77777777" w:rsidR="00E67C59" w:rsidRPr="00E67C59" w:rsidRDefault="00E67C59" w:rsidP="00F52E08">
            <w:pPr>
              <w:pStyle w:val="Tabletext"/>
              <w:jc w:val="center"/>
              <w:rPr>
                <w:rFonts w:asciiTheme="minorHAnsi" w:hAnsiTheme="minorHAnsi"/>
                <w:szCs w:val="19"/>
              </w:rPr>
            </w:pPr>
            <w:r w:rsidRPr="00E67C59">
              <w:rPr>
                <w:rFonts w:asciiTheme="minorHAnsi" w:hAnsiTheme="minorHAnsi"/>
                <w:szCs w:val="19"/>
              </w:rPr>
              <w:t>–</w:t>
            </w:r>
          </w:p>
        </w:tc>
      </w:tr>
      <w:tr w:rsidR="00E67C59" w:rsidRPr="00E67C59" w14:paraId="212A5607" w14:textId="77777777" w:rsidTr="00E67C59">
        <w:trPr>
          <w:trHeight w:val="140"/>
        </w:trPr>
        <w:tc>
          <w:tcPr>
            <w:tcW w:w="849" w:type="pct"/>
            <w:vMerge/>
          </w:tcPr>
          <w:p w14:paraId="247551BE" w14:textId="77777777" w:rsidR="00E67C59" w:rsidRPr="00E67C59" w:rsidRDefault="00E67C59" w:rsidP="00F52E08">
            <w:pPr>
              <w:pStyle w:val="Tabletext"/>
              <w:rPr>
                <w:rFonts w:asciiTheme="minorHAnsi" w:hAnsiTheme="minorHAnsi"/>
                <w:szCs w:val="19"/>
              </w:rPr>
            </w:pPr>
          </w:p>
        </w:tc>
        <w:tc>
          <w:tcPr>
            <w:tcW w:w="941" w:type="pct"/>
          </w:tcPr>
          <w:p w14:paraId="43CDA1E4" w14:textId="77777777" w:rsidR="00E67C59" w:rsidRPr="00E67C59" w:rsidRDefault="00E67C59" w:rsidP="00F52E08">
            <w:pPr>
              <w:pStyle w:val="Tabletext"/>
              <w:rPr>
                <w:rFonts w:asciiTheme="minorHAnsi" w:hAnsiTheme="minorHAnsi"/>
                <w:szCs w:val="19"/>
              </w:rPr>
            </w:pPr>
            <w:r w:rsidRPr="00E67C59">
              <w:rPr>
                <w:rFonts w:asciiTheme="minorHAnsi" w:hAnsiTheme="minorHAnsi"/>
                <w:szCs w:val="19"/>
              </w:rPr>
              <w:t>Use in patients with severe hepatic impairment</w:t>
            </w:r>
          </w:p>
        </w:tc>
        <w:tc>
          <w:tcPr>
            <w:tcW w:w="735" w:type="pct"/>
          </w:tcPr>
          <w:p w14:paraId="42C886B0" w14:textId="77777777" w:rsidR="00E67C59" w:rsidRPr="00E67C59" w:rsidRDefault="00E67C59" w:rsidP="00F52E08">
            <w:pPr>
              <w:pStyle w:val="Tabletext"/>
              <w:jc w:val="center"/>
              <w:rPr>
                <w:rFonts w:asciiTheme="minorHAnsi" w:hAnsiTheme="minorHAnsi"/>
                <w:szCs w:val="19"/>
              </w:rPr>
            </w:pPr>
            <w:r w:rsidRPr="00E67C59">
              <w:rPr>
                <w:rFonts w:asciiTheme="minorHAnsi" w:eastAsia="Wingdings" w:hAnsiTheme="minorHAnsi" w:cs="Wingdings"/>
                <w:szCs w:val="19"/>
              </w:rPr>
              <w:t>ü</w:t>
            </w:r>
          </w:p>
        </w:tc>
        <w:tc>
          <w:tcPr>
            <w:tcW w:w="871" w:type="pct"/>
          </w:tcPr>
          <w:p w14:paraId="21E3E621" w14:textId="77777777" w:rsidR="00E67C59" w:rsidRPr="00E67C59" w:rsidRDefault="00E67C59" w:rsidP="00F52E08">
            <w:pPr>
              <w:pStyle w:val="Tabletext"/>
              <w:jc w:val="center"/>
              <w:rPr>
                <w:rFonts w:asciiTheme="minorHAnsi" w:hAnsiTheme="minorHAnsi"/>
                <w:szCs w:val="19"/>
              </w:rPr>
            </w:pPr>
            <w:r w:rsidRPr="00E67C59">
              <w:rPr>
                <w:rFonts w:asciiTheme="minorHAnsi" w:hAnsiTheme="minorHAnsi"/>
                <w:szCs w:val="19"/>
              </w:rPr>
              <w:t>–</w:t>
            </w:r>
          </w:p>
        </w:tc>
        <w:tc>
          <w:tcPr>
            <w:tcW w:w="735" w:type="pct"/>
          </w:tcPr>
          <w:p w14:paraId="3F0051CF" w14:textId="77777777" w:rsidR="00E67C59" w:rsidRPr="00E67C59" w:rsidRDefault="00E67C59" w:rsidP="00F52E08">
            <w:pPr>
              <w:pStyle w:val="Tabletext"/>
              <w:jc w:val="center"/>
              <w:rPr>
                <w:rFonts w:asciiTheme="minorHAnsi" w:hAnsiTheme="minorHAnsi"/>
                <w:szCs w:val="19"/>
              </w:rPr>
            </w:pPr>
            <w:r w:rsidRPr="00E67C59">
              <w:rPr>
                <w:rFonts w:asciiTheme="minorHAnsi" w:eastAsia="Wingdings" w:hAnsiTheme="minorHAnsi" w:cs="Wingdings"/>
                <w:szCs w:val="19"/>
              </w:rPr>
              <w:t>ü</w:t>
            </w:r>
          </w:p>
        </w:tc>
        <w:tc>
          <w:tcPr>
            <w:tcW w:w="871" w:type="pct"/>
          </w:tcPr>
          <w:p w14:paraId="0A4F5987" w14:textId="77777777" w:rsidR="00E67C59" w:rsidRPr="00E67C59" w:rsidRDefault="00E67C59" w:rsidP="00F52E08">
            <w:pPr>
              <w:pStyle w:val="Tabletext"/>
              <w:jc w:val="center"/>
              <w:rPr>
                <w:rFonts w:asciiTheme="minorHAnsi" w:hAnsiTheme="minorHAnsi"/>
                <w:szCs w:val="19"/>
              </w:rPr>
            </w:pPr>
            <w:r w:rsidRPr="00E67C59">
              <w:rPr>
                <w:rFonts w:asciiTheme="minorHAnsi" w:hAnsiTheme="minorHAnsi"/>
                <w:szCs w:val="19"/>
              </w:rPr>
              <w:t>–</w:t>
            </w:r>
          </w:p>
        </w:tc>
      </w:tr>
    </w:tbl>
    <w:p w14:paraId="0BF1BEFA" w14:textId="77777777" w:rsidR="00E67C59" w:rsidRDefault="00E67C59" w:rsidP="00E67C59">
      <w:pPr>
        <w:pStyle w:val="TableDescription"/>
      </w:pPr>
      <w:r>
        <w:t>1 Includes, but not limited to, analysis of following safety topics in PSUR submissions to the TGA: hepatotoxicity; long-term immunogenicity; new onset Diabetes Mellitus and worsening of pre-existing Diabetes Mellitus.</w:t>
      </w:r>
    </w:p>
    <w:p w14:paraId="0FDB1AEA" w14:textId="77777777" w:rsidR="00A84BA4" w:rsidRDefault="00E67C59" w:rsidP="00E67C59">
      <w:pPr>
        <w:pStyle w:val="TableDescription"/>
      </w:pPr>
      <w:r>
        <w:t>2 Ongoing clinical studies ORION-3 and ORION-8. Reports to be submitted to TGA for review on completion.</w:t>
      </w:r>
    </w:p>
    <w:p w14:paraId="5EA31519" w14:textId="0DBC7B0D" w:rsidR="00E67C59" w:rsidRDefault="00E67C59" w:rsidP="00E67C59">
      <w:pPr>
        <w:pStyle w:val="TableDescription"/>
      </w:pPr>
      <w:r>
        <w:t xml:space="preserve">3 Post-authorisation Safety Study (PASS) - </w:t>
      </w:r>
      <w:proofErr w:type="spellStart"/>
      <w:r>
        <w:t>Inclisiran</w:t>
      </w:r>
      <w:proofErr w:type="spellEnd"/>
      <w:r>
        <w:t xml:space="preserve"> P</w:t>
      </w:r>
      <w:r w:rsidR="00EB0926">
        <w:t>r</w:t>
      </w:r>
      <w:r>
        <w:t>egnancy outcomes Intensive Monitoring (PRIM) Study</w:t>
      </w:r>
    </w:p>
    <w:p w14:paraId="0DFEB874" w14:textId="52FEFA23" w:rsidR="00E67C59" w:rsidRDefault="00E67C59" w:rsidP="00E67C59">
      <w:r>
        <w:t xml:space="preserve">At </w:t>
      </w:r>
      <w:r w:rsidR="006255F8">
        <w:t xml:space="preserve">the </w:t>
      </w:r>
      <w:r>
        <w:t>third round of RMP evaluation, the safety specification including the summary of safety concerns above is considered acceptable from an RMP perspective. RMP safety concerns in EU-RMP and ASA are the same. There are no Australia</w:t>
      </w:r>
      <w:r w:rsidR="00EB0926">
        <w:t xml:space="preserve"> </w:t>
      </w:r>
      <w:r>
        <w:t>specific safety concerns.</w:t>
      </w:r>
    </w:p>
    <w:p w14:paraId="7FF701EB" w14:textId="4AD4EF25" w:rsidR="00E67C59" w:rsidRDefault="00E67C59" w:rsidP="00E67C59">
      <w:r>
        <w:t xml:space="preserve">Routine and additional pharmacovigilance activities have been proposed for all safety concerns. There are two ongoing clinical studies being conducted overseas which will provide relevant information on the </w:t>
      </w:r>
      <w:proofErr w:type="gramStart"/>
      <w:r>
        <w:t>long term</w:t>
      </w:r>
      <w:proofErr w:type="gramEnd"/>
      <w:r>
        <w:t xml:space="preserve"> safety of </w:t>
      </w:r>
      <w:proofErr w:type="spellStart"/>
      <w:r>
        <w:t>Leqvio</w:t>
      </w:r>
      <w:proofErr w:type="spellEnd"/>
      <w:r>
        <w:t xml:space="preserve"> beyond the 18 months of Phase III data submitted in support of product registration. There is no Australian patient involvement in these, but the study outcomes are considered relevant to Australian </w:t>
      </w:r>
      <w:r>
        <w:lastRenderedPageBreak/>
        <w:t xml:space="preserve">patients and use. There is a planned multinational </w:t>
      </w:r>
      <w:r w:rsidR="00EB0926">
        <w:t>p</w:t>
      </w:r>
      <w:r w:rsidR="00EB0926" w:rsidRPr="00EB0926">
        <w:t xml:space="preserve">ost-authorisation </w:t>
      </w:r>
      <w:r w:rsidR="00EB0926">
        <w:t>s</w:t>
      </w:r>
      <w:r w:rsidR="00EB0926" w:rsidRPr="00EB0926">
        <w:t xml:space="preserve">afety </w:t>
      </w:r>
      <w:r w:rsidR="00EB0926">
        <w:t>s</w:t>
      </w:r>
      <w:r w:rsidR="00EB0926" w:rsidRPr="00EB0926">
        <w:t xml:space="preserve">tudy </w:t>
      </w:r>
      <w:r>
        <w:t xml:space="preserve">which will continue until 10 years from the first launch or until 500 prospectively reported live births with required details on status is achieved. The activity was accepted by EU’s </w:t>
      </w:r>
      <w:r w:rsidR="00EB0926" w:rsidRPr="007A3702">
        <w:t>European Medicines Agency</w:t>
      </w:r>
      <w:r w:rsidR="00EB0926">
        <w:t xml:space="preserve"> (</w:t>
      </w:r>
      <w:r>
        <w:t>EMA</w:t>
      </w:r>
      <w:r w:rsidR="00EB0926">
        <w:t>)</w:t>
      </w:r>
      <w:r>
        <w:t xml:space="preserve"> but is further subject to EMA’s final protocol approval. Data collection has commenced following product’s launch in other international jurisdictions with findings anticipated in future PSUR submissions to TGA. As outlined in ASA version 1.2, sponsor agrees to include safety topics listed in </w:t>
      </w:r>
      <w:r w:rsidR="00713EA4">
        <w:t>table description</w:t>
      </w:r>
      <w:r>
        <w:t xml:space="preserve"> of the</w:t>
      </w:r>
      <w:r w:rsidR="00713EA4">
        <w:t xml:space="preserve"> </w:t>
      </w:r>
      <w:r w:rsidR="00713EA4">
        <w:fldChar w:fldCharType="begin"/>
      </w:r>
      <w:r w:rsidR="00713EA4">
        <w:instrText xml:space="preserve"> REF _Ref97730883 \h </w:instrText>
      </w:r>
      <w:r w:rsidR="00713EA4">
        <w:fldChar w:fldCharType="separate"/>
      </w:r>
      <w:r w:rsidR="002C4E0E" w:rsidRPr="00E67C59">
        <w:t xml:space="preserve">Table </w:t>
      </w:r>
      <w:r w:rsidR="002C4E0E">
        <w:rPr>
          <w:noProof/>
        </w:rPr>
        <w:t>26</w:t>
      </w:r>
      <w:r w:rsidR="00713EA4">
        <w:fldChar w:fldCharType="end"/>
      </w:r>
      <w:r>
        <w:t xml:space="preserve"> above as part of ‘long-term’ safety monitoring of </w:t>
      </w:r>
      <w:proofErr w:type="spellStart"/>
      <w:r>
        <w:t>Leqvio</w:t>
      </w:r>
      <w:proofErr w:type="spellEnd"/>
      <w:r>
        <w:t xml:space="preserve"> use and report on these in PSURs. It is also agreed in the ASA that </w:t>
      </w:r>
      <w:r w:rsidR="00E4366B">
        <w:t>‘</w:t>
      </w:r>
      <w:r>
        <w:t>use in patients with severe renal impairment</w:t>
      </w:r>
      <w:r w:rsidR="00E4366B">
        <w:t>’</w:t>
      </w:r>
      <w:r>
        <w:t xml:space="preserve"> will be analysed as a safety topic in the PSUR. This is in line with EU requirement. At </w:t>
      </w:r>
      <w:r w:rsidR="00713EA4">
        <w:t xml:space="preserve">fourth round of RMP </w:t>
      </w:r>
      <w:r w:rsidR="00F82B1C">
        <w:t>evaluation</w:t>
      </w:r>
      <w:r>
        <w:t>, the proposed pharmacovigilance plan is considered acceptable.</w:t>
      </w:r>
    </w:p>
    <w:p w14:paraId="3D113F9C" w14:textId="1B61012A" w:rsidR="00E67C59" w:rsidRDefault="00E67C59" w:rsidP="00E67C59">
      <w:r>
        <w:t xml:space="preserve">As this product will be administered by health care professionals in health care setting and, in consideration of the current summary of safety concerns, the associated risks can be expected to be addressed with routine risk minimisation measures. Risks associated with other siRNA medicines are also managed in the same way internationally. Sponsor advises the subcutaneous route of administration is expected to form standard clinical practice and does not require additional training to health care providers. There are no </w:t>
      </w:r>
      <w:r w:rsidR="00E4366B">
        <w:t>I</w:t>
      </w:r>
      <w:r>
        <w:t xml:space="preserve">nstructions for Use intended to be provided within the product’s packaging, to accompany the PI and </w:t>
      </w:r>
      <w:r w:rsidR="00F31B52">
        <w:t>Consumer Medicine Information (</w:t>
      </w:r>
      <w:r>
        <w:t>CMI</w:t>
      </w:r>
      <w:r w:rsidR="00F31B52">
        <w:t>)</w:t>
      </w:r>
      <w:r>
        <w:t xml:space="preserve"> particulars. This would be considered acceptable given product’s presentation as a standard 1.5 mL pre-filled syringe with administration not requiring any special technique or instructions beyond standard clinical practice and PI. There are no plans for patient self-administration. The proposed risk minimisation plan is considered acceptable.</w:t>
      </w:r>
    </w:p>
    <w:p w14:paraId="77E95640" w14:textId="21E3D1C3" w:rsidR="00E4366B" w:rsidRDefault="00E4366B" w:rsidP="00E67C59">
      <w:r w:rsidRPr="00E4366B">
        <w:t>The RMP is considered acceptable.</w:t>
      </w:r>
    </w:p>
    <w:p w14:paraId="0D9A41D5" w14:textId="41B9ECE0" w:rsidR="00E4366B" w:rsidRDefault="00E4366B" w:rsidP="00E4366B">
      <w:pPr>
        <w:pStyle w:val="Heading4"/>
      </w:pPr>
      <w:r>
        <w:t>Suggested wording for conditions of registration</w:t>
      </w:r>
    </w:p>
    <w:p w14:paraId="71DC3675" w14:textId="445EC5D8" w:rsidR="00E4366B" w:rsidRDefault="00E4366B" w:rsidP="00E4366B">
      <w:r>
        <w:t xml:space="preserve">Any changes to which the sponsor has agreed should be included in a revised RMP and ASA. However, irrespective of </w:t>
      </w:r>
      <w:proofErr w:type="gramStart"/>
      <w:r>
        <w:t>whether or not</w:t>
      </w:r>
      <w:proofErr w:type="gramEnd"/>
      <w:r>
        <w:t xml:space="preserve"> they are included in the currently available version of the RMP document, the agreed changes become part of the risk management system.</w:t>
      </w:r>
    </w:p>
    <w:p w14:paraId="28221B8B" w14:textId="02D8CD35" w:rsidR="00E4366B" w:rsidRDefault="00E4366B" w:rsidP="00E4366B">
      <w:r>
        <w:t>The suggested wording is:</w:t>
      </w:r>
    </w:p>
    <w:p w14:paraId="3F8772D8" w14:textId="77777777" w:rsidR="00E4366B" w:rsidRPr="00E4366B" w:rsidRDefault="00E4366B" w:rsidP="00E4366B">
      <w:pPr>
        <w:rPr>
          <w:i/>
          <w:iCs/>
        </w:rPr>
      </w:pPr>
      <w:r w:rsidRPr="00E4366B">
        <w:rPr>
          <w:i/>
          <w:iCs/>
        </w:rPr>
        <w:t xml:space="preserve">The </w:t>
      </w:r>
      <w:proofErr w:type="spellStart"/>
      <w:r w:rsidRPr="00E4366B">
        <w:rPr>
          <w:i/>
          <w:iCs/>
        </w:rPr>
        <w:t>Inclisiran</w:t>
      </w:r>
      <w:proofErr w:type="spellEnd"/>
      <w:r w:rsidRPr="00E4366B">
        <w:rPr>
          <w:i/>
          <w:iCs/>
        </w:rPr>
        <w:t xml:space="preserve"> EU-Risk Management Plan (RMP) (version 1.0, dated 12 October 2020, data lock point 17 September 2019), with Australian Specific Annex (version 1.2, dated 5 August 2021), included with submission PM-2020-04160-1-3, to be revised to the satisfaction of the TGA, will be implemented in Australia.</w:t>
      </w:r>
    </w:p>
    <w:p w14:paraId="4A4DB005" w14:textId="77777777" w:rsidR="00E4366B" w:rsidRPr="00E4366B" w:rsidRDefault="00E4366B" w:rsidP="00E4366B">
      <w:r w:rsidRPr="00E4366B">
        <w:t>The following wording is recommended for the PSUR requirement:</w:t>
      </w:r>
    </w:p>
    <w:p w14:paraId="2DC544FB" w14:textId="77777777" w:rsidR="00A84BA4" w:rsidRDefault="00E4366B" w:rsidP="00E4366B">
      <w:pPr>
        <w:rPr>
          <w:i/>
          <w:iCs/>
        </w:rPr>
      </w:pPr>
      <w:r w:rsidRPr="00E4366B">
        <w:rPr>
          <w:i/>
          <w:iCs/>
        </w:rPr>
        <w:t>An obligatory component of risk management plans is routine pharmacovigilance. Routine pharmacovigilance includes the submission of periodic safety update reports (PSURs).</w:t>
      </w:r>
    </w:p>
    <w:p w14:paraId="448E8B9E" w14:textId="77777777" w:rsidR="00A84BA4" w:rsidRDefault="00E4366B" w:rsidP="00E4366B">
      <w:pPr>
        <w:rPr>
          <w:i/>
          <w:iCs/>
        </w:rPr>
      </w:pPr>
      <w:r w:rsidRPr="00E4366B">
        <w:rPr>
          <w:i/>
          <w:iCs/>
        </w:rPr>
        <w:t>Reports are to be provided in line with the current published list of EU reference dates and frequency of submission of PSURs until the period covered by such reports is not less than three years from the date of this approval letter.</w:t>
      </w:r>
    </w:p>
    <w:p w14:paraId="27E0EFFE" w14:textId="77777777" w:rsidR="00A84BA4" w:rsidRDefault="00E4366B" w:rsidP="00E4366B">
      <w:pPr>
        <w:rPr>
          <w:i/>
          <w:iCs/>
        </w:rPr>
      </w:pPr>
      <w:r w:rsidRPr="00E4366B">
        <w:rPr>
          <w:i/>
          <w:iCs/>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1C5D8ECC" w14:textId="2B8EFF32" w:rsidR="00E4366B" w:rsidRPr="00E4366B" w:rsidRDefault="00E4366B" w:rsidP="00E4366B">
      <w:pPr>
        <w:rPr>
          <w:i/>
          <w:iCs/>
        </w:rPr>
      </w:pPr>
      <w:r w:rsidRPr="00E4366B">
        <w:rPr>
          <w:i/>
          <w:iCs/>
        </w:rPr>
        <w:t xml:space="preserve">Analysis of the following </w:t>
      </w:r>
      <w:proofErr w:type="spellStart"/>
      <w:r w:rsidRPr="00E4366B">
        <w:rPr>
          <w:i/>
          <w:iCs/>
        </w:rPr>
        <w:t>inclisiran</w:t>
      </w:r>
      <w:proofErr w:type="spellEnd"/>
      <w:r w:rsidRPr="00E4366B">
        <w:rPr>
          <w:i/>
          <w:iCs/>
        </w:rPr>
        <w:t xml:space="preserve"> use safety topics is to be included in PSUR submissions to the TGA: hepatotoxicity; long-term immunogenicity; new onset Diabetes Mellitus and worsening of pre-existing Diabetes Mellitus; and use in patients with severe renal impairment.</w:t>
      </w:r>
    </w:p>
    <w:p w14:paraId="37198FBB" w14:textId="77777777" w:rsidR="00A84BA4" w:rsidRDefault="00E4366B" w:rsidP="00E4366B">
      <w:r>
        <w:lastRenderedPageBreak/>
        <w:t xml:space="preserve">As </w:t>
      </w:r>
      <w:proofErr w:type="spellStart"/>
      <w:r>
        <w:t>Leqvio</w:t>
      </w:r>
      <w:proofErr w:type="spellEnd"/>
      <w:r>
        <w:t xml:space="preserve"> is a new chemical entity it should be included in the Black Triangle Scheme as a condition of registration. The following wording is recommended for the condition of registration:</w:t>
      </w:r>
    </w:p>
    <w:p w14:paraId="326ED81E" w14:textId="7B639A0B" w:rsidR="00E4366B" w:rsidRPr="00E4366B" w:rsidRDefault="00E4366B" w:rsidP="00E4366B">
      <w:pPr>
        <w:rPr>
          <w:i/>
          <w:iCs/>
        </w:rPr>
      </w:pPr>
      <w:proofErr w:type="spellStart"/>
      <w:r w:rsidRPr="00E4366B">
        <w:rPr>
          <w:i/>
          <w:iCs/>
        </w:rPr>
        <w:t>Leqvio</w:t>
      </w:r>
      <w:proofErr w:type="spellEnd"/>
      <w:r w:rsidRPr="00E4366B">
        <w:rPr>
          <w:i/>
          <w:iCs/>
        </w:rPr>
        <w:t xml:space="preserve"> (</w:t>
      </w:r>
      <w:proofErr w:type="spellStart"/>
      <w:r w:rsidRPr="00E4366B">
        <w:rPr>
          <w:i/>
          <w:iCs/>
        </w:rPr>
        <w:t>inclisiran</w:t>
      </w:r>
      <w:proofErr w:type="spellEnd"/>
      <w:r w:rsidRPr="00E4366B">
        <w:rPr>
          <w:i/>
          <w:iCs/>
        </w:rPr>
        <w:t xml:space="preserve">) is to be included in the Black Triangle Scheme. The PI and CMI for </w:t>
      </w:r>
      <w:proofErr w:type="spellStart"/>
      <w:r w:rsidRPr="00E4366B">
        <w:rPr>
          <w:i/>
          <w:iCs/>
        </w:rPr>
        <w:t>Leqvio</w:t>
      </w:r>
      <w:proofErr w:type="spellEnd"/>
      <w:r w:rsidRPr="00E4366B">
        <w:rPr>
          <w:i/>
          <w:iCs/>
        </w:rPr>
        <w:t xml:space="preserve"> must include the black triangle symbol and mandatory accompanying text for five years, which starts from the date that the sponsor notifies the TGA of supply of the product.</w:t>
      </w:r>
    </w:p>
    <w:p w14:paraId="6165CC04" w14:textId="77777777" w:rsidR="00E4366B" w:rsidRDefault="00E4366B" w:rsidP="00E4366B">
      <w:r>
        <w:t>The following is recommended as a specific condition of registration:</w:t>
      </w:r>
    </w:p>
    <w:p w14:paraId="76C56747" w14:textId="19509C7B" w:rsidR="00E4366B" w:rsidRPr="00E4366B" w:rsidRDefault="00E4366B" w:rsidP="00E4366B">
      <w:pPr>
        <w:rPr>
          <w:i/>
          <w:iCs/>
        </w:rPr>
      </w:pPr>
      <w:r w:rsidRPr="00E4366B">
        <w:rPr>
          <w:i/>
          <w:iCs/>
        </w:rPr>
        <w:t>Final study reports for ORION-3 and ORION-8 must be submitted to the TGA for review on completion.</w:t>
      </w:r>
    </w:p>
    <w:p w14:paraId="58BCA2F3" w14:textId="77777777" w:rsidR="008E7846" w:rsidRDefault="00AA0ED0" w:rsidP="008E7846">
      <w:pPr>
        <w:pStyle w:val="Heading3"/>
      </w:pPr>
      <w:bookmarkStart w:id="83" w:name="_Toc247691531"/>
      <w:bookmarkStart w:id="84" w:name="_Toc314842515"/>
      <w:bookmarkStart w:id="85" w:name="_Toc99632919"/>
      <w:bookmarkStart w:id="86" w:name="_Toc196046505"/>
      <w:bookmarkStart w:id="87" w:name="_Toc196046949"/>
      <w:r>
        <w:t>Risk-benefit a</w:t>
      </w:r>
      <w:r w:rsidR="008E7846">
        <w:t>nalysis</w:t>
      </w:r>
      <w:bookmarkEnd w:id="83"/>
      <w:bookmarkEnd w:id="84"/>
      <w:bookmarkEnd w:id="85"/>
    </w:p>
    <w:p w14:paraId="57C42E99" w14:textId="3BF2FAA9" w:rsidR="00D23139" w:rsidRDefault="007D53B6" w:rsidP="00D23139">
      <w:pPr>
        <w:pStyle w:val="Heading4"/>
      </w:pPr>
      <w:r w:rsidRPr="00F52E08">
        <w:t>Delegate’s considerations</w:t>
      </w:r>
    </w:p>
    <w:p w14:paraId="55A70762" w14:textId="3B38B6B8" w:rsidR="00E4366B" w:rsidRDefault="00E4366B" w:rsidP="00E4366B">
      <w:pPr>
        <w:pStyle w:val="Heading5"/>
      </w:pPr>
      <w:r>
        <w:t>Pharmacology</w:t>
      </w:r>
    </w:p>
    <w:p w14:paraId="03D30C94" w14:textId="470A0383" w:rsidR="00E4366B" w:rsidRDefault="00E4366B" w:rsidP="00E4366B">
      <w:r>
        <w:t xml:space="preserve">There is a temporal disconnect between the PK and PD of </w:t>
      </w:r>
      <w:proofErr w:type="spellStart"/>
      <w:r>
        <w:t>inclisiran</w:t>
      </w:r>
      <w:proofErr w:type="spellEnd"/>
      <w:r>
        <w:t xml:space="preserve">, with effects on LDL-C persisting for months despite </w:t>
      </w:r>
      <w:proofErr w:type="spellStart"/>
      <w:r>
        <w:t>inclisiran</w:t>
      </w:r>
      <w:proofErr w:type="spellEnd"/>
      <w:r>
        <w:t xml:space="preserve"> being undetectable in plasma within 48 hours of dosing.</w:t>
      </w:r>
      <w:r w:rsidR="002179A7">
        <w:t xml:space="preserve"> </w:t>
      </w:r>
      <w:r>
        <w:t>Given the dissociation between PK parameters and PD effects, dose selection for the pivotal studies focussed on PD and safety.</w:t>
      </w:r>
      <w:r w:rsidR="002179A7">
        <w:t xml:space="preserve"> </w:t>
      </w:r>
      <w:r>
        <w:t>Based on dose</w:t>
      </w:r>
      <w:r w:rsidR="00F52E08">
        <w:t xml:space="preserve"> </w:t>
      </w:r>
      <w:r>
        <w:t xml:space="preserve">response relationships in </w:t>
      </w:r>
      <w:r w:rsidR="00050291">
        <w:t>S</w:t>
      </w:r>
      <w:r w:rsidR="00F52E08">
        <w:t xml:space="preserve">tudy </w:t>
      </w:r>
      <w:r>
        <w:t xml:space="preserve">ALN-PCSSC-001, </w:t>
      </w:r>
      <w:r w:rsidR="006255F8">
        <w:t xml:space="preserve">the </w:t>
      </w:r>
      <w:r>
        <w:t>ORION-1</w:t>
      </w:r>
      <w:r w:rsidR="00F52E08">
        <w:t xml:space="preserve"> trial</w:t>
      </w:r>
      <w:r>
        <w:t xml:space="preserve">, and population PD modelling, the dosing regimen selected for the pivotal studies was 284 mg </w:t>
      </w:r>
      <w:proofErr w:type="spellStart"/>
      <w:r>
        <w:t>inclisiran</w:t>
      </w:r>
      <w:proofErr w:type="spellEnd"/>
      <w:r>
        <w:t xml:space="preserve"> (300 mg </w:t>
      </w:r>
      <w:proofErr w:type="spellStart"/>
      <w:r>
        <w:t>inclisiran</w:t>
      </w:r>
      <w:proofErr w:type="spellEnd"/>
      <w:r>
        <w:t xml:space="preserve"> sodium) </w:t>
      </w:r>
      <w:r w:rsidR="00F52E08">
        <w:t>subcutaneously</w:t>
      </w:r>
      <w:r>
        <w:t xml:space="preserve"> on Day 1, Day 90, and then every </w:t>
      </w:r>
      <w:r w:rsidR="00F52E08">
        <w:t>six</w:t>
      </w:r>
      <w:r>
        <w:t xml:space="preserve"> months.</w:t>
      </w:r>
      <w:r w:rsidR="002179A7">
        <w:t xml:space="preserve"> </w:t>
      </w:r>
      <w:r>
        <w:t>Population PD modelling did not identify any patient populations or subpopulations requiring a dose adjustment.</w:t>
      </w:r>
    </w:p>
    <w:p w14:paraId="5296324D" w14:textId="497345B5" w:rsidR="00E4366B" w:rsidRDefault="00E4366B" w:rsidP="00E4366B">
      <w:r>
        <w:t>In the hepatic impairment study ORION-6</w:t>
      </w:r>
      <w:r w:rsidR="00F52E08">
        <w:t xml:space="preserve"> trial</w:t>
      </w:r>
      <w:r>
        <w:t xml:space="preserve">, </w:t>
      </w:r>
      <w:proofErr w:type="spellStart"/>
      <w:r>
        <w:t>inclisiran</w:t>
      </w:r>
      <w:proofErr w:type="spellEnd"/>
      <w:r>
        <w:t xml:space="preserve"> </w:t>
      </w:r>
      <w:proofErr w:type="spellStart"/>
      <w:r>
        <w:t>C</w:t>
      </w:r>
      <w:r w:rsidRPr="00F52E08">
        <w:rPr>
          <w:vertAlign w:val="subscript"/>
        </w:rPr>
        <w:t>max</w:t>
      </w:r>
      <w:proofErr w:type="spellEnd"/>
      <w:r>
        <w:t xml:space="preserve"> was increased 1.1</w:t>
      </w:r>
      <w:r w:rsidR="00713EA4">
        <w:t xml:space="preserve"> </w:t>
      </w:r>
      <w:r>
        <w:t xml:space="preserve">and </w:t>
      </w:r>
      <w:proofErr w:type="gramStart"/>
      <w:r>
        <w:t>2.1</w:t>
      </w:r>
      <w:r w:rsidR="00713EA4">
        <w:t xml:space="preserve"> </w:t>
      </w:r>
      <w:r>
        <w:t>fold</w:t>
      </w:r>
      <w:proofErr w:type="gramEnd"/>
      <w:r>
        <w:t xml:space="preserve"> and AUC</w:t>
      </w:r>
      <w:r w:rsidRPr="00F52E08">
        <w:rPr>
          <w:vertAlign w:val="subscript"/>
        </w:rPr>
        <w:t>0-inf</w:t>
      </w:r>
      <w:r>
        <w:t xml:space="preserve"> was increased 1.3 and 2</w:t>
      </w:r>
      <w:r w:rsidR="00713EA4">
        <w:t xml:space="preserve"> </w:t>
      </w:r>
      <w:r>
        <w:t>fold in patients with mild and moderate hepatic impairment, respectively, compared to patients with normal hepatic function.</w:t>
      </w:r>
      <w:r w:rsidR="002179A7">
        <w:t xml:space="preserve"> </w:t>
      </w:r>
      <w:r>
        <w:t>Reduction in LDL-C was similar for patients with mild hepatic impairment and normal hepatic function.</w:t>
      </w:r>
      <w:r w:rsidR="002179A7">
        <w:t xml:space="preserve"> </w:t>
      </w:r>
      <w:r>
        <w:t>For patients with moderate hepatic impairment, baseline PCSK9 levels were lower and the reduction in LDL-C was less than that observed in patients with normal hepatic function or mild hepatic impairment.</w:t>
      </w:r>
      <w:r w:rsidR="002179A7">
        <w:t xml:space="preserve"> </w:t>
      </w:r>
      <w:r>
        <w:t>No dose adjustment is proposed in patients with mild and moderate hepatic impairment (Child-Pugh class A and B).</w:t>
      </w:r>
      <w:r w:rsidR="00F52E08">
        <w:fldChar w:fldCharType="begin"/>
      </w:r>
      <w:r w:rsidR="00F52E08">
        <w:instrText xml:space="preserve"> NOTEREF _Ref96504660 \f \h </w:instrText>
      </w:r>
      <w:r w:rsidR="00F52E08">
        <w:fldChar w:fldCharType="separate"/>
      </w:r>
      <w:r w:rsidR="002C4E0E" w:rsidRPr="002C4E0E">
        <w:rPr>
          <w:rStyle w:val="FootnoteReference"/>
        </w:rPr>
        <w:t>11</w:t>
      </w:r>
      <w:r w:rsidR="00F52E08">
        <w:fldChar w:fldCharType="end"/>
      </w:r>
      <w:r w:rsidR="002179A7">
        <w:t xml:space="preserve"> </w:t>
      </w:r>
      <w:proofErr w:type="spellStart"/>
      <w:r>
        <w:t>Inclisiran</w:t>
      </w:r>
      <w:proofErr w:type="spellEnd"/>
      <w:r>
        <w:t xml:space="preserve"> has not been studied in patients with severe hepatic impairment (Child-Pugh class C).</w:t>
      </w:r>
      <w:r w:rsidR="00F52E08">
        <w:fldChar w:fldCharType="begin"/>
      </w:r>
      <w:r w:rsidR="00F52E08">
        <w:instrText xml:space="preserve"> NOTEREF _Ref96504660 \f \h </w:instrText>
      </w:r>
      <w:r w:rsidR="00F52E08">
        <w:fldChar w:fldCharType="separate"/>
      </w:r>
      <w:r w:rsidR="002C4E0E" w:rsidRPr="002C4E0E">
        <w:rPr>
          <w:rStyle w:val="FootnoteReference"/>
        </w:rPr>
        <w:t>11</w:t>
      </w:r>
      <w:r w:rsidR="00F52E08">
        <w:fldChar w:fldCharType="end"/>
      </w:r>
    </w:p>
    <w:p w14:paraId="67149813" w14:textId="6C57B91C" w:rsidR="00E4366B" w:rsidRDefault="00E4366B" w:rsidP="00E4366B">
      <w:r>
        <w:t>In the renal impairment study</w:t>
      </w:r>
      <w:r w:rsidR="006255F8">
        <w:t>, the</w:t>
      </w:r>
      <w:r>
        <w:t xml:space="preserve"> ORION-7</w:t>
      </w:r>
      <w:r w:rsidR="00F52E08">
        <w:t xml:space="preserve"> trial</w:t>
      </w:r>
      <w:r>
        <w:t xml:space="preserve">, </w:t>
      </w:r>
      <w:proofErr w:type="spellStart"/>
      <w:r>
        <w:t>inclisiran</w:t>
      </w:r>
      <w:proofErr w:type="spellEnd"/>
      <w:r>
        <w:t xml:space="preserve"> </w:t>
      </w:r>
      <w:proofErr w:type="spellStart"/>
      <w:r>
        <w:t>C</w:t>
      </w:r>
      <w:r w:rsidRPr="00F52E08">
        <w:rPr>
          <w:vertAlign w:val="subscript"/>
        </w:rPr>
        <w:t>max</w:t>
      </w:r>
      <w:proofErr w:type="spellEnd"/>
      <w:r>
        <w:t xml:space="preserve"> was increased by 2.3, 2</w:t>
      </w:r>
      <w:r w:rsidR="006255F8">
        <w:t xml:space="preserve">.0 </w:t>
      </w:r>
      <w:r>
        <w:t xml:space="preserve">and </w:t>
      </w:r>
      <w:proofErr w:type="gramStart"/>
      <w:r>
        <w:t>3.3</w:t>
      </w:r>
      <w:r w:rsidR="00713EA4">
        <w:t xml:space="preserve"> </w:t>
      </w:r>
      <w:r>
        <w:t>fold</w:t>
      </w:r>
      <w:proofErr w:type="gramEnd"/>
      <w:r>
        <w:t xml:space="preserve"> and AUC</w:t>
      </w:r>
      <w:r w:rsidRPr="00F52E08">
        <w:rPr>
          <w:vertAlign w:val="subscript"/>
        </w:rPr>
        <w:t>0-48</w:t>
      </w:r>
      <w:r>
        <w:t xml:space="preserve"> was increased by 1.6, 1.8 and 2.3</w:t>
      </w:r>
      <w:r w:rsidR="00713EA4">
        <w:t xml:space="preserve"> </w:t>
      </w:r>
      <w:r>
        <w:t>fold in patients with mild, moderate and severe renal impairment, respectively, compared to subjects with normal renal function.</w:t>
      </w:r>
      <w:r w:rsidR="002179A7">
        <w:t xml:space="preserve"> </w:t>
      </w:r>
      <w:r>
        <w:t>Despite the increase in plasma exposure in subjects with renal impairment, reduction in LDL-C was similar for subjects with renal impairment and healthy subjects.</w:t>
      </w:r>
      <w:r w:rsidR="002179A7">
        <w:t xml:space="preserve"> </w:t>
      </w:r>
      <w:r>
        <w:t xml:space="preserve">No dose adjustment is proposed for patients with mild, </w:t>
      </w:r>
      <w:proofErr w:type="gramStart"/>
      <w:r>
        <w:t>moderate</w:t>
      </w:r>
      <w:proofErr w:type="gramEnd"/>
      <w:r>
        <w:t xml:space="preserve"> or severe renal impairment, or ESRD.</w:t>
      </w:r>
      <w:r w:rsidR="002179A7">
        <w:t xml:space="preserve"> </w:t>
      </w:r>
      <w:r>
        <w:t>Efficacy and safety data are limited for patients with severe renal impairment.</w:t>
      </w:r>
      <w:r w:rsidR="002179A7">
        <w:t xml:space="preserve"> </w:t>
      </w:r>
      <w:proofErr w:type="spellStart"/>
      <w:r>
        <w:t>Inclisiran</w:t>
      </w:r>
      <w:proofErr w:type="spellEnd"/>
      <w:r>
        <w:t xml:space="preserve"> has not been studied in patients with ESRD.</w:t>
      </w:r>
      <w:r w:rsidR="002179A7">
        <w:t xml:space="preserve"> </w:t>
      </w:r>
      <w:r>
        <w:t>The proposed dosing guidance for patients with ESRD is based on the totality of data, including PK, PD, clinical, and non-clinical data.</w:t>
      </w:r>
    </w:p>
    <w:p w14:paraId="1C1B0485" w14:textId="5882FA2F" w:rsidR="00E4366B" w:rsidRDefault="00E4366B" w:rsidP="00E4366B">
      <w:r>
        <w:t xml:space="preserve">In the dedicated QT study, </w:t>
      </w:r>
      <w:r w:rsidR="006255F8">
        <w:t xml:space="preserve">the </w:t>
      </w:r>
      <w:r>
        <w:t>ORION-12</w:t>
      </w:r>
      <w:r w:rsidR="00F52E08">
        <w:t xml:space="preserve"> trial</w:t>
      </w:r>
      <w:r>
        <w:t xml:space="preserve">, the predicted </w:t>
      </w:r>
      <w:proofErr w:type="spellStart"/>
      <w:r>
        <w:t>ddQTcF</w:t>
      </w:r>
      <w:proofErr w:type="spellEnd"/>
      <w:r>
        <w:t xml:space="preserve"> at 4 hours after administration of a supratherapeutic dose (900 mg </w:t>
      </w:r>
      <w:proofErr w:type="spellStart"/>
      <w:r>
        <w:t>inclisiran</w:t>
      </w:r>
      <w:proofErr w:type="spellEnd"/>
      <w:r>
        <w:t xml:space="preserve"> sodium) was 2.5 </w:t>
      </w:r>
      <w:proofErr w:type="spellStart"/>
      <w:r>
        <w:t>ms</w:t>
      </w:r>
      <w:proofErr w:type="spellEnd"/>
      <w:r>
        <w:t xml:space="preserve"> (90% CI 0.6, 4.5).</w:t>
      </w:r>
      <w:r w:rsidR="002179A7">
        <w:t xml:space="preserve"> </w:t>
      </w:r>
      <w:r>
        <w:t xml:space="preserve">At all other timepoints, the </w:t>
      </w:r>
      <w:proofErr w:type="spellStart"/>
      <w:r>
        <w:t>ddQTcF</w:t>
      </w:r>
      <w:proofErr w:type="spellEnd"/>
      <w:r>
        <w:t xml:space="preserve"> 90% CI included zero.</w:t>
      </w:r>
      <w:r w:rsidR="002179A7">
        <w:t xml:space="preserve"> </w:t>
      </w:r>
      <w:r>
        <w:t xml:space="preserve">At the maximum individual </w:t>
      </w:r>
      <w:proofErr w:type="spellStart"/>
      <w:r>
        <w:t>C</w:t>
      </w:r>
      <w:r w:rsidRPr="00F52E08">
        <w:rPr>
          <w:vertAlign w:val="subscript"/>
        </w:rPr>
        <w:t>max</w:t>
      </w:r>
      <w:proofErr w:type="spellEnd"/>
      <w:r>
        <w:t xml:space="preserve"> achieved after a 900 mg </w:t>
      </w:r>
      <w:proofErr w:type="spellStart"/>
      <w:r>
        <w:t>inclisiran</w:t>
      </w:r>
      <w:proofErr w:type="spellEnd"/>
      <w:r>
        <w:t xml:space="preserve"> sodium, the model</w:t>
      </w:r>
      <w:r w:rsidR="00F52E08">
        <w:t xml:space="preserve"> </w:t>
      </w:r>
      <w:r>
        <w:t xml:space="preserve">predicted effect on </w:t>
      </w:r>
      <w:proofErr w:type="spellStart"/>
      <w:r>
        <w:t>QTcF</w:t>
      </w:r>
      <w:proofErr w:type="spellEnd"/>
      <w:r>
        <w:t xml:space="preserve"> was 5.7 </w:t>
      </w:r>
      <w:proofErr w:type="spellStart"/>
      <w:r>
        <w:t>ms</w:t>
      </w:r>
      <w:proofErr w:type="spellEnd"/>
      <w:r>
        <w:t xml:space="preserve"> (90% CI: 1.14 to 10.27).</w:t>
      </w:r>
      <w:r w:rsidR="002179A7">
        <w:t xml:space="preserve"> </w:t>
      </w:r>
      <w:r>
        <w:t xml:space="preserve">A clinically significant effect of </w:t>
      </w:r>
      <w:proofErr w:type="spellStart"/>
      <w:r>
        <w:t>inclisiran</w:t>
      </w:r>
      <w:proofErr w:type="spellEnd"/>
      <w:r>
        <w:t xml:space="preserve"> on </w:t>
      </w:r>
      <w:proofErr w:type="spellStart"/>
      <w:r>
        <w:t>QTcF</w:t>
      </w:r>
      <w:proofErr w:type="spellEnd"/>
      <w:r>
        <w:t xml:space="preserve"> is not expected based on the findings from this study.</w:t>
      </w:r>
    </w:p>
    <w:p w14:paraId="53892035" w14:textId="77777777" w:rsidR="00E4366B" w:rsidRDefault="00E4366B" w:rsidP="00E4366B">
      <w:pPr>
        <w:pStyle w:val="Heading5"/>
      </w:pPr>
      <w:r w:rsidRPr="003E6C2E">
        <w:lastRenderedPageBreak/>
        <w:t>Efficacy</w:t>
      </w:r>
    </w:p>
    <w:p w14:paraId="4EA56C71" w14:textId="7C654906" w:rsidR="00E4366B" w:rsidRDefault="00E4366B" w:rsidP="00E4366B">
      <w:r>
        <w:t xml:space="preserve">Pivotal efficacy data for the proposed treatment population were derived from three </w:t>
      </w:r>
      <w:r w:rsidR="00F52E08">
        <w:t>P</w:t>
      </w:r>
      <w:r>
        <w:t xml:space="preserve">hase III studies: </w:t>
      </w:r>
      <w:r w:rsidR="006255F8">
        <w:t xml:space="preserve">the </w:t>
      </w:r>
      <w:r>
        <w:t>ORION-9</w:t>
      </w:r>
      <w:r w:rsidR="00F52E08">
        <w:t xml:space="preserve"> trial</w:t>
      </w:r>
      <w:r>
        <w:t xml:space="preserve"> in subjects with </w:t>
      </w:r>
      <w:proofErr w:type="spellStart"/>
      <w:r>
        <w:t>HeFH</w:t>
      </w:r>
      <w:proofErr w:type="spellEnd"/>
      <w:r>
        <w:t xml:space="preserve">, </w:t>
      </w:r>
      <w:r w:rsidR="006255F8">
        <w:t xml:space="preserve">the </w:t>
      </w:r>
      <w:r>
        <w:t>ORION-10</w:t>
      </w:r>
      <w:r w:rsidR="00F52E08">
        <w:t xml:space="preserve"> trial</w:t>
      </w:r>
      <w:r>
        <w:t xml:space="preserve"> in subjects with ASCVD, and </w:t>
      </w:r>
      <w:r w:rsidR="006255F8">
        <w:t xml:space="preserve">the </w:t>
      </w:r>
      <w:r>
        <w:t>ORION-11</w:t>
      </w:r>
      <w:r w:rsidR="00F52E08">
        <w:t xml:space="preserve"> trial</w:t>
      </w:r>
      <w:r>
        <w:t xml:space="preserve"> in subjects with ASCVD or ASCVD</w:t>
      </w:r>
      <w:r w:rsidR="003E6C2E">
        <w:t xml:space="preserve"> </w:t>
      </w:r>
      <w:r>
        <w:t>risk equivalents.</w:t>
      </w:r>
      <w:r w:rsidR="002179A7">
        <w:t xml:space="preserve"> </w:t>
      </w:r>
      <w:r>
        <w:t xml:space="preserve">All subjects were unable to achieve target LDL-C despite maximally tolerated statin therapy with or without other </w:t>
      </w:r>
      <w:r w:rsidR="003E6C2E">
        <w:t>LMT</w:t>
      </w:r>
      <w:r>
        <w:t>.</w:t>
      </w:r>
      <w:r w:rsidR="002179A7">
        <w:t xml:space="preserve"> </w:t>
      </w:r>
      <w:r>
        <w:t>Serum LDL-C was ≥</w:t>
      </w:r>
      <w:r w:rsidR="003E6C2E">
        <w:t xml:space="preserve"> </w:t>
      </w:r>
      <w:r>
        <w:t>1.8 mmol/L at screening in subjects with ASCVD (ORION-10 and ORION-11</w:t>
      </w:r>
      <w:r w:rsidR="00F52E08">
        <w:t xml:space="preserve"> trials</w:t>
      </w:r>
      <w:r>
        <w:t>), and ≥</w:t>
      </w:r>
      <w:r w:rsidR="003E6C2E">
        <w:t xml:space="preserve"> </w:t>
      </w:r>
      <w:r>
        <w:t xml:space="preserve">2.6 mmol/L in subjects with </w:t>
      </w:r>
      <w:proofErr w:type="spellStart"/>
      <w:r>
        <w:t>HeFH</w:t>
      </w:r>
      <w:proofErr w:type="spellEnd"/>
      <w:r>
        <w:t xml:space="preserve"> (ORION</w:t>
      </w:r>
      <w:r w:rsidR="006255F8">
        <w:noBreakHyphen/>
      </w:r>
      <w:r>
        <w:t>9</w:t>
      </w:r>
      <w:r w:rsidR="00F52E08">
        <w:t xml:space="preserve"> trial</w:t>
      </w:r>
      <w:r>
        <w:t>) or ASCVD</w:t>
      </w:r>
      <w:r w:rsidR="003E6C2E">
        <w:t xml:space="preserve"> </w:t>
      </w:r>
      <w:r>
        <w:t>risk equivalents (ORION-11</w:t>
      </w:r>
      <w:r w:rsidR="00F52E08">
        <w:t xml:space="preserve"> trial</w:t>
      </w:r>
      <w:r>
        <w:t>).</w:t>
      </w:r>
      <w:r w:rsidR="002179A7">
        <w:t xml:space="preserve"> </w:t>
      </w:r>
      <w:proofErr w:type="gramStart"/>
      <w:r>
        <w:t>The majority of</w:t>
      </w:r>
      <w:proofErr w:type="gramEnd"/>
      <w:r>
        <w:t xml:space="preserve"> subjects in each of the three studies were receiving a high intensity statin.</w:t>
      </w:r>
    </w:p>
    <w:p w14:paraId="3B3E0710" w14:textId="54AF7413" w:rsidR="00E4366B" w:rsidRDefault="00E4366B" w:rsidP="00E4366B">
      <w:r>
        <w:t xml:space="preserve">The pivotal studies compared the efficacy of </w:t>
      </w:r>
      <w:proofErr w:type="spellStart"/>
      <w:r>
        <w:t>inclisiran</w:t>
      </w:r>
      <w:proofErr w:type="spellEnd"/>
      <w:r>
        <w:t xml:space="preserve"> to placebo over 18 months.</w:t>
      </w:r>
      <w:r w:rsidR="002179A7">
        <w:t xml:space="preserve"> </w:t>
      </w:r>
      <w:r>
        <w:t>The primary and secondary efficacy endpoints were all laboratory parameters.</w:t>
      </w:r>
      <w:r w:rsidR="002179A7">
        <w:t xml:space="preserve"> </w:t>
      </w:r>
      <w:r>
        <w:t>The co-primary efficacy endpoints were the placebo</w:t>
      </w:r>
      <w:r w:rsidR="00F52E08">
        <w:t xml:space="preserve"> </w:t>
      </w:r>
      <w:r>
        <w:t xml:space="preserve">adjusted percentage change in LDL-C from </w:t>
      </w:r>
      <w:r w:rsidR="00F52E08">
        <w:t>B</w:t>
      </w:r>
      <w:r>
        <w:t>aseline to Day 510, and the time</w:t>
      </w:r>
      <w:r w:rsidR="00F52E08">
        <w:t xml:space="preserve"> </w:t>
      </w:r>
      <w:r>
        <w:t xml:space="preserve">adjusted percentage change in LDL-C from </w:t>
      </w:r>
      <w:r w:rsidR="00F52E08">
        <w:t>B</w:t>
      </w:r>
      <w:r>
        <w:t>aseline after Day 90 and up to Day 540.</w:t>
      </w:r>
      <w:r w:rsidR="002179A7">
        <w:t xml:space="preserve"> </w:t>
      </w:r>
      <w:r>
        <w:t>These endpoints are acceptable to support a therapeutic claim relating to lowering LDL-C.</w:t>
      </w:r>
      <w:r w:rsidR="002179A7">
        <w:t xml:space="preserve"> </w:t>
      </w:r>
      <w:r>
        <w:t>Cardiovascular morbidity and mortality were assessed as exploratory outcomes.</w:t>
      </w:r>
      <w:r w:rsidR="002179A7">
        <w:t xml:space="preserve"> </w:t>
      </w:r>
      <w:r>
        <w:t xml:space="preserve">The effect of </w:t>
      </w:r>
      <w:proofErr w:type="spellStart"/>
      <w:r>
        <w:t>inclisiran</w:t>
      </w:r>
      <w:proofErr w:type="spellEnd"/>
      <w:r>
        <w:t xml:space="preserve"> on cardiovascular outcomes is being assessed in the ongoing ORION-4</w:t>
      </w:r>
      <w:r w:rsidR="00F52E08">
        <w:t xml:space="preserve"> trial</w:t>
      </w:r>
      <w:r>
        <w:t>.</w:t>
      </w:r>
    </w:p>
    <w:p w14:paraId="7386F08B" w14:textId="0DA67AFC" w:rsidR="00E4366B" w:rsidRDefault="00E4366B" w:rsidP="00E4366B">
      <w:r>
        <w:t xml:space="preserve">Outcomes for the co-primary efficacy endpoints in the pivotal studies are summarised in </w:t>
      </w:r>
      <w:r>
        <w:fldChar w:fldCharType="begin"/>
      </w:r>
      <w:r>
        <w:instrText xml:space="preserve"> REF _Ref97731311 \h </w:instrText>
      </w:r>
      <w:r>
        <w:fldChar w:fldCharType="separate"/>
      </w:r>
      <w:r w:rsidR="002C4E0E" w:rsidRPr="00E4366B">
        <w:t xml:space="preserve">Table </w:t>
      </w:r>
      <w:r w:rsidR="002C4E0E">
        <w:rPr>
          <w:noProof/>
        </w:rPr>
        <w:t>27</w:t>
      </w:r>
      <w:r>
        <w:fldChar w:fldCharType="end"/>
      </w:r>
      <w:r>
        <w:t>.</w:t>
      </w:r>
      <w:r w:rsidR="002179A7">
        <w:t xml:space="preserve"> </w:t>
      </w:r>
      <w:r>
        <w:t xml:space="preserve">The effect of </w:t>
      </w:r>
      <w:proofErr w:type="spellStart"/>
      <w:r>
        <w:t>inclisiran</w:t>
      </w:r>
      <w:proofErr w:type="spellEnd"/>
      <w:r>
        <w:t xml:space="preserve"> on lowering LDL-C was consistent across the three studies.</w:t>
      </w:r>
      <w:r w:rsidR="002179A7">
        <w:t xml:space="preserve"> </w:t>
      </w:r>
      <w:r>
        <w:t>Sensitivity analyses using imputation for missing data were consistent with the primary analyses.</w:t>
      </w:r>
      <w:r w:rsidR="002179A7">
        <w:t xml:space="preserve"> </w:t>
      </w:r>
      <w:r>
        <w:t xml:space="preserve">The magnitude of the reduction in LDL-C with </w:t>
      </w:r>
      <w:proofErr w:type="spellStart"/>
      <w:r>
        <w:t>inclisiran</w:t>
      </w:r>
      <w:proofErr w:type="spellEnd"/>
      <w:r>
        <w:t xml:space="preserve"> compared to placebo is clinically meaningful, particularly in the context of patients with </w:t>
      </w:r>
      <w:proofErr w:type="spellStart"/>
      <w:r>
        <w:t>HeFH</w:t>
      </w:r>
      <w:proofErr w:type="spellEnd"/>
      <w:r>
        <w:t>, ASCVD, or ASCVD-risk equivalents who were unable to achieve target LDL-C despite receiving maximally tolerated statin therapy.</w:t>
      </w:r>
    </w:p>
    <w:p w14:paraId="6590063C" w14:textId="4DEC3E60" w:rsidR="00E4366B" w:rsidRDefault="00E4366B" w:rsidP="00E4366B">
      <w:pPr>
        <w:pStyle w:val="TableTitle"/>
      </w:pPr>
      <w:bookmarkStart w:id="88" w:name="_Ref97731311"/>
      <w:r w:rsidRPr="00E4366B">
        <w:t xml:space="preserve">Table </w:t>
      </w:r>
      <w:r>
        <w:fldChar w:fldCharType="begin"/>
      </w:r>
      <w:r>
        <w:instrText>SEQ Table \* ARABIC</w:instrText>
      </w:r>
      <w:r>
        <w:fldChar w:fldCharType="separate"/>
      </w:r>
      <w:r w:rsidR="002C4E0E">
        <w:rPr>
          <w:noProof/>
        </w:rPr>
        <w:t>27</w:t>
      </w:r>
      <w:r>
        <w:fldChar w:fldCharType="end"/>
      </w:r>
      <w:bookmarkEnd w:id="88"/>
      <w:r>
        <w:t>: Summary of the Co-</w:t>
      </w:r>
      <w:r>
        <w:rPr>
          <w:rFonts w:asciiTheme="minorHAnsi" w:hAnsiTheme="minorHAnsi"/>
          <w:bCs/>
          <w:szCs w:val="19"/>
        </w:rPr>
        <w:t>Primary Efficacy Outcomes from the Phase III Studies</w:t>
      </w:r>
    </w:p>
    <w:p w14:paraId="2BEB805F" w14:textId="738EB6D3" w:rsidR="00E4366B" w:rsidRDefault="00E4366B" w:rsidP="00E4366B">
      <w:pPr>
        <w:pStyle w:val="Caption"/>
      </w:pPr>
      <w:r>
        <w:rPr>
          <w:noProof/>
          <w:lang w:val="en-GB" w:eastAsia="en-GB"/>
        </w:rPr>
        <w:drawing>
          <wp:inline distT="0" distB="0" distL="0" distR="0" wp14:anchorId="3CCDCD59" wp14:editId="025F21BC">
            <wp:extent cx="5173980" cy="2691994"/>
            <wp:effectExtent l="0" t="0" r="7620" b="0"/>
            <wp:docPr id="30" name="Picture 30" descr="Summary of the Co-Primary Efficacy Outcomes from the Phase III Studies"/>
            <wp:cNvGraphicFramePr/>
            <a:graphic xmlns:a="http://schemas.openxmlformats.org/drawingml/2006/main">
              <a:graphicData uri="http://schemas.openxmlformats.org/drawingml/2006/picture">
                <pic:pic xmlns:pic="http://schemas.openxmlformats.org/drawingml/2006/picture">
                  <pic:nvPicPr>
                    <pic:cNvPr id="30" name="Picture 30" descr="Summary of the Co-Primary Efficacy Outcomes from the Phase III Studies"/>
                    <pic:cNvPicPr/>
                  </pic:nvPicPr>
                  <pic:blipFill rotWithShape="1">
                    <a:blip r:embed="rId58"/>
                    <a:srcRect b="16052"/>
                    <a:stretch/>
                  </pic:blipFill>
                  <pic:spPr bwMode="auto">
                    <a:xfrm>
                      <a:off x="0" y="0"/>
                      <a:ext cx="5173980" cy="2691994"/>
                    </a:xfrm>
                    <a:prstGeom prst="rect">
                      <a:avLst/>
                    </a:prstGeom>
                    <a:ln>
                      <a:noFill/>
                    </a:ln>
                    <a:extLst>
                      <a:ext uri="{53640926-AAD7-44D8-BBD7-CCE9431645EC}">
                        <a14:shadowObscured xmlns:a14="http://schemas.microsoft.com/office/drawing/2010/main"/>
                      </a:ext>
                    </a:extLst>
                  </pic:spPr>
                </pic:pic>
              </a:graphicData>
            </a:graphic>
          </wp:inline>
        </w:drawing>
      </w:r>
    </w:p>
    <w:p w14:paraId="4508B297" w14:textId="7F7D66D5" w:rsidR="003E6C2E" w:rsidRPr="003E6C2E" w:rsidRDefault="003E6C2E" w:rsidP="003E6C2E">
      <w:pPr>
        <w:pStyle w:val="TableDescription"/>
      </w:pPr>
      <w:r>
        <w:t xml:space="preserve">Abbreviations: ASCVD = atherosclerotic cardiovascular disease; MMRM = mixed effects model repeated measures; PMM = predictive mean matching; Washout = include the ‘Modified’ washout for </w:t>
      </w:r>
      <w:r w:rsidR="006255F8">
        <w:t xml:space="preserve">the </w:t>
      </w:r>
      <w:r>
        <w:t>ORION-11 trials.</w:t>
      </w:r>
    </w:p>
    <w:p w14:paraId="5E48B603" w14:textId="6D29DD11" w:rsidR="00A84BA4" w:rsidRDefault="00E4366B" w:rsidP="00E4366B">
      <w:r>
        <w:t>Secondary efficacy endpoints, including reductions in PCSK9, TC, Apo-B, and non-HDL-C, were supportive of the co-primary endpoints.</w:t>
      </w:r>
      <w:r w:rsidR="002179A7">
        <w:t xml:space="preserve"> </w:t>
      </w:r>
      <w:r>
        <w:t>Slight increases in HDL-C and small decreases in triglycerides were also observed across the studies.</w:t>
      </w:r>
      <w:r w:rsidR="002179A7">
        <w:t xml:space="preserve"> </w:t>
      </w:r>
      <w:r>
        <w:t>The proportion of subjects who attained global lipid targets at Day 510 (</w:t>
      </w:r>
      <w:r w:rsidR="00F52E08">
        <w:t>that is</w:t>
      </w:r>
      <w:r>
        <w:t xml:space="preserve"> ˂</w:t>
      </w:r>
      <w:r w:rsidR="00F52E08">
        <w:t> </w:t>
      </w:r>
      <w:r>
        <w:t>1.8 mmol/L for ASCVD and ˂</w:t>
      </w:r>
      <w:r w:rsidR="00F52E08">
        <w:t> </w:t>
      </w:r>
      <w:r>
        <w:t xml:space="preserve">2.6 mmol/L for ASCVD-risk equivalent) was 82% for </w:t>
      </w:r>
      <w:proofErr w:type="spellStart"/>
      <w:r>
        <w:t>inclisiran</w:t>
      </w:r>
      <w:proofErr w:type="spellEnd"/>
      <w:r>
        <w:t xml:space="preserve"> and 16% for placebo in ASCVD subjects, and 70% for </w:t>
      </w:r>
      <w:proofErr w:type="spellStart"/>
      <w:r>
        <w:t>inclisiran</w:t>
      </w:r>
      <w:proofErr w:type="spellEnd"/>
      <w:r>
        <w:t xml:space="preserve"> and 17% for placebo in ASCVD</w:t>
      </w:r>
      <w:r w:rsidR="003E6C2E">
        <w:t xml:space="preserve"> </w:t>
      </w:r>
      <w:r>
        <w:t>risk equivalent subjects.</w:t>
      </w:r>
    </w:p>
    <w:p w14:paraId="254DE196" w14:textId="5C925C87" w:rsidR="00E4366B" w:rsidRDefault="00E4366B" w:rsidP="00E4366B">
      <w:r>
        <w:lastRenderedPageBreak/>
        <w:t>Subgroup analyses showed consistent effects on LDL-C across subgroups.</w:t>
      </w:r>
      <w:r w:rsidR="002179A7">
        <w:t xml:space="preserve"> </w:t>
      </w:r>
      <w:r>
        <w:t xml:space="preserve">The effect of </w:t>
      </w:r>
      <w:proofErr w:type="spellStart"/>
      <w:r>
        <w:t>inclisiran</w:t>
      </w:r>
      <w:proofErr w:type="spellEnd"/>
      <w:r>
        <w:t xml:space="preserve"> on LDL-C was similar for subjects with ASCVD and those who were ASCVD</w:t>
      </w:r>
      <w:r w:rsidR="003E6C2E">
        <w:t xml:space="preserve"> </w:t>
      </w:r>
      <w:r>
        <w:t>risk equivalent.</w:t>
      </w:r>
      <w:r w:rsidR="002179A7">
        <w:t xml:space="preserve"> </w:t>
      </w:r>
      <w:r>
        <w:t xml:space="preserve">Of the 482 randomised subjects with </w:t>
      </w:r>
      <w:proofErr w:type="spellStart"/>
      <w:r>
        <w:t>HeFH</w:t>
      </w:r>
      <w:proofErr w:type="spellEnd"/>
      <w:r>
        <w:t xml:space="preserve"> in </w:t>
      </w:r>
      <w:r w:rsidR="006255F8">
        <w:t xml:space="preserve">the </w:t>
      </w:r>
      <w:r>
        <w:t>ORION-9</w:t>
      </w:r>
      <w:r w:rsidR="00F52E08">
        <w:t xml:space="preserve"> trial</w:t>
      </w:r>
      <w:r>
        <w:t>, 27% had ASCVD and 73% were ASCVD</w:t>
      </w:r>
      <w:r w:rsidR="003E6C2E">
        <w:t xml:space="preserve"> </w:t>
      </w:r>
      <w:r>
        <w:t>risk equivalent.</w:t>
      </w:r>
      <w:r w:rsidR="002179A7">
        <w:t xml:space="preserve"> </w:t>
      </w:r>
      <w:r>
        <w:t xml:space="preserve">Of the 1617 randomised subjects in </w:t>
      </w:r>
      <w:r w:rsidR="006255F8">
        <w:t xml:space="preserve">the </w:t>
      </w:r>
      <w:r>
        <w:t>ORION-11</w:t>
      </w:r>
      <w:r w:rsidR="00F52E08">
        <w:t xml:space="preserve"> trial</w:t>
      </w:r>
      <w:r>
        <w:t>, 87% had ASCVD and 13% were ASCVD</w:t>
      </w:r>
      <w:r w:rsidR="003E6C2E">
        <w:t xml:space="preserve"> </w:t>
      </w:r>
      <w:r>
        <w:t>risk equivalent.</w:t>
      </w:r>
    </w:p>
    <w:p w14:paraId="37D3FD8D" w14:textId="4D161DF6" w:rsidR="00E4366B" w:rsidRDefault="00E4366B" w:rsidP="00E4366B">
      <w:r>
        <w:t xml:space="preserve">The effect of </w:t>
      </w:r>
      <w:proofErr w:type="spellStart"/>
      <w:r>
        <w:t>inclisiran</w:t>
      </w:r>
      <w:proofErr w:type="spellEnd"/>
      <w:r>
        <w:t xml:space="preserve"> on LDL-C was similar in subjects receiving a statin and in subjects not receiving a statin.</w:t>
      </w:r>
      <w:r w:rsidR="002179A7">
        <w:t xml:space="preserve"> </w:t>
      </w:r>
      <w:r>
        <w:t>Subgroup outcomes for those receiving a statin, those receiving other lipid management treatment without a statin, and those receiving no other lipid management treatment were also similar.</w:t>
      </w:r>
      <w:r w:rsidR="002179A7">
        <w:t xml:space="preserve"> </w:t>
      </w:r>
      <w:r>
        <w:t>The number of statin</w:t>
      </w:r>
      <w:r w:rsidR="003E6C2E">
        <w:t xml:space="preserve"> </w:t>
      </w:r>
      <w:r>
        <w:t>intolerant subjects in the pivotal studies was limited by the pre-specified cap of 15% of total study enrolment.</w:t>
      </w:r>
    </w:p>
    <w:p w14:paraId="5AB2DDB1" w14:textId="5687A27A" w:rsidR="00E4366B" w:rsidRDefault="00E4366B" w:rsidP="00E4366B">
      <w:r>
        <w:t xml:space="preserve">There appeared to be a trend of a greater percentage reduction in LDL-C with </w:t>
      </w:r>
      <w:proofErr w:type="spellStart"/>
      <w:r>
        <w:t>inclisiran</w:t>
      </w:r>
      <w:proofErr w:type="spellEnd"/>
      <w:r>
        <w:t xml:space="preserve"> in subgroups with lower baseline LDL-C; however, further analyses suggested that the subgroup differences based on baseline LDL-C were driven by changes in LDL-C levels in the placebo group rather than the </w:t>
      </w:r>
      <w:proofErr w:type="spellStart"/>
      <w:r>
        <w:t>inclisiran</w:t>
      </w:r>
      <w:proofErr w:type="spellEnd"/>
      <w:r>
        <w:t xml:space="preserve"> group, and that the percentage reduction in LDL-C associated with </w:t>
      </w:r>
      <w:proofErr w:type="spellStart"/>
      <w:r>
        <w:t>inclisiran</w:t>
      </w:r>
      <w:proofErr w:type="spellEnd"/>
      <w:r>
        <w:t xml:space="preserve"> was similar regardless of baseline LDL-C level.</w:t>
      </w:r>
    </w:p>
    <w:p w14:paraId="1AEFB67B" w14:textId="61504DDD" w:rsidR="00E4366B" w:rsidRDefault="00E4366B" w:rsidP="00E4366B">
      <w:r>
        <w:t xml:space="preserve">The pivotal studies assessed the efficacy of </w:t>
      </w:r>
      <w:proofErr w:type="spellStart"/>
      <w:r>
        <w:t>inclisiran</w:t>
      </w:r>
      <w:proofErr w:type="spellEnd"/>
      <w:r>
        <w:t xml:space="preserve"> over 18 months of treatment, including two 6</w:t>
      </w:r>
      <w:r w:rsidR="00F52E08">
        <w:t xml:space="preserve"> </w:t>
      </w:r>
      <w:r>
        <w:t>monthly maintenance doses at Day 270 and Day 450.</w:t>
      </w:r>
      <w:r w:rsidR="00A84BA4">
        <w:t xml:space="preserve"> </w:t>
      </w:r>
      <w:r>
        <w:t>The ongoing long</w:t>
      </w:r>
      <w:r w:rsidR="00F52E08">
        <w:t xml:space="preserve"> </w:t>
      </w:r>
      <w:r>
        <w:t xml:space="preserve">term extension trials, </w:t>
      </w:r>
      <w:r w:rsidR="006255F8">
        <w:t xml:space="preserve">the </w:t>
      </w:r>
      <w:r>
        <w:t>ORION-</w:t>
      </w:r>
      <w:proofErr w:type="gramStart"/>
      <w:r>
        <w:t>8</w:t>
      </w:r>
      <w:proofErr w:type="gramEnd"/>
      <w:r>
        <w:t xml:space="preserve"> and ORION-3</w:t>
      </w:r>
      <w:r w:rsidR="006255F8">
        <w:t xml:space="preserve"> trials</w:t>
      </w:r>
      <w:r>
        <w:t xml:space="preserve">, will inform efficacy and safety of </w:t>
      </w:r>
      <w:proofErr w:type="spellStart"/>
      <w:r>
        <w:t>inclisiran</w:t>
      </w:r>
      <w:proofErr w:type="spellEnd"/>
      <w:r>
        <w:t xml:space="preserve"> for a duration up to 3 and 4 years respectively.</w:t>
      </w:r>
      <w:r w:rsidR="002179A7">
        <w:t xml:space="preserve"> </w:t>
      </w:r>
      <w:r>
        <w:t xml:space="preserve">Interim data from </w:t>
      </w:r>
      <w:r w:rsidR="006255F8">
        <w:t xml:space="preserve">the </w:t>
      </w:r>
      <w:r>
        <w:t>ORION-3</w:t>
      </w:r>
      <w:r w:rsidR="00F52E08">
        <w:t xml:space="preserve"> trial</w:t>
      </w:r>
      <w:r>
        <w:t xml:space="preserve"> show maintenance of efficacy out to Day 630.</w:t>
      </w:r>
      <w:r w:rsidR="002179A7">
        <w:t xml:space="preserve"> </w:t>
      </w:r>
      <w:r>
        <w:t xml:space="preserve">In the switching arm of </w:t>
      </w:r>
      <w:r w:rsidR="006255F8">
        <w:t xml:space="preserve">the </w:t>
      </w:r>
      <w:r>
        <w:t>ORION-3</w:t>
      </w:r>
      <w:r w:rsidR="00F52E08">
        <w:t xml:space="preserve"> trial</w:t>
      </w:r>
      <w:r>
        <w:t xml:space="preserve">, the reduction in LDL-C was maintained after switching from </w:t>
      </w:r>
      <w:proofErr w:type="spellStart"/>
      <w:r>
        <w:t>evolocumab</w:t>
      </w:r>
      <w:proofErr w:type="spellEnd"/>
      <w:r>
        <w:t xml:space="preserve"> to </w:t>
      </w:r>
      <w:proofErr w:type="spellStart"/>
      <w:r>
        <w:t>inclisiran</w:t>
      </w:r>
      <w:proofErr w:type="spellEnd"/>
      <w:r>
        <w:t>.</w:t>
      </w:r>
    </w:p>
    <w:p w14:paraId="793844BA" w14:textId="77777777" w:rsidR="00E4366B" w:rsidRDefault="00E4366B" w:rsidP="00E4366B">
      <w:r>
        <w:t xml:space="preserve">The efficacy of </w:t>
      </w:r>
      <w:proofErr w:type="spellStart"/>
      <w:r>
        <w:t>inclisiran</w:t>
      </w:r>
      <w:proofErr w:type="spellEnd"/>
      <w:r>
        <w:t xml:space="preserve"> has not been directly compared to PCSK9 inhibitors, but the magnitude of LDL-C lowering with </w:t>
      </w:r>
      <w:proofErr w:type="spellStart"/>
      <w:r>
        <w:t>inclisiran</w:t>
      </w:r>
      <w:proofErr w:type="spellEnd"/>
      <w:r>
        <w:t xml:space="preserve"> is broadly </w:t>
      </w:r>
      <w:proofErr w:type="gramStart"/>
      <w:r>
        <w:t>similar to</w:t>
      </w:r>
      <w:proofErr w:type="gramEnd"/>
      <w:r>
        <w:t xml:space="preserve"> that reported with PCSK9 inhibitors.</w:t>
      </w:r>
    </w:p>
    <w:p w14:paraId="7EB18EAD" w14:textId="77777777" w:rsidR="00E4366B" w:rsidRDefault="00E4366B" w:rsidP="00E4366B">
      <w:pPr>
        <w:pStyle w:val="Heading5"/>
      </w:pPr>
      <w:r w:rsidRPr="007F1E07">
        <w:t>Safety</w:t>
      </w:r>
    </w:p>
    <w:p w14:paraId="7CBB6D78" w14:textId="4476F8EE" w:rsidR="00E4366B" w:rsidRDefault="00E4366B" w:rsidP="00E4366B">
      <w:r>
        <w:t xml:space="preserve">The safety dataset for </w:t>
      </w:r>
      <w:proofErr w:type="spellStart"/>
      <w:r>
        <w:t>inclisiran</w:t>
      </w:r>
      <w:proofErr w:type="spellEnd"/>
      <w:r>
        <w:t xml:space="preserve"> comprises 2452 subjects who received </w:t>
      </w:r>
      <w:proofErr w:type="spellStart"/>
      <w:r>
        <w:t>inclisiran</w:t>
      </w:r>
      <w:proofErr w:type="spellEnd"/>
      <w:r>
        <w:t xml:space="preserve"> at any dose</w:t>
      </w:r>
      <w:r w:rsidR="002D6AFE">
        <w:t>.</w:t>
      </w:r>
      <w:r>
        <w:t xml:space="preserve"> The </w:t>
      </w:r>
      <w:r w:rsidR="002D6AFE">
        <w:t>s</w:t>
      </w:r>
      <w:r>
        <w:t xml:space="preserve">afety </w:t>
      </w:r>
      <w:r w:rsidR="002D6AFE">
        <w:t>p</w:t>
      </w:r>
      <w:r>
        <w:t xml:space="preserve">ool from the Phase III studies included 3655 subjects, 1833 treated with </w:t>
      </w:r>
      <w:proofErr w:type="spellStart"/>
      <w:r>
        <w:t>inclisiran</w:t>
      </w:r>
      <w:proofErr w:type="spellEnd"/>
      <w:r>
        <w:t xml:space="preserve"> and 1822 on placebo, with mean duration of follow</w:t>
      </w:r>
      <w:r w:rsidR="002D6AFE">
        <w:t xml:space="preserve"> </w:t>
      </w:r>
      <w:r>
        <w:t xml:space="preserve">up of 526 days for and </w:t>
      </w:r>
      <w:proofErr w:type="spellStart"/>
      <w:r>
        <w:t>inclisiran</w:t>
      </w:r>
      <w:proofErr w:type="spellEnd"/>
      <w:r>
        <w:t xml:space="preserve"> 523 days for placebo.</w:t>
      </w:r>
      <w:r w:rsidR="002179A7">
        <w:t xml:space="preserve"> </w:t>
      </w:r>
      <w:r>
        <w:t xml:space="preserve">The safety of </w:t>
      </w:r>
      <w:proofErr w:type="spellStart"/>
      <w:r>
        <w:t>inclisiran</w:t>
      </w:r>
      <w:proofErr w:type="spellEnd"/>
      <w:r>
        <w:t xml:space="preserve"> beyond 18 months of treatment is being assessed in three ongoing studies: </w:t>
      </w:r>
      <w:r w:rsidR="006255F8">
        <w:t xml:space="preserve">the </w:t>
      </w:r>
      <w:r>
        <w:t>ORION-3</w:t>
      </w:r>
      <w:r w:rsidR="002D6AFE">
        <w:t xml:space="preserve"> </w:t>
      </w:r>
      <w:r>
        <w:t>(interim data presented in this submission), ORION-8, and ORION-4</w:t>
      </w:r>
      <w:r w:rsidR="003E6C2E">
        <w:t xml:space="preserve"> trials</w:t>
      </w:r>
      <w:r>
        <w:t>.</w:t>
      </w:r>
    </w:p>
    <w:p w14:paraId="3D6380B7" w14:textId="5517B26C" w:rsidR="00E4366B" w:rsidRDefault="00E4366B" w:rsidP="00E4366B">
      <w:r>
        <w:t xml:space="preserve">The safety profile of </w:t>
      </w:r>
      <w:proofErr w:type="spellStart"/>
      <w:r>
        <w:t>inclisiran</w:t>
      </w:r>
      <w:proofErr w:type="spellEnd"/>
      <w:r>
        <w:t xml:space="preserve"> was similar across the three pivotal studies.</w:t>
      </w:r>
      <w:r w:rsidR="002179A7">
        <w:t xml:space="preserve"> </w:t>
      </w:r>
      <w:r>
        <w:t xml:space="preserve">In the </w:t>
      </w:r>
      <w:r w:rsidR="003E6C2E">
        <w:t>s</w:t>
      </w:r>
      <w:r>
        <w:t xml:space="preserve">afety </w:t>
      </w:r>
      <w:r w:rsidR="003E6C2E">
        <w:t>p</w:t>
      </w:r>
      <w:r>
        <w:t xml:space="preserve">ool, 78% of </w:t>
      </w:r>
      <w:proofErr w:type="spellStart"/>
      <w:r>
        <w:t>inclisiran</w:t>
      </w:r>
      <w:proofErr w:type="spellEnd"/>
      <w:r>
        <w:t>-treated subjects experienced at least one TEAE as compared to 77.3% of placebo</w:t>
      </w:r>
      <w:r w:rsidR="003E6C2E">
        <w:t xml:space="preserve"> </w:t>
      </w:r>
      <w:r>
        <w:t>treated subjects.</w:t>
      </w:r>
      <w:r w:rsidR="002179A7">
        <w:t xml:space="preserve"> </w:t>
      </w:r>
      <w:r>
        <w:t>Most of the TEAEs were of mild to moderate intensity.</w:t>
      </w:r>
      <w:r w:rsidR="002179A7">
        <w:t xml:space="preserve"> </w:t>
      </w:r>
      <w:r>
        <w:t>The incidence of TESAEs, TEAEs leading to discontinuation and fatal events was comparable in both treatment arms.</w:t>
      </w:r>
    </w:p>
    <w:p w14:paraId="69EFA50B" w14:textId="2F18C5D0" w:rsidR="00A84BA4" w:rsidRDefault="00E4366B" w:rsidP="00E4366B">
      <w:r>
        <w:t xml:space="preserve">The most notable difference in TEAEs in the </w:t>
      </w:r>
      <w:r w:rsidR="003E6C2E">
        <w:t>s</w:t>
      </w:r>
      <w:r>
        <w:t xml:space="preserve">afety </w:t>
      </w:r>
      <w:r w:rsidR="003E6C2E">
        <w:t>p</w:t>
      </w:r>
      <w:r>
        <w:t xml:space="preserve">ool was a higher incidence of TEAEs at the injection site in the </w:t>
      </w:r>
      <w:proofErr w:type="spellStart"/>
      <w:r>
        <w:t>inclisiran</w:t>
      </w:r>
      <w:proofErr w:type="spellEnd"/>
      <w:r>
        <w:t xml:space="preserve"> group (8.2%) compared to placebo (1.8%).</w:t>
      </w:r>
      <w:r w:rsidR="002179A7">
        <w:t xml:space="preserve"> </w:t>
      </w:r>
      <w:r>
        <w:t>None of the TEAEs at the injection site were severe or serious.</w:t>
      </w:r>
    </w:p>
    <w:p w14:paraId="4C1F0996" w14:textId="55E01201" w:rsidR="00A84BA4" w:rsidRDefault="00E4366B" w:rsidP="00E4366B">
      <w:r>
        <w:t>Clinically significant elevations (&gt;</w:t>
      </w:r>
      <w:r w:rsidR="003E6C2E">
        <w:t> </w:t>
      </w:r>
      <w:r>
        <w:t>3</w:t>
      </w:r>
      <w:r w:rsidR="003E6C2E">
        <w:t xml:space="preserve"> times</w:t>
      </w:r>
      <w:r>
        <w:t xml:space="preserve"> ULN) of biochemical markers of hepatic function were comparable to placebo, although elevations of ALT and AST &gt;</w:t>
      </w:r>
      <w:r w:rsidR="003E6C2E">
        <w:t> </w:t>
      </w:r>
      <w:r>
        <w:t>1</w:t>
      </w:r>
      <w:r w:rsidR="003E6C2E">
        <w:t xml:space="preserve"> times</w:t>
      </w:r>
      <w:r>
        <w:t xml:space="preserve"> ULN and ≤</w:t>
      </w:r>
      <w:r w:rsidR="006255F8">
        <w:t> </w:t>
      </w:r>
      <w:r>
        <w:t>3</w:t>
      </w:r>
      <w:r w:rsidR="006255F8">
        <w:t> </w:t>
      </w:r>
      <w:r w:rsidR="003E6C2E">
        <w:t>times</w:t>
      </w:r>
      <w:r>
        <w:t xml:space="preserve"> ULN were observed more frequently with </w:t>
      </w:r>
      <w:proofErr w:type="spellStart"/>
      <w:r>
        <w:t>inclisiran</w:t>
      </w:r>
      <w:proofErr w:type="spellEnd"/>
      <w:r>
        <w:t>.</w:t>
      </w:r>
      <w:r w:rsidR="002179A7">
        <w:t xml:space="preserve"> </w:t>
      </w:r>
      <w:r>
        <w:t>There were no cases meeting the definition of Hy’s Law.</w:t>
      </w:r>
      <w:r w:rsidR="002179A7">
        <w:t xml:space="preserve"> </w:t>
      </w:r>
      <w:r>
        <w:t xml:space="preserve">TEAEs related to hepatic events were balanced across the </w:t>
      </w:r>
      <w:proofErr w:type="spellStart"/>
      <w:r>
        <w:t>inclisiran</w:t>
      </w:r>
      <w:proofErr w:type="spellEnd"/>
      <w:r>
        <w:t xml:space="preserve"> and placebo treatment groups.</w:t>
      </w:r>
      <w:r w:rsidR="002179A7">
        <w:t xml:space="preserve"> </w:t>
      </w:r>
      <w:r>
        <w:t>Hepatic safety will continue to be monitored in the ongoing clinical studies as part of the evaluation of long-term safety.</w:t>
      </w:r>
    </w:p>
    <w:p w14:paraId="19676F31" w14:textId="77777777" w:rsidR="00A84BA4" w:rsidRDefault="00E4366B" w:rsidP="00E4366B">
      <w:r>
        <w:t xml:space="preserve">The clinical evaluation identified TEAEs, including lower respiratory tract and lung infections (including bronchitis), osteoporosis, and joint disorders, which were observed more frequently with </w:t>
      </w:r>
      <w:proofErr w:type="spellStart"/>
      <w:r>
        <w:t>inclisiran</w:t>
      </w:r>
      <w:proofErr w:type="spellEnd"/>
      <w:r>
        <w:t xml:space="preserve"> than placebo and for which causality could not be </w:t>
      </w:r>
      <w:r>
        <w:lastRenderedPageBreak/>
        <w:t>excluded.</w:t>
      </w:r>
      <w:r w:rsidR="002179A7">
        <w:t xml:space="preserve"> </w:t>
      </w:r>
      <w:r>
        <w:t>The RMP evaluator proposes that these issues will be assessed as part of long-term safety monitoring.</w:t>
      </w:r>
    </w:p>
    <w:p w14:paraId="01E9B690" w14:textId="101FA5EE" w:rsidR="00E4366B" w:rsidRDefault="00E4366B" w:rsidP="00E4366B">
      <w:r>
        <w:t>The clinical evaluation identified a higher incidence of new onset of diabetes in subjects with metabolic syndrome and baseline fasting glucose ≥</w:t>
      </w:r>
      <w:r w:rsidR="003E6C2E">
        <w:t> </w:t>
      </w:r>
      <w:r>
        <w:t>100 and &lt;</w:t>
      </w:r>
      <w:r w:rsidR="003E6C2E">
        <w:t> </w:t>
      </w:r>
      <w:r>
        <w:t>126 mg/dL.</w:t>
      </w:r>
      <w:r w:rsidR="002179A7">
        <w:t xml:space="preserve"> </w:t>
      </w:r>
      <w:r>
        <w:t xml:space="preserve">There was no difference in new onset of diabetes in subjects who were non-diabetic at </w:t>
      </w:r>
      <w:r w:rsidR="003E6C2E">
        <w:t>B</w:t>
      </w:r>
      <w:r>
        <w:t xml:space="preserve">aseline, and no difference in TEAEs relating to worsening of diabetes in subjects with diabetes at </w:t>
      </w:r>
      <w:r w:rsidR="003E6C2E">
        <w:t>B</w:t>
      </w:r>
      <w:r>
        <w:t>aseline.</w:t>
      </w:r>
      <w:r w:rsidR="002179A7">
        <w:t xml:space="preserve"> </w:t>
      </w:r>
      <w:r>
        <w:t>The clinical significance of these findings remains uncertain as a difference in new onset diabetes was observed only in a subgroup of the safety population, and there were inconsistencies in the safety findings relating to diabetes across the individual Phase</w:t>
      </w:r>
      <w:r w:rsidR="00A47A06">
        <w:t> </w:t>
      </w:r>
      <w:r>
        <w:t xml:space="preserve">III studies and in the </w:t>
      </w:r>
      <w:r w:rsidR="003E6C2E">
        <w:t>s</w:t>
      </w:r>
      <w:r>
        <w:t xml:space="preserve">afety </w:t>
      </w:r>
      <w:r w:rsidR="003E6C2E">
        <w:t>p</w:t>
      </w:r>
      <w:r>
        <w:t>ool overall.</w:t>
      </w:r>
      <w:r w:rsidR="002179A7">
        <w:t xml:space="preserve"> </w:t>
      </w:r>
      <w:r>
        <w:t xml:space="preserve">Development or worsening of diabetes will be assessed in the ongoing clinical trials evaluating long-term </w:t>
      </w:r>
      <w:r w:rsidR="003E6C2E">
        <w:t>safety and</w:t>
      </w:r>
      <w:r>
        <w:t xml:space="preserve"> will also be presented as a safety topic in </w:t>
      </w:r>
      <w:r w:rsidR="003E6C2E">
        <w:t>p</w:t>
      </w:r>
      <w:r>
        <w:t xml:space="preserve">eriodic </w:t>
      </w:r>
      <w:r w:rsidR="003E6C2E">
        <w:t>s</w:t>
      </w:r>
      <w:r>
        <w:t xml:space="preserve">afety </w:t>
      </w:r>
      <w:r w:rsidR="003E6C2E">
        <w:t>u</w:t>
      </w:r>
      <w:r>
        <w:t xml:space="preserve">pdate </w:t>
      </w:r>
      <w:r w:rsidR="003E6C2E">
        <w:t>r</w:t>
      </w:r>
      <w:r>
        <w:t>eports</w:t>
      </w:r>
      <w:r w:rsidR="003E6C2E">
        <w:t xml:space="preserve"> (PSUR)</w:t>
      </w:r>
      <w:r>
        <w:t>.</w:t>
      </w:r>
    </w:p>
    <w:p w14:paraId="0EF07004" w14:textId="710F9EF9" w:rsidR="00A84BA4" w:rsidRPr="007F1E07" w:rsidRDefault="00E4366B" w:rsidP="00E4366B">
      <w:r>
        <w:t xml:space="preserve">Interim safety data from the ongoing extension study, </w:t>
      </w:r>
      <w:r w:rsidR="00A47A06">
        <w:t xml:space="preserve">the </w:t>
      </w:r>
      <w:r>
        <w:t>ORION-3</w:t>
      </w:r>
      <w:r w:rsidR="003E6C2E">
        <w:t xml:space="preserve"> trial</w:t>
      </w:r>
      <w:r>
        <w:t xml:space="preserve">, were consistent with </w:t>
      </w:r>
      <w:r w:rsidRPr="007F1E07">
        <w:t>the safety profile from the Phase III studies.</w:t>
      </w:r>
    </w:p>
    <w:p w14:paraId="601B69AE" w14:textId="30217774" w:rsidR="00E4366B" w:rsidRDefault="00E4366B" w:rsidP="00E4366B">
      <w:pPr>
        <w:pStyle w:val="Heading5"/>
      </w:pPr>
      <w:r w:rsidRPr="007F1E07">
        <w:t>Uncertainties and limitations of the data</w:t>
      </w:r>
    </w:p>
    <w:p w14:paraId="3529CF1E" w14:textId="230AD7DE" w:rsidR="00A84BA4" w:rsidRDefault="00E4366B" w:rsidP="00E4366B">
      <w:r>
        <w:t xml:space="preserve">The efficacy of </w:t>
      </w:r>
      <w:proofErr w:type="spellStart"/>
      <w:r>
        <w:t>inclisiran</w:t>
      </w:r>
      <w:proofErr w:type="spellEnd"/>
      <w:r>
        <w:t xml:space="preserve"> has been demonstrated in terms of its effect on LDL-C and associated laboratory parameters, but a cardiovascular benefit has not been demonstrated.</w:t>
      </w:r>
      <w:r w:rsidR="002179A7">
        <w:t xml:space="preserve"> </w:t>
      </w:r>
      <w:r>
        <w:t>The ongoing Phase III study</w:t>
      </w:r>
      <w:r w:rsidR="003E6C2E">
        <w:t xml:space="preserve">, </w:t>
      </w:r>
      <w:r w:rsidR="00A47A06">
        <w:t xml:space="preserve">the </w:t>
      </w:r>
      <w:r>
        <w:t>ORION-4</w:t>
      </w:r>
      <w:r w:rsidR="003E6C2E">
        <w:t xml:space="preserve"> trial,</w:t>
      </w:r>
      <w:r>
        <w:t xml:space="preserve"> is evaluating the effect of </w:t>
      </w:r>
      <w:proofErr w:type="spellStart"/>
      <w:r>
        <w:t>inclisiran</w:t>
      </w:r>
      <w:proofErr w:type="spellEnd"/>
      <w:r>
        <w:t xml:space="preserve"> on cardiovascular outcomes.</w:t>
      </w:r>
      <w:r w:rsidR="002179A7">
        <w:t xml:space="preserve"> </w:t>
      </w:r>
      <w:r>
        <w:t>The studies presented in this submission support an indication based on lipid</w:t>
      </w:r>
      <w:r w:rsidR="007F1E07">
        <w:t xml:space="preserve"> </w:t>
      </w:r>
      <w:r>
        <w:t>lowering effect, as per the Guideline on clinical investigation of medicinal products in the treatment of lipid disorders.</w:t>
      </w:r>
      <w:r w:rsidR="007F1E07" w:rsidRPr="007F1E07">
        <w:rPr>
          <w:vertAlign w:val="superscript"/>
        </w:rPr>
        <w:fldChar w:fldCharType="begin"/>
      </w:r>
      <w:r w:rsidR="007F1E07" w:rsidRPr="007F1E07">
        <w:rPr>
          <w:vertAlign w:val="superscript"/>
        </w:rPr>
        <w:instrText xml:space="preserve"> NOTEREF _Ref97885810 \h </w:instrText>
      </w:r>
      <w:r w:rsidR="007F1E07">
        <w:rPr>
          <w:vertAlign w:val="superscript"/>
        </w:rPr>
        <w:instrText xml:space="preserve"> \* MERGEFORMAT </w:instrText>
      </w:r>
      <w:r w:rsidR="007F1E07" w:rsidRPr="007F1E07">
        <w:rPr>
          <w:vertAlign w:val="superscript"/>
        </w:rPr>
      </w:r>
      <w:r w:rsidR="007F1E07" w:rsidRPr="007F1E07">
        <w:rPr>
          <w:vertAlign w:val="superscript"/>
        </w:rPr>
        <w:fldChar w:fldCharType="separate"/>
      </w:r>
      <w:r w:rsidR="002C4E0E">
        <w:rPr>
          <w:vertAlign w:val="superscript"/>
        </w:rPr>
        <w:t>8</w:t>
      </w:r>
      <w:r w:rsidR="007F1E07" w:rsidRPr="007F1E07">
        <w:rPr>
          <w:vertAlign w:val="superscript"/>
        </w:rPr>
        <w:fldChar w:fldCharType="end"/>
      </w:r>
    </w:p>
    <w:p w14:paraId="4B67EBFE" w14:textId="331C27A3" w:rsidR="00E4366B" w:rsidRDefault="00E4366B" w:rsidP="00E4366B">
      <w:r>
        <w:t>The pivotal studies evaluated efficacy and safety up to 18 months.</w:t>
      </w:r>
      <w:r w:rsidR="002179A7">
        <w:t xml:space="preserve"> </w:t>
      </w:r>
      <w:r>
        <w:t xml:space="preserve">The efficacy and safety of </w:t>
      </w:r>
      <w:proofErr w:type="spellStart"/>
      <w:r>
        <w:t>inclisiran</w:t>
      </w:r>
      <w:proofErr w:type="spellEnd"/>
      <w:r>
        <w:t xml:space="preserve"> beyond 18 months of treatment is being assessed in the ongoing, extension studies</w:t>
      </w:r>
      <w:r w:rsidR="007F1E07">
        <w:t xml:space="preserve">, </w:t>
      </w:r>
      <w:r w:rsidR="00A47A06">
        <w:t xml:space="preserve">the </w:t>
      </w:r>
      <w:r>
        <w:t xml:space="preserve">ORION-3 </w:t>
      </w:r>
      <w:r w:rsidR="007F1E07">
        <w:t xml:space="preserve">trial </w:t>
      </w:r>
      <w:r>
        <w:t xml:space="preserve">(interim data presented in this submission) and </w:t>
      </w:r>
      <w:r w:rsidR="00A47A06">
        <w:t xml:space="preserve">the </w:t>
      </w:r>
      <w:r>
        <w:t>ORION-8</w:t>
      </w:r>
      <w:r w:rsidR="007F1E07">
        <w:t xml:space="preserve"> trial</w:t>
      </w:r>
      <w:r>
        <w:t>, and the ongoing CV outcomes study</w:t>
      </w:r>
      <w:r w:rsidR="007F1E07">
        <w:t xml:space="preserve">, </w:t>
      </w:r>
      <w:r w:rsidR="00A47A06">
        <w:t xml:space="preserve">the </w:t>
      </w:r>
      <w:r>
        <w:t>ORION-4</w:t>
      </w:r>
      <w:r w:rsidR="007F1E07">
        <w:t xml:space="preserve"> trial</w:t>
      </w:r>
      <w:r>
        <w:t>.</w:t>
      </w:r>
    </w:p>
    <w:p w14:paraId="6CD558FF" w14:textId="7CAF9D14" w:rsidR="00E4366B" w:rsidRDefault="00E4366B" w:rsidP="00E4366B">
      <w:proofErr w:type="spellStart"/>
      <w:r>
        <w:t>Inclisiran</w:t>
      </w:r>
      <w:proofErr w:type="spellEnd"/>
      <w:r>
        <w:t xml:space="preserve"> has not been studied in patients with severe hepatic impairment.</w:t>
      </w:r>
      <w:r w:rsidR="002179A7">
        <w:t xml:space="preserve"> </w:t>
      </w:r>
      <w:r>
        <w:t xml:space="preserve">In patients with moderate hepatic impairment in </w:t>
      </w:r>
      <w:r w:rsidR="00A47A06">
        <w:t xml:space="preserve">the </w:t>
      </w:r>
      <w:r>
        <w:t>ORION-6</w:t>
      </w:r>
      <w:r w:rsidR="007F1E07">
        <w:t xml:space="preserve"> trial</w:t>
      </w:r>
      <w:r>
        <w:t>, baseline PCSK9 levels were lower and the reduction in LDL-C was less than in patients with normal hepatic function or mild hepatic impairment.</w:t>
      </w:r>
      <w:r w:rsidR="002179A7">
        <w:t xml:space="preserve"> </w:t>
      </w:r>
      <w:r>
        <w:t xml:space="preserve">Use of </w:t>
      </w:r>
      <w:proofErr w:type="spellStart"/>
      <w:r>
        <w:t>inclisiran</w:t>
      </w:r>
      <w:proofErr w:type="spellEnd"/>
      <w:r>
        <w:t xml:space="preserve"> in patients with severe hepatic impairment is listed as missing information in the RMP.</w:t>
      </w:r>
    </w:p>
    <w:p w14:paraId="4FC413CA" w14:textId="77777777" w:rsidR="00E4366B" w:rsidRDefault="00E4366B" w:rsidP="00E4366B">
      <w:proofErr w:type="spellStart"/>
      <w:r>
        <w:t>Inclisiran</w:t>
      </w:r>
      <w:proofErr w:type="spellEnd"/>
      <w:r>
        <w:t xml:space="preserve"> has not been studied in patients with ESRD, and efficacy and safety data are limited for patients with severe renal impairment.</w:t>
      </w:r>
    </w:p>
    <w:p w14:paraId="30380E9D" w14:textId="666625EE" w:rsidR="00E4366B" w:rsidRDefault="00E4366B" w:rsidP="00E4366B">
      <w:r>
        <w:t xml:space="preserve">The efficacy and safety of </w:t>
      </w:r>
      <w:proofErr w:type="spellStart"/>
      <w:r>
        <w:t>inclisiran</w:t>
      </w:r>
      <w:proofErr w:type="spellEnd"/>
      <w:r>
        <w:t xml:space="preserve"> have not been assessed in children or adolescents.</w:t>
      </w:r>
      <w:r w:rsidR="002179A7">
        <w:t xml:space="preserve"> </w:t>
      </w:r>
      <w:r>
        <w:t>This limitation is addressed in the proposed indication restricting use to adults.</w:t>
      </w:r>
    </w:p>
    <w:p w14:paraId="71957BE4" w14:textId="6943445F" w:rsidR="00E4366B" w:rsidRDefault="00E4366B" w:rsidP="00E4366B">
      <w:r>
        <w:t xml:space="preserve">There are no clinical data on the use of </w:t>
      </w:r>
      <w:proofErr w:type="spellStart"/>
      <w:r>
        <w:t>inclisiran</w:t>
      </w:r>
      <w:proofErr w:type="spellEnd"/>
      <w:r>
        <w:t xml:space="preserve"> during pregnancy or lactation.</w:t>
      </w:r>
      <w:r w:rsidR="002179A7">
        <w:t xml:space="preserve"> </w:t>
      </w:r>
      <w:r>
        <w:t>This is listed as missing information in the RMP.</w:t>
      </w:r>
    </w:p>
    <w:p w14:paraId="0EBED863" w14:textId="77777777" w:rsidR="00E4366B" w:rsidRDefault="00E4366B" w:rsidP="00E4366B">
      <w:pPr>
        <w:pStyle w:val="Heading5"/>
      </w:pPr>
      <w:r>
        <w:t>Proposed Indication</w:t>
      </w:r>
    </w:p>
    <w:p w14:paraId="4A7FF97F" w14:textId="4C4A23C8" w:rsidR="00E4366B" w:rsidRDefault="52ECDC8C" w:rsidP="00E4366B">
      <w:r>
        <w:t>The sponsor’s proposed indication is:</w:t>
      </w:r>
    </w:p>
    <w:p w14:paraId="2A936B6F" w14:textId="77777777" w:rsidR="00E4366B" w:rsidRPr="007F1E07" w:rsidRDefault="00E4366B" w:rsidP="007F1E07">
      <w:pPr>
        <w:ind w:left="360"/>
        <w:rPr>
          <w:i/>
          <w:iCs/>
        </w:rPr>
      </w:pPr>
      <w:proofErr w:type="spellStart"/>
      <w:r w:rsidRPr="007F1E07">
        <w:rPr>
          <w:i/>
          <w:iCs/>
        </w:rPr>
        <w:t>Leqvio</w:t>
      </w:r>
      <w:proofErr w:type="spellEnd"/>
      <w:r w:rsidRPr="007F1E07">
        <w:rPr>
          <w:i/>
          <w:iCs/>
        </w:rPr>
        <w:t xml:space="preserve"> is indicated in adults with primary hypercholesterolaemia (heterozygous familial and nonfamilial) or mixed dyslipidaemia, as an adjunct to diet:</w:t>
      </w:r>
    </w:p>
    <w:p w14:paraId="748D432F" w14:textId="1411BCDF" w:rsidR="00E4366B" w:rsidRPr="007F1E07" w:rsidRDefault="00E4366B" w:rsidP="007F1E07">
      <w:pPr>
        <w:pStyle w:val="ListBullet"/>
        <w:ind w:left="720"/>
        <w:rPr>
          <w:i/>
          <w:iCs/>
        </w:rPr>
      </w:pPr>
      <w:r w:rsidRPr="007F1E07">
        <w:rPr>
          <w:i/>
          <w:iCs/>
        </w:rPr>
        <w:t>in combination with a statin or statin with other lipid‐lowering therapies in patients unable to reach LDL‐C goals with the maximum tolerated dose of a statin or,</w:t>
      </w:r>
    </w:p>
    <w:p w14:paraId="6A575550" w14:textId="7337D61F" w:rsidR="00E4366B" w:rsidRPr="007F1E07" w:rsidRDefault="00E4366B" w:rsidP="007F1E07">
      <w:pPr>
        <w:pStyle w:val="ListBullet"/>
        <w:ind w:left="720"/>
        <w:rPr>
          <w:i/>
          <w:iCs/>
        </w:rPr>
      </w:pPr>
      <w:r w:rsidRPr="007F1E07">
        <w:rPr>
          <w:i/>
          <w:iCs/>
        </w:rPr>
        <w:t>alone or in combination with other lipid‐lowering therapies in patients who are statin intolerant, or for whom a statin is contraindicated.</w:t>
      </w:r>
    </w:p>
    <w:p w14:paraId="0EF6314D" w14:textId="08536B11" w:rsidR="00A84BA4" w:rsidRDefault="00E4366B" w:rsidP="00E4366B">
      <w:r>
        <w:t xml:space="preserve">The pivotal studies assessed the efficacy and safety of </w:t>
      </w:r>
      <w:proofErr w:type="spellStart"/>
      <w:r>
        <w:t>inclisiran</w:t>
      </w:r>
      <w:proofErr w:type="spellEnd"/>
      <w:r>
        <w:t xml:space="preserve"> in subjects with </w:t>
      </w:r>
      <w:proofErr w:type="spellStart"/>
      <w:r>
        <w:t>HeFH</w:t>
      </w:r>
      <w:proofErr w:type="spellEnd"/>
      <w:r>
        <w:t>, ASCVD, and ASCVD</w:t>
      </w:r>
      <w:r w:rsidR="007F1E07">
        <w:t xml:space="preserve"> </w:t>
      </w:r>
      <w:r>
        <w:t>risk equivalents, who were unable to achieve their target LDL-C despite maximally tolerated statin therapy.</w:t>
      </w:r>
      <w:r w:rsidR="002179A7">
        <w:t xml:space="preserve"> </w:t>
      </w:r>
      <w:r w:rsidR="00A47A06">
        <w:t xml:space="preserve">The </w:t>
      </w:r>
      <w:r>
        <w:t>ORION-9</w:t>
      </w:r>
      <w:r w:rsidR="007F1E07">
        <w:t xml:space="preserve"> trial</w:t>
      </w:r>
      <w:r>
        <w:t xml:space="preserve"> assessed 482 subjects with </w:t>
      </w:r>
      <w:proofErr w:type="spellStart"/>
      <w:r>
        <w:lastRenderedPageBreak/>
        <w:t>HeFH</w:t>
      </w:r>
      <w:proofErr w:type="spellEnd"/>
      <w:r>
        <w:t>, ORION-10</w:t>
      </w:r>
      <w:r w:rsidR="007F1E07">
        <w:t xml:space="preserve"> trial</w:t>
      </w:r>
      <w:r>
        <w:t xml:space="preserve"> assessed 1561 subjects with ASCVD, and ORION-11</w:t>
      </w:r>
      <w:r w:rsidR="007F1E07">
        <w:t xml:space="preserve"> trial</w:t>
      </w:r>
      <w:r>
        <w:t xml:space="preserve"> assessed 1617 subjects, of whom 87% had ASCVD and 13% had ASCVD</w:t>
      </w:r>
      <w:r w:rsidR="007F1E07">
        <w:t xml:space="preserve"> </w:t>
      </w:r>
      <w:r>
        <w:t>risk equivalents.</w:t>
      </w:r>
    </w:p>
    <w:p w14:paraId="08685248" w14:textId="0146CC2D" w:rsidR="00E4366B" w:rsidRDefault="00E4366B" w:rsidP="00E4366B">
      <w:r>
        <w:t xml:space="preserve">The proposed indication includes adults with non-familial hypercholesterolaemia without regard to ASCVD or CV risk, whereas </w:t>
      </w:r>
      <w:proofErr w:type="gramStart"/>
      <w:r>
        <w:t>the majority of</w:t>
      </w:r>
      <w:proofErr w:type="gramEnd"/>
      <w:r>
        <w:t xml:space="preserve"> subjects with non-familial hypercholesterolaemia in the pivotal studies had ASCVD, and a minority were ASCVD</w:t>
      </w:r>
      <w:r w:rsidR="007F1E07">
        <w:t xml:space="preserve"> </w:t>
      </w:r>
      <w:r>
        <w:t>risk equivalent.</w:t>
      </w:r>
      <w:r w:rsidR="002179A7">
        <w:t xml:space="preserve"> </w:t>
      </w:r>
      <w:r>
        <w:t xml:space="preserve">Therefore, </w:t>
      </w:r>
      <w:r w:rsidR="002179A7">
        <w:t xml:space="preserve">the Delegate is </w:t>
      </w:r>
      <w:r>
        <w:t xml:space="preserve">inclined to the view that the indication for adults with non-familial hypercholesterolaemia should be restricted to those with ASCVD, but </w:t>
      </w:r>
      <w:r w:rsidR="007F1E07">
        <w:t>the Delegate</w:t>
      </w:r>
      <w:r>
        <w:t xml:space="preserve"> would like to consider the advice of ACM before finalising </w:t>
      </w:r>
      <w:r w:rsidR="007F1E07">
        <w:t>Delegate’s</w:t>
      </w:r>
      <w:r>
        <w:t xml:space="preserve"> position.</w:t>
      </w:r>
    </w:p>
    <w:p w14:paraId="25293FB1" w14:textId="689204BE" w:rsidR="00E4366B" w:rsidRDefault="00E4366B" w:rsidP="00E4366B">
      <w:r>
        <w:t>The proposed indication includes adults with mixed dyslipidaemia. The inclusion criteria of the pivotal studies did not refer specifically to mixed dyslipidaemia. The lipid parameters specified in the inclusion criteria of the pivotal studies were:</w:t>
      </w:r>
    </w:p>
    <w:p w14:paraId="3A7D313C" w14:textId="2D8A2A89" w:rsidR="00E4366B" w:rsidRDefault="00E4366B" w:rsidP="00E4366B">
      <w:pPr>
        <w:pStyle w:val="ListBullet"/>
      </w:pPr>
      <w:r>
        <w:t>LDL-C ≥</w:t>
      </w:r>
      <w:r w:rsidR="007F1E07">
        <w:t> </w:t>
      </w:r>
      <w:r>
        <w:t xml:space="preserve">2.6 mmol/L at screening for subjects in </w:t>
      </w:r>
      <w:r w:rsidR="00A47A06">
        <w:t xml:space="preserve">the </w:t>
      </w:r>
      <w:r>
        <w:t>ORION-9</w:t>
      </w:r>
      <w:r w:rsidR="007F1E07">
        <w:t xml:space="preserve"> trial</w:t>
      </w:r>
      <w:r>
        <w:t xml:space="preserve"> and subjects in </w:t>
      </w:r>
      <w:r w:rsidR="00A47A06">
        <w:t xml:space="preserve">the </w:t>
      </w:r>
      <w:r>
        <w:t xml:space="preserve">ORION-11 </w:t>
      </w:r>
      <w:r w:rsidR="007F1E07">
        <w:t xml:space="preserve">trial </w:t>
      </w:r>
      <w:r>
        <w:t>with ASCVD</w:t>
      </w:r>
      <w:r w:rsidR="007F1E07">
        <w:t xml:space="preserve"> </w:t>
      </w:r>
      <w:r>
        <w:t>risk equivalents; and LDL-C ≥</w:t>
      </w:r>
      <w:r w:rsidR="007F1E07">
        <w:t> </w:t>
      </w:r>
      <w:r>
        <w:t xml:space="preserve">1.8 mmol/L at screening for subjects in </w:t>
      </w:r>
      <w:r w:rsidR="00A47A06">
        <w:t xml:space="preserve">the </w:t>
      </w:r>
      <w:r>
        <w:t xml:space="preserve">ORION-10 and ORION-11 </w:t>
      </w:r>
      <w:r w:rsidR="007F1E07">
        <w:t xml:space="preserve">trials </w:t>
      </w:r>
      <w:r>
        <w:t>with ASCVD.</w:t>
      </w:r>
    </w:p>
    <w:p w14:paraId="6FD68CA8" w14:textId="73084142" w:rsidR="00E4366B" w:rsidRDefault="00E4366B" w:rsidP="00E4366B">
      <w:pPr>
        <w:pStyle w:val="ListBullet"/>
      </w:pPr>
      <w:r>
        <w:t>fasting triglycerides &lt;</w:t>
      </w:r>
      <w:r w:rsidR="007F1E07">
        <w:t> </w:t>
      </w:r>
      <w:r>
        <w:t>4.52 mmol/L at screening.</w:t>
      </w:r>
    </w:p>
    <w:p w14:paraId="14DEFC46" w14:textId="43BB5B9D" w:rsidR="00E4366B" w:rsidRDefault="00E4366B" w:rsidP="00E4366B">
      <w:r>
        <w:t>The requirement for subjects to have fasting triglycerides &lt;</w:t>
      </w:r>
      <w:r w:rsidR="007F1E07">
        <w:t> </w:t>
      </w:r>
      <w:r>
        <w:t>4.52 mmol/L at screening limited enrolment of patients with mixed dyslipidaemia.</w:t>
      </w:r>
      <w:r w:rsidR="00A84BA4">
        <w:t xml:space="preserve"> </w:t>
      </w:r>
      <w:r>
        <w:t xml:space="preserve">67.4% of screen failures in </w:t>
      </w:r>
      <w:r w:rsidR="00A47A06">
        <w:t xml:space="preserve">the </w:t>
      </w:r>
      <w:r>
        <w:t>ORION</w:t>
      </w:r>
      <w:r w:rsidR="007F1E07">
        <w:t> </w:t>
      </w:r>
      <w:r>
        <w:t xml:space="preserve">9 </w:t>
      </w:r>
      <w:r w:rsidR="007F1E07">
        <w:t xml:space="preserve">trial </w:t>
      </w:r>
      <w:r>
        <w:t>were due to failure to meet the inclusion criterion for fasting triglycerides.</w:t>
      </w:r>
      <w:r w:rsidR="00A84BA4">
        <w:t xml:space="preserve"> </w:t>
      </w:r>
      <w:r>
        <w:t>Although subgroup analyses based on baseline triglyceride level showed no significant difference in placebo</w:t>
      </w:r>
      <w:r w:rsidR="007F1E07">
        <w:t xml:space="preserve"> </w:t>
      </w:r>
      <w:r>
        <w:t xml:space="preserve">adjusted percentage change in LDL-C from </w:t>
      </w:r>
      <w:r w:rsidR="007F1E07">
        <w:t>B</w:t>
      </w:r>
      <w:r>
        <w:t>aseline to Day 510, the indication should not refer specifically to patients with mixed dyslipidaemia because this was only a subpopulation of the pivotal studies and patients with fasting triglycerides ≥</w:t>
      </w:r>
      <w:r w:rsidR="007F1E07">
        <w:t> </w:t>
      </w:r>
      <w:r>
        <w:t>4.52 mmol/L were not included.</w:t>
      </w:r>
    </w:p>
    <w:p w14:paraId="4980CAFE" w14:textId="4416BAF9" w:rsidR="00E4366B" w:rsidRDefault="00E4366B" w:rsidP="00E4366B">
      <w:r>
        <w:t xml:space="preserve">The efficacy of </w:t>
      </w:r>
      <w:proofErr w:type="spellStart"/>
      <w:r>
        <w:t>inclisiran</w:t>
      </w:r>
      <w:proofErr w:type="spellEnd"/>
      <w:r>
        <w:t xml:space="preserve"> has been demonstrated </w:t>
      </w:r>
      <w:proofErr w:type="gramStart"/>
      <w:r>
        <w:t>with regard to</w:t>
      </w:r>
      <w:proofErr w:type="gramEnd"/>
      <w:r>
        <w:t xml:space="preserve"> lowering LDL-C, but a benefit on cardiovascular morbidity or mortality has not been demonstrated, so the indication should refer specifically to reducing LDL-C.</w:t>
      </w:r>
    </w:p>
    <w:p w14:paraId="6CF849A3" w14:textId="2CDD5370" w:rsidR="00E4366B" w:rsidRDefault="00E4366B" w:rsidP="00E4366B">
      <w:r>
        <w:t xml:space="preserve">Subjects not receiving a statin could receive </w:t>
      </w:r>
      <w:proofErr w:type="spellStart"/>
      <w:r>
        <w:t>inclisiran</w:t>
      </w:r>
      <w:proofErr w:type="spellEnd"/>
      <w:r>
        <w:t xml:space="preserve"> alone or in combination with other LMT. Subjects not receiving a statin were required to have documented evidence of intolerance to all doses of at least </w:t>
      </w:r>
      <w:r w:rsidR="007F1E07">
        <w:t>two</w:t>
      </w:r>
      <w:r>
        <w:t xml:space="preserve"> different statins.</w:t>
      </w:r>
      <w:r w:rsidR="002179A7">
        <w:t xml:space="preserve"> </w:t>
      </w:r>
      <w:r>
        <w:t>Enrolment of statin</w:t>
      </w:r>
      <w:r w:rsidR="007F1E07">
        <w:t xml:space="preserve"> </w:t>
      </w:r>
      <w:r>
        <w:t>intolerant subjects was capped at 15% of total study enrolment.</w:t>
      </w:r>
      <w:r w:rsidR="002179A7">
        <w:t xml:space="preserve"> </w:t>
      </w:r>
      <w:r>
        <w:t xml:space="preserve">9.5% of subjects in </w:t>
      </w:r>
      <w:r w:rsidR="00A47A06">
        <w:t xml:space="preserve">the </w:t>
      </w:r>
      <w:r>
        <w:t>ORION-9</w:t>
      </w:r>
      <w:r w:rsidR="007F1E07">
        <w:t xml:space="preserve"> trial</w:t>
      </w:r>
      <w:r>
        <w:t>, 10.8% in</w:t>
      </w:r>
      <w:r w:rsidR="00A47A06">
        <w:t xml:space="preserve"> the</w:t>
      </w:r>
      <w:r>
        <w:t xml:space="preserve"> ORION-10</w:t>
      </w:r>
      <w:r w:rsidR="007F1E07">
        <w:t xml:space="preserve"> trial</w:t>
      </w:r>
      <w:r>
        <w:t>, and 5.3% in</w:t>
      </w:r>
      <w:r w:rsidR="00A47A06">
        <w:t xml:space="preserve"> the</w:t>
      </w:r>
      <w:r>
        <w:t xml:space="preserve"> ORION-11</w:t>
      </w:r>
      <w:r w:rsidR="007F1E07">
        <w:t xml:space="preserve"> trial</w:t>
      </w:r>
      <w:r>
        <w:t xml:space="preserve"> were not receiving statin therapy.</w:t>
      </w:r>
      <w:r w:rsidR="002179A7">
        <w:t xml:space="preserve"> </w:t>
      </w:r>
      <w:r>
        <w:t xml:space="preserve">The effect of </w:t>
      </w:r>
      <w:proofErr w:type="spellStart"/>
      <w:r>
        <w:t>inclisiran</w:t>
      </w:r>
      <w:proofErr w:type="spellEnd"/>
      <w:r>
        <w:t xml:space="preserve"> on LDL-C was similar in subgroup analyses of subjects on statin therapy and subjects not on statin therapy.</w:t>
      </w:r>
      <w:r w:rsidR="002179A7">
        <w:t xml:space="preserve"> </w:t>
      </w:r>
      <w:r>
        <w:t xml:space="preserve">The effect of </w:t>
      </w:r>
      <w:proofErr w:type="spellStart"/>
      <w:r>
        <w:t>inclisiran</w:t>
      </w:r>
      <w:proofErr w:type="spellEnd"/>
      <w:r>
        <w:t xml:space="preserve"> on LDL-C was also similar in subgroup analyses based on lipid management treatment (any statin, other LMT but no statin, or no other LMT).</w:t>
      </w:r>
    </w:p>
    <w:p w14:paraId="1FD7C865" w14:textId="77777777" w:rsidR="00A84BA4" w:rsidRDefault="00E4366B" w:rsidP="00E4366B">
      <w:r>
        <w:t>The pivotal studies did not include subjects for whom a statin is contraindicated.</w:t>
      </w:r>
      <w:r w:rsidR="002179A7">
        <w:t xml:space="preserve"> </w:t>
      </w:r>
      <w:r>
        <w:t>The pivotal studies excluded patients with active liver disease (as defined in the exclusion criteria) and women who were pregnant or breastfeeding.</w:t>
      </w:r>
      <w:r w:rsidR="002179A7">
        <w:t xml:space="preserve"> </w:t>
      </w:r>
      <w:r>
        <w:t xml:space="preserve">Consequently, there remains uncertainty regarding the efficacy and safety of </w:t>
      </w:r>
      <w:proofErr w:type="spellStart"/>
      <w:r>
        <w:t>inclisiran</w:t>
      </w:r>
      <w:proofErr w:type="spellEnd"/>
      <w:r>
        <w:t xml:space="preserve"> in patients for whom a statin is contraindicated.</w:t>
      </w:r>
    </w:p>
    <w:p w14:paraId="58891253" w14:textId="401E6518" w:rsidR="00E4366B" w:rsidRDefault="00E4366B" w:rsidP="00E4366B">
      <w:r>
        <w:t xml:space="preserve">Subject to advice from ACM, </w:t>
      </w:r>
      <w:r w:rsidR="00F31B52">
        <w:t>Delegate’s</w:t>
      </w:r>
      <w:r>
        <w:t xml:space="preserve"> suggested indication is:</w:t>
      </w:r>
    </w:p>
    <w:p w14:paraId="1D90E959" w14:textId="77777777" w:rsidR="00E4366B" w:rsidRPr="00F31B52" w:rsidRDefault="00E4366B" w:rsidP="00F31B52">
      <w:pPr>
        <w:ind w:left="360"/>
        <w:rPr>
          <w:i/>
          <w:iCs/>
        </w:rPr>
      </w:pPr>
      <w:proofErr w:type="spellStart"/>
      <w:r w:rsidRPr="00F31B52">
        <w:rPr>
          <w:i/>
          <w:iCs/>
        </w:rPr>
        <w:t>Leqvio</w:t>
      </w:r>
      <w:proofErr w:type="spellEnd"/>
      <w:r w:rsidRPr="00F31B52">
        <w:rPr>
          <w:i/>
          <w:iCs/>
        </w:rPr>
        <w:t xml:space="preserve"> is indicated as an adjunct to diet and exercise to reduce low-density lipoprotein cholesterol (LDL-C) in adults with heterozygous familial hypercholesterolaemia or atherosclerotic cardiovascular disease:</w:t>
      </w:r>
    </w:p>
    <w:p w14:paraId="5B54C416" w14:textId="077533C7" w:rsidR="00E4366B" w:rsidRPr="00F31B52" w:rsidRDefault="00E4366B" w:rsidP="00F31B52">
      <w:pPr>
        <w:pStyle w:val="ListBullet"/>
        <w:ind w:left="720"/>
        <w:rPr>
          <w:i/>
          <w:iCs/>
        </w:rPr>
      </w:pPr>
      <w:r w:rsidRPr="00F31B52">
        <w:rPr>
          <w:i/>
          <w:iCs/>
        </w:rPr>
        <w:t>in combination with a statin or statin with other lipid‐lowering therapies in patients unable to reach LDL‐C goals with the maximum tolerated dose of a statin or,</w:t>
      </w:r>
    </w:p>
    <w:p w14:paraId="5DF36824" w14:textId="38FB083F" w:rsidR="00E4366B" w:rsidRPr="00F31B52" w:rsidRDefault="00E4366B" w:rsidP="00F31B52">
      <w:pPr>
        <w:pStyle w:val="ListBullet"/>
        <w:ind w:left="720"/>
        <w:rPr>
          <w:i/>
          <w:iCs/>
        </w:rPr>
      </w:pPr>
      <w:r w:rsidRPr="00F31B52">
        <w:rPr>
          <w:i/>
          <w:iCs/>
        </w:rPr>
        <w:t>alone or in combination with other lipid‐lowering therapies in patients who are statin-intolerant.</w:t>
      </w:r>
    </w:p>
    <w:p w14:paraId="5DEF1959" w14:textId="77777777" w:rsidR="00E4366B" w:rsidRDefault="00E4366B" w:rsidP="00E4366B">
      <w:pPr>
        <w:pStyle w:val="Heading5"/>
      </w:pPr>
      <w:r>
        <w:lastRenderedPageBreak/>
        <w:t>Proposed conditions of registration</w:t>
      </w:r>
    </w:p>
    <w:p w14:paraId="469B3B7D" w14:textId="2B41D86B" w:rsidR="00E4366B" w:rsidRDefault="00E4366B" w:rsidP="00E4366B">
      <w:pPr>
        <w:pStyle w:val="Numberbullet0"/>
      </w:pPr>
      <w:r>
        <w:t xml:space="preserve">The </w:t>
      </w:r>
      <w:proofErr w:type="spellStart"/>
      <w:r>
        <w:t>Inclisiran</w:t>
      </w:r>
      <w:proofErr w:type="spellEnd"/>
      <w:r>
        <w:t xml:space="preserve"> EU-</w:t>
      </w:r>
      <w:r w:rsidR="00F31B52">
        <w:t xml:space="preserve"> </w:t>
      </w:r>
      <w:r>
        <w:t xml:space="preserve">RMP (version 1.0, dated 12 October 2020, </w:t>
      </w:r>
      <w:r w:rsidR="00F31B52">
        <w:t>DLP</w:t>
      </w:r>
      <w:r>
        <w:t xml:space="preserve"> 17 September 2019), with </w:t>
      </w:r>
      <w:r w:rsidR="00F31B52">
        <w:t>ASA</w:t>
      </w:r>
      <w:r>
        <w:t xml:space="preserve"> (version 1.1, dated 12 February 2021), included with submission PM-2020-04160-1-3, to be revised to the satisfaction of the TGA, will be implemented in Australia.</w:t>
      </w:r>
    </w:p>
    <w:p w14:paraId="35B07654" w14:textId="7E7E2057" w:rsidR="00E4366B" w:rsidRDefault="00E4366B" w:rsidP="00E4366B">
      <w:pPr>
        <w:pStyle w:val="Numberbullet0"/>
      </w:pPr>
      <w:r>
        <w:t>An obligatory component of risk management plans is routine pharmacovigilance. Routine pharmacovigilance includes the submission of periodic safety update reports (PSURs).</w:t>
      </w:r>
    </w:p>
    <w:p w14:paraId="2FD14B31" w14:textId="3CB59825" w:rsidR="00E4366B" w:rsidRDefault="00E4366B" w:rsidP="00E4366B">
      <w:pPr>
        <w:pStyle w:val="Numberbullet0"/>
        <w:numPr>
          <w:ilvl w:val="0"/>
          <w:numId w:val="0"/>
        </w:numPr>
        <w:ind w:left="425"/>
      </w:pPr>
      <w:r>
        <w:t>Reports are to be provided in line with the current published list of EU reference dates and frequency of submission of PSURs until the period covered by such reports is not less than three years from the date of th</w:t>
      </w:r>
      <w:r w:rsidR="00F31B52">
        <w:t>e</w:t>
      </w:r>
      <w:r>
        <w:t xml:space="preserve"> approval letter.</w:t>
      </w:r>
    </w:p>
    <w:p w14:paraId="752C387B" w14:textId="2F0DBBE1" w:rsidR="00E4366B" w:rsidRDefault="00E4366B" w:rsidP="00E4366B">
      <w:pPr>
        <w:pStyle w:val="Numberbullet0"/>
        <w:numPr>
          <w:ilvl w:val="0"/>
          <w:numId w:val="0"/>
        </w:numPr>
        <w:ind w:left="425"/>
      </w:pPr>
      <w:r>
        <w:t xml:space="preserve">The reports are to at least meet the requirements for PSURs as described in the European Medicines Agency’s Guideline on </w:t>
      </w:r>
      <w:r w:rsidR="00F31B52">
        <w:t>G</w:t>
      </w:r>
      <w:r>
        <w:t xml:space="preserve">ood </w:t>
      </w:r>
      <w:r w:rsidR="00F31B52">
        <w:t>P</w:t>
      </w:r>
      <w:r>
        <w:t xml:space="preserve">harmacovigilance </w:t>
      </w:r>
      <w:r w:rsidR="00F31B52">
        <w:t>P</w:t>
      </w:r>
      <w:r>
        <w:t>ractices (GVP) Module VII-periodic safety update report (Rev 1), Part VII.B Structures and processes. Note that submission of a PSUR does not constitute an application to vary the registration.</w:t>
      </w:r>
    </w:p>
    <w:p w14:paraId="0B1DB9BD" w14:textId="3CED7CAE" w:rsidR="00E4366B" w:rsidRDefault="00E4366B" w:rsidP="00E4366B">
      <w:pPr>
        <w:pStyle w:val="Numberbullet0"/>
        <w:numPr>
          <w:ilvl w:val="0"/>
          <w:numId w:val="0"/>
        </w:numPr>
        <w:ind w:left="425"/>
      </w:pPr>
      <w:r>
        <w:t xml:space="preserve">Safety analysis of each of the following targeted safety measures requiring ‘long-term’ safety monitoring of </w:t>
      </w:r>
      <w:proofErr w:type="spellStart"/>
      <w:r>
        <w:t>Leqvio</w:t>
      </w:r>
      <w:proofErr w:type="spellEnd"/>
      <w:r>
        <w:t xml:space="preserve"> use is required in PSUR submissions to the TGA: respiratory tract infections (mainly bronchitis); osteoporosis and risk of spinal/pelvic fractures; hepatotoxicity; potential off-target effects in patients with severe renal impairment (end-stage renal disease); long-term immunogenicity; and worsening glycaemic control (new onset of diabetes, particularly in subjects with metabolic syndrome and in a prediabetic stage (fasting glucose 100 and &lt;</w:t>
      </w:r>
      <w:r w:rsidR="00F31B52">
        <w:t> </w:t>
      </w:r>
      <w:r>
        <w:t>126 mg/dL))</w:t>
      </w:r>
    </w:p>
    <w:p w14:paraId="0E6B385E" w14:textId="6E1E9E52" w:rsidR="00E4366B" w:rsidRDefault="00E4366B" w:rsidP="00E4366B">
      <w:pPr>
        <w:pStyle w:val="Numberbullet0"/>
      </w:pPr>
      <w:proofErr w:type="spellStart"/>
      <w:r>
        <w:t>Leqvio</w:t>
      </w:r>
      <w:proofErr w:type="spellEnd"/>
      <w:r>
        <w:t xml:space="preserve"> (</w:t>
      </w:r>
      <w:proofErr w:type="spellStart"/>
      <w:r>
        <w:t>inclisiran</w:t>
      </w:r>
      <w:proofErr w:type="spellEnd"/>
      <w:r>
        <w:t xml:space="preserve">) is to be included in the Black Triangle Scheme. The PI and CMI for </w:t>
      </w:r>
      <w:proofErr w:type="spellStart"/>
      <w:r>
        <w:t>Leqvio</w:t>
      </w:r>
      <w:proofErr w:type="spellEnd"/>
      <w:r>
        <w:t xml:space="preserve"> must include the black triangle symbol and mandatory accompanying text for five years, which starts from the date that the sponsor notifies the TGA of supply of the product.</w:t>
      </w:r>
    </w:p>
    <w:p w14:paraId="4ABFE36D" w14:textId="5AF3F75A" w:rsidR="00E4366B" w:rsidRPr="00E4366B" w:rsidRDefault="00E4366B" w:rsidP="00E4366B">
      <w:pPr>
        <w:pStyle w:val="Numberbullet0"/>
      </w:pPr>
      <w:r>
        <w:t>Final study reports for ORION-3 and ORION-8 must be submitted to the TGA for review on completion.</w:t>
      </w:r>
    </w:p>
    <w:p w14:paraId="5BF1585F" w14:textId="77777777" w:rsidR="00D23139" w:rsidRDefault="00D23139" w:rsidP="00D23139">
      <w:pPr>
        <w:pStyle w:val="Heading4"/>
      </w:pPr>
      <w:r w:rsidRPr="00D23139">
        <w:t>Proposed action</w:t>
      </w:r>
    </w:p>
    <w:p w14:paraId="33D9FB43" w14:textId="3EB2BC2B" w:rsidR="00E4366B" w:rsidRDefault="00E4366B" w:rsidP="00E4366B">
      <w:pPr>
        <w:rPr>
          <w:b/>
          <w:bCs/>
        </w:rPr>
      </w:pPr>
      <w:r w:rsidRPr="00E4366B">
        <w:t xml:space="preserve">The manufacturing quality of </w:t>
      </w:r>
      <w:proofErr w:type="spellStart"/>
      <w:r w:rsidRPr="00E4366B">
        <w:t>L</w:t>
      </w:r>
      <w:r>
        <w:t>eqvio</w:t>
      </w:r>
      <w:proofErr w:type="spellEnd"/>
      <w:r w:rsidRPr="00E4366B">
        <w:t xml:space="preserve"> is acceptable and there are no outstanding issues from a pharmaceutical chemistry perspective.</w:t>
      </w:r>
      <w:r w:rsidR="002179A7">
        <w:t xml:space="preserve"> </w:t>
      </w:r>
      <w:r w:rsidRPr="00E4366B">
        <w:t xml:space="preserve">The efficacy of </w:t>
      </w:r>
      <w:proofErr w:type="spellStart"/>
      <w:r w:rsidRPr="00E4366B">
        <w:t>inclisiran</w:t>
      </w:r>
      <w:proofErr w:type="spellEnd"/>
      <w:r w:rsidRPr="00E4366B">
        <w:t xml:space="preserve"> in lowering LDL-C has been demonstrated in </w:t>
      </w:r>
      <w:r w:rsidR="00F31B52">
        <w:t>three</w:t>
      </w:r>
      <w:r w:rsidRPr="00E4366B">
        <w:t xml:space="preserve"> Phase III studies involving patients with </w:t>
      </w:r>
      <w:proofErr w:type="spellStart"/>
      <w:r w:rsidRPr="00E4366B">
        <w:t>HeFH</w:t>
      </w:r>
      <w:proofErr w:type="spellEnd"/>
      <w:r w:rsidRPr="00E4366B">
        <w:t>, ASCVD, and ASCVD</w:t>
      </w:r>
      <w:r w:rsidR="00F31B52">
        <w:t xml:space="preserve"> </w:t>
      </w:r>
      <w:r w:rsidRPr="00E4366B">
        <w:t>risk equivalents who were unable to achieve target LDL-C despite maximally tolerated statin therapy.</w:t>
      </w:r>
      <w:r w:rsidR="002179A7">
        <w:t xml:space="preserve"> </w:t>
      </w:r>
      <w:proofErr w:type="gramStart"/>
      <w:r w:rsidRPr="00E4366B">
        <w:t>The majority of</w:t>
      </w:r>
      <w:proofErr w:type="gramEnd"/>
      <w:r w:rsidRPr="00E4366B">
        <w:t xml:space="preserve"> the data in adults with non-familial hypercholesterolaemia is in patients with ASCVD.</w:t>
      </w:r>
      <w:r w:rsidR="002179A7">
        <w:t xml:space="preserve"> </w:t>
      </w:r>
      <w:r w:rsidRPr="00E4366B">
        <w:t xml:space="preserve">The safety profile of </w:t>
      </w:r>
      <w:proofErr w:type="spellStart"/>
      <w:r w:rsidRPr="00E4366B">
        <w:t>inclisiran</w:t>
      </w:r>
      <w:proofErr w:type="spellEnd"/>
      <w:r w:rsidRPr="00E4366B">
        <w:t xml:space="preserve"> is acceptable.</w:t>
      </w:r>
      <w:r w:rsidR="002179A7">
        <w:t xml:space="preserve"> </w:t>
      </w:r>
      <w:r w:rsidRPr="00E4366B">
        <w:t xml:space="preserve">Injection site reactions were observed more frequently with </w:t>
      </w:r>
      <w:proofErr w:type="spellStart"/>
      <w:r w:rsidRPr="00E4366B">
        <w:t>inclisiran</w:t>
      </w:r>
      <w:proofErr w:type="spellEnd"/>
      <w:r w:rsidRPr="00E4366B">
        <w:t xml:space="preserve"> compared to placebo.</w:t>
      </w:r>
      <w:r w:rsidR="002179A7">
        <w:t xml:space="preserve"> </w:t>
      </w:r>
      <w:r w:rsidRPr="00E4366B">
        <w:t xml:space="preserve">Long-term efficacy and safety are being assessed in ongoing </w:t>
      </w:r>
      <w:proofErr w:type="gramStart"/>
      <w:r w:rsidRPr="00E4366B">
        <w:t>long</w:t>
      </w:r>
      <w:r w:rsidR="00F31B52">
        <w:t xml:space="preserve"> </w:t>
      </w:r>
      <w:r w:rsidRPr="00E4366B">
        <w:t>term</w:t>
      </w:r>
      <w:proofErr w:type="gramEnd"/>
      <w:r w:rsidRPr="00E4366B">
        <w:t xml:space="preserve"> studies</w:t>
      </w:r>
      <w:r>
        <w:t>.</w:t>
      </w:r>
    </w:p>
    <w:p w14:paraId="351340DB" w14:textId="77777777" w:rsidR="008E7846" w:rsidRDefault="008E7846" w:rsidP="007D53B6">
      <w:pPr>
        <w:pStyle w:val="Heading4"/>
      </w:pPr>
      <w:r>
        <w:t xml:space="preserve">Advisory Committee </w:t>
      </w:r>
      <w:r w:rsidR="007D53B6">
        <w:t>c</w:t>
      </w:r>
      <w:r>
        <w:t>onsiderations</w:t>
      </w:r>
      <w:r w:rsidR="00456765">
        <w:rPr>
          <w:rStyle w:val="FootnoteReference"/>
        </w:rPr>
        <w:footnoteReference w:id="18"/>
      </w:r>
    </w:p>
    <w:p w14:paraId="3EABE361" w14:textId="77777777" w:rsidR="00744121" w:rsidRDefault="00744121" w:rsidP="00744121">
      <w:pPr>
        <w:rPr>
          <w:bCs/>
        </w:rPr>
      </w:pPr>
      <w:bookmarkStart w:id="89" w:name="_Toc247691532"/>
      <w:bookmarkStart w:id="90" w:name="_Toc314842516"/>
      <w:bookmarkEnd w:id="31"/>
      <w:bookmarkEnd w:id="86"/>
      <w:bookmarkEnd w:id="87"/>
      <w:r w:rsidRPr="00456765">
        <w:rPr>
          <w:bCs/>
        </w:rPr>
        <w:t>The Advisory Committee on Medicines (ACM), having considered the evaluations and the Delegate’s overview, as well as the sponsor’s response to these documents, advised the following</w:t>
      </w:r>
      <w:r>
        <w:rPr>
          <w:bCs/>
        </w:rPr>
        <w:t>.</w:t>
      </w:r>
    </w:p>
    <w:p w14:paraId="51C0A733" w14:textId="59F6FD9A" w:rsidR="0098218B" w:rsidRDefault="00744121" w:rsidP="0098218B">
      <w:pPr>
        <w:pStyle w:val="Heading5"/>
      </w:pPr>
      <w:r>
        <w:lastRenderedPageBreak/>
        <w:t>Specific advice to the Delegate</w:t>
      </w:r>
    </w:p>
    <w:p w14:paraId="66DB2373" w14:textId="58110B74" w:rsidR="0098218B" w:rsidRPr="0098218B" w:rsidRDefault="0098218B" w:rsidP="0098218B">
      <w:pPr>
        <w:pStyle w:val="Numberbullet0"/>
        <w:numPr>
          <w:ilvl w:val="0"/>
          <w:numId w:val="36"/>
        </w:numPr>
        <w:rPr>
          <w:b/>
          <w:bCs/>
          <w:i/>
          <w:iCs/>
        </w:rPr>
      </w:pPr>
      <w:r w:rsidRPr="0098218B">
        <w:rPr>
          <w:b/>
          <w:bCs/>
          <w:i/>
          <w:iCs/>
        </w:rPr>
        <w:t>What is ACM’s advice regarding the Product Information guidance relating to end-stage renal disease and haemodialysis?</w:t>
      </w:r>
    </w:p>
    <w:p w14:paraId="7FEBCE09" w14:textId="292D4EB7" w:rsidR="0098218B" w:rsidRDefault="0098218B" w:rsidP="00F31B52">
      <w:r>
        <w:t xml:space="preserve">The ACM was of the view that </w:t>
      </w:r>
      <w:proofErr w:type="spellStart"/>
      <w:r>
        <w:t>inclisiran</w:t>
      </w:r>
      <w:proofErr w:type="spellEnd"/>
      <w:r>
        <w:t xml:space="preserve"> should not be recommended for use in patients with </w:t>
      </w:r>
      <w:r w:rsidR="00A47A06">
        <w:t xml:space="preserve">stage 5 </w:t>
      </w:r>
      <w:r>
        <w:t xml:space="preserve">chronic kidney disease and/or </w:t>
      </w:r>
      <w:r w:rsidR="00A47A06">
        <w:t xml:space="preserve">on </w:t>
      </w:r>
      <w:r>
        <w:t>haemodialysis due to the lack of safety evidence.</w:t>
      </w:r>
    </w:p>
    <w:p w14:paraId="4B24B6ED" w14:textId="744DA070" w:rsidR="0098218B" w:rsidRPr="0098218B" w:rsidRDefault="0098218B" w:rsidP="0098218B">
      <w:pPr>
        <w:pStyle w:val="Numberbullet0"/>
        <w:rPr>
          <w:b/>
          <w:bCs/>
          <w:i/>
          <w:iCs/>
        </w:rPr>
      </w:pPr>
      <w:r w:rsidRPr="0098218B">
        <w:rPr>
          <w:b/>
          <w:bCs/>
          <w:i/>
          <w:iCs/>
        </w:rPr>
        <w:t xml:space="preserve">What is ACM’s advice regarding use of </w:t>
      </w:r>
      <w:proofErr w:type="spellStart"/>
      <w:r w:rsidRPr="0098218B">
        <w:rPr>
          <w:b/>
          <w:bCs/>
          <w:i/>
          <w:iCs/>
        </w:rPr>
        <w:t>inclisiran</w:t>
      </w:r>
      <w:proofErr w:type="spellEnd"/>
      <w:r w:rsidRPr="0098218B">
        <w:rPr>
          <w:b/>
          <w:bCs/>
          <w:i/>
          <w:iCs/>
        </w:rPr>
        <w:t xml:space="preserve"> in patients with severe hepatic impairment?</w:t>
      </w:r>
    </w:p>
    <w:p w14:paraId="5A8A7E68" w14:textId="6110D6AE" w:rsidR="0098218B" w:rsidRDefault="0098218B" w:rsidP="00F31B52">
      <w:r>
        <w:t xml:space="preserve">The ACM noted that the LDL-C levels in patients with severe hepatic impairment have been reported to be low in general, therefore, the probability of using </w:t>
      </w:r>
      <w:proofErr w:type="spellStart"/>
      <w:r>
        <w:t>inclisiran</w:t>
      </w:r>
      <w:proofErr w:type="spellEnd"/>
      <w:r>
        <w:t xml:space="preserve"> therapy for LDL-C lowering in this patient population is extremely low. The ACM was of the view that </w:t>
      </w:r>
      <w:proofErr w:type="spellStart"/>
      <w:r>
        <w:t>inclisiran</w:t>
      </w:r>
      <w:proofErr w:type="spellEnd"/>
      <w:r>
        <w:t xml:space="preserve"> should not be recommended for use in patients with severe hepatic impairment.</w:t>
      </w:r>
    </w:p>
    <w:p w14:paraId="0933B2B5" w14:textId="1AF17DD2" w:rsidR="0098218B" w:rsidRPr="0098218B" w:rsidRDefault="0098218B" w:rsidP="0098218B">
      <w:pPr>
        <w:pStyle w:val="Numberbullet0"/>
        <w:rPr>
          <w:b/>
          <w:bCs/>
          <w:i/>
          <w:iCs/>
        </w:rPr>
      </w:pPr>
      <w:r w:rsidRPr="0098218B">
        <w:rPr>
          <w:b/>
          <w:bCs/>
          <w:i/>
          <w:iCs/>
        </w:rPr>
        <w:t>What is ACM’s advice regarding the study findings relating to glycaemic control and new onset diabetes, and the proposed risk management strategy?</w:t>
      </w:r>
    </w:p>
    <w:p w14:paraId="4233523A" w14:textId="45E65EA6" w:rsidR="00F31B52" w:rsidRDefault="0098218B" w:rsidP="00F31B52">
      <w:r>
        <w:t>The ACM noted that there was no difference in new onset of diabetes in subjects who were non-diabetic at Baseline, and no difference in treatment emergent adverse events relating to worsening of diabetes in subjects with diabetes at Baseline. However, the ACM agreed that the clinical significance of these findings remains uncertain as a difference in new onset diabetes was observed only in a subgroup of the safety population, and there were inconsistencies in the safety findings relating to diabetes across the individual Phase III studies and in the safety pool overall.</w:t>
      </w:r>
    </w:p>
    <w:p w14:paraId="12950338" w14:textId="77777777" w:rsidR="00A84BA4" w:rsidRDefault="0098218B" w:rsidP="00F31B52">
      <w:r>
        <w:t xml:space="preserve">The ACM recommended that the risk of development or worsening of diabetes should be assessed as part of long-term safety monitoring in the ongoing clinical </w:t>
      </w:r>
      <w:proofErr w:type="gramStart"/>
      <w:r>
        <w:t>trials, and</w:t>
      </w:r>
      <w:proofErr w:type="gramEnd"/>
      <w:r>
        <w:t xml:space="preserve"> be included as part of the risk management plan.</w:t>
      </w:r>
    </w:p>
    <w:p w14:paraId="0968E7C9" w14:textId="755D2D05" w:rsidR="0098218B" w:rsidRPr="0098218B" w:rsidRDefault="0098218B" w:rsidP="0098218B">
      <w:pPr>
        <w:pStyle w:val="Numberbullet0"/>
        <w:rPr>
          <w:b/>
          <w:bCs/>
          <w:i/>
          <w:iCs/>
        </w:rPr>
      </w:pPr>
      <w:r w:rsidRPr="0098218B">
        <w:rPr>
          <w:b/>
          <w:bCs/>
          <w:i/>
          <w:iCs/>
        </w:rPr>
        <w:t>What is ACM’s advice on the guidance in section 5.1 of the Product Information regarding effects on the QTc interval?</w:t>
      </w:r>
    </w:p>
    <w:p w14:paraId="6A0E849D" w14:textId="6DE56BED" w:rsidR="00A84BA4" w:rsidRDefault="0098218B" w:rsidP="00F31B52">
      <w:r>
        <w:t xml:space="preserve">The ACM agreed that </w:t>
      </w:r>
      <w:r w:rsidR="00A47A06">
        <w:t xml:space="preserve">the </w:t>
      </w:r>
      <w:r>
        <w:t xml:space="preserve">ORION-12 trial was a thorough QT study assessing the effects of a supratherapeutic dose of </w:t>
      </w:r>
      <w:proofErr w:type="spellStart"/>
      <w:r>
        <w:t>inclisiran</w:t>
      </w:r>
      <w:proofErr w:type="spellEnd"/>
      <w:r>
        <w:t xml:space="preserve"> sodium (900 mg </w:t>
      </w:r>
      <w:r w:rsidR="00A84BA4">
        <w:t>subcutaneous</w:t>
      </w:r>
      <w:r w:rsidR="00A47A06">
        <w:t>ly</w:t>
      </w:r>
      <w:r>
        <w:t xml:space="preserve">) on cardiac repolarisation as assessed by </w:t>
      </w:r>
      <w:proofErr w:type="spellStart"/>
      <w:r>
        <w:t>QTcF</w:t>
      </w:r>
      <w:proofErr w:type="spellEnd"/>
      <w:r>
        <w:t xml:space="preserve"> in healthy subjects. There were no clinically significant effects on heart rate, PR and QRS interval</w:t>
      </w:r>
      <w:r w:rsidR="00A47A06">
        <w:t>s</w:t>
      </w:r>
      <w:r>
        <w:t xml:space="preserve"> observed in the ORION-12 trial. The ACM agreed with the Delegate's proposed wording on the guidance in section 5.1 of the Product Information regarding effects on the QTc interval: </w:t>
      </w:r>
      <w:r w:rsidRPr="00F31B52">
        <w:t>'</w:t>
      </w:r>
      <w:r w:rsidRPr="00F31B52">
        <w:rPr>
          <w:i/>
          <w:iCs/>
        </w:rPr>
        <w:t xml:space="preserve">No clinically significant increase in QTc or any other ECG parameter was observed with the supratherapeutic dose of </w:t>
      </w:r>
      <w:proofErr w:type="spellStart"/>
      <w:r w:rsidRPr="00F31B52">
        <w:rPr>
          <w:i/>
          <w:iCs/>
        </w:rPr>
        <w:t>inclisiran</w:t>
      </w:r>
      <w:proofErr w:type="spellEnd"/>
      <w:r>
        <w:t>'.</w:t>
      </w:r>
    </w:p>
    <w:p w14:paraId="73F8B48D" w14:textId="79A92C1E" w:rsidR="0098218B" w:rsidRPr="0098218B" w:rsidRDefault="0098218B" w:rsidP="0098218B">
      <w:pPr>
        <w:pStyle w:val="Numberbullet0"/>
        <w:rPr>
          <w:b/>
          <w:bCs/>
          <w:i/>
          <w:iCs/>
        </w:rPr>
      </w:pPr>
      <w:r w:rsidRPr="0098218B">
        <w:rPr>
          <w:b/>
          <w:bCs/>
          <w:i/>
          <w:iCs/>
        </w:rPr>
        <w:t xml:space="preserve">What is ACM’s advice regarding the proposed dosing guidance for patients transitioning from a PCSK9 inhibitor (monoclonal antibody) to </w:t>
      </w:r>
      <w:proofErr w:type="spellStart"/>
      <w:r w:rsidRPr="0098218B">
        <w:rPr>
          <w:b/>
          <w:bCs/>
          <w:i/>
          <w:iCs/>
        </w:rPr>
        <w:t>inclisiran</w:t>
      </w:r>
      <w:proofErr w:type="spellEnd"/>
      <w:r w:rsidRPr="0098218B">
        <w:rPr>
          <w:b/>
          <w:bCs/>
          <w:i/>
          <w:iCs/>
        </w:rPr>
        <w:t>?</w:t>
      </w:r>
    </w:p>
    <w:p w14:paraId="2733697B" w14:textId="5F0A6647" w:rsidR="0098218B" w:rsidRDefault="0098218B" w:rsidP="00F31B52">
      <w:r>
        <w:t xml:space="preserve">The ACM advised that there is no clinical need for concurrent transition (that is, </w:t>
      </w:r>
      <w:proofErr w:type="spellStart"/>
      <w:r>
        <w:t>evolocumab</w:t>
      </w:r>
      <w:proofErr w:type="spellEnd"/>
      <w:r>
        <w:t xml:space="preserve"> and </w:t>
      </w:r>
      <w:proofErr w:type="spellStart"/>
      <w:r>
        <w:t>inclisiran</w:t>
      </w:r>
      <w:proofErr w:type="spellEnd"/>
      <w:r>
        <w:t xml:space="preserve"> on the same day).</w:t>
      </w:r>
    </w:p>
    <w:p w14:paraId="2AF9D768" w14:textId="4F57FAF9" w:rsidR="0098218B" w:rsidRPr="0098218B" w:rsidRDefault="0098218B" w:rsidP="0098218B">
      <w:pPr>
        <w:pStyle w:val="Numberbullet0"/>
        <w:rPr>
          <w:b/>
          <w:bCs/>
          <w:i/>
          <w:iCs/>
        </w:rPr>
      </w:pPr>
      <w:r w:rsidRPr="0098218B">
        <w:rPr>
          <w:b/>
          <w:bCs/>
          <w:i/>
          <w:iCs/>
        </w:rPr>
        <w:t>What is ACM’s advice regarding the proposed indication?</w:t>
      </w:r>
    </w:p>
    <w:p w14:paraId="4DC9896C" w14:textId="7D440E33" w:rsidR="0098218B" w:rsidRDefault="0098218B" w:rsidP="00F31B52">
      <w:r>
        <w:t>The ACM agreed with Delegate's proposal to include the surrogate endpoint ‘reduction in LDL-C’ in the indication.</w:t>
      </w:r>
    </w:p>
    <w:p w14:paraId="57A42876" w14:textId="25011E48" w:rsidR="0098218B" w:rsidRPr="0098218B" w:rsidRDefault="0098218B" w:rsidP="0098218B">
      <w:pPr>
        <w:pStyle w:val="Numberbullet0"/>
        <w:rPr>
          <w:b/>
          <w:bCs/>
          <w:i/>
          <w:iCs/>
        </w:rPr>
      </w:pPr>
      <w:r w:rsidRPr="0098218B">
        <w:rPr>
          <w:b/>
          <w:bCs/>
          <w:i/>
          <w:iCs/>
        </w:rPr>
        <w:t>Should the indication for patients with non-familial hypercholesterolaemia be restricted to those with ASCVD, or those at high risk of a CV event?</w:t>
      </w:r>
    </w:p>
    <w:p w14:paraId="58A7CBF1" w14:textId="4FB12576" w:rsidR="0098218B" w:rsidRDefault="0098218B" w:rsidP="00F31B52">
      <w:r>
        <w:lastRenderedPageBreak/>
        <w:t>The ACM advised that the indication should not be restricted to those that have established ASCVD but should also be available to those at high risk of a cardiovascular event.</w:t>
      </w:r>
    </w:p>
    <w:p w14:paraId="4B9CFEE5" w14:textId="77777777" w:rsidR="00744121" w:rsidRDefault="00744121" w:rsidP="00744121">
      <w:pPr>
        <w:pStyle w:val="Heading5"/>
      </w:pPr>
      <w:r>
        <w:t>Conclusion</w:t>
      </w:r>
    </w:p>
    <w:p w14:paraId="22DC8A40" w14:textId="2325D76F" w:rsidR="0098218B" w:rsidRDefault="0098218B" w:rsidP="0098218B">
      <w:r>
        <w:t>The ACM considered this product to have an overall positive benefit-risk profile for the indication:</w:t>
      </w:r>
    </w:p>
    <w:p w14:paraId="01B07BA4" w14:textId="7ACCFDEA" w:rsidR="0098218B" w:rsidRPr="0098218B" w:rsidRDefault="0098218B" w:rsidP="0098218B">
      <w:pPr>
        <w:ind w:left="360"/>
        <w:rPr>
          <w:i/>
          <w:iCs/>
        </w:rPr>
      </w:pPr>
      <w:proofErr w:type="spellStart"/>
      <w:r w:rsidRPr="0098218B">
        <w:rPr>
          <w:i/>
          <w:iCs/>
        </w:rPr>
        <w:t>Leqvio</w:t>
      </w:r>
      <w:proofErr w:type="spellEnd"/>
      <w:r w:rsidRPr="0098218B">
        <w:rPr>
          <w:i/>
          <w:iCs/>
        </w:rPr>
        <w:t xml:space="preserve"> is indicated as an adjunct to diet and exercise to reduce low-density lipoprotein cholesterol (LDL-C) in adults with heterozygous familial hypercholesterolaemia, atherosclerotic cardiovascular disease, or at high risk of a cardiovascular event:</w:t>
      </w:r>
    </w:p>
    <w:p w14:paraId="6A83F381" w14:textId="2535FC89" w:rsidR="0098218B" w:rsidRPr="0098218B" w:rsidRDefault="0098218B" w:rsidP="0098218B">
      <w:pPr>
        <w:pStyle w:val="ListBullet"/>
        <w:ind w:left="720"/>
        <w:rPr>
          <w:i/>
          <w:iCs/>
        </w:rPr>
      </w:pPr>
      <w:r w:rsidRPr="0098218B">
        <w:rPr>
          <w:i/>
          <w:iCs/>
        </w:rPr>
        <w:t>in combination with a statin or statin with other lipid‐lowering therapies in patients unable to reach LDL‐C goals with the maximum tolerated dose of a statin or,</w:t>
      </w:r>
    </w:p>
    <w:p w14:paraId="386E0034" w14:textId="433F9F3F" w:rsidR="00744121" w:rsidRPr="0098218B" w:rsidRDefault="0098218B" w:rsidP="0098218B">
      <w:pPr>
        <w:pStyle w:val="ListBullet"/>
        <w:ind w:left="720"/>
        <w:rPr>
          <w:i/>
          <w:iCs/>
        </w:rPr>
      </w:pPr>
      <w:r w:rsidRPr="0098218B">
        <w:rPr>
          <w:i/>
          <w:iCs/>
        </w:rPr>
        <w:t>alone or in combination with other lipid‐lowering therapies in patients who are statin-intolerant.</w:t>
      </w:r>
    </w:p>
    <w:p w14:paraId="6F0AAA92" w14:textId="77777777" w:rsidR="008E7846" w:rsidRPr="002E238E" w:rsidRDefault="008E7846" w:rsidP="008E7846">
      <w:pPr>
        <w:pStyle w:val="Heading3"/>
      </w:pPr>
      <w:bookmarkStart w:id="91" w:name="_Toc99632920"/>
      <w:r>
        <w:t>Outcome</w:t>
      </w:r>
      <w:bookmarkEnd w:id="89"/>
      <w:bookmarkEnd w:id="90"/>
      <w:bookmarkEnd w:id="91"/>
    </w:p>
    <w:p w14:paraId="073EA186" w14:textId="769331D0" w:rsidR="00744121" w:rsidRDefault="00744121" w:rsidP="00744121">
      <w:bookmarkStart w:id="92" w:name="_Toc247691533"/>
      <w:bookmarkStart w:id="93" w:name="_Toc314842517"/>
      <w:r>
        <w:t xml:space="preserve">Based on a review of quality, </w:t>
      </w:r>
      <w:proofErr w:type="gramStart"/>
      <w:r>
        <w:t>safety</w:t>
      </w:r>
      <w:proofErr w:type="gramEnd"/>
      <w:r>
        <w:t xml:space="preserve"> and efficacy, the TGA approved the registration of </w:t>
      </w:r>
      <w:proofErr w:type="spellStart"/>
      <w:r w:rsidR="00176D37">
        <w:t>Leqvio</w:t>
      </w:r>
      <w:proofErr w:type="spellEnd"/>
      <w:r w:rsidR="00176D37" w:rsidRPr="00250271">
        <w:t xml:space="preserve"> (</w:t>
      </w:r>
      <w:proofErr w:type="spellStart"/>
      <w:r w:rsidR="00176D37">
        <w:t>inclisiran</w:t>
      </w:r>
      <w:proofErr w:type="spellEnd"/>
      <w:r w:rsidR="00176D37" w:rsidRPr="00250271">
        <w:t xml:space="preserve">) </w:t>
      </w:r>
      <w:r w:rsidR="00176D37" w:rsidRPr="00841CAB">
        <w:t>284 mg/1.5 mL</w:t>
      </w:r>
      <w:r w:rsidR="00176D37" w:rsidRPr="00250271">
        <w:t xml:space="preserve">, </w:t>
      </w:r>
      <w:r w:rsidR="00176D37">
        <w:t>solution for injection, vial</w:t>
      </w:r>
      <w:r>
        <w:t xml:space="preserve"> indicated fo</w:t>
      </w:r>
      <w:r w:rsidR="00176D37">
        <w:t>r</w:t>
      </w:r>
      <w:r>
        <w:t>:</w:t>
      </w:r>
    </w:p>
    <w:p w14:paraId="60531778" w14:textId="77777777" w:rsidR="00176D37" w:rsidRPr="00176D37" w:rsidRDefault="00176D37" w:rsidP="00176D37">
      <w:pPr>
        <w:ind w:left="360"/>
        <w:rPr>
          <w:i/>
          <w:iCs/>
        </w:rPr>
      </w:pPr>
      <w:proofErr w:type="spellStart"/>
      <w:r w:rsidRPr="00176D37">
        <w:rPr>
          <w:i/>
          <w:iCs/>
        </w:rPr>
        <w:t>Leqvio</w:t>
      </w:r>
      <w:proofErr w:type="spellEnd"/>
      <w:r w:rsidRPr="00176D37">
        <w:rPr>
          <w:i/>
          <w:iCs/>
        </w:rPr>
        <w:t xml:space="preserve"> is indicated as an adjunct to diet and exercise to reduce low-density lipoprotein cholesterol (LDL-C) in adults with heterozygous familial hypercholesterolaemia, atherosclerotic cardiovascular disease, or at high risk of a cardiovascular event:</w:t>
      </w:r>
    </w:p>
    <w:p w14:paraId="6EB84184" w14:textId="77777777" w:rsidR="00176D37" w:rsidRPr="00176D37" w:rsidRDefault="00176D37" w:rsidP="00176D37">
      <w:pPr>
        <w:pStyle w:val="ListBullet"/>
        <w:ind w:left="720"/>
        <w:rPr>
          <w:i/>
          <w:iCs/>
        </w:rPr>
      </w:pPr>
      <w:r w:rsidRPr="00176D37">
        <w:rPr>
          <w:i/>
          <w:iCs/>
        </w:rPr>
        <w:t>in combination with a statin or statin with other lipid‐lowering therapies in patients unable to reach LDL‐C goals with the maximum tolerated dose of a statin or,</w:t>
      </w:r>
    </w:p>
    <w:p w14:paraId="751713BD" w14:textId="115D263C" w:rsidR="00176D37" w:rsidRPr="00176D37" w:rsidRDefault="00176D37" w:rsidP="00176D37">
      <w:pPr>
        <w:pStyle w:val="ListBullet"/>
        <w:ind w:left="720"/>
        <w:rPr>
          <w:i/>
          <w:iCs/>
        </w:rPr>
      </w:pPr>
      <w:r w:rsidRPr="00176D37">
        <w:rPr>
          <w:i/>
          <w:iCs/>
        </w:rPr>
        <w:t>alone or in combination with other lipid‐lowering therapies in patients who are statin-intolerant</w:t>
      </w:r>
      <w:r>
        <w:rPr>
          <w:i/>
          <w:iCs/>
        </w:rPr>
        <w:t>.</w:t>
      </w:r>
    </w:p>
    <w:p w14:paraId="6DEC15D2" w14:textId="44BBD63F" w:rsidR="00D23139" w:rsidRPr="00D23139" w:rsidRDefault="00D23139" w:rsidP="00176D37">
      <w:pPr>
        <w:pStyle w:val="Heading4"/>
      </w:pPr>
      <w:r w:rsidRPr="00D23139">
        <w:t>Specific conditions of registration applying to these goods</w:t>
      </w:r>
    </w:p>
    <w:p w14:paraId="0B4CF5C9" w14:textId="290F182A" w:rsidR="00876C87" w:rsidRDefault="00876C87" w:rsidP="00876C87">
      <w:pPr>
        <w:pStyle w:val="ListBullet"/>
      </w:pPr>
      <w:proofErr w:type="spellStart"/>
      <w:r>
        <w:t>Leqvio</w:t>
      </w:r>
      <w:proofErr w:type="spellEnd"/>
      <w:r>
        <w:t xml:space="preserve"> (</w:t>
      </w:r>
      <w:proofErr w:type="spellStart"/>
      <w:r>
        <w:t>inclisiran</w:t>
      </w:r>
      <w:proofErr w:type="spellEnd"/>
      <w:r>
        <w:t xml:space="preserve">) is to be included in the Black Triangle Scheme. The PI and CMI for </w:t>
      </w:r>
      <w:proofErr w:type="spellStart"/>
      <w:r>
        <w:t>Leqvio</w:t>
      </w:r>
      <w:proofErr w:type="spellEnd"/>
      <w:r>
        <w:t xml:space="preserve"> must include the black triangle symbol and mandatory accompanying text for five years, which starts from the date that the sponsor notifies the TGA of supply of the product.</w:t>
      </w:r>
    </w:p>
    <w:p w14:paraId="38AA7347" w14:textId="16446E39" w:rsidR="00876C87" w:rsidRDefault="00876C87" w:rsidP="00876C87">
      <w:pPr>
        <w:pStyle w:val="ListBullet"/>
      </w:pPr>
      <w:r>
        <w:t xml:space="preserve">The </w:t>
      </w:r>
      <w:proofErr w:type="spellStart"/>
      <w:r>
        <w:t>Inclisiran</w:t>
      </w:r>
      <w:proofErr w:type="spellEnd"/>
      <w:r>
        <w:t xml:space="preserve"> EU-</w:t>
      </w:r>
      <w:r w:rsidR="00F31B52">
        <w:t xml:space="preserve"> </w:t>
      </w:r>
      <w:r>
        <w:t xml:space="preserve">RMP (version 1.0, dated 12 October 2020, data lock point 17 September 2019), with </w:t>
      </w:r>
      <w:r w:rsidR="00F31B52">
        <w:t>ASA</w:t>
      </w:r>
      <w:r>
        <w:t xml:space="preserve"> (version 1.2, dated 5 August 2021), included with submission PM-2020-04160-1-3, to be revised to the satisfaction of the TGA, will be implemented in Australia.</w:t>
      </w:r>
    </w:p>
    <w:p w14:paraId="431EC9D7" w14:textId="1DE26D23" w:rsidR="00876C87" w:rsidRDefault="00876C87" w:rsidP="00876C87">
      <w:pPr>
        <w:pStyle w:val="ListBullet"/>
        <w:numPr>
          <w:ilvl w:val="0"/>
          <w:numId w:val="0"/>
        </w:numPr>
        <w:ind w:left="360"/>
      </w:pPr>
      <w:r>
        <w:t>An obligatory component of risk management plans is routine pharmacovigilance. Routine pharmacovigilance includes the submission of PSURs.</w:t>
      </w:r>
    </w:p>
    <w:p w14:paraId="6D2FC3EC" w14:textId="10BF24AB" w:rsidR="00876C87" w:rsidRDefault="00876C87" w:rsidP="00876C87">
      <w:pPr>
        <w:pStyle w:val="ListBullet"/>
        <w:numPr>
          <w:ilvl w:val="0"/>
          <w:numId w:val="0"/>
        </w:numPr>
        <w:ind w:left="360"/>
      </w:pPr>
      <w:r>
        <w:t>Reports are to be provided in line with the current published list of EU reference dates and frequency of submission of PSURs until the period covered by such reports is not less than three years from the date of the approval letter.</w:t>
      </w:r>
    </w:p>
    <w:p w14:paraId="1D8045F1" w14:textId="139F709B" w:rsidR="00876C87" w:rsidRDefault="00876C87" w:rsidP="00876C87">
      <w:pPr>
        <w:pStyle w:val="ListBullet"/>
        <w:numPr>
          <w:ilvl w:val="0"/>
          <w:numId w:val="0"/>
        </w:numPr>
        <w:ind w:left="360"/>
      </w:pPr>
      <w:r>
        <w:t>The reports are to at least meet the requirements for PSURs as described in the European Medicines Agency’s Guideline on GVP Module VII-periodic safety update report (Rev 1), Part VII.B Structures and processes. Note that submission of a PSUR does not constitute an application to vary the registration.</w:t>
      </w:r>
    </w:p>
    <w:p w14:paraId="538C30F2" w14:textId="7752C867" w:rsidR="00876C87" w:rsidRDefault="00876C87" w:rsidP="00876C87">
      <w:pPr>
        <w:pStyle w:val="ListBullet"/>
        <w:numPr>
          <w:ilvl w:val="0"/>
          <w:numId w:val="0"/>
        </w:numPr>
        <w:ind w:left="360"/>
      </w:pPr>
      <w:r>
        <w:t xml:space="preserve">Analysis of the following </w:t>
      </w:r>
      <w:proofErr w:type="spellStart"/>
      <w:r>
        <w:t>inclisiran</w:t>
      </w:r>
      <w:proofErr w:type="spellEnd"/>
      <w:r>
        <w:t xml:space="preserve"> use safety topics is to be included in PSUR submissions to the TGA: hepatotoxicity; long-term immunogenicity; new onset </w:t>
      </w:r>
      <w:r>
        <w:lastRenderedPageBreak/>
        <w:t>Diabetes Mellitus and worsening of pre-existing Diabetes Mellitus; and use in patients with severe renal impairment.</w:t>
      </w:r>
    </w:p>
    <w:p w14:paraId="3DDF1FF0" w14:textId="6E4B6C4A" w:rsidR="00876C87" w:rsidRPr="00876C87" w:rsidRDefault="00876C87" w:rsidP="00876C87">
      <w:pPr>
        <w:pStyle w:val="ListBullet"/>
      </w:pPr>
      <w:r>
        <w:t>Final study reports for ORION-3 and ORION-8 must be submitted to the TGA for review on completion.</w:t>
      </w:r>
    </w:p>
    <w:p w14:paraId="7ACF058D" w14:textId="77777777" w:rsidR="008E7846" w:rsidRDefault="00A80B5B" w:rsidP="00D23139">
      <w:pPr>
        <w:pStyle w:val="Heading2"/>
      </w:pPr>
      <w:bookmarkStart w:id="94" w:name="_Toc99632921"/>
      <w:r>
        <w:t xml:space="preserve">Attachment 1. </w:t>
      </w:r>
      <w:r w:rsidR="008E7846">
        <w:t xml:space="preserve">Product </w:t>
      </w:r>
      <w:r w:rsidR="00AA0ED0">
        <w:t>I</w:t>
      </w:r>
      <w:r w:rsidR="008E7846">
        <w:t>nformation</w:t>
      </w:r>
      <w:bookmarkEnd w:id="92"/>
      <w:bookmarkEnd w:id="93"/>
      <w:bookmarkEnd w:id="94"/>
    </w:p>
    <w:p w14:paraId="7314F33F" w14:textId="1073EF2A" w:rsidR="00C80137" w:rsidRDefault="006136D7" w:rsidP="00C80137">
      <w:pPr>
        <w:rPr>
          <w:color w:val="000000"/>
          <w:lang w:eastAsia="en-AU"/>
        </w:rPr>
      </w:pPr>
      <w:r w:rsidRPr="002B3624">
        <w:t xml:space="preserve">The </w:t>
      </w:r>
      <w:r>
        <w:t>PI</w:t>
      </w:r>
      <w:r w:rsidRPr="002B3624">
        <w:t xml:space="preserve"> for </w:t>
      </w:r>
      <w:proofErr w:type="spellStart"/>
      <w:r w:rsidR="0098218B">
        <w:t>Leqvio</w:t>
      </w:r>
      <w:proofErr w:type="spellEnd"/>
      <w:r w:rsidR="0098218B">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59" w:history="1">
        <w:r w:rsidR="007C6B9B" w:rsidRPr="007C6B9B">
          <w:rPr>
            <w:rStyle w:val="Hyperlink"/>
          </w:rPr>
          <w:t>https://www.tga.gov.au/product-information-pi</w:t>
        </w:r>
      </w:hyperlink>
      <w:r w:rsidR="007C6B9B" w:rsidRPr="007C6B9B">
        <w:t>&gt;.</w:t>
      </w:r>
    </w:p>
    <w:p w14:paraId="7E49C5EE" w14:textId="7DC6719F" w:rsidR="00744121" w:rsidRDefault="008E7846" w:rsidP="0098218B">
      <w:pPr>
        <w:autoSpaceDE w:val="0"/>
        <w:autoSpaceDN w:val="0"/>
        <w:adjustRightInd w:val="0"/>
        <w:spacing w:after="0"/>
        <w:rPr>
          <w:lang w:eastAsia="ja-JP"/>
        </w:rPr>
      </w:pPr>
      <w:r w:rsidRPr="00C80137">
        <w:rPr>
          <w:b/>
        </w:rPr>
        <w:br w:type="page"/>
      </w:r>
    </w:p>
    <w:p w14:paraId="6F3B3DC2" w14:textId="77777777" w:rsidR="00C80137" w:rsidRPr="001D043B" w:rsidRDefault="00C80137" w:rsidP="003A7F6C">
      <w:pPr>
        <w:pStyle w:val="TableTitle"/>
        <w:sectPr w:rsidR="00C80137" w:rsidRPr="001D043B" w:rsidSect="00B452CE">
          <w:headerReference w:type="even" r:id="rId60"/>
          <w:headerReference w:type="default" r:id="rId61"/>
          <w:headerReference w:type="first" r:id="rId62"/>
          <w:footerReference w:type="first" r:id="rId6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BEF5C3C" w14:textId="77777777" w:rsidTr="00A05FA4">
        <w:trPr>
          <w:trHeight w:hRule="exact" w:val="704"/>
        </w:trPr>
        <w:tc>
          <w:tcPr>
            <w:tcW w:w="9175" w:type="dxa"/>
          </w:tcPr>
          <w:p w14:paraId="4EBD36E2" w14:textId="77777777" w:rsidR="001C32CD" w:rsidRPr="00487162" w:rsidRDefault="001C32CD" w:rsidP="00A05FA4">
            <w:pPr>
              <w:pStyle w:val="TGASignoff"/>
            </w:pPr>
            <w:r w:rsidRPr="00487162">
              <w:lastRenderedPageBreak/>
              <w:t>Therapeutic Goods Administration</w:t>
            </w:r>
          </w:p>
        </w:tc>
      </w:tr>
      <w:tr w:rsidR="001C32CD" w:rsidRPr="004C239D" w14:paraId="65B41A72" w14:textId="77777777" w:rsidTr="00A05FA4">
        <w:trPr>
          <w:trHeight w:val="1221"/>
        </w:trPr>
        <w:tc>
          <w:tcPr>
            <w:tcW w:w="9175" w:type="dxa"/>
            <w:tcMar>
              <w:top w:w="28" w:type="dxa"/>
            </w:tcMar>
          </w:tcPr>
          <w:p w14:paraId="38B2455C" w14:textId="77777777" w:rsidR="001C32CD" w:rsidRPr="00487162" w:rsidRDefault="001C32CD" w:rsidP="00A05FA4">
            <w:pPr>
              <w:pStyle w:val="Address"/>
            </w:pPr>
            <w:r w:rsidRPr="00487162">
              <w:t>PO Box 100 Woden ACT 2606 Australia</w:t>
            </w:r>
          </w:p>
          <w:p w14:paraId="2A1BB2EA" w14:textId="4AAAE511" w:rsidR="001C32CD" w:rsidRPr="00487162" w:rsidRDefault="001C32CD" w:rsidP="00A05FA4">
            <w:pPr>
              <w:pStyle w:val="Address"/>
            </w:pPr>
            <w:r w:rsidRPr="00487162">
              <w:t xml:space="preserve">Email: </w:t>
            </w:r>
            <w:hyperlink r:id="rId64"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03AB8258" w14:textId="1922899B" w:rsidR="001C32CD" w:rsidRPr="004C239D" w:rsidRDefault="00FA22BA" w:rsidP="00A05FA4">
            <w:pPr>
              <w:pStyle w:val="Address"/>
              <w:spacing w:line="260" w:lineRule="atLeast"/>
              <w:rPr>
                <w:b/>
                <w:color w:val="0000FF"/>
                <w:u w:val="single"/>
              </w:rPr>
            </w:pPr>
            <w:hyperlink r:id="rId65" w:history="1">
              <w:r w:rsidR="007C6B9B" w:rsidRPr="007C6B9B">
                <w:rPr>
                  <w:rStyle w:val="Hyperlink"/>
                  <w:b/>
                </w:rPr>
                <w:t>https://www.tga.gov.au</w:t>
              </w:r>
            </w:hyperlink>
          </w:p>
        </w:tc>
      </w:tr>
    </w:tbl>
    <w:p w14:paraId="49677542" w14:textId="77777777" w:rsidR="00774E1D" w:rsidRPr="008A5E0B" w:rsidRDefault="00774E1D" w:rsidP="004C239D"/>
    <w:sectPr w:rsidR="00774E1D" w:rsidRPr="008A5E0B" w:rsidSect="001C32CD">
      <w:headerReference w:type="even" r:id="rId66"/>
      <w:headerReference w:type="default" r:id="rId67"/>
      <w:footerReference w:type="default" r:id="rId68"/>
      <w:headerReference w:type="first" r:id="rId69"/>
      <w:footerReference w:type="first" r:id="rId7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47F6B7" w14:textId="77777777" w:rsidR="006F62F1" w:rsidRDefault="006F62F1" w:rsidP="00C40A36">
      <w:pPr>
        <w:spacing w:after="0"/>
      </w:pPr>
      <w:r>
        <w:separator/>
      </w:r>
    </w:p>
  </w:endnote>
  <w:endnote w:type="continuationSeparator" w:id="0">
    <w:p w14:paraId="3B530063" w14:textId="77777777" w:rsidR="006F62F1" w:rsidRDefault="006F62F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Times New Roman"/>
    <w:panose1 w:val="00000000000000000000"/>
    <w:charset w:val="00"/>
    <w:family w:val="roman"/>
    <w:notTrueType/>
    <w:pitch w:val="default"/>
  </w:font>
  <w:font w:name="TimesNewRomanPSMT">
    <w:altName w:val="MS Gothic"/>
    <w:panose1 w:val="00000000000000000000"/>
    <w:charset w:val="80"/>
    <w:family w:val="auto"/>
    <w:notTrueType/>
    <w:pitch w:val="default"/>
    <w:sig w:usb0="00000003" w:usb1="08070000" w:usb2="00000010" w:usb3="00000000" w:csb0="00020001" w:csb1="00000000"/>
  </w:font>
  <w:font w:name="Wingdings 3">
    <w:panose1 w:val="050401020108070707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0" w:usb1="08070000" w:usb2="00000010" w:usb3="00000000" w:csb0="00020009"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007FC" w:rsidRPr="00487162" w14:paraId="2343207A" w14:textId="77777777" w:rsidTr="00DB750B">
      <w:trPr>
        <w:trHeight w:val="269"/>
      </w:trPr>
      <w:tc>
        <w:tcPr>
          <w:tcW w:w="7371" w:type="dxa"/>
          <w:tcMar>
            <w:top w:w="142" w:type="dxa"/>
            <w:bottom w:w="0" w:type="dxa"/>
          </w:tcMar>
        </w:tcPr>
        <w:p w14:paraId="1116A2AA" w14:textId="5C9B68F6" w:rsidR="009007FC" w:rsidRPr="00487162" w:rsidRDefault="009007FC" w:rsidP="00460036">
          <w:pPr>
            <w:pStyle w:val="Footer"/>
          </w:pPr>
          <w:proofErr w:type="spellStart"/>
          <w:r w:rsidRPr="00487162">
            <w:t>AusPA</w:t>
          </w:r>
          <w:r>
            <w:t>R</w:t>
          </w:r>
          <w:proofErr w:type="spellEnd"/>
          <w:r>
            <w:t xml:space="preserve"> - </w:t>
          </w:r>
          <w:proofErr w:type="spellStart"/>
          <w:r w:rsidRPr="00F07978">
            <w:t>L</w:t>
          </w:r>
          <w:r>
            <w:t>eqvio</w:t>
          </w:r>
          <w:proofErr w:type="spellEnd"/>
          <w:r w:rsidRPr="00F07978">
            <w:t xml:space="preserve"> - </w:t>
          </w:r>
          <w:proofErr w:type="spellStart"/>
          <w:r w:rsidRPr="00F07978">
            <w:t>inclisiran</w:t>
          </w:r>
          <w:proofErr w:type="spellEnd"/>
          <w:r w:rsidRPr="00F07978">
            <w:t xml:space="preserve"> - Novartis Pharmaceuticals Australia Pty Ltd - PM-2020-04160-1-3</w:t>
          </w:r>
          <w:r>
            <w:br/>
            <w:t xml:space="preserve">FINAL </w:t>
          </w:r>
          <w:r w:rsidR="0072587A">
            <w:t>3</w:t>
          </w:r>
          <w:r>
            <w:t>1</w:t>
          </w:r>
          <w:r w:rsidR="0072587A">
            <w:t xml:space="preserve"> March</w:t>
          </w:r>
          <w:r>
            <w:t xml:space="preserve"> 2022</w:t>
          </w:r>
        </w:p>
      </w:tc>
      <w:tc>
        <w:tcPr>
          <w:tcW w:w="1490" w:type="dxa"/>
          <w:tcMar>
            <w:top w:w="142" w:type="dxa"/>
            <w:bottom w:w="0" w:type="dxa"/>
          </w:tcMar>
        </w:tcPr>
        <w:p w14:paraId="2C6B164C" w14:textId="7AAA3494" w:rsidR="009007FC" w:rsidRPr="00487162" w:rsidRDefault="009007FC" w:rsidP="00DB750B">
          <w:pPr>
            <w:pStyle w:val="Footer"/>
            <w:jc w:val="right"/>
          </w:pPr>
          <w:r w:rsidRPr="00487162">
            <w:t xml:space="preserve">Page </w:t>
          </w:r>
          <w:r>
            <w:fldChar w:fldCharType="begin"/>
          </w:r>
          <w:r>
            <w:instrText xml:space="preserve"> PAGE  \* Arabic </w:instrText>
          </w:r>
          <w:r>
            <w:fldChar w:fldCharType="separate"/>
          </w:r>
          <w:r>
            <w:rPr>
              <w:noProof/>
            </w:rPr>
            <w:t>53</w:t>
          </w:r>
          <w:r>
            <w:fldChar w:fldCharType="end"/>
          </w:r>
          <w:r w:rsidRPr="00487162">
            <w:t xml:space="preserve"> of </w:t>
          </w:r>
          <w:r>
            <w:fldChar w:fldCharType="begin"/>
          </w:r>
          <w:r>
            <w:instrText>NUMPAGES  \* Arabic</w:instrText>
          </w:r>
          <w:r>
            <w:fldChar w:fldCharType="separate"/>
          </w:r>
          <w:r>
            <w:rPr>
              <w:noProof/>
            </w:rPr>
            <w:t>56</w:t>
          </w:r>
          <w:r>
            <w:fldChar w:fldCharType="end"/>
          </w:r>
        </w:p>
      </w:tc>
    </w:tr>
  </w:tbl>
  <w:p w14:paraId="6141AB01" w14:textId="77777777" w:rsidR="009007FC" w:rsidRDefault="009007FC"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007FC" w:rsidRPr="00487162" w14:paraId="03935CED" w14:textId="77777777" w:rsidTr="00E45619">
      <w:trPr>
        <w:trHeight w:val="269"/>
      </w:trPr>
      <w:tc>
        <w:tcPr>
          <w:tcW w:w="4519" w:type="dxa"/>
          <w:tcBorders>
            <w:top w:val="single" w:sz="4" w:space="0" w:color="auto"/>
          </w:tcBorders>
          <w:tcMar>
            <w:top w:w="142" w:type="dxa"/>
            <w:bottom w:w="0" w:type="dxa"/>
          </w:tcMar>
        </w:tcPr>
        <w:p w14:paraId="6358E064" w14:textId="77777777" w:rsidR="009007FC" w:rsidRPr="00487162" w:rsidRDefault="009007FC" w:rsidP="00FE1DEE">
          <w:pPr>
            <w:pStyle w:val="Footer"/>
          </w:pPr>
          <w:r w:rsidRPr="00487162">
            <w:t>Document title, Part #, Section # - Section title</w:t>
          </w:r>
        </w:p>
        <w:p w14:paraId="63A53D82" w14:textId="77777777" w:rsidR="009007FC" w:rsidRPr="00487162" w:rsidRDefault="009007FC" w:rsidP="00FE1DEE">
          <w:pPr>
            <w:pStyle w:val="Footer"/>
          </w:pPr>
          <w:r w:rsidRPr="00487162">
            <w:t>V1.0 October 2010</w:t>
          </w:r>
        </w:p>
      </w:tc>
      <w:tc>
        <w:tcPr>
          <w:tcW w:w="4342" w:type="dxa"/>
          <w:tcBorders>
            <w:top w:val="single" w:sz="4" w:space="0" w:color="auto"/>
          </w:tcBorders>
          <w:tcMar>
            <w:top w:w="142" w:type="dxa"/>
            <w:bottom w:w="0" w:type="dxa"/>
          </w:tcMar>
        </w:tcPr>
        <w:p w14:paraId="5535949E" w14:textId="77777777" w:rsidR="009007FC" w:rsidRPr="00487162" w:rsidRDefault="009007F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NUMPAGES</w:instrText>
          </w:r>
          <w:r>
            <w:fldChar w:fldCharType="separate"/>
          </w:r>
          <w:r>
            <w:rPr>
              <w:noProof/>
            </w:rPr>
            <w:t>21</w:t>
          </w:r>
          <w:r>
            <w:fldChar w:fldCharType="end"/>
          </w:r>
        </w:p>
      </w:tc>
    </w:tr>
  </w:tbl>
  <w:p w14:paraId="47609650" w14:textId="77777777" w:rsidR="009007FC" w:rsidRDefault="00900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09643" w14:textId="77777777" w:rsidR="009007FC" w:rsidRPr="001C32CD" w:rsidRDefault="009007FC"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007FC" w14:paraId="2BCDCB52" w14:textId="77777777" w:rsidTr="0010601F">
      <w:trPr>
        <w:trHeight w:val="108"/>
      </w:trPr>
      <w:tc>
        <w:tcPr>
          <w:tcW w:w="8875" w:type="dxa"/>
          <w:gridSpan w:val="2"/>
          <w:tcBorders>
            <w:bottom w:val="single" w:sz="4" w:space="0" w:color="auto"/>
          </w:tcBorders>
          <w:tcMar>
            <w:right w:w="284" w:type="dxa"/>
          </w:tcMar>
        </w:tcPr>
        <w:p w14:paraId="67EE8B38" w14:textId="77777777" w:rsidR="009007FC" w:rsidRDefault="009007FC" w:rsidP="006E08B3">
          <w:pPr>
            <w:pStyle w:val="Heading3"/>
          </w:pPr>
          <w:r>
            <w:t>Copyright</w:t>
          </w:r>
        </w:p>
        <w:p w14:paraId="455FD935" w14:textId="77777777" w:rsidR="009007FC" w:rsidRDefault="009007FC" w:rsidP="006E08B3">
          <w:r>
            <w:rPr>
              <w:rFonts w:cs="Arial"/>
            </w:rPr>
            <w:t>©</w:t>
          </w:r>
          <w:r>
            <w:t xml:space="preserve"> Commonwealth of Australia [add year]</w:t>
          </w:r>
        </w:p>
        <w:p w14:paraId="091C9562" w14:textId="77777777" w:rsidR="009007FC" w:rsidRDefault="009007FC" w:rsidP="006E08B3"/>
        <w:p w14:paraId="289B7CE3" w14:textId="77777777" w:rsidR="009007FC" w:rsidRDefault="009007F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7012D15A" w14:textId="77777777" w:rsidR="009007FC" w:rsidRDefault="009007FC" w:rsidP="006E08B3"/>
        <w:p w14:paraId="1CF64F13" w14:textId="77777777" w:rsidR="009007FC" w:rsidRDefault="009007FC" w:rsidP="006E08B3">
          <w:pPr>
            <w:pStyle w:val="Heading3"/>
          </w:pPr>
          <w:r>
            <w:t>Confidentiality</w:t>
          </w:r>
        </w:p>
        <w:p w14:paraId="30445C9A" w14:textId="77777777" w:rsidR="009007FC" w:rsidRDefault="009007F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9A14B79" w14:textId="77777777" w:rsidR="009007FC" w:rsidRDefault="009007FC" w:rsidP="006E08B3"/>
        <w:p w14:paraId="4BD93E64" w14:textId="77777777" w:rsidR="009007FC" w:rsidRDefault="009007FC" w:rsidP="006E08B3">
          <w:r>
            <w:t>For submission made by individuals, all personal details, other than your name, will be removed from your submission before it is published on the TGA’s Internet site.</w:t>
          </w:r>
        </w:p>
        <w:p w14:paraId="683B6F92" w14:textId="77777777" w:rsidR="009007FC" w:rsidRDefault="009007FC" w:rsidP="006E08B3"/>
        <w:p w14:paraId="4B342DCC" w14:textId="77777777" w:rsidR="009007FC" w:rsidRDefault="009007FC"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007FC" w14:paraId="40D76086" w14:textId="77777777" w:rsidTr="0010601F">
      <w:trPr>
        <w:trHeight w:val="417"/>
      </w:trPr>
      <w:tc>
        <w:tcPr>
          <w:tcW w:w="4519" w:type="dxa"/>
          <w:tcBorders>
            <w:top w:val="single" w:sz="4" w:space="0" w:color="auto"/>
          </w:tcBorders>
          <w:tcMar>
            <w:top w:w="142" w:type="dxa"/>
            <w:bottom w:w="0" w:type="dxa"/>
          </w:tcMar>
        </w:tcPr>
        <w:p w14:paraId="10FDC4F6" w14:textId="77777777" w:rsidR="009007FC" w:rsidRDefault="009007FC" w:rsidP="006E08B3">
          <w:r>
            <w:t>Document title, Part #, Section # - Section title</w:t>
          </w:r>
        </w:p>
        <w:p w14:paraId="7279BF5F" w14:textId="77777777" w:rsidR="009007FC" w:rsidRDefault="009007FC" w:rsidP="006E08B3">
          <w:r>
            <w:t>V1.0 October 2010</w:t>
          </w:r>
        </w:p>
      </w:tc>
      <w:tc>
        <w:tcPr>
          <w:tcW w:w="4356" w:type="dxa"/>
          <w:tcBorders>
            <w:top w:val="single" w:sz="4" w:space="0" w:color="auto"/>
          </w:tcBorders>
          <w:tcMar>
            <w:top w:w="142" w:type="dxa"/>
            <w:bottom w:w="0" w:type="dxa"/>
          </w:tcMar>
        </w:tcPr>
        <w:p w14:paraId="43AF8D95" w14:textId="77777777" w:rsidR="009007FC" w:rsidRDefault="009007F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NUMPAGES  \* Arabic</w:instrText>
          </w:r>
          <w:r>
            <w:fldChar w:fldCharType="separate"/>
          </w:r>
          <w:r>
            <w:rPr>
              <w:noProof/>
            </w:rPr>
            <w:t>21</w:t>
          </w:r>
          <w:r>
            <w:fldChar w:fldCharType="end"/>
          </w:r>
          <w:r>
            <w:t xml:space="preserve">  </w:t>
          </w:r>
        </w:p>
      </w:tc>
    </w:tr>
  </w:tbl>
  <w:p w14:paraId="219ED4E4" w14:textId="77777777" w:rsidR="009007FC" w:rsidRDefault="009007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DD607" w14:textId="77777777" w:rsidR="006F62F1" w:rsidRDefault="006F62F1" w:rsidP="00C40A36">
      <w:pPr>
        <w:spacing w:after="0"/>
      </w:pPr>
      <w:r>
        <w:separator/>
      </w:r>
    </w:p>
  </w:footnote>
  <w:footnote w:type="continuationSeparator" w:id="0">
    <w:p w14:paraId="7B1195FE" w14:textId="77777777" w:rsidR="006F62F1" w:rsidRDefault="006F62F1" w:rsidP="00C40A36">
      <w:pPr>
        <w:spacing w:after="0"/>
      </w:pPr>
      <w:r>
        <w:continuationSeparator/>
      </w:r>
    </w:p>
  </w:footnote>
  <w:footnote w:id="1">
    <w:p w14:paraId="4A65092E" w14:textId="77777777" w:rsidR="009007FC" w:rsidRDefault="009007FC">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1C323944" w14:textId="1D944D7F" w:rsidR="009007FC" w:rsidRDefault="009007FC">
      <w:pPr>
        <w:pStyle w:val="FootnoteText"/>
      </w:pPr>
      <w:r>
        <w:rPr>
          <w:rStyle w:val="FootnoteReference"/>
        </w:rPr>
        <w:footnoteRef/>
      </w:r>
      <w:r>
        <w:t xml:space="preserve"> Diagnosis and Management of Familial Hypercholesterolaemia – Position Statement, Cardiac Society of </w:t>
      </w:r>
      <w:proofErr w:type="gramStart"/>
      <w:r>
        <w:t>Australia</w:t>
      </w:r>
      <w:proofErr w:type="gramEnd"/>
      <w:r>
        <w:t xml:space="preserve"> and New Zealand 2016</w:t>
      </w:r>
    </w:p>
  </w:footnote>
  <w:footnote w:id="3">
    <w:p w14:paraId="393D41B6" w14:textId="77777777" w:rsidR="009007FC" w:rsidRDefault="009007FC" w:rsidP="00D4301C">
      <w:pPr>
        <w:pStyle w:val="FootnoteText"/>
      </w:pPr>
      <w:r>
        <w:rPr>
          <w:rStyle w:val="FootnoteReference"/>
        </w:rPr>
        <w:footnoteRef/>
      </w:r>
      <w:r>
        <w:t xml:space="preserve"> </w:t>
      </w:r>
      <w:r>
        <w:rPr>
          <w:rFonts w:eastAsiaTheme="minorHAnsi" w:cs="TimesNewRomanPSMT"/>
        </w:rPr>
        <w:t xml:space="preserve">Repatha (evolocumab) was first registered in Australia on 9 December 2015. ARTG number: </w:t>
      </w:r>
      <w:r w:rsidRPr="00EC26BB">
        <w:rPr>
          <w:rFonts w:eastAsiaTheme="minorHAnsi" w:cs="TimesNewRomanPSMT"/>
        </w:rPr>
        <w:t>231151</w:t>
      </w:r>
      <w:r>
        <w:rPr>
          <w:rFonts w:eastAsiaTheme="minorHAnsi" w:cs="TimesNewRomanPSMT"/>
        </w:rPr>
        <w:t>.</w:t>
      </w:r>
    </w:p>
  </w:footnote>
  <w:footnote w:id="4">
    <w:p w14:paraId="07AD2053" w14:textId="77777777" w:rsidR="009007FC" w:rsidRDefault="009007FC" w:rsidP="00D4301C">
      <w:pPr>
        <w:pStyle w:val="FootnoteText"/>
      </w:pPr>
      <w:r>
        <w:rPr>
          <w:rStyle w:val="FootnoteReference"/>
        </w:rPr>
        <w:footnoteRef/>
      </w:r>
      <w:r>
        <w:t xml:space="preserve"> </w:t>
      </w:r>
      <w:r>
        <w:rPr>
          <w:rFonts w:eastAsiaTheme="minorHAnsi" w:cs="TimesNewRomanPSMT"/>
        </w:rPr>
        <w:t>Praluent (alirocumab) was first registered in Australia on 17 May 2016. ARTG number: 238285.</w:t>
      </w:r>
    </w:p>
  </w:footnote>
  <w:footnote w:id="5">
    <w:p w14:paraId="3C897E64" w14:textId="6917111B" w:rsidR="009007FC" w:rsidRPr="009007FC" w:rsidRDefault="009007FC">
      <w:pPr>
        <w:pStyle w:val="FootnoteText"/>
        <w:rPr>
          <w:lang w:val="en-GB"/>
        </w:rPr>
      </w:pPr>
      <w:r>
        <w:rPr>
          <w:rStyle w:val="FootnoteReference"/>
        </w:rPr>
        <w:footnoteRef/>
      </w:r>
      <w:r>
        <w:t xml:space="preserve"> The ACSS C</w:t>
      </w:r>
      <w:r w:rsidRPr="00F2096E">
        <w:t>onsortium</w:t>
      </w:r>
      <w:r>
        <w:t xml:space="preserve"> (now t</w:t>
      </w:r>
      <w:r w:rsidRPr="00466250">
        <w:t>he Access Consortium</w:t>
      </w:r>
      <w:r>
        <w:t>) was</w:t>
      </w:r>
      <w:r w:rsidRPr="00466250">
        <w:t xml:space="preserve"> a medium-sized coalition of regulatory authorities that work together to promote greater regulatory collaboration and alignment of regulatory requirements.</w:t>
      </w:r>
      <w:r>
        <w:t xml:space="preserve">  </w:t>
      </w:r>
      <w:r w:rsidRPr="00F2096E">
        <w:t>for</w:t>
      </w:r>
      <w:r>
        <w:t>med in 2007 and</w:t>
      </w:r>
      <w:r w:rsidRPr="00F2096E">
        <w:t xml:space="preserve"> comprised the national regulatory authorities of Australia, Canada, </w:t>
      </w:r>
      <w:proofErr w:type="gramStart"/>
      <w:r w:rsidRPr="00F2096E">
        <w:t>Singapore</w:t>
      </w:r>
      <w:proofErr w:type="gramEnd"/>
      <w:r w:rsidRPr="00F2096E">
        <w:t xml:space="preserve"> and Switzerland. In October 2020, the</w:t>
      </w:r>
      <w:r>
        <w:t xml:space="preserve"> United Kingdom’s Ministry of Healthcare products Regulatory Authority</w:t>
      </w:r>
      <w:r w:rsidRPr="00F2096E">
        <w:t xml:space="preserve"> </w:t>
      </w:r>
      <w:r>
        <w:t>(</w:t>
      </w:r>
      <w:r w:rsidRPr="00F2096E">
        <w:t>MHRA</w:t>
      </w:r>
      <w:r>
        <w:t>)</w:t>
      </w:r>
      <w:r w:rsidRPr="00F2096E">
        <w:t xml:space="preserve"> </w:t>
      </w:r>
      <w:proofErr w:type="gramStart"/>
      <w:r w:rsidRPr="00F2096E">
        <w:t>joined</w:t>
      </w:r>
      <w:proofErr w:type="gramEnd"/>
      <w:r w:rsidRPr="00F2096E">
        <w:t xml:space="preserve"> and the group's </w:t>
      </w:r>
      <w:r>
        <w:t xml:space="preserve">current </w:t>
      </w:r>
      <w:r w:rsidRPr="00F2096E">
        <w:t>name was cha</w:t>
      </w:r>
      <w:r>
        <w:t>nged to the 'Access Consortium'</w:t>
      </w:r>
      <w:r w:rsidRPr="00F2096E">
        <w:t>.</w:t>
      </w:r>
      <w:r>
        <w:t xml:space="preserve"> Further information is available on the TGA website at: </w:t>
      </w:r>
      <w:r w:rsidRPr="00466250">
        <w:t>https://www.tga.gov.au/australia-canada-singapore-switzerland-united-kingdom-access-consortium</w:t>
      </w:r>
    </w:p>
  </w:footnote>
  <w:footnote w:id="6">
    <w:p w14:paraId="675F1510" w14:textId="615A7A4C" w:rsidR="009007FC" w:rsidRDefault="009007FC">
      <w:pPr>
        <w:pStyle w:val="FootnoteText"/>
      </w:pPr>
      <w:r>
        <w:rPr>
          <w:rStyle w:val="FootnoteReference"/>
        </w:rPr>
        <w:footnoteRef/>
      </w:r>
      <w:r>
        <w:t xml:space="preserve"> C</w:t>
      </w:r>
      <w:r w:rsidRPr="002C12A7">
        <w:t xml:space="preserve">ell line exhibiting epithelial morphology that was isolated from liver tissue derived from an </w:t>
      </w:r>
      <w:proofErr w:type="gramStart"/>
      <w:r w:rsidRPr="002C12A7">
        <w:t>8</w:t>
      </w:r>
      <w:r>
        <w:t xml:space="preserve"> </w:t>
      </w:r>
      <w:r w:rsidRPr="002C12A7">
        <w:t>year</w:t>
      </w:r>
      <w:r>
        <w:t xml:space="preserve"> </w:t>
      </w:r>
      <w:r w:rsidRPr="002C12A7">
        <w:t>old</w:t>
      </w:r>
      <w:proofErr w:type="gramEnd"/>
      <w:r w:rsidRPr="002C12A7">
        <w:t>, Black youth with liver cancer. This cell line contains an integrated hepatitis B virus genome.</w:t>
      </w:r>
    </w:p>
  </w:footnote>
  <w:footnote w:id="7">
    <w:p w14:paraId="7972D0A9" w14:textId="77777777" w:rsidR="009007FC" w:rsidRDefault="009007FC" w:rsidP="002C12A7">
      <w:pPr>
        <w:pStyle w:val="FootnoteText"/>
      </w:pPr>
      <w:r>
        <w:rPr>
          <w:rStyle w:val="FootnoteReference"/>
        </w:rPr>
        <w:footnoteRef/>
      </w:r>
      <w:r>
        <w:t xml:space="preserve"> Drugs which have been taken by only a limited number of pregnant women and women of childbearing age, without an increase in the frequency of malformation or other direct or indirect harmful effects on the human fetus having been observed.</w:t>
      </w:r>
    </w:p>
    <w:p w14:paraId="7E148ED9" w14:textId="44BBEB3D" w:rsidR="009007FC" w:rsidRDefault="009007FC" w:rsidP="002C12A7">
      <w:pPr>
        <w:pStyle w:val="FootnoteText"/>
      </w:pPr>
      <w:r>
        <w:t>Studies in animals have not shown evidence of an increased occurrence of fetal damage</w:t>
      </w:r>
    </w:p>
  </w:footnote>
  <w:footnote w:id="8">
    <w:p w14:paraId="75C1190D" w14:textId="299FF9DE" w:rsidR="009007FC" w:rsidRDefault="009007FC" w:rsidP="00F90FE7">
      <w:pPr>
        <w:pStyle w:val="FootnoteText"/>
      </w:pPr>
      <w:r>
        <w:rPr>
          <w:rStyle w:val="FootnoteReference"/>
        </w:rPr>
        <w:footnoteRef/>
      </w:r>
      <w:r>
        <w:t xml:space="preserve"> </w:t>
      </w:r>
      <w:r w:rsidRPr="00F90FE7">
        <w:t xml:space="preserve">European Medicines Agency (EMA), Committee for Medicinal Products for Human Use (CHMP), </w:t>
      </w:r>
      <w:r>
        <w:t>Guideline on clinical investigation of medicinal products in the treatment of lipid disorders. EMA/CHMP/748108/2013, Rev. 3.</w:t>
      </w:r>
    </w:p>
  </w:footnote>
  <w:footnote w:id="9">
    <w:p w14:paraId="0FCD5045" w14:textId="356CBFBE" w:rsidR="009007FC" w:rsidRDefault="009007FC">
      <w:pPr>
        <w:pStyle w:val="FootnoteText"/>
      </w:pPr>
      <w:r>
        <w:rPr>
          <w:rStyle w:val="FootnoteReference"/>
        </w:rPr>
        <w:footnoteRef/>
      </w:r>
      <w:r>
        <w:t xml:space="preserve"> Sponsor’s clarification: The most recent update to the estimated primary completion date of ORION-4 trial is July 2026.</w:t>
      </w:r>
    </w:p>
  </w:footnote>
  <w:footnote w:id="10">
    <w:p w14:paraId="6E999330" w14:textId="77777777" w:rsidR="004A7AB4" w:rsidRPr="00BD271A" w:rsidRDefault="009007FC" w:rsidP="004A7AB4">
      <w:pPr>
        <w:pStyle w:val="FootnoteText"/>
        <w:rPr>
          <w:b/>
          <w:lang w:eastAsia="ja-JP"/>
        </w:rPr>
      </w:pPr>
      <w:r>
        <w:rPr>
          <w:rStyle w:val="FootnoteReference"/>
        </w:rPr>
        <w:footnoteRef/>
      </w:r>
      <w:r>
        <w:t xml:space="preserve"> </w:t>
      </w:r>
      <w:r w:rsidR="004A7AB4" w:rsidRPr="00B41C85">
        <w:rPr>
          <w:b/>
          <w:lang w:eastAsia="ja-JP"/>
        </w:rPr>
        <w:t>Cytochrome P450 (CYP) enzymes:</w:t>
      </w:r>
      <w:r w:rsidR="004A7AB4">
        <w:rPr>
          <w:b/>
          <w:lang w:eastAsia="ja-JP"/>
        </w:rPr>
        <w:t xml:space="preserve"> </w:t>
      </w:r>
      <w:r w:rsidR="004A7AB4">
        <w:rPr>
          <w:lang w:eastAsia="ja-JP"/>
        </w:rPr>
        <w:t>CYPs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27528B3F" w14:textId="14B09665" w:rsidR="009007FC" w:rsidRPr="009007FC" w:rsidRDefault="004A7AB4" w:rsidP="004A7AB4">
      <w:pPr>
        <w:pStyle w:val="FootnoteText"/>
        <w:rPr>
          <w:lang w:val="en-GB"/>
        </w:rPr>
      </w:pPr>
      <w:r>
        <w:rPr>
          <w:lang w:eastAsia="ja-JP"/>
        </w:rPr>
        <w:t xml:space="preserve">Many drugs may increase or decrease the activity of various CYP isozymes either by inducing the biosynthesis of an isozyme (enzyme induction) or by directly inhibiting the activity of the CYP (enzyme inhibition). This is a major source of adverse drug </w:t>
      </w:r>
      <w:proofErr w:type="gramStart"/>
      <w:r>
        <w:rPr>
          <w:lang w:eastAsia="ja-JP"/>
        </w:rPr>
        <w:t>interactions, since</w:t>
      </w:r>
      <w:proofErr w:type="gramEnd"/>
      <w:r>
        <w:rPr>
          <w:lang w:eastAsia="ja-JP"/>
        </w:rPr>
        <w:t xml:space="preserve"> changes in CYP enzyme activity may affect the metabolism and clearance of various drugs. Such drug interactions are especially important to </w:t>
      </w:r>
      <w:proofErr w:type="gramStart"/>
      <w:r>
        <w:rPr>
          <w:lang w:eastAsia="ja-JP"/>
        </w:rPr>
        <w:t>take into account</w:t>
      </w:r>
      <w:proofErr w:type="gramEnd"/>
      <w:r>
        <w:rPr>
          <w:lang w:eastAsia="ja-JP"/>
        </w:rPr>
        <w:t xml:space="preserve"> when using drugs of vital importance to the patient, drugs with important side-effects and drugs with small therapeutic windows, but any drug may be subject to an altered plasma concentration due to altered drug metabolism.</w:t>
      </w:r>
    </w:p>
  </w:footnote>
  <w:footnote w:id="11">
    <w:p w14:paraId="3A92F7DE" w14:textId="1C895A79" w:rsidR="009007FC" w:rsidRDefault="009007FC">
      <w:pPr>
        <w:pStyle w:val="FootnoteText"/>
      </w:pPr>
      <w:r>
        <w:rPr>
          <w:rStyle w:val="FootnoteReference"/>
        </w:rPr>
        <w:footnoteRef/>
      </w:r>
      <w:r>
        <w:t xml:space="preserve"> </w:t>
      </w:r>
      <w:r w:rsidRPr="00430A2B">
        <w:t>Modified Child-Pugh classification of the severity of liver disease according to the degree of ascites, the serum concentrations of bilirubin and albumin, the prothrombin time, and the degree of encephalopathy. A total Child-Turcotte-Pugh score of 5 to 6 is considered Child-Pugh class A (well-compensated disease), 7 to 9 is class B (significant functional compromise), and 10 to 15 is class C (decompensated disease). These classes correlate with one- and two-year patient survival: class A: 100 and 85%; class B: 80 and 60%; and class C: 45 and 35%.</w:t>
      </w:r>
    </w:p>
  </w:footnote>
  <w:footnote w:id="12">
    <w:p w14:paraId="3D07E62B" w14:textId="4560FED5" w:rsidR="009007FC" w:rsidRPr="009007FC" w:rsidRDefault="009007FC">
      <w:pPr>
        <w:pStyle w:val="FootnoteText"/>
        <w:rPr>
          <w:lang w:val="en-GB"/>
        </w:rPr>
      </w:pPr>
      <w:r>
        <w:rPr>
          <w:rStyle w:val="FootnoteReference"/>
        </w:rPr>
        <w:footnoteRef/>
      </w:r>
      <w:r>
        <w:t xml:space="preserve"> </w:t>
      </w:r>
      <w:r w:rsidRPr="00DA7DE6">
        <w:t>The QT interval is the time from the start of the QRS wave complex to the end of the corresponding T wave. It approximates to the time taken for ventricular depolarisation and repolarisation</w:t>
      </w:r>
      <w:proofErr w:type="gramStart"/>
      <w:r w:rsidRPr="00DA7DE6">
        <w:t>, that is to say, the</w:t>
      </w:r>
      <w:proofErr w:type="gramEnd"/>
      <w:r w:rsidRPr="00DA7DE6">
        <w:t xml:space="preserve"> period of ventricular systole from ventricular isovolumetric contraction to isovolumetric relaxation.</w:t>
      </w:r>
    </w:p>
  </w:footnote>
  <w:footnote w:id="13">
    <w:p w14:paraId="02513D58" w14:textId="530E9E3E" w:rsidR="009007FC" w:rsidRPr="00A47A06" w:rsidRDefault="009007FC" w:rsidP="00DA7DE6">
      <w:pPr>
        <w:pStyle w:val="FootnoteText"/>
      </w:pPr>
      <w:r>
        <w:rPr>
          <w:rStyle w:val="FootnoteReference"/>
        </w:rPr>
        <w:footnoteRef/>
      </w:r>
      <w:r>
        <w:t xml:space="preserve"> The corrected QT interval (QTc) estimates the QT interval at a standard heart rate. This allows comparison of QT values over time at different heart rates and improves detection of patients at increased risk of arrhythmias. The QTcF is the QT interval corrected for heart rate according to Fridericia’s formula.</w:t>
      </w:r>
    </w:p>
  </w:footnote>
  <w:footnote w:id="14">
    <w:p w14:paraId="3C761CB4" w14:textId="0DF680BD" w:rsidR="009007FC" w:rsidRDefault="009007FC">
      <w:pPr>
        <w:pStyle w:val="FootnoteText"/>
      </w:pPr>
      <w:r>
        <w:rPr>
          <w:rStyle w:val="FootnoteReference"/>
        </w:rPr>
        <w:footnoteRef/>
      </w:r>
      <w:r>
        <w:t xml:space="preserve"> </w:t>
      </w:r>
      <w:r w:rsidRPr="007A5A65">
        <w:t xml:space="preserve">MACE (major cardiovascular event) is defined as the composite of </w:t>
      </w:r>
      <w:r>
        <w:t>cardiovascular (CV)</w:t>
      </w:r>
      <w:r w:rsidRPr="007A5A65">
        <w:t xml:space="preserve"> death, resuscitated cardiac arrest, non-fatal </w:t>
      </w:r>
      <w:r>
        <w:t>myocardial infarction (</w:t>
      </w:r>
      <w:r w:rsidRPr="007A5A65">
        <w:t>MI</w:t>
      </w:r>
      <w:r>
        <w:t>)</w:t>
      </w:r>
      <w:r w:rsidRPr="007A5A65">
        <w:t>, and stroke (ischemic or hemorrhagic)</w:t>
      </w:r>
    </w:p>
  </w:footnote>
  <w:footnote w:id="15">
    <w:p w14:paraId="590CA3FC" w14:textId="41FD7126" w:rsidR="009007FC" w:rsidRDefault="009007FC">
      <w:pPr>
        <w:pStyle w:val="FootnoteText"/>
      </w:pPr>
      <w:r>
        <w:rPr>
          <w:rStyle w:val="FootnoteReference"/>
        </w:rPr>
        <w:footnoteRef/>
      </w:r>
      <w:r>
        <w:t xml:space="preserve"> Day 810 dose added to assess the effect of giving 2 doses 90 days apart</w:t>
      </w:r>
    </w:p>
  </w:footnote>
  <w:footnote w:id="16">
    <w:p w14:paraId="7E7AB672" w14:textId="0E0134F9" w:rsidR="009007FC" w:rsidRDefault="009007FC">
      <w:pPr>
        <w:pStyle w:val="FootnoteText"/>
      </w:pPr>
      <w:r>
        <w:rPr>
          <w:rStyle w:val="FootnoteReference"/>
        </w:rPr>
        <w:footnoteRef/>
      </w:r>
      <w:r>
        <w:t xml:space="preserve"> Health Canada, Guidance on </w:t>
      </w:r>
      <w:r w:rsidRPr="004B4012">
        <w:t>Pre-market Evaluation of Hepatotoxicity in Health Products</w:t>
      </w:r>
      <w:r>
        <w:t xml:space="preserve">, 2012. Available from </w:t>
      </w:r>
      <w:r w:rsidRPr="004B4012">
        <w:t>https://www.canada.ca</w:t>
      </w:r>
    </w:p>
  </w:footnote>
  <w:footnote w:id="17">
    <w:p w14:paraId="211E105D" w14:textId="77777777" w:rsidR="009007FC" w:rsidRDefault="009007FC"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196693C8" w14:textId="77777777" w:rsidR="009007FC" w:rsidRDefault="009007FC" w:rsidP="007D53B6">
      <w:pPr>
        <w:pStyle w:val="FootnoteText"/>
      </w:pPr>
      <w:r w:rsidRPr="007D53B6">
        <w:rPr>
          <w:i/>
        </w:rPr>
        <w:t>Routine pharmacovigilance</w:t>
      </w:r>
      <w:r>
        <w:t xml:space="preserve"> practices involve the following activities:</w:t>
      </w:r>
    </w:p>
    <w:p w14:paraId="0F402AE3" w14:textId="77777777" w:rsidR="009007FC" w:rsidRDefault="009007FC" w:rsidP="007D53B6">
      <w:pPr>
        <w:pStyle w:val="FootnoteText"/>
        <w:numPr>
          <w:ilvl w:val="0"/>
          <w:numId w:val="32"/>
        </w:numPr>
        <w:ind w:left="284" w:hanging="284"/>
      </w:pPr>
      <w:r>
        <w:t xml:space="preserve">All suspected adverse reactions that are reported to the personnel of the company are collected and collated in an accessible </w:t>
      </w:r>
      <w:proofErr w:type="gramStart"/>
      <w:r>
        <w:t>manner;</w:t>
      </w:r>
      <w:proofErr w:type="gramEnd"/>
    </w:p>
    <w:p w14:paraId="2BBA0807" w14:textId="77777777" w:rsidR="009007FC" w:rsidRDefault="009007FC" w:rsidP="007D53B6">
      <w:pPr>
        <w:pStyle w:val="FootnoteText"/>
        <w:numPr>
          <w:ilvl w:val="0"/>
          <w:numId w:val="32"/>
        </w:numPr>
        <w:ind w:left="284" w:hanging="284"/>
      </w:pPr>
      <w:r>
        <w:t xml:space="preserve">Reporting to regulatory </w:t>
      </w:r>
      <w:proofErr w:type="gramStart"/>
      <w:r>
        <w:t>authorities;</w:t>
      </w:r>
      <w:proofErr w:type="gramEnd"/>
    </w:p>
    <w:p w14:paraId="1AD2CBE9" w14:textId="77777777" w:rsidR="009007FC" w:rsidRDefault="009007FC" w:rsidP="007D53B6">
      <w:pPr>
        <w:pStyle w:val="FootnoteText"/>
        <w:numPr>
          <w:ilvl w:val="0"/>
          <w:numId w:val="32"/>
        </w:numPr>
        <w:ind w:left="284" w:hanging="284"/>
      </w:pPr>
      <w:r>
        <w:t xml:space="preserve">Continuous monitoring of the safety profiles of approved products including signal detection and updating of </w:t>
      </w:r>
      <w:proofErr w:type="gramStart"/>
      <w:r>
        <w:t>labelling;</w:t>
      </w:r>
      <w:proofErr w:type="gramEnd"/>
    </w:p>
    <w:p w14:paraId="23E57B8B" w14:textId="77777777" w:rsidR="009007FC" w:rsidRDefault="009007FC" w:rsidP="007D53B6">
      <w:pPr>
        <w:pStyle w:val="FootnoteText"/>
        <w:numPr>
          <w:ilvl w:val="0"/>
          <w:numId w:val="32"/>
        </w:numPr>
        <w:ind w:left="284" w:hanging="284"/>
      </w:pPr>
      <w:r>
        <w:t xml:space="preserve">Submission of </w:t>
      </w:r>
      <w:proofErr w:type="gramStart"/>
      <w:r>
        <w:t>PSURs;</w:t>
      </w:r>
      <w:proofErr w:type="gramEnd"/>
    </w:p>
    <w:p w14:paraId="35C14B6E" w14:textId="77777777" w:rsidR="009007FC" w:rsidRDefault="009007FC" w:rsidP="007D53B6">
      <w:pPr>
        <w:pStyle w:val="FootnoteText"/>
        <w:numPr>
          <w:ilvl w:val="0"/>
          <w:numId w:val="32"/>
        </w:numPr>
        <w:ind w:left="284" w:hanging="284"/>
      </w:pPr>
      <w:r>
        <w:t>Meeting other local regulatory agency requirements.</w:t>
      </w:r>
    </w:p>
  </w:footnote>
  <w:footnote w:id="18">
    <w:p w14:paraId="29FC7788" w14:textId="77777777" w:rsidR="009007FC" w:rsidRPr="00456765" w:rsidRDefault="009007FC" w:rsidP="00FB369D">
      <w:pPr>
        <w:pStyle w:val="FootnoteText"/>
        <w:rPr>
          <w:lang w:val="en-US"/>
        </w:rPr>
      </w:pPr>
      <w:r>
        <w:rPr>
          <w:rStyle w:val="FootnoteReference"/>
        </w:rPr>
        <w:footnoteRef/>
      </w:r>
      <w:r>
        <w:t xml:space="preserve"> </w:t>
      </w:r>
      <w:r w:rsidRPr="00FB369D">
        <w:t xml:space="preserve">The ACM provides independent medical and scientific advice to the Minister for Health and the TGA on issues relating to the safety, quality and efficacy of medicines supplied in Australia including issues relating to </w:t>
      </w:r>
      <w:proofErr w:type="gramStart"/>
      <w:r w:rsidRPr="00FB369D">
        <w:t>pre market</w:t>
      </w:r>
      <w:proofErr w:type="gramEnd"/>
      <w:r w:rsidRPr="00FB369D">
        <w:t xml:space="preserve"> and post-market functions for medicines. Further information can be found here: </w:t>
      </w:r>
      <w:hyperlink r:id="rId1" w:history="1">
        <w:r w:rsidRPr="0004151A">
          <w:rPr>
            <w:rStyle w:val="Hyperlink"/>
          </w:rPr>
          <w:t>https://www.tga.gov.au/committee/advisory-committee-medicines-acm</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E775C" w14:textId="77777777" w:rsidR="009007FC" w:rsidRDefault="009007FC"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773DA" w14:textId="77777777" w:rsidR="009007FC" w:rsidRDefault="009007FC">
    <w:pPr>
      <w:rPr>
        <w:noProof/>
        <w:lang w:eastAsia="en-AU"/>
      </w:rPr>
    </w:pPr>
    <w:r w:rsidRPr="00347824">
      <w:rPr>
        <w:noProof/>
        <w:lang w:val="en-GB" w:eastAsia="en-GB"/>
      </w:rPr>
      <w:drawing>
        <wp:anchor distT="0" distB="0" distL="114300" distR="114300" simplePos="0" relativeHeight="251659264" behindDoc="1" locked="0" layoutInCell="1" allowOverlap="1" wp14:anchorId="1B94CD6F" wp14:editId="3699EEA5">
          <wp:simplePos x="0" y="0"/>
          <wp:positionH relativeFrom="column">
            <wp:posOffset>-1089660</wp:posOffset>
          </wp:positionH>
          <wp:positionV relativeFrom="paragraph">
            <wp:posOffset>-585470</wp:posOffset>
          </wp:positionV>
          <wp:extent cx="7572375" cy="10706100"/>
          <wp:effectExtent l="19050" t="0" r="0" b="0"/>
          <wp:wrapNone/>
          <wp:docPr id="230"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4D43FC0" w14:textId="77777777" w:rsidR="009007FC" w:rsidRDefault="009007FC"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40888" w14:textId="77777777" w:rsidR="009007FC" w:rsidRDefault="009007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7ABCC" w14:textId="77777777" w:rsidR="009007FC" w:rsidRDefault="009007FC">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3F73E" w14:textId="77777777" w:rsidR="009007FC" w:rsidRDefault="009007FC">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64BA4" w14:textId="77777777" w:rsidR="009007FC" w:rsidRDefault="009007F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51666" w14:textId="77777777" w:rsidR="009007FC" w:rsidRDefault="009007FC"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5C9A9" w14:textId="77777777" w:rsidR="009007FC" w:rsidRDefault="009007FC" w:rsidP="006E08B3">
    <w:r>
      <w:t>Therapeutic Goods Administration</w:t>
    </w:r>
  </w:p>
  <w:p w14:paraId="0F061B75" w14:textId="77777777" w:rsidR="009007FC" w:rsidRDefault="009007FC"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E50E78"/>
    <w:multiLevelType w:val="hybridMultilevel"/>
    <w:tmpl w:val="81505A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7B772F"/>
    <w:multiLevelType w:val="hybridMultilevel"/>
    <w:tmpl w:val="5622CE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FA4003F"/>
    <w:multiLevelType w:val="hybridMultilevel"/>
    <w:tmpl w:val="2D86BE7A"/>
    <w:lvl w:ilvl="0" w:tplc="D360B642">
      <w:start w:val="1"/>
      <w:numFmt w:val="bullet"/>
      <w:lvlText w:val="•"/>
      <w:lvlJc w:val="left"/>
      <w:pPr>
        <w:tabs>
          <w:tab w:val="num" w:pos="720"/>
        </w:tabs>
        <w:ind w:left="720" w:hanging="360"/>
      </w:pPr>
      <w:rPr>
        <w:rFonts w:ascii="Arial" w:hAnsi="Arial" w:hint="default"/>
      </w:rPr>
    </w:lvl>
    <w:lvl w:ilvl="1" w:tplc="7758D0AC" w:tentative="1">
      <w:start w:val="1"/>
      <w:numFmt w:val="bullet"/>
      <w:lvlText w:val="•"/>
      <w:lvlJc w:val="left"/>
      <w:pPr>
        <w:tabs>
          <w:tab w:val="num" w:pos="1440"/>
        </w:tabs>
        <w:ind w:left="1440" w:hanging="360"/>
      </w:pPr>
      <w:rPr>
        <w:rFonts w:ascii="Arial" w:hAnsi="Arial" w:hint="default"/>
      </w:rPr>
    </w:lvl>
    <w:lvl w:ilvl="2" w:tplc="DDAA495E" w:tentative="1">
      <w:start w:val="1"/>
      <w:numFmt w:val="bullet"/>
      <w:lvlText w:val="•"/>
      <w:lvlJc w:val="left"/>
      <w:pPr>
        <w:tabs>
          <w:tab w:val="num" w:pos="2160"/>
        </w:tabs>
        <w:ind w:left="2160" w:hanging="360"/>
      </w:pPr>
      <w:rPr>
        <w:rFonts w:ascii="Arial" w:hAnsi="Arial" w:hint="default"/>
      </w:rPr>
    </w:lvl>
    <w:lvl w:ilvl="3" w:tplc="0E6C9696" w:tentative="1">
      <w:start w:val="1"/>
      <w:numFmt w:val="bullet"/>
      <w:lvlText w:val="•"/>
      <w:lvlJc w:val="left"/>
      <w:pPr>
        <w:tabs>
          <w:tab w:val="num" w:pos="2880"/>
        </w:tabs>
        <w:ind w:left="2880" w:hanging="360"/>
      </w:pPr>
      <w:rPr>
        <w:rFonts w:ascii="Arial" w:hAnsi="Arial" w:hint="default"/>
      </w:rPr>
    </w:lvl>
    <w:lvl w:ilvl="4" w:tplc="9E525558" w:tentative="1">
      <w:start w:val="1"/>
      <w:numFmt w:val="bullet"/>
      <w:lvlText w:val="•"/>
      <w:lvlJc w:val="left"/>
      <w:pPr>
        <w:tabs>
          <w:tab w:val="num" w:pos="3600"/>
        </w:tabs>
        <w:ind w:left="3600" w:hanging="360"/>
      </w:pPr>
      <w:rPr>
        <w:rFonts w:ascii="Arial" w:hAnsi="Arial" w:hint="default"/>
      </w:rPr>
    </w:lvl>
    <w:lvl w:ilvl="5" w:tplc="657E2918" w:tentative="1">
      <w:start w:val="1"/>
      <w:numFmt w:val="bullet"/>
      <w:lvlText w:val="•"/>
      <w:lvlJc w:val="left"/>
      <w:pPr>
        <w:tabs>
          <w:tab w:val="num" w:pos="4320"/>
        </w:tabs>
        <w:ind w:left="4320" w:hanging="360"/>
      </w:pPr>
      <w:rPr>
        <w:rFonts w:ascii="Arial" w:hAnsi="Arial" w:hint="default"/>
      </w:rPr>
    </w:lvl>
    <w:lvl w:ilvl="6" w:tplc="FA960BBA" w:tentative="1">
      <w:start w:val="1"/>
      <w:numFmt w:val="bullet"/>
      <w:lvlText w:val="•"/>
      <w:lvlJc w:val="left"/>
      <w:pPr>
        <w:tabs>
          <w:tab w:val="num" w:pos="5040"/>
        </w:tabs>
        <w:ind w:left="5040" w:hanging="360"/>
      </w:pPr>
      <w:rPr>
        <w:rFonts w:ascii="Arial" w:hAnsi="Arial" w:hint="default"/>
      </w:rPr>
    </w:lvl>
    <w:lvl w:ilvl="7" w:tplc="4B520112" w:tentative="1">
      <w:start w:val="1"/>
      <w:numFmt w:val="bullet"/>
      <w:lvlText w:val="•"/>
      <w:lvlJc w:val="left"/>
      <w:pPr>
        <w:tabs>
          <w:tab w:val="num" w:pos="5760"/>
        </w:tabs>
        <w:ind w:left="5760" w:hanging="360"/>
      </w:pPr>
      <w:rPr>
        <w:rFonts w:ascii="Arial" w:hAnsi="Arial" w:hint="default"/>
      </w:rPr>
    </w:lvl>
    <w:lvl w:ilvl="8" w:tplc="8200BAC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3"/>
  </w:num>
  <w:num w:numId="29">
    <w:abstractNumId w:val="7"/>
  </w:num>
  <w:num w:numId="30">
    <w:abstractNumId w:val="9"/>
  </w:num>
  <w:num w:numId="31">
    <w:abstractNumId w:val="4"/>
  </w:num>
  <w:num w:numId="32">
    <w:abstractNumId w:val="12"/>
  </w:num>
  <w:num w:numId="33">
    <w:abstractNumId w:val="10"/>
  </w:num>
  <w:num w:numId="34">
    <w:abstractNumId w:val="5"/>
  </w:num>
  <w:num w:numId="35">
    <w:abstractNumId w:val="10"/>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00C"/>
    <w:rsid w:val="00002031"/>
    <w:rsid w:val="00004734"/>
    <w:rsid w:val="00006B22"/>
    <w:rsid w:val="00006FAB"/>
    <w:rsid w:val="0001276A"/>
    <w:rsid w:val="000246AE"/>
    <w:rsid w:val="00025C67"/>
    <w:rsid w:val="00035382"/>
    <w:rsid w:val="00035BDE"/>
    <w:rsid w:val="00043696"/>
    <w:rsid w:val="00044772"/>
    <w:rsid w:val="0004541C"/>
    <w:rsid w:val="00046060"/>
    <w:rsid w:val="00050291"/>
    <w:rsid w:val="0005559E"/>
    <w:rsid w:val="00057537"/>
    <w:rsid w:val="000604D6"/>
    <w:rsid w:val="000734D8"/>
    <w:rsid w:val="00077775"/>
    <w:rsid w:val="0008311B"/>
    <w:rsid w:val="0008749C"/>
    <w:rsid w:val="00090471"/>
    <w:rsid w:val="00096AA7"/>
    <w:rsid w:val="000A3707"/>
    <w:rsid w:val="000A3AED"/>
    <w:rsid w:val="000B3532"/>
    <w:rsid w:val="000B3A75"/>
    <w:rsid w:val="000C00C2"/>
    <w:rsid w:val="000C3456"/>
    <w:rsid w:val="000C690F"/>
    <w:rsid w:val="000D1295"/>
    <w:rsid w:val="000D391B"/>
    <w:rsid w:val="000D3D6D"/>
    <w:rsid w:val="000D4FC7"/>
    <w:rsid w:val="000E1E4A"/>
    <w:rsid w:val="000E6196"/>
    <w:rsid w:val="000F4869"/>
    <w:rsid w:val="000F5B42"/>
    <w:rsid w:val="000F6E6F"/>
    <w:rsid w:val="00104052"/>
    <w:rsid w:val="0010601F"/>
    <w:rsid w:val="0010788A"/>
    <w:rsid w:val="00107A31"/>
    <w:rsid w:val="00110EA5"/>
    <w:rsid w:val="00112F56"/>
    <w:rsid w:val="00122C2E"/>
    <w:rsid w:val="00124ACD"/>
    <w:rsid w:val="00125318"/>
    <w:rsid w:val="001305A2"/>
    <w:rsid w:val="00133238"/>
    <w:rsid w:val="00133A1B"/>
    <w:rsid w:val="001349ED"/>
    <w:rsid w:val="0014197B"/>
    <w:rsid w:val="00141E53"/>
    <w:rsid w:val="001447CD"/>
    <w:rsid w:val="001516B1"/>
    <w:rsid w:val="00154EBB"/>
    <w:rsid w:val="00156316"/>
    <w:rsid w:val="00161181"/>
    <w:rsid w:val="00162D14"/>
    <w:rsid w:val="00163780"/>
    <w:rsid w:val="00164F32"/>
    <w:rsid w:val="00165389"/>
    <w:rsid w:val="00165454"/>
    <w:rsid w:val="0017693F"/>
    <w:rsid w:val="00176D37"/>
    <w:rsid w:val="0018110E"/>
    <w:rsid w:val="00181684"/>
    <w:rsid w:val="001843C6"/>
    <w:rsid w:val="001850E0"/>
    <w:rsid w:val="00190449"/>
    <w:rsid w:val="00193FB0"/>
    <w:rsid w:val="001A03AF"/>
    <w:rsid w:val="001A1914"/>
    <w:rsid w:val="001A2158"/>
    <w:rsid w:val="001A525F"/>
    <w:rsid w:val="001B09F9"/>
    <w:rsid w:val="001B5C90"/>
    <w:rsid w:val="001B6448"/>
    <w:rsid w:val="001C32CD"/>
    <w:rsid w:val="001D2984"/>
    <w:rsid w:val="001D5E94"/>
    <w:rsid w:val="001D6D77"/>
    <w:rsid w:val="001E07CF"/>
    <w:rsid w:val="001E59F1"/>
    <w:rsid w:val="001F2CEE"/>
    <w:rsid w:val="001F49EB"/>
    <w:rsid w:val="001F6CBA"/>
    <w:rsid w:val="00201D4E"/>
    <w:rsid w:val="002076C9"/>
    <w:rsid w:val="00207761"/>
    <w:rsid w:val="002179A7"/>
    <w:rsid w:val="002200F8"/>
    <w:rsid w:val="00220B8A"/>
    <w:rsid w:val="002257F3"/>
    <w:rsid w:val="00233456"/>
    <w:rsid w:val="002339A5"/>
    <w:rsid w:val="00236CA0"/>
    <w:rsid w:val="002374EC"/>
    <w:rsid w:val="00244746"/>
    <w:rsid w:val="00250271"/>
    <w:rsid w:val="00252248"/>
    <w:rsid w:val="00257848"/>
    <w:rsid w:val="002578E8"/>
    <w:rsid w:val="00261906"/>
    <w:rsid w:val="002642F4"/>
    <w:rsid w:val="0027084A"/>
    <w:rsid w:val="00280265"/>
    <w:rsid w:val="00286434"/>
    <w:rsid w:val="00286C59"/>
    <w:rsid w:val="00291957"/>
    <w:rsid w:val="002942D1"/>
    <w:rsid w:val="0029501A"/>
    <w:rsid w:val="002A3721"/>
    <w:rsid w:val="002A6341"/>
    <w:rsid w:val="002A66C5"/>
    <w:rsid w:val="002A7F5B"/>
    <w:rsid w:val="002B1638"/>
    <w:rsid w:val="002B187C"/>
    <w:rsid w:val="002B3624"/>
    <w:rsid w:val="002C12A7"/>
    <w:rsid w:val="002C341B"/>
    <w:rsid w:val="002C4E0E"/>
    <w:rsid w:val="002D084B"/>
    <w:rsid w:val="002D0952"/>
    <w:rsid w:val="002D6AFE"/>
    <w:rsid w:val="002E40B3"/>
    <w:rsid w:val="002E4C9A"/>
    <w:rsid w:val="002F11F8"/>
    <w:rsid w:val="002F3F56"/>
    <w:rsid w:val="002F44B5"/>
    <w:rsid w:val="002F5122"/>
    <w:rsid w:val="003051C1"/>
    <w:rsid w:val="00311AC0"/>
    <w:rsid w:val="003176FC"/>
    <w:rsid w:val="00324E45"/>
    <w:rsid w:val="0032583B"/>
    <w:rsid w:val="00327883"/>
    <w:rsid w:val="00335504"/>
    <w:rsid w:val="00340C18"/>
    <w:rsid w:val="003442FD"/>
    <w:rsid w:val="00347824"/>
    <w:rsid w:val="00350567"/>
    <w:rsid w:val="003521E8"/>
    <w:rsid w:val="00352E20"/>
    <w:rsid w:val="003551EB"/>
    <w:rsid w:val="00370CE3"/>
    <w:rsid w:val="003728F3"/>
    <w:rsid w:val="003735BC"/>
    <w:rsid w:val="0037496E"/>
    <w:rsid w:val="00383221"/>
    <w:rsid w:val="00386150"/>
    <w:rsid w:val="003874CE"/>
    <w:rsid w:val="00390900"/>
    <w:rsid w:val="003A7F6C"/>
    <w:rsid w:val="003B4D60"/>
    <w:rsid w:val="003B7E39"/>
    <w:rsid w:val="003C35ED"/>
    <w:rsid w:val="003C58DC"/>
    <w:rsid w:val="003D1E62"/>
    <w:rsid w:val="003D6AF7"/>
    <w:rsid w:val="003E0B99"/>
    <w:rsid w:val="003E2486"/>
    <w:rsid w:val="003E3208"/>
    <w:rsid w:val="003E6C2E"/>
    <w:rsid w:val="003E7705"/>
    <w:rsid w:val="003F0B04"/>
    <w:rsid w:val="0040134E"/>
    <w:rsid w:val="0040718D"/>
    <w:rsid w:val="00430A2B"/>
    <w:rsid w:val="00432327"/>
    <w:rsid w:val="004334C7"/>
    <w:rsid w:val="00440A2D"/>
    <w:rsid w:val="00441C3F"/>
    <w:rsid w:val="00444D1A"/>
    <w:rsid w:val="00447479"/>
    <w:rsid w:val="004502AD"/>
    <w:rsid w:val="0045186A"/>
    <w:rsid w:val="004564A7"/>
    <w:rsid w:val="00456765"/>
    <w:rsid w:val="00460036"/>
    <w:rsid w:val="004617BF"/>
    <w:rsid w:val="00463658"/>
    <w:rsid w:val="004637A0"/>
    <w:rsid w:val="00466250"/>
    <w:rsid w:val="004722CC"/>
    <w:rsid w:val="00490483"/>
    <w:rsid w:val="004936E4"/>
    <w:rsid w:val="00494E60"/>
    <w:rsid w:val="004959D1"/>
    <w:rsid w:val="00497487"/>
    <w:rsid w:val="004A1A66"/>
    <w:rsid w:val="004A2771"/>
    <w:rsid w:val="004A4D6B"/>
    <w:rsid w:val="004A6189"/>
    <w:rsid w:val="004A7390"/>
    <w:rsid w:val="004A7AB4"/>
    <w:rsid w:val="004B4012"/>
    <w:rsid w:val="004B7B76"/>
    <w:rsid w:val="004C239D"/>
    <w:rsid w:val="004C2DCA"/>
    <w:rsid w:val="004C4FBE"/>
    <w:rsid w:val="004C61D2"/>
    <w:rsid w:val="004C68A6"/>
    <w:rsid w:val="004F0C4A"/>
    <w:rsid w:val="004F0F38"/>
    <w:rsid w:val="004F3BF6"/>
    <w:rsid w:val="004F47D6"/>
    <w:rsid w:val="00500337"/>
    <w:rsid w:val="00501921"/>
    <w:rsid w:val="005077FB"/>
    <w:rsid w:val="00507E42"/>
    <w:rsid w:val="0051522B"/>
    <w:rsid w:val="005240E9"/>
    <w:rsid w:val="005252B2"/>
    <w:rsid w:val="00530354"/>
    <w:rsid w:val="00535655"/>
    <w:rsid w:val="0053625B"/>
    <w:rsid w:val="005434C6"/>
    <w:rsid w:val="00543B39"/>
    <w:rsid w:val="00546154"/>
    <w:rsid w:val="005474EA"/>
    <w:rsid w:val="00550096"/>
    <w:rsid w:val="00555280"/>
    <w:rsid w:val="00557FF9"/>
    <w:rsid w:val="00562327"/>
    <w:rsid w:val="005711D5"/>
    <w:rsid w:val="00572FBF"/>
    <w:rsid w:val="00576378"/>
    <w:rsid w:val="00577130"/>
    <w:rsid w:val="00577945"/>
    <w:rsid w:val="00577E38"/>
    <w:rsid w:val="00583273"/>
    <w:rsid w:val="00583677"/>
    <w:rsid w:val="00585322"/>
    <w:rsid w:val="005857C6"/>
    <w:rsid w:val="00592F6E"/>
    <w:rsid w:val="00593AD1"/>
    <w:rsid w:val="00593D10"/>
    <w:rsid w:val="005A68B6"/>
    <w:rsid w:val="005B6B94"/>
    <w:rsid w:val="005C5570"/>
    <w:rsid w:val="005C5B66"/>
    <w:rsid w:val="005C79A4"/>
    <w:rsid w:val="005D3AC2"/>
    <w:rsid w:val="005D5442"/>
    <w:rsid w:val="00603F32"/>
    <w:rsid w:val="00605AD4"/>
    <w:rsid w:val="00606E3A"/>
    <w:rsid w:val="006136D7"/>
    <w:rsid w:val="006255F8"/>
    <w:rsid w:val="00625A6E"/>
    <w:rsid w:val="00632398"/>
    <w:rsid w:val="00633D83"/>
    <w:rsid w:val="0063753D"/>
    <w:rsid w:val="00640FC3"/>
    <w:rsid w:val="00642020"/>
    <w:rsid w:val="006430EE"/>
    <w:rsid w:val="00647F5D"/>
    <w:rsid w:val="0065337B"/>
    <w:rsid w:val="0065419D"/>
    <w:rsid w:val="006603BC"/>
    <w:rsid w:val="006604D8"/>
    <w:rsid w:val="00664A5B"/>
    <w:rsid w:val="0066735C"/>
    <w:rsid w:val="006763D2"/>
    <w:rsid w:val="00680C08"/>
    <w:rsid w:val="006819D1"/>
    <w:rsid w:val="00687A86"/>
    <w:rsid w:val="006916A0"/>
    <w:rsid w:val="006931B1"/>
    <w:rsid w:val="006A15C0"/>
    <w:rsid w:val="006A58A8"/>
    <w:rsid w:val="006B70C6"/>
    <w:rsid w:val="006C3E2A"/>
    <w:rsid w:val="006C642F"/>
    <w:rsid w:val="006D03E5"/>
    <w:rsid w:val="006D5587"/>
    <w:rsid w:val="006D5D3E"/>
    <w:rsid w:val="006E08B3"/>
    <w:rsid w:val="006E2CE7"/>
    <w:rsid w:val="006F17AC"/>
    <w:rsid w:val="006F25B8"/>
    <w:rsid w:val="006F572E"/>
    <w:rsid w:val="006F62F1"/>
    <w:rsid w:val="007046D6"/>
    <w:rsid w:val="00705DB0"/>
    <w:rsid w:val="007064A2"/>
    <w:rsid w:val="00713EA4"/>
    <w:rsid w:val="00722B57"/>
    <w:rsid w:val="00724EFF"/>
    <w:rsid w:val="0072587A"/>
    <w:rsid w:val="00726645"/>
    <w:rsid w:val="00730F8A"/>
    <w:rsid w:val="00735A8C"/>
    <w:rsid w:val="0074253D"/>
    <w:rsid w:val="00744121"/>
    <w:rsid w:val="0074429B"/>
    <w:rsid w:val="00756BB8"/>
    <w:rsid w:val="00756C19"/>
    <w:rsid w:val="007615BC"/>
    <w:rsid w:val="00762F05"/>
    <w:rsid w:val="00765232"/>
    <w:rsid w:val="007652FF"/>
    <w:rsid w:val="00770CAC"/>
    <w:rsid w:val="00770EF1"/>
    <w:rsid w:val="00773EF7"/>
    <w:rsid w:val="00774E1D"/>
    <w:rsid w:val="007765D8"/>
    <w:rsid w:val="0077675A"/>
    <w:rsid w:val="00780355"/>
    <w:rsid w:val="007819FD"/>
    <w:rsid w:val="00785717"/>
    <w:rsid w:val="00785721"/>
    <w:rsid w:val="00793A59"/>
    <w:rsid w:val="007A46F5"/>
    <w:rsid w:val="007A5A65"/>
    <w:rsid w:val="007A6505"/>
    <w:rsid w:val="007B5D64"/>
    <w:rsid w:val="007B6132"/>
    <w:rsid w:val="007B6E9F"/>
    <w:rsid w:val="007C1216"/>
    <w:rsid w:val="007C1AF7"/>
    <w:rsid w:val="007C1E6F"/>
    <w:rsid w:val="007C3060"/>
    <w:rsid w:val="007C6B9B"/>
    <w:rsid w:val="007D039A"/>
    <w:rsid w:val="007D53B6"/>
    <w:rsid w:val="007F1E07"/>
    <w:rsid w:val="007F207E"/>
    <w:rsid w:val="00805D27"/>
    <w:rsid w:val="00806DCB"/>
    <w:rsid w:val="00821776"/>
    <w:rsid w:val="008321F5"/>
    <w:rsid w:val="00832369"/>
    <w:rsid w:val="00832985"/>
    <w:rsid w:val="00832A2F"/>
    <w:rsid w:val="00834660"/>
    <w:rsid w:val="00836BC2"/>
    <w:rsid w:val="00841CAB"/>
    <w:rsid w:val="0085156D"/>
    <w:rsid w:val="00852B28"/>
    <w:rsid w:val="0085641B"/>
    <w:rsid w:val="00857136"/>
    <w:rsid w:val="0086039F"/>
    <w:rsid w:val="00875A6B"/>
    <w:rsid w:val="00876C87"/>
    <w:rsid w:val="00885B11"/>
    <w:rsid w:val="00886D15"/>
    <w:rsid w:val="00887DD8"/>
    <w:rsid w:val="00891BA9"/>
    <w:rsid w:val="00896018"/>
    <w:rsid w:val="008960DD"/>
    <w:rsid w:val="0089635C"/>
    <w:rsid w:val="0089700C"/>
    <w:rsid w:val="008A2B9D"/>
    <w:rsid w:val="008A3D9F"/>
    <w:rsid w:val="008A5E0B"/>
    <w:rsid w:val="008A6D59"/>
    <w:rsid w:val="008B4B03"/>
    <w:rsid w:val="008B596F"/>
    <w:rsid w:val="008C159F"/>
    <w:rsid w:val="008C1623"/>
    <w:rsid w:val="008C1850"/>
    <w:rsid w:val="008C51A9"/>
    <w:rsid w:val="008D1BAD"/>
    <w:rsid w:val="008E7846"/>
    <w:rsid w:val="008F02E5"/>
    <w:rsid w:val="008F1B3A"/>
    <w:rsid w:val="008F1CCC"/>
    <w:rsid w:val="008F2426"/>
    <w:rsid w:val="008F2967"/>
    <w:rsid w:val="008F6943"/>
    <w:rsid w:val="009007FC"/>
    <w:rsid w:val="00902A21"/>
    <w:rsid w:val="00904118"/>
    <w:rsid w:val="0091429D"/>
    <w:rsid w:val="0091523F"/>
    <w:rsid w:val="00920330"/>
    <w:rsid w:val="009219D7"/>
    <w:rsid w:val="00922D53"/>
    <w:rsid w:val="00923B70"/>
    <w:rsid w:val="00924482"/>
    <w:rsid w:val="00930237"/>
    <w:rsid w:val="00937C17"/>
    <w:rsid w:val="00940A89"/>
    <w:rsid w:val="00941F77"/>
    <w:rsid w:val="00946EA5"/>
    <w:rsid w:val="00960520"/>
    <w:rsid w:val="00961DEA"/>
    <w:rsid w:val="00963C08"/>
    <w:rsid w:val="00965EC9"/>
    <w:rsid w:val="009705E7"/>
    <w:rsid w:val="009752A5"/>
    <w:rsid w:val="0098218B"/>
    <w:rsid w:val="0098585A"/>
    <w:rsid w:val="009A1B49"/>
    <w:rsid w:val="009A305E"/>
    <w:rsid w:val="009A4CED"/>
    <w:rsid w:val="009A690D"/>
    <w:rsid w:val="009B1D12"/>
    <w:rsid w:val="009B416B"/>
    <w:rsid w:val="009C4BD5"/>
    <w:rsid w:val="009D5453"/>
    <w:rsid w:val="009D7B77"/>
    <w:rsid w:val="009E0BB0"/>
    <w:rsid w:val="009E3FBB"/>
    <w:rsid w:val="009E7D74"/>
    <w:rsid w:val="009F7353"/>
    <w:rsid w:val="009F7922"/>
    <w:rsid w:val="00A04F85"/>
    <w:rsid w:val="00A05FA4"/>
    <w:rsid w:val="00A102E4"/>
    <w:rsid w:val="00A1219C"/>
    <w:rsid w:val="00A12C42"/>
    <w:rsid w:val="00A14DF7"/>
    <w:rsid w:val="00A22D57"/>
    <w:rsid w:val="00A3246D"/>
    <w:rsid w:val="00A36FA7"/>
    <w:rsid w:val="00A4264D"/>
    <w:rsid w:val="00A44DDB"/>
    <w:rsid w:val="00A475B7"/>
    <w:rsid w:val="00A479A8"/>
    <w:rsid w:val="00A47A06"/>
    <w:rsid w:val="00A47AF7"/>
    <w:rsid w:val="00A47C3E"/>
    <w:rsid w:val="00A50226"/>
    <w:rsid w:val="00A60BAD"/>
    <w:rsid w:val="00A73732"/>
    <w:rsid w:val="00A74A60"/>
    <w:rsid w:val="00A77F87"/>
    <w:rsid w:val="00A80B5B"/>
    <w:rsid w:val="00A80BBC"/>
    <w:rsid w:val="00A84BA4"/>
    <w:rsid w:val="00A84E36"/>
    <w:rsid w:val="00A85E6E"/>
    <w:rsid w:val="00A914D7"/>
    <w:rsid w:val="00A964D1"/>
    <w:rsid w:val="00AA0ED0"/>
    <w:rsid w:val="00AB27A3"/>
    <w:rsid w:val="00AC2A2B"/>
    <w:rsid w:val="00AC2B40"/>
    <w:rsid w:val="00AC2BB2"/>
    <w:rsid w:val="00AC2C3C"/>
    <w:rsid w:val="00AC373C"/>
    <w:rsid w:val="00AC512D"/>
    <w:rsid w:val="00AD0083"/>
    <w:rsid w:val="00AD2B80"/>
    <w:rsid w:val="00AD3935"/>
    <w:rsid w:val="00AE1F14"/>
    <w:rsid w:val="00AE65EB"/>
    <w:rsid w:val="00AE67A7"/>
    <w:rsid w:val="00AF1D94"/>
    <w:rsid w:val="00AF60C5"/>
    <w:rsid w:val="00B009C6"/>
    <w:rsid w:val="00B01548"/>
    <w:rsid w:val="00B130C5"/>
    <w:rsid w:val="00B13EBD"/>
    <w:rsid w:val="00B21D29"/>
    <w:rsid w:val="00B25034"/>
    <w:rsid w:val="00B30293"/>
    <w:rsid w:val="00B33588"/>
    <w:rsid w:val="00B33863"/>
    <w:rsid w:val="00B35FEB"/>
    <w:rsid w:val="00B37D17"/>
    <w:rsid w:val="00B407E8"/>
    <w:rsid w:val="00B4175E"/>
    <w:rsid w:val="00B41C85"/>
    <w:rsid w:val="00B452CE"/>
    <w:rsid w:val="00B506FF"/>
    <w:rsid w:val="00B54C25"/>
    <w:rsid w:val="00B76B91"/>
    <w:rsid w:val="00B77EB1"/>
    <w:rsid w:val="00B811C6"/>
    <w:rsid w:val="00B855B0"/>
    <w:rsid w:val="00B907F7"/>
    <w:rsid w:val="00B92E08"/>
    <w:rsid w:val="00B95B42"/>
    <w:rsid w:val="00BA6D19"/>
    <w:rsid w:val="00BC5A73"/>
    <w:rsid w:val="00BC622A"/>
    <w:rsid w:val="00BD1F85"/>
    <w:rsid w:val="00BE0A78"/>
    <w:rsid w:val="00BE79F0"/>
    <w:rsid w:val="00BF046D"/>
    <w:rsid w:val="00BF1190"/>
    <w:rsid w:val="00BF3774"/>
    <w:rsid w:val="00BF5D04"/>
    <w:rsid w:val="00C009AA"/>
    <w:rsid w:val="00C1164D"/>
    <w:rsid w:val="00C16861"/>
    <w:rsid w:val="00C303FC"/>
    <w:rsid w:val="00C33E76"/>
    <w:rsid w:val="00C346AB"/>
    <w:rsid w:val="00C404A6"/>
    <w:rsid w:val="00C40A36"/>
    <w:rsid w:val="00C4396F"/>
    <w:rsid w:val="00C44419"/>
    <w:rsid w:val="00C45E7B"/>
    <w:rsid w:val="00C471B1"/>
    <w:rsid w:val="00C51202"/>
    <w:rsid w:val="00C525A2"/>
    <w:rsid w:val="00C52E24"/>
    <w:rsid w:val="00C6316B"/>
    <w:rsid w:val="00C634A9"/>
    <w:rsid w:val="00C64586"/>
    <w:rsid w:val="00C70A36"/>
    <w:rsid w:val="00C70D53"/>
    <w:rsid w:val="00C73D0B"/>
    <w:rsid w:val="00C74F5C"/>
    <w:rsid w:val="00C75526"/>
    <w:rsid w:val="00C772FF"/>
    <w:rsid w:val="00C80137"/>
    <w:rsid w:val="00C801AF"/>
    <w:rsid w:val="00C80256"/>
    <w:rsid w:val="00C87415"/>
    <w:rsid w:val="00C91BEC"/>
    <w:rsid w:val="00C91E15"/>
    <w:rsid w:val="00C94CD4"/>
    <w:rsid w:val="00C9747E"/>
    <w:rsid w:val="00CA6F5F"/>
    <w:rsid w:val="00CB6BC0"/>
    <w:rsid w:val="00CC0BD0"/>
    <w:rsid w:val="00CC1B7C"/>
    <w:rsid w:val="00CC727F"/>
    <w:rsid w:val="00CD1959"/>
    <w:rsid w:val="00CF15C3"/>
    <w:rsid w:val="00CF2B6F"/>
    <w:rsid w:val="00CF2F3E"/>
    <w:rsid w:val="00CF4D86"/>
    <w:rsid w:val="00CF58B6"/>
    <w:rsid w:val="00CF5DAD"/>
    <w:rsid w:val="00D0062D"/>
    <w:rsid w:val="00D017ED"/>
    <w:rsid w:val="00D040D3"/>
    <w:rsid w:val="00D0450B"/>
    <w:rsid w:val="00D04C65"/>
    <w:rsid w:val="00D153D8"/>
    <w:rsid w:val="00D158C3"/>
    <w:rsid w:val="00D201D2"/>
    <w:rsid w:val="00D224FE"/>
    <w:rsid w:val="00D23139"/>
    <w:rsid w:val="00D425BB"/>
    <w:rsid w:val="00D4301C"/>
    <w:rsid w:val="00D453FA"/>
    <w:rsid w:val="00D52E19"/>
    <w:rsid w:val="00D6493E"/>
    <w:rsid w:val="00D717BA"/>
    <w:rsid w:val="00D7195D"/>
    <w:rsid w:val="00D7301E"/>
    <w:rsid w:val="00D74AA2"/>
    <w:rsid w:val="00D74BF9"/>
    <w:rsid w:val="00D83AE1"/>
    <w:rsid w:val="00D855D4"/>
    <w:rsid w:val="00D902C9"/>
    <w:rsid w:val="00D93466"/>
    <w:rsid w:val="00DA1124"/>
    <w:rsid w:val="00DA64CB"/>
    <w:rsid w:val="00DA7DE6"/>
    <w:rsid w:val="00DB06B8"/>
    <w:rsid w:val="00DB1045"/>
    <w:rsid w:val="00DB4F10"/>
    <w:rsid w:val="00DB6124"/>
    <w:rsid w:val="00DB67CA"/>
    <w:rsid w:val="00DB750B"/>
    <w:rsid w:val="00DB75B7"/>
    <w:rsid w:val="00DC0A2F"/>
    <w:rsid w:val="00DC1948"/>
    <w:rsid w:val="00DC6E02"/>
    <w:rsid w:val="00DD28CD"/>
    <w:rsid w:val="00DE02AE"/>
    <w:rsid w:val="00DE39D1"/>
    <w:rsid w:val="00DF1D7F"/>
    <w:rsid w:val="00DF229C"/>
    <w:rsid w:val="00DF4BE4"/>
    <w:rsid w:val="00DF73E0"/>
    <w:rsid w:val="00E02382"/>
    <w:rsid w:val="00E02FB4"/>
    <w:rsid w:val="00E07467"/>
    <w:rsid w:val="00E13FC7"/>
    <w:rsid w:val="00E1489C"/>
    <w:rsid w:val="00E20571"/>
    <w:rsid w:val="00E235F7"/>
    <w:rsid w:val="00E23659"/>
    <w:rsid w:val="00E239D4"/>
    <w:rsid w:val="00E26130"/>
    <w:rsid w:val="00E33D33"/>
    <w:rsid w:val="00E33D42"/>
    <w:rsid w:val="00E35EC7"/>
    <w:rsid w:val="00E40B22"/>
    <w:rsid w:val="00E4366B"/>
    <w:rsid w:val="00E44ED1"/>
    <w:rsid w:val="00E45619"/>
    <w:rsid w:val="00E4588F"/>
    <w:rsid w:val="00E46DA3"/>
    <w:rsid w:val="00E51BB1"/>
    <w:rsid w:val="00E55CB0"/>
    <w:rsid w:val="00E56EE3"/>
    <w:rsid w:val="00E624A5"/>
    <w:rsid w:val="00E64BA4"/>
    <w:rsid w:val="00E67C59"/>
    <w:rsid w:val="00E7344E"/>
    <w:rsid w:val="00E77ABB"/>
    <w:rsid w:val="00E82665"/>
    <w:rsid w:val="00EA70AC"/>
    <w:rsid w:val="00EB0798"/>
    <w:rsid w:val="00EB0926"/>
    <w:rsid w:val="00EB40AD"/>
    <w:rsid w:val="00EB586E"/>
    <w:rsid w:val="00EB5FC8"/>
    <w:rsid w:val="00EB7C8A"/>
    <w:rsid w:val="00EC26BB"/>
    <w:rsid w:val="00EC463D"/>
    <w:rsid w:val="00EC7A85"/>
    <w:rsid w:val="00ED2922"/>
    <w:rsid w:val="00ED3CAD"/>
    <w:rsid w:val="00ED5A41"/>
    <w:rsid w:val="00EE1DE8"/>
    <w:rsid w:val="00EE228A"/>
    <w:rsid w:val="00EE27C2"/>
    <w:rsid w:val="00EF4BAD"/>
    <w:rsid w:val="00EF59DC"/>
    <w:rsid w:val="00F033EC"/>
    <w:rsid w:val="00F04F68"/>
    <w:rsid w:val="00F052DD"/>
    <w:rsid w:val="00F07A27"/>
    <w:rsid w:val="00F12670"/>
    <w:rsid w:val="00F14B27"/>
    <w:rsid w:val="00F15260"/>
    <w:rsid w:val="00F2096E"/>
    <w:rsid w:val="00F3148D"/>
    <w:rsid w:val="00F31B52"/>
    <w:rsid w:val="00F325C5"/>
    <w:rsid w:val="00F32FE0"/>
    <w:rsid w:val="00F35298"/>
    <w:rsid w:val="00F47333"/>
    <w:rsid w:val="00F47E37"/>
    <w:rsid w:val="00F52E08"/>
    <w:rsid w:val="00F53C07"/>
    <w:rsid w:val="00F54B65"/>
    <w:rsid w:val="00F63DBF"/>
    <w:rsid w:val="00F640B6"/>
    <w:rsid w:val="00F66DF2"/>
    <w:rsid w:val="00F80E40"/>
    <w:rsid w:val="00F82B1C"/>
    <w:rsid w:val="00F83488"/>
    <w:rsid w:val="00F848D9"/>
    <w:rsid w:val="00F90FE7"/>
    <w:rsid w:val="00F930C5"/>
    <w:rsid w:val="00FA22BA"/>
    <w:rsid w:val="00FA33EA"/>
    <w:rsid w:val="00FA5069"/>
    <w:rsid w:val="00FA5B82"/>
    <w:rsid w:val="00FA639E"/>
    <w:rsid w:val="00FB369D"/>
    <w:rsid w:val="00FC1FCA"/>
    <w:rsid w:val="00FC25E4"/>
    <w:rsid w:val="00FC4EF7"/>
    <w:rsid w:val="00FD0824"/>
    <w:rsid w:val="00FD119B"/>
    <w:rsid w:val="00FD1EDC"/>
    <w:rsid w:val="00FE1DEE"/>
    <w:rsid w:val="00FF2126"/>
    <w:rsid w:val="00FF5755"/>
    <w:rsid w:val="00FF69BE"/>
    <w:rsid w:val="00FF7B93"/>
    <w:rsid w:val="03436BA2"/>
    <w:rsid w:val="2D6043A5"/>
    <w:rsid w:val="451FBB42"/>
    <w:rsid w:val="4D5A2E8F"/>
    <w:rsid w:val="524E6969"/>
    <w:rsid w:val="52ECDC8C"/>
    <w:rsid w:val="600E6650"/>
    <w:rsid w:val="77F358D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E60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3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paragraph" w:customStyle="1" w:styleId="Standard">
    <w:name w:val="Standard"/>
    <w:basedOn w:val="Normal"/>
    <w:link w:val="StandardChar"/>
    <w:qFormat/>
    <w:rsid w:val="00352E20"/>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352E20"/>
    <w:rPr>
      <w:rFonts w:ascii="Cambria" w:eastAsia="Times New Roman" w:hAnsi="Cambria" w:cs="Times New Roman"/>
      <w:snapToGrid w:val="0"/>
      <w:kern w:val="16"/>
      <w:sz w:val="23"/>
      <w:szCs w:val="24"/>
    </w:rPr>
  </w:style>
  <w:style w:type="paragraph" w:styleId="ListParagraph">
    <w:name w:val="List Paragraph"/>
    <w:basedOn w:val="Normal"/>
    <w:uiPriority w:val="34"/>
    <w:qFormat/>
    <w:rsid w:val="007A5A65"/>
    <w:pPr>
      <w:adjustRightInd w:val="0"/>
      <w:snapToGrid w:val="0"/>
      <w:spacing w:before="180" w:after="180"/>
      <w:ind w:left="720"/>
      <w:contextualSpacing/>
    </w:pPr>
    <w:rPr>
      <w:rFonts w:eastAsia="MS Mincho"/>
      <w:szCs w:val="20"/>
      <w:lang w:eastAsia="ja-JP"/>
    </w:rPr>
  </w:style>
  <w:style w:type="character" w:customStyle="1" w:styleId="fontstyle01">
    <w:name w:val="fontstyle01"/>
    <w:basedOn w:val="DefaultParagraphFont"/>
    <w:rsid w:val="00AE1F14"/>
    <w:rPr>
      <w:rFonts w:ascii="TimesNewRomanPS-BoldMT" w:hAnsi="TimesNewRomanPS-BoldMT" w:hint="default"/>
      <w:b/>
      <w:bCs/>
      <w:i w:val="0"/>
      <w:iCs w:val="0"/>
      <w:color w:val="000000"/>
      <w:sz w:val="36"/>
      <w:szCs w:val="36"/>
    </w:rPr>
  </w:style>
  <w:style w:type="character" w:customStyle="1" w:styleId="TableChar1">
    <w:name w:val="Table Char1"/>
    <w:link w:val="Table"/>
    <w:locked/>
    <w:rsid w:val="006B70C6"/>
    <w:rPr>
      <w:rFonts w:ascii="Arial" w:eastAsia="MS Mincho" w:hAnsi="Arial" w:cs="Arial"/>
      <w:sz w:val="20"/>
      <w:szCs w:val="24"/>
      <w:lang w:val="en-US" w:eastAsia="zh-CN"/>
    </w:rPr>
  </w:style>
  <w:style w:type="paragraph" w:customStyle="1" w:styleId="Table">
    <w:name w:val="Table"/>
    <w:aliases w:val="9 pt,10 pt  Bold,Normal + Courier New,10 pt,table text 10 pt + Arial,Bold,Normal + (Latin) Arial,(Complex) Arial"/>
    <w:basedOn w:val="Normal"/>
    <w:link w:val="TableChar1"/>
    <w:qFormat/>
    <w:rsid w:val="006B70C6"/>
    <w:pPr>
      <w:tabs>
        <w:tab w:val="left" w:pos="284"/>
      </w:tabs>
      <w:spacing w:before="40" w:after="20" w:line="240" w:lineRule="auto"/>
    </w:pPr>
    <w:rPr>
      <w:rFonts w:ascii="Arial" w:eastAsia="MS Mincho" w:hAnsi="Arial" w:cs="Arial"/>
      <w:sz w:val="20"/>
      <w:szCs w:val="24"/>
      <w:lang w:val="en-US" w:eastAsia="zh-CN"/>
    </w:rPr>
  </w:style>
  <w:style w:type="character" w:customStyle="1" w:styleId="TabletextChar">
    <w:name w:val="Table text Char"/>
    <w:basedOn w:val="StandardChar"/>
    <w:link w:val="Tabletext"/>
    <w:rsid w:val="00E67C59"/>
    <w:rPr>
      <w:rFonts w:ascii="Cambria" w:eastAsia="Cambria" w:hAnsi="Cambria" w:cs="Times New Roman"/>
      <w:snapToGrid/>
      <w:kern w:val="16"/>
      <w:sz w:val="19"/>
      <w:szCs w:val="24"/>
    </w:rPr>
  </w:style>
  <w:style w:type="paragraph" w:customStyle="1" w:styleId="Default">
    <w:name w:val="Default"/>
    <w:rsid w:val="0098218B"/>
    <w:pPr>
      <w:autoSpaceDE w:val="0"/>
      <w:autoSpaceDN w:val="0"/>
      <w:adjustRightInd w:val="0"/>
      <w:spacing w:after="0" w:line="240" w:lineRule="auto"/>
    </w:pPr>
    <w:rPr>
      <w:rFonts w:ascii="Cambria" w:hAnsi="Cambria" w:cs="Cambria"/>
      <w:color w:val="000000"/>
      <w:sz w:val="24"/>
      <w:szCs w:val="24"/>
    </w:rPr>
  </w:style>
  <w:style w:type="paragraph" w:styleId="TOC6">
    <w:name w:val="toc 6"/>
    <w:basedOn w:val="Normal"/>
    <w:next w:val="Normal"/>
    <w:autoRedefine/>
    <w:uiPriority w:val="39"/>
    <w:semiHidden/>
    <w:unhideWhenUsed/>
    <w:rsid w:val="004A7AB4"/>
    <w:pPr>
      <w:spacing w:after="100"/>
      <w:ind w:left="1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700909">
      <w:bodyDiv w:val="1"/>
      <w:marLeft w:val="0"/>
      <w:marRight w:val="0"/>
      <w:marTop w:val="0"/>
      <w:marBottom w:val="0"/>
      <w:divBdr>
        <w:top w:val="none" w:sz="0" w:space="0" w:color="auto"/>
        <w:left w:val="none" w:sz="0" w:space="0" w:color="auto"/>
        <w:bottom w:val="none" w:sz="0" w:space="0" w:color="auto"/>
        <w:right w:val="none" w:sz="0" w:space="0" w:color="auto"/>
      </w:divBdr>
    </w:div>
    <w:div w:id="80877036">
      <w:bodyDiv w:val="1"/>
      <w:marLeft w:val="0"/>
      <w:marRight w:val="0"/>
      <w:marTop w:val="0"/>
      <w:marBottom w:val="0"/>
      <w:divBdr>
        <w:top w:val="none" w:sz="0" w:space="0" w:color="auto"/>
        <w:left w:val="none" w:sz="0" w:space="0" w:color="auto"/>
        <w:bottom w:val="none" w:sz="0" w:space="0" w:color="auto"/>
        <w:right w:val="none" w:sz="0" w:space="0" w:color="auto"/>
      </w:divBdr>
    </w:div>
    <w:div w:id="188031719">
      <w:bodyDiv w:val="1"/>
      <w:marLeft w:val="0"/>
      <w:marRight w:val="0"/>
      <w:marTop w:val="0"/>
      <w:marBottom w:val="0"/>
      <w:divBdr>
        <w:top w:val="none" w:sz="0" w:space="0" w:color="auto"/>
        <w:left w:val="none" w:sz="0" w:space="0" w:color="auto"/>
        <w:bottom w:val="none" w:sz="0" w:space="0" w:color="auto"/>
        <w:right w:val="none" w:sz="0" w:space="0" w:color="auto"/>
      </w:divBdr>
    </w:div>
    <w:div w:id="199710123">
      <w:bodyDiv w:val="1"/>
      <w:marLeft w:val="0"/>
      <w:marRight w:val="0"/>
      <w:marTop w:val="0"/>
      <w:marBottom w:val="0"/>
      <w:divBdr>
        <w:top w:val="none" w:sz="0" w:space="0" w:color="auto"/>
        <w:left w:val="none" w:sz="0" w:space="0" w:color="auto"/>
        <w:bottom w:val="none" w:sz="0" w:space="0" w:color="auto"/>
        <w:right w:val="none" w:sz="0" w:space="0" w:color="auto"/>
      </w:divBdr>
    </w:div>
    <w:div w:id="258829115">
      <w:bodyDiv w:val="1"/>
      <w:marLeft w:val="0"/>
      <w:marRight w:val="0"/>
      <w:marTop w:val="0"/>
      <w:marBottom w:val="0"/>
      <w:divBdr>
        <w:top w:val="none" w:sz="0" w:space="0" w:color="auto"/>
        <w:left w:val="none" w:sz="0" w:space="0" w:color="auto"/>
        <w:bottom w:val="none" w:sz="0" w:space="0" w:color="auto"/>
        <w:right w:val="none" w:sz="0" w:space="0" w:color="auto"/>
      </w:divBdr>
    </w:div>
    <w:div w:id="390420116">
      <w:bodyDiv w:val="1"/>
      <w:marLeft w:val="0"/>
      <w:marRight w:val="0"/>
      <w:marTop w:val="0"/>
      <w:marBottom w:val="0"/>
      <w:divBdr>
        <w:top w:val="none" w:sz="0" w:space="0" w:color="auto"/>
        <w:left w:val="none" w:sz="0" w:space="0" w:color="auto"/>
        <w:bottom w:val="none" w:sz="0" w:space="0" w:color="auto"/>
        <w:right w:val="none" w:sz="0" w:space="0" w:color="auto"/>
      </w:divBdr>
    </w:div>
    <w:div w:id="408770669">
      <w:bodyDiv w:val="1"/>
      <w:marLeft w:val="0"/>
      <w:marRight w:val="0"/>
      <w:marTop w:val="0"/>
      <w:marBottom w:val="0"/>
      <w:divBdr>
        <w:top w:val="none" w:sz="0" w:space="0" w:color="auto"/>
        <w:left w:val="none" w:sz="0" w:space="0" w:color="auto"/>
        <w:bottom w:val="none" w:sz="0" w:space="0" w:color="auto"/>
        <w:right w:val="none" w:sz="0" w:space="0" w:color="auto"/>
      </w:divBdr>
    </w:div>
    <w:div w:id="414519914">
      <w:bodyDiv w:val="1"/>
      <w:marLeft w:val="0"/>
      <w:marRight w:val="0"/>
      <w:marTop w:val="0"/>
      <w:marBottom w:val="0"/>
      <w:divBdr>
        <w:top w:val="none" w:sz="0" w:space="0" w:color="auto"/>
        <w:left w:val="none" w:sz="0" w:space="0" w:color="auto"/>
        <w:bottom w:val="none" w:sz="0" w:space="0" w:color="auto"/>
        <w:right w:val="none" w:sz="0" w:space="0" w:color="auto"/>
      </w:divBdr>
    </w:div>
    <w:div w:id="471872189">
      <w:bodyDiv w:val="1"/>
      <w:marLeft w:val="0"/>
      <w:marRight w:val="0"/>
      <w:marTop w:val="0"/>
      <w:marBottom w:val="0"/>
      <w:divBdr>
        <w:top w:val="none" w:sz="0" w:space="0" w:color="auto"/>
        <w:left w:val="none" w:sz="0" w:space="0" w:color="auto"/>
        <w:bottom w:val="none" w:sz="0" w:space="0" w:color="auto"/>
        <w:right w:val="none" w:sz="0" w:space="0" w:color="auto"/>
      </w:divBdr>
    </w:div>
    <w:div w:id="477721006">
      <w:bodyDiv w:val="1"/>
      <w:marLeft w:val="0"/>
      <w:marRight w:val="0"/>
      <w:marTop w:val="0"/>
      <w:marBottom w:val="0"/>
      <w:divBdr>
        <w:top w:val="none" w:sz="0" w:space="0" w:color="auto"/>
        <w:left w:val="none" w:sz="0" w:space="0" w:color="auto"/>
        <w:bottom w:val="none" w:sz="0" w:space="0" w:color="auto"/>
        <w:right w:val="none" w:sz="0" w:space="0" w:color="auto"/>
      </w:divBdr>
    </w:div>
    <w:div w:id="583808211">
      <w:bodyDiv w:val="1"/>
      <w:marLeft w:val="0"/>
      <w:marRight w:val="0"/>
      <w:marTop w:val="0"/>
      <w:marBottom w:val="0"/>
      <w:divBdr>
        <w:top w:val="none" w:sz="0" w:space="0" w:color="auto"/>
        <w:left w:val="none" w:sz="0" w:space="0" w:color="auto"/>
        <w:bottom w:val="none" w:sz="0" w:space="0" w:color="auto"/>
        <w:right w:val="none" w:sz="0" w:space="0" w:color="auto"/>
      </w:divBdr>
    </w:div>
    <w:div w:id="774441885">
      <w:bodyDiv w:val="1"/>
      <w:marLeft w:val="0"/>
      <w:marRight w:val="0"/>
      <w:marTop w:val="0"/>
      <w:marBottom w:val="0"/>
      <w:divBdr>
        <w:top w:val="none" w:sz="0" w:space="0" w:color="auto"/>
        <w:left w:val="none" w:sz="0" w:space="0" w:color="auto"/>
        <w:bottom w:val="none" w:sz="0" w:space="0" w:color="auto"/>
        <w:right w:val="none" w:sz="0" w:space="0" w:color="auto"/>
      </w:divBdr>
    </w:div>
    <w:div w:id="778796583">
      <w:bodyDiv w:val="1"/>
      <w:marLeft w:val="0"/>
      <w:marRight w:val="0"/>
      <w:marTop w:val="0"/>
      <w:marBottom w:val="0"/>
      <w:divBdr>
        <w:top w:val="none" w:sz="0" w:space="0" w:color="auto"/>
        <w:left w:val="none" w:sz="0" w:space="0" w:color="auto"/>
        <w:bottom w:val="none" w:sz="0" w:space="0" w:color="auto"/>
        <w:right w:val="none" w:sz="0" w:space="0" w:color="auto"/>
      </w:divBdr>
    </w:div>
    <w:div w:id="804851910">
      <w:bodyDiv w:val="1"/>
      <w:marLeft w:val="0"/>
      <w:marRight w:val="0"/>
      <w:marTop w:val="0"/>
      <w:marBottom w:val="0"/>
      <w:divBdr>
        <w:top w:val="none" w:sz="0" w:space="0" w:color="auto"/>
        <w:left w:val="none" w:sz="0" w:space="0" w:color="auto"/>
        <w:bottom w:val="none" w:sz="0" w:space="0" w:color="auto"/>
        <w:right w:val="none" w:sz="0" w:space="0" w:color="auto"/>
      </w:divBdr>
    </w:div>
    <w:div w:id="824394716">
      <w:bodyDiv w:val="1"/>
      <w:marLeft w:val="0"/>
      <w:marRight w:val="0"/>
      <w:marTop w:val="0"/>
      <w:marBottom w:val="0"/>
      <w:divBdr>
        <w:top w:val="none" w:sz="0" w:space="0" w:color="auto"/>
        <w:left w:val="none" w:sz="0" w:space="0" w:color="auto"/>
        <w:bottom w:val="none" w:sz="0" w:space="0" w:color="auto"/>
        <w:right w:val="none" w:sz="0" w:space="0" w:color="auto"/>
      </w:divBdr>
    </w:div>
    <w:div w:id="879051961">
      <w:bodyDiv w:val="1"/>
      <w:marLeft w:val="0"/>
      <w:marRight w:val="0"/>
      <w:marTop w:val="0"/>
      <w:marBottom w:val="0"/>
      <w:divBdr>
        <w:top w:val="none" w:sz="0" w:space="0" w:color="auto"/>
        <w:left w:val="none" w:sz="0" w:space="0" w:color="auto"/>
        <w:bottom w:val="none" w:sz="0" w:space="0" w:color="auto"/>
        <w:right w:val="none" w:sz="0" w:space="0" w:color="auto"/>
      </w:divBdr>
    </w:div>
    <w:div w:id="936909017">
      <w:bodyDiv w:val="1"/>
      <w:marLeft w:val="0"/>
      <w:marRight w:val="0"/>
      <w:marTop w:val="0"/>
      <w:marBottom w:val="0"/>
      <w:divBdr>
        <w:top w:val="none" w:sz="0" w:space="0" w:color="auto"/>
        <w:left w:val="none" w:sz="0" w:space="0" w:color="auto"/>
        <w:bottom w:val="none" w:sz="0" w:space="0" w:color="auto"/>
        <w:right w:val="none" w:sz="0" w:space="0" w:color="auto"/>
      </w:divBdr>
    </w:div>
    <w:div w:id="977492813">
      <w:bodyDiv w:val="1"/>
      <w:marLeft w:val="0"/>
      <w:marRight w:val="0"/>
      <w:marTop w:val="0"/>
      <w:marBottom w:val="0"/>
      <w:divBdr>
        <w:top w:val="none" w:sz="0" w:space="0" w:color="auto"/>
        <w:left w:val="none" w:sz="0" w:space="0" w:color="auto"/>
        <w:bottom w:val="none" w:sz="0" w:space="0" w:color="auto"/>
        <w:right w:val="none" w:sz="0" w:space="0" w:color="auto"/>
      </w:divBdr>
    </w:div>
    <w:div w:id="1202474815">
      <w:bodyDiv w:val="1"/>
      <w:marLeft w:val="0"/>
      <w:marRight w:val="0"/>
      <w:marTop w:val="0"/>
      <w:marBottom w:val="0"/>
      <w:divBdr>
        <w:top w:val="none" w:sz="0" w:space="0" w:color="auto"/>
        <w:left w:val="none" w:sz="0" w:space="0" w:color="auto"/>
        <w:bottom w:val="none" w:sz="0" w:space="0" w:color="auto"/>
        <w:right w:val="none" w:sz="0" w:space="0" w:color="auto"/>
      </w:divBdr>
      <w:divsChild>
        <w:div w:id="567498998">
          <w:marLeft w:val="274"/>
          <w:marRight w:val="0"/>
          <w:marTop w:val="0"/>
          <w:marBottom w:val="0"/>
          <w:divBdr>
            <w:top w:val="none" w:sz="0" w:space="0" w:color="auto"/>
            <w:left w:val="none" w:sz="0" w:space="0" w:color="auto"/>
            <w:bottom w:val="none" w:sz="0" w:space="0" w:color="auto"/>
            <w:right w:val="none" w:sz="0" w:space="0" w:color="auto"/>
          </w:divBdr>
        </w:div>
        <w:div w:id="1489325233">
          <w:marLeft w:val="274"/>
          <w:marRight w:val="0"/>
          <w:marTop w:val="0"/>
          <w:marBottom w:val="0"/>
          <w:divBdr>
            <w:top w:val="none" w:sz="0" w:space="0" w:color="auto"/>
            <w:left w:val="none" w:sz="0" w:space="0" w:color="auto"/>
            <w:bottom w:val="none" w:sz="0" w:space="0" w:color="auto"/>
            <w:right w:val="none" w:sz="0" w:space="0" w:color="auto"/>
          </w:divBdr>
        </w:div>
      </w:divsChild>
    </w:div>
    <w:div w:id="1207135631">
      <w:bodyDiv w:val="1"/>
      <w:marLeft w:val="0"/>
      <w:marRight w:val="0"/>
      <w:marTop w:val="0"/>
      <w:marBottom w:val="0"/>
      <w:divBdr>
        <w:top w:val="none" w:sz="0" w:space="0" w:color="auto"/>
        <w:left w:val="none" w:sz="0" w:space="0" w:color="auto"/>
        <w:bottom w:val="none" w:sz="0" w:space="0" w:color="auto"/>
        <w:right w:val="none" w:sz="0" w:space="0" w:color="auto"/>
      </w:divBdr>
    </w:div>
    <w:div w:id="1209563029">
      <w:bodyDiv w:val="1"/>
      <w:marLeft w:val="0"/>
      <w:marRight w:val="0"/>
      <w:marTop w:val="0"/>
      <w:marBottom w:val="0"/>
      <w:divBdr>
        <w:top w:val="none" w:sz="0" w:space="0" w:color="auto"/>
        <w:left w:val="none" w:sz="0" w:space="0" w:color="auto"/>
        <w:bottom w:val="none" w:sz="0" w:space="0" w:color="auto"/>
        <w:right w:val="none" w:sz="0" w:space="0" w:color="auto"/>
      </w:divBdr>
    </w:div>
    <w:div w:id="1248155759">
      <w:bodyDiv w:val="1"/>
      <w:marLeft w:val="0"/>
      <w:marRight w:val="0"/>
      <w:marTop w:val="0"/>
      <w:marBottom w:val="0"/>
      <w:divBdr>
        <w:top w:val="none" w:sz="0" w:space="0" w:color="auto"/>
        <w:left w:val="none" w:sz="0" w:space="0" w:color="auto"/>
        <w:bottom w:val="none" w:sz="0" w:space="0" w:color="auto"/>
        <w:right w:val="none" w:sz="0" w:space="0" w:color="auto"/>
      </w:divBdr>
    </w:div>
    <w:div w:id="1288049686">
      <w:bodyDiv w:val="1"/>
      <w:marLeft w:val="0"/>
      <w:marRight w:val="0"/>
      <w:marTop w:val="0"/>
      <w:marBottom w:val="0"/>
      <w:divBdr>
        <w:top w:val="none" w:sz="0" w:space="0" w:color="auto"/>
        <w:left w:val="none" w:sz="0" w:space="0" w:color="auto"/>
        <w:bottom w:val="none" w:sz="0" w:space="0" w:color="auto"/>
        <w:right w:val="none" w:sz="0" w:space="0" w:color="auto"/>
      </w:divBdr>
    </w:div>
    <w:div w:id="1292593085">
      <w:bodyDiv w:val="1"/>
      <w:marLeft w:val="0"/>
      <w:marRight w:val="0"/>
      <w:marTop w:val="0"/>
      <w:marBottom w:val="0"/>
      <w:divBdr>
        <w:top w:val="none" w:sz="0" w:space="0" w:color="auto"/>
        <w:left w:val="none" w:sz="0" w:space="0" w:color="auto"/>
        <w:bottom w:val="none" w:sz="0" w:space="0" w:color="auto"/>
        <w:right w:val="none" w:sz="0" w:space="0" w:color="auto"/>
      </w:divBdr>
    </w:div>
    <w:div w:id="1367556776">
      <w:bodyDiv w:val="1"/>
      <w:marLeft w:val="0"/>
      <w:marRight w:val="0"/>
      <w:marTop w:val="0"/>
      <w:marBottom w:val="0"/>
      <w:divBdr>
        <w:top w:val="none" w:sz="0" w:space="0" w:color="auto"/>
        <w:left w:val="none" w:sz="0" w:space="0" w:color="auto"/>
        <w:bottom w:val="none" w:sz="0" w:space="0" w:color="auto"/>
        <w:right w:val="none" w:sz="0" w:space="0" w:color="auto"/>
      </w:divBdr>
    </w:div>
    <w:div w:id="1411931053">
      <w:bodyDiv w:val="1"/>
      <w:marLeft w:val="0"/>
      <w:marRight w:val="0"/>
      <w:marTop w:val="0"/>
      <w:marBottom w:val="0"/>
      <w:divBdr>
        <w:top w:val="none" w:sz="0" w:space="0" w:color="auto"/>
        <w:left w:val="none" w:sz="0" w:space="0" w:color="auto"/>
        <w:bottom w:val="none" w:sz="0" w:space="0" w:color="auto"/>
        <w:right w:val="none" w:sz="0" w:space="0" w:color="auto"/>
      </w:divBdr>
    </w:div>
    <w:div w:id="1518881947">
      <w:bodyDiv w:val="1"/>
      <w:marLeft w:val="0"/>
      <w:marRight w:val="0"/>
      <w:marTop w:val="0"/>
      <w:marBottom w:val="0"/>
      <w:divBdr>
        <w:top w:val="none" w:sz="0" w:space="0" w:color="auto"/>
        <w:left w:val="none" w:sz="0" w:space="0" w:color="auto"/>
        <w:bottom w:val="none" w:sz="0" w:space="0" w:color="auto"/>
        <w:right w:val="none" w:sz="0" w:space="0" w:color="auto"/>
      </w:divBdr>
    </w:div>
    <w:div w:id="1639531633">
      <w:bodyDiv w:val="1"/>
      <w:marLeft w:val="0"/>
      <w:marRight w:val="0"/>
      <w:marTop w:val="0"/>
      <w:marBottom w:val="0"/>
      <w:divBdr>
        <w:top w:val="none" w:sz="0" w:space="0" w:color="auto"/>
        <w:left w:val="none" w:sz="0" w:space="0" w:color="auto"/>
        <w:bottom w:val="none" w:sz="0" w:space="0" w:color="auto"/>
        <w:right w:val="none" w:sz="0" w:space="0" w:color="auto"/>
      </w:divBdr>
    </w:div>
    <w:div w:id="1672950320">
      <w:bodyDiv w:val="1"/>
      <w:marLeft w:val="0"/>
      <w:marRight w:val="0"/>
      <w:marTop w:val="0"/>
      <w:marBottom w:val="0"/>
      <w:divBdr>
        <w:top w:val="none" w:sz="0" w:space="0" w:color="auto"/>
        <w:left w:val="none" w:sz="0" w:space="0" w:color="auto"/>
        <w:bottom w:val="none" w:sz="0" w:space="0" w:color="auto"/>
        <w:right w:val="none" w:sz="0" w:space="0" w:color="auto"/>
      </w:divBdr>
    </w:div>
    <w:div w:id="1777287554">
      <w:bodyDiv w:val="1"/>
      <w:marLeft w:val="0"/>
      <w:marRight w:val="0"/>
      <w:marTop w:val="0"/>
      <w:marBottom w:val="0"/>
      <w:divBdr>
        <w:top w:val="none" w:sz="0" w:space="0" w:color="auto"/>
        <w:left w:val="none" w:sz="0" w:space="0" w:color="auto"/>
        <w:bottom w:val="none" w:sz="0" w:space="0" w:color="auto"/>
        <w:right w:val="none" w:sz="0" w:space="0" w:color="auto"/>
      </w:divBdr>
    </w:div>
    <w:div w:id="1854371053">
      <w:bodyDiv w:val="1"/>
      <w:marLeft w:val="0"/>
      <w:marRight w:val="0"/>
      <w:marTop w:val="0"/>
      <w:marBottom w:val="0"/>
      <w:divBdr>
        <w:top w:val="none" w:sz="0" w:space="0" w:color="auto"/>
        <w:left w:val="none" w:sz="0" w:space="0" w:color="auto"/>
        <w:bottom w:val="none" w:sz="0" w:space="0" w:color="auto"/>
        <w:right w:val="none" w:sz="0" w:space="0" w:color="auto"/>
      </w:divBdr>
    </w:div>
    <w:div w:id="1917133236">
      <w:bodyDiv w:val="1"/>
      <w:marLeft w:val="0"/>
      <w:marRight w:val="0"/>
      <w:marTop w:val="0"/>
      <w:marBottom w:val="0"/>
      <w:divBdr>
        <w:top w:val="none" w:sz="0" w:space="0" w:color="auto"/>
        <w:left w:val="none" w:sz="0" w:space="0" w:color="auto"/>
        <w:bottom w:val="none" w:sz="0" w:space="0" w:color="auto"/>
        <w:right w:val="none" w:sz="0" w:space="0" w:color="auto"/>
      </w:divBdr>
    </w:div>
    <w:div w:id="1978534690">
      <w:bodyDiv w:val="1"/>
      <w:marLeft w:val="0"/>
      <w:marRight w:val="0"/>
      <w:marTop w:val="0"/>
      <w:marBottom w:val="0"/>
      <w:divBdr>
        <w:top w:val="none" w:sz="0" w:space="0" w:color="auto"/>
        <w:left w:val="none" w:sz="0" w:space="0" w:color="auto"/>
        <w:bottom w:val="none" w:sz="0" w:space="0" w:color="auto"/>
        <w:right w:val="none" w:sz="0" w:space="0" w:color="auto"/>
      </w:divBdr>
    </w:div>
    <w:div w:id="2070611274">
      <w:bodyDiv w:val="1"/>
      <w:marLeft w:val="0"/>
      <w:marRight w:val="0"/>
      <w:marTop w:val="0"/>
      <w:marBottom w:val="0"/>
      <w:divBdr>
        <w:top w:val="none" w:sz="0" w:space="0" w:color="auto"/>
        <w:left w:val="none" w:sz="0" w:space="0" w:color="auto"/>
        <w:bottom w:val="none" w:sz="0" w:space="0" w:color="auto"/>
        <w:right w:val="none" w:sz="0" w:space="0" w:color="auto"/>
      </w:divBdr>
    </w:div>
    <w:div w:id="2126003365">
      <w:bodyDiv w:val="1"/>
      <w:marLeft w:val="0"/>
      <w:marRight w:val="0"/>
      <w:marTop w:val="0"/>
      <w:marBottom w:val="0"/>
      <w:divBdr>
        <w:top w:val="none" w:sz="0" w:space="0" w:color="auto"/>
        <w:left w:val="none" w:sz="0" w:space="0" w:color="auto"/>
        <w:bottom w:val="none" w:sz="0" w:space="0" w:color="auto"/>
        <w:right w:val="none" w:sz="0" w:space="0" w:color="auto"/>
      </w:divBdr>
    </w:div>
    <w:div w:id="212896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oter" Target="footer2.xml"/><Relationship Id="rId68"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ga.gov.au/product-information-pi"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emf"/><Relationship Id="rId61"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eader" Target="header3.xml"/><Relationship Id="rId65" Type="http://schemas.openxmlformats.org/officeDocument/2006/relationships/hyperlink" Target="https://www.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emf"/><Relationship Id="rId64" Type="http://schemas.openxmlformats.org/officeDocument/2006/relationships/hyperlink" Target="mailto:info@tga.gov.au" TargetMode="External"/><Relationship Id="rId69"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tga.copyright@tga.gov.au"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www.tga.gov.au/product-information-pi" TargetMode="External"/><Relationship Id="rId67" Type="http://schemas.openxmlformats.org/officeDocument/2006/relationships/header" Target="header7.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eader" Target="header5.xml"/><Relationship Id="rId70"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committee/advisory-committee-medicines-ac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1FF985CC1803146AC813329A6A9F454" ma:contentTypeVersion="14" ma:contentTypeDescription="Create a new document." ma:contentTypeScope="" ma:versionID="dce3779f8ad4fc021c72f77e6ce7a664">
  <xsd:schema xmlns:xsd="http://www.w3.org/2001/XMLSchema" xmlns:xs="http://www.w3.org/2001/XMLSchema" xmlns:p="http://schemas.microsoft.com/office/2006/metadata/properties" xmlns:ns3="42bc80a6-e70b-46da-8b58-190d1ea7ee19" xmlns:ns4="1e90b97f-f98f-46ec-af61-d68eab596442" targetNamespace="http://schemas.microsoft.com/office/2006/metadata/properties" ma:root="true" ma:fieldsID="672eb3045a5bb998ca04b30f6c2e1430" ns3:_="" ns4:_="">
    <xsd:import namespace="42bc80a6-e70b-46da-8b58-190d1ea7ee19"/>
    <xsd:import namespace="1e90b97f-f98f-46ec-af61-d68eab59644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bc80a6-e70b-46da-8b58-190d1ea7e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90b97f-f98f-46ec-af61-d68eab5964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749F94-B682-4CF2-A47A-080112AE0B98}">
  <ds:schemaRefs>
    <ds:schemaRef ds:uri="http://schemas.openxmlformats.org/officeDocument/2006/bibliography"/>
  </ds:schemaRefs>
</ds:datastoreItem>
</file>

<file path=customXml/itemProps2.xml><?xml version="1.0" encoding="utf-8"?>
<ds:datastoreItem xmlns:ds="http://schemas.openxmlformats.org/officeDocument/2006/customXml" ds:itemID="{67B77A46-8DB0-4BF8-856D-130810527C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394DA1C-BA28-465C-B6C0-0FC4A888527E}">
  <ds:schemaRefs>
    <ds:schemaRef ds:uri="http://schemas.microsoft.com/sharepoint/v3/contenttype/forms"/>
  </ds:schemaRefs>
</ds:datastoreItem>
</file>

<file path=customXml/itemProps4.xml><?xml version="1.0" encoding="utf-8"?>
<ds:datastoreItem xmlns:ds="http://schemas.openxmlformats.org/officeDocument/2006/customXml" ds:itemID="{1B9E4A1F-D6D7-49A4-89A9-B5B551398D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bc80a6-e70b-46da-8b58-190d1ea7ee19"/>
    <ds:schemaRef ds:uri="1e90b97f-f98f-46ec-af61-d68eab5964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17385</Words>
  <Characters>99098</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Inclisiran</dc:title>
  <dc:subject>prescription medicines</dc:subject>
  <dc:creator/>
  <cp:keywords/>
  <cp:lastModifiedBy/>
  <cp:revision>1</cp:revision>
  <dcterms:created xsi:type="dcterms:W3CDTF">2022-03-31T04:27:00Z</dcterms:created>
  <dcterms:modified xsi:type="dcterms:W3CDTF">2022-04-20T04:24:00Z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2022-03-18T02:30:44Z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8949346a-36a2-44db-989f-7e08ffc186e1</vt:lpwstr>
  </property>
  <property fmtid="{D5CDD505-2E9C-101B-9397-08002B2CF9AE}" pid="8" name="MSIP_Label_3c9bec58-8084-492e-8360-0e1cfe36408c_ContentBits">
    <vt:lpwstr>0</vt:lpwstr>
  </property>
  <property fmtid="{D5CDD505-2E9C-101B-9397-08002B2CF9AE}" pid="9" name="ContentTypeId">
    <vt:lpwstr>0x01010041FF985CC1803146AC813329A6A9F454</vt:lpwstr>
  </property>
</Properties>
</file>