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4B01887" w14:textId="77777777" w:rsidTr="00BF1190">
        <w:trPr>
          <w:trHeight w:val="1863"/>
        </w:trPr>
        <w:tc>
          <w:tcPr>
            <w:tcW w:w="3652" w:type="dxa"/>
            <w:tcBorders>
              <w:top w:val="nil"/>
              <w:left w:val="nil"/>
              <w:bottom w:val="nil"/>
              <w:right w:val="nil"/>
            </w:tcBorders>
          </w:tcPr>
          <w:p w14:paraId="355C6589" w14:textId="77777777" w:rsidR="008E7846" w:rsidRPr="00096AA7" w:rsidRDefault="008841C2" w:rsidP="00096AA7">
            <w:pPr>
              <w:rPr>
                <w:rFonts w:ascii="Arial" w:hAnsi="Arial" w:cs="Arial"/>
                <w:b/>
                <w:color w:val="002C47"/>
                <w:sz w:val="36"/>
                <w:szCs w:val="36"/>
              </w:rPr>
            </w:pPr>
            <w:bookmarkStart w:id="0" w:name="_GoBack"/>
            <w:bookmarkEnd w:id="0"/>
            <w:r>
              <w:rPr>
                <w:rFonts w:ascii="Arial" w:hAnsi="Arial" w:cs="Arial"/>
                <w:b/>
                <w:color w:val="002C47"/>
                <w:sz w:val="36"/>
                <w:szCs w:val="36"/>
              </w:rPr>
              <w:t>November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7EF02B9" w14:textId="77777777" w:rsidTr="0032583B">
        <w:trPr>
          <w:trHeight w:val="868"/>
        </w:trPr>
        <w:tc>
          <w:tcPr>
            <w:tcW w:w="9079" w:type="dxa"/>
          </w:tcPr>
          <w:p w14:paraId="62A9D220" w14:textId="71DE4091" w:rsidR="0032583B" w:rsidRPr="00A964D1" w:rsidRDefault="0032583B" w:rsidP="008841C2">
            <w:pPr>
              <w:pStyle w:val="Title"/>
              <w:rPr>
                <w:color w:val="FFFFFF" w:themeColor="background1"/>
              </w:rPr>
            </w:pPr>
            <w:r w:rsidRPr="00A964D1">
              <w:rPr>
                <w:color w:val="FFFFFF" w:themeColor="background1"/>
              </w:rPr>
              <w:t xml:space="preserve">Australian Public Assessment Report for </w:t>
            </w:r>
            <w:r w:rsidR="000C738B">
              <w:rPr>
                <w:color w:val="FFFFFF" w:themeColor="background1"/>
              </w:rPr>
              <w:t>I</w:t>
            </w:r>
            <w:r w:rsidR="008841C2" w:rsidRPr="008841C2">
              <w:rPr>
                <w:color w:val="FFFFFF" w:themeColor="background1"/>
              </w:rPr>
              <w:t>nactivated q</w:t>
            </w:r>
            <w:r w:rsidR="008841C2">
              <w:rPr>
                <w:color w:val="FFFFFF" w:themeColor="background1"/>
              </w:rPr>
              <w:t>uadrivalent influenza vaccine (split v</w:t>
            </w:r>
            <w:r w:rsidR="008841C2" w:rsidRPr="008841C2">
              <w:rPr>
                <w:color w:val="FFFFFF" w:themeColor="background1"/>
              </w:rPr>
              <w:t>irion) influenza virus</w:t>
            </w:r>
            <w:r w:rsidR="008841C2">
              <w:rPr>
                <w:color w:val="FFFFFF" w:themeColor="background1"/>
              </w:rPr>
              <w:t xml:space="preserve"> h</w:t>
            </w:r>
            <w:r w:rsidR="008841C2" w:rsidRPr="008841C2">
              <w:rPr>
                <w:color w:val="FFFFFF" w:themeColor="background1"/>
              </w:rPr>
              <w:t>aemagglutinin</w:t>
            </w:r>
          </w:p>
        </w:tc>
      </w:tr>
      <w:tr w:rsidR="0032583B" w:rsidRPr="00B64760" w14:paraId="48B2BA35" w14:textId="77777777" w:rsidTr="0032583B">
        <w:tc>
          <w:tcPr>
            <w:tcW w:w="9079" w:type="dxa"/>
          </w:tcPr>
          <w:p w14:paraId="174838AB" w14:textId="77777777" w:rsidR="0032583B" w:rsidRPr="008E7846" w:rsidRDefault="0032583B" w:rsidP="00460036">
            <w:pPr>
              <w:pStyle w:val="Subtitle"/>
              <w:rPr>
                <w:color w:val="FFFFFF" w:themeColor="background1"/>
              </w:rPr>
            </w:pPr>
            <w:r w:rsidRPr="008E7846">
              <w:rPr>
                <w:color w:val="FFFFFF" w:themeColor="background1"/>
              </w:rPr>
              <w:t xml:space="preserve">Proprietary Product Name: </w:t>
            </w:r>
            <w:r w:rsidR="008841C2" w:rsidRPr="008841C2">
              <w:rPr>
                <w:color w:val="FFFFFF" w:themeColor="background1"/>
              </w:rPr>
              <w:t>Fluzone High-Dose Quadrivalent</w:t>
            </w:r>
          </w:p>
        </w:tc>
      </w:tr>
      <w:tr w:rsidR="0032583B" w:rsidRPr="00B64760" w14:paraId="5696E5AE" w14:textId="77777777" w:rsidTr="0032583B">
        <w:trPr>
          <w:trHeight w:val="486"/>
        </w:trPr>
        <w:tc>
          <w:tcPr>
            <w:tcW w:w="9079" w:type="dxa"/>
          </w:tcPr>
          <w:p w14:paraId="0B9E650A" w14:textId="77777777" w:rsidR="0032583B" w:rsidRPr="008E7846" w:rsidRDefault="008841C2" w:rsidP="0032583B">
            <w:pPr>
              <w:pStyle w:val="Subtitle"/>
              <w:rPr>
                <w:color w:val="FFFFFF" w:themeColor="background1"/>
              </w:rPr>
            </w:pPr>
            <w:r>
              <w:rPr>
                <w:color w:val="FFFFFF" w:themeColor="background1"/>
              </w:rPr>
              <w:t>Sponsor: Sanofi-Aventis Pty Ltd</w:t>
            </w:r>
          </w:p>
        </w:tc>
      </w:tr>
    </w:tbl>
    <w:p w14:paraId="75F63520" w14:textId="77777777" w:rsidR="008E7846" w:rsidRPr="0085156D" w:rsidRDefault="008E7846" w:rsidP="0085156D">
      <w:r w:rsidRPr="0085156D">
        <w:br w:type="page"/>
      </w:r>
    </w:p>
    <w:p w14:paraId="01610291" w14:textId="77777777" w:rsidR="008E7846" w:rsidRPr="001F6CBA" w:rsidRDefault="008E7846" w:rsidP="008E7846">
      <w:pPr>
        <w:pStyle w:val="NonTOCHeading2"/>
      </w:pPr>
      <w:r w:rsidRPr="001F6CBA">
        <w:lastRenderedPageBreak/>
        <w:t>About the Therapeutic Goods Administration (TGA)</w:t>
      </w:r>
    </w:p>
    <w:p w14:paraId="01AC248F" w14:textId="77777777" w:rsidR="008E7846" w:rsidRPr="00844094" w:rsidRDefault="008E7846" w:rsidP="00844094">
      <w:pPr>
        <w:pStyle w:val="ListBullet"/>
      </w:pPr>
      <w:r w:rsidRPr="00844094">
        <w:t xml:space="preserve">The Therapeutic Goods Administration (TGA) is </w:t>
      </w:r>
      <w:r w:rsidR="00E624A5" w:rsidRPr="00844094">
        <w:t xml:space="preserve">part </w:t>
      </w:r>
      <w:r w:rsidRPr="00844094">
        <w:t>of the Australian Government Department of Health and is responsible for regulating medicines and medical devices.</w:t>
      </w:r>
    </w:p>
    <w:p w14:paraId="4403380C" w14:textId="77777777" w:rsidR="008E7846" w:rsidRDefault="00C80137" w:rsidP="00844094">
      <w:pPr>
        <w:pStyle w:val="ListBullet"/>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4A8A0F3E" w14:textId="77777777" w:rsidR="008E7846" w:rsidRDefault="008E7846" w:rsidP="00844094">
      <w:pPr>
        <w:pStyle w:val="ListBullet"/>
      </w:pPr>
      <w:r>
        <w:t>The work of the TGA is based on applying scientific and clinical expertise to decision-making, to ensure that the benefits to consumers outweigh any risks associated with the use of medicines and medical devices.</w:t>
      </w:r>
    </w:p>
    <w:p w14:paraId="2D7797D0" w14:textId="77777777" w:rsidR="008E7846" w:rsidRDefault="008E7846" w:rsidP="00844094">
      <w:pPr>
        <w:pStyle w:val="ListBullet"/>
      </w:pPr>
      <w:r>
        <w:t>The TGA relies on the public, healthcare professionals and industry to report problems with medicines or medical devices. TGA investigates reports received by it to determine any necessary regulatory action.</w:t>
      </w:r>
    </w:p>
    <w:p w14:paraId="6007DBAE" w14:textId="1F768753" w:rsidR="00441C3F" w:rsidRDefault="008E7846" w:rsidP="00844094">
      <w:pPr>
        <w:pStyle w:val="ListBullet"/>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2883893D" w14:textId="77777777" w:rsidR="008E7846" w:rsidRDefault="008E7846" w:rsidP="00875A6B">
      <w:pPr>
        <w:pStyle w:val="NonTOCHeading2"/>
      </w:pPr>
      <w:r>
        <w:t>About AusPARs</w:t>
      </w:r>
    </w:p>
    <w:p w14:paraId="5934B9A2" w14:textId="77777777" w:rsidR="008E7846" w:rsidRDefault="008E7846" w:rsidP="00844094">
      <w:pPr>
        <w:pStyle w:val="ListBullet"/>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56C258D6" w14:textId="77777777" w:rsidR="008E7846" w:rsidRDefault="008E7846" w:rsidP="00844094">
      <w:pPr>
        <w:pStyle w:val="ListBullet"/>
      </w:pPr>
      <w:r>
        <w:t>AusPARs are prepared and published by the TGA.</w:t>
      </w:r>
    </w:p>
    <w:p w14:paraId="78D6F38A" w14:textId="77777777" w:rsidR="008E7846" w:rsidRDefault="008E7846" w:rsidP="00844094">
      <w:pPr>
        <w:pStyle w:val="ListBullet"/>
      </w:pPr>
      <w:r>
        <w:t>An AusPAR is prepared for submissions that relate to new chemical entities, generic medicines, major variations and extensions of indications.</w:t>
      </w:r>
    </w:p>
    <w:p w14:paraId="6949E141" w14:textId="77777777" w:rsidR="008E7846" w:rsidRDefault="008E7846" w:rsidP="00844094">
      <w:pPr>
        <w:pStyle w:val="ListBullet"/>
      </w:pPr>
      <w:r>
        <w:t>An AusPAR is a static document</w:t>
      </w:r>
      <w:r w:rsidR="00133A1B">
        <w:t>;</w:t>
      </w:r>
      <w:r>
        <w:t xml:space="preserve"> it provide</w:t>
      </w:r>
      <w:r w:rsidR="00133A1B">
        <w:t>s</w:t>
      </w:r>
      <w:r>
        <w:t xml:space="preserve"> information that relates to a submission at a particular point in time.</w:t>
      </w:r>
    </w:p>
    <w:p w14:paraId="525358A6" w14:textId="77777777" w:rsidR="00B452CE" w:rsidRDefault="008E7846" w:rsidP="00844094">
      <w:pPr>
        <w:pStyle w:val="ListBullet"/>
      </w:pPr>
      <w:r>
        <w:t>A new AusPAR will be developed to reflect changes to indications and/or major variations to a prescription medicine subject to evaluation by the TGA.</w:t>
      </w:r>
    </w:p>
    <w:p w14:paraId="627CB092" w14:textId="77777777" w:rsidR="00924482" w:rsidRPr="00DF1D7F" w:rsidRDefault="00924482" w:rsidP="00F54B65">
      <w:pPr>
        <w:pStyle w:val="LegalSubheading"/>
        <w:spacing w:before="3120"/>
      </w:pPr>
      <w:r w:rsidRPr="00DF1D7F">
        <w:t>Copyright</w:t>
      </w:r>
    </w:p>
    <w:p w14:paraId="648EA9D4" w14:textId="213237EC"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50160D38"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9060A10" w14:textId="77777777" w:rsidR="0089635C" w:rsidRPr="0089635C" w:rsidRDefault="0089635C" w:rsidP="0010788A">
          <w:pPr>
            <w:pStyle w:val="Contents"/>
          </w:pPr>
          <w:r w:rsidRPr="0010788A">
            <w:t>Contents</w:t>
          </w:r>
        </w:p>
        <w:p w14:paraId="73971604" w14:textId="28E2E3F3" w:rsidR="009B77E2"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7824910" w:history="1">
            <w:r w:rsidR="009B77E2" w:rsidRPr="00C30FDD">
              <w:rPr>
                <w:rStyle w:val="Hyperlink"/>
                <w:noProof/>
              </w:rPr>
              <w:t>Common abbreviations</w:t>
            </w:r>
            <w:r w:rsidR="009B77E2">
              <w:rPr>
                <w:noProof/>
                <w:webHidden/>
              </w:rPr>
              <w:tab/>
            </w:r>
            <w:r w:rsidR="009B77E2">
              <w:rPr>
                <w:noProof/>
                <w:webHidden/>
              </w:rPr>
              <w:fldChar w:fldCharType="begin"/>
            </w:r>
            <w:r w:rsidR="009B77E2">
              <w:rPr>
                <w:noProof/>
                <w:webHidden/>
              </w:rPr>
              <w:instrText xml:space="preserve"> PAGEREF _Toc57824910 \h </w:instrText>
            </w:r>
            <w:r w:rsidR="009B77E2">
              <w:rPr>
                <w:noProof/>
                <w:webHidden/>
              </w:rPr>
            </w:r>
            <w:r w:rsidR="009B77E2">
              <w:rPr>
                <w:noProof/>
                <w:webHidden/>
              </w:rPr>
              <w:fldChar w:fldCharType="separate"/>
            </w:r>
            <w:r w:rsidR="009B77E2">
              <w:rPr>
                <w:noProof/>
                <w:webHidden/>
              </w:rPr>
              <w:t>4</w:t>
            </w:r>
            <w:r w:rsidR="009B77E2">
              <w:rPr>
                <w:noProof/>
                <w:webHidden/>
              </w:rPr>
              <w:fldChar w:fldCharType="end"/>
            </w:r>
          </w:hyperlink>
        </w:p>
        <w:p w14:paraId="06348886" w14:textId="48838966" w:rsidR="009B77E2" w:rsidRDefault="0034766A">
          <w:pPr>
            <w:pStyle w:val="TOC1"/>
            <w:rPr>
              <w:rFonts w:asciiTheme="minorHAnsi" w:eastAsiaTheme="minorEastAsia" w:hAnsiTheme="minorHAnsi" w:cstheme="minorBidi"/>
              <w:b w:val="0"/>
              <w:noProof/>
              <w:sz w:val="22"/>
              <w:lang w:eastAsia="en-AU"/>
            </w:rPr>
          </w:pPr>
          <w:hyperlink w:anchor="_Toc57824911" w:history="1">
            <w:r w:rsidR="009B77E2" w:rsidRPr="00C30FDD">
              <w:rPr>
                <w:rStyle w:val="Hyperlink"/>
                <w:noProof/>
              </w:rPr>
              <w:t>I. Introduction to product submission</w:t>
            </w:r>
            <w:r w:rsidR="009B77E2">
              <w:rPr>
                <w:noProof/>
                <w:webHidden/>
              </w:rPr>
              <w:tab/>
            </w:r>
            <w:r w:rsidR="009B77E2">
              <w:rPr>
                <w:noProof/>
                <w:webHidden/>
              </w:rPr>
              <w:fldChar w:fldCharType="begin"/>
            </w:r>
            <w:r w:rsidR="009B77E2">
              <w:rPr>
                <w:noProof/>
                <w:webHidden/>
              </w:rPr>
              <w:instrText xml:space="preserve"> PAGEREF _Toc57824911 \h </w:instrText>
            </w:r>
            <w:r w:rsidR="009B77E2">
              <w:rPr>
                <w:noProof/>
                <w:webHidden/>
              </w:rPr>
            </w:r>
            <w:r w:rsidR="009B77E2">
              <w:rPr>
                <w:noProof/>
                <w:webHidden/>
              </w:rPr>
              <w:fldChar w:fldCharType="separate"/>
            </w:r>
            <w:r w:rsidR="009B77E2">
              <w:rPr>
                <w:noProof/>
                <w:webHidden/>
              </w:rPr>
              <w:t>7</w:t>
            </w:r>
            <w:r w:rsidR="009B77E2">
              <w:rPr>
                <w:noProof/>
                <w:webHidden/>
              </w:rPr>
              <w:fldChar w:fldCharType="end"/>
            </w:r>
          </w:hyperlink>
        </w:p>
        <w:p w14:paraId="286633E7" w14:textId="3BA80836" w:rsidR="009B77E2" w:rsidRDefault="0034766A">
          <w:pPr>
            <w:pStyle w:val="TOC2"/>
            <w:rPr>
              <w:rFonts w:asciiTheme="minorHAnsi" w:eastAsiaTheme="minorEastAsia" w:hAnsiTheme="minorHAnsi" w:cstheme="minorBidi"/>
              <w:b w:val="0"/>
              <w:noProof/>
              <w:sz w:val="22"/>
              <w:lang w:eastAsia="en-AU"/>
            </w:rPr>
          </w:pPr>
          <w:hyperlink w:anchor="_Toc57824912" w:history="1">
            <w:r w:rsidR="009B77E2" w:rsidRPr="00C30FDD">
              <w:rPr>
                <w:rStyle w:val="Hyperlink"/>
                <w:noProof/>
                <w:lang w:eastAsia="en-AU"/>
              </w:rPr>
              <w:t>Submission details</w:t>
            </w:r>
            <w:r w:rsidR="009B77E2">
              <w:rPr>
                <w:noProof/>
                <w:webHidden/>
              </w:rPr>
              <w:tab/>
            </w:r>
            <w:r w:rsidR="009B77E2">
              <w:rPr>
                <w:noProof/>
                <w:webHidden/>
              </w:rPr>
              <w:fldChar w:fldCharType="begin"/>
            </w:r>
            <w:r w:rsidR="009B77E2">
              <w:rPr>
                <w:noProof/>
                <w:webHidden/>
              </w:rPr>
              <w:instrText xml:space="preserve"> PAGEREF _Toc57824912 \h </w:instrText>
            </w:r>
            <w:r w:rsidR="009B77E2">
              <w:rPr>
                <w:noProof/>
                <w:webHidden/>
              </w:rPr>
            </w:r>
            <w:r w:rsidR="009B77E2">
              <w:rPr>
                <w:noProof/>
                <w:webHidden/>
              </w:rPr>
              <w:fldChar w:fldCharType="separate"/>
            </w:r>
            <w:r w:rsidR="009B77E2">
              <w:rPr>
                <w:noProof/>
                <w:webHidden/>
              </w:rPr>
              <w:t>7</w:t>
            </w:r>
            <w:r w:rsidR="009B77E2">
              <w:rPr>
                <w:noProof/>
                <w:webHidden/>
              </w:rPr>
              <w:fldChar w:fldCharType="end"/>
            </w:r>
          </w:hyperlink>
        </w:p>
        <w:p w14:paraId="73E1F9BC" w14:textId="741B7FC9" w:rsidR="009B77E2" w:rsidRDefault="0034766A">
          <w:pPr>
            <w:pStyle w:val="TOC2"/>
            <w:rPr>
              <w:rFonts w:asciiTheme="minorHAnsi" w:eastAsiaTheme="minorEastAsia" w:hAnsiTheme="minorHAnsi" w:cstheme="minorBidi"/>
              <w:b w:val="0"/>
              <w:noProof/>
              <w:sz w:val="22"/>
              <w:lang w:eastAsia="en-AU"/>
            </w:rPr>
          </w:pPr>
          <w:hyperlink w:anchor="_Toc57824913" w:history="1">
            <w:r w:rsidR="009B77E2" w:rsidRPr="00C30FDD">
              <w:rPr>
                <w:rStyle w:val="Hyperlink"/>
                <w:noProof/>
              </w:rPr>
              <w:t>Product background</w:t>
            </w:r>
            <w:r w:rsidR="009B77E2">
              <w:rPr>
                <w:noProof/>
                <w:webHidden/>
              </w:rPr>
              <w:tab/>
            </w:r>
            <w:r w:rsidR="009B77E2">
              <w:rPr>
                <w:noProof/>
                <w:webHidden/>
              </w:rPr>
              <w:fldChar w:fldCharType="begin"/>
            </w:r>
            <w:r w:rsidR="009B77E2">
              <w:rPr>
                <w:noProof/>
                <w:webHidden/>
              </w:rPr>
              <w:instrText xml:space="preserve"> PAGEREF _Toc57824913 \h </w:instrText>
            </w:r>
            <w:r w:rsidR="009B77E2">
              <w:rPr>
                <w:noProof/>
                <w:webHidden/>
              </w:rPr>
            </w:r>
            <w:r w:rsidR="009B77E2">
              <w:rPr>
                <w:noProof/>
                <w:webHidden/>
              </w:rPr>
              <w:fldChar w:fldCharType="separate"/>
            </w:r>
            <w:r w:rsidR="009B77E2">
              <w:rPr>
                <w:noProof/>
                <w:webHidden/>
              </w:rPr>
              <w:t>8</w:t>
            </w:r>
            <w:r w:rsidR="009B77E2">
              <w:rPr>
                <w:noProof/>
                <w:webHidden/>
              </w:rPr>
              <w:fldChar w:fldCharType="end"/>
            </w:r>
          </w:hyperlink>
        </w:p>
        <w:p w14:paraId="3F3692D0" w14:textId="36705867" w:rsidR="009B77E2" w:rsidRDefault="0034766A">
          <w:pPr>
            <w:pStyle w:val="TOC2"/>
            <w:rPr>
              <w:rFonts w:asciiTheme="minorHAnsi" w:eastAsiaTheme="minorEastAsia" w:hAnsiTheme="minorHAnsi" w:cstheme="minorBidi"/>
              <w:b w:val="0"/>
              <w:noProof/>
              <w:sz w:val="22"/>
              <w:lang w:eastAsia="en-AU"/>
            </w:rPr>
          </w:pPr>
          <w:hyperlink w:anchor="_Toc57824914" w:history="1">
            <w:r w:rsidR="009B77E2" w:rsidRPr="00C30FDD">
              <w:rPr>
                <w:rStyle w:val="Hyperlink"/>
                <w:noProof/>
              </w:rPr>
              <w:t>Regulatory status</w:t>
            </w:r>
            <w:r w:rsidR="009B77E2">
              <w:rPr>
                <w:noProof/>
                <w:webHidden/>
              </w:rPr>
              <w:tab/>
            </w:r>
            <w:r w:rsidR="009B77E2">
              <w:rPr>
                <w:noProof/>
                <w:webHidden/>
              </w:rPr>
              <w:fldChar w:fldCharType="begin"/>
            </w:r>
            <w:r w:rsidR="009B77E2">
              <w:rPr>
                <w:noProof/>
                <w:webHidden/>
              </w:rPr>
              <w:instrText xml:space="preserve"> PAGEREF _Toc57824914 \h </w:instrText>
            </w:r>
            <w:r w:rsidR="009B77E2">
              <w:rPr>
                <w:noProof/>
                <w:webHidden/>
              </w:rPr>
            </w:r>
            <w:r w:rsidR="009B77E2">
              <w:rPr>
                <w:noProof/>
                <w:webHidden/>
              </w:rPr>
              <w:fldChar w:fldCharType="separate"/>
            </w:r>
            <w:r w:rsidR="009B77E2">
              <w:rPr>
                <w:noProof/>
                <w:webHidden/>
              </w:rPr>
              <w:t>10</w:t>
            </w:r>
            <w:r w:rsidR="009B77E2">
              <w:rPr>
                <w:noProof/>
                <w:webHidden/>
              </w:rPr>
              <w:fldChar w:fldCharType="end"/>
            </w:r>
          </w:hyperlink>
        </w:p>
        <w:p w14:paraId="2BAB1699" w14:textId="0B9E6441" w:rsidR="009B77E2" w:rsidRDefault="0034766A">
          <w:pPr>
            <w:pStyle w:val="TOC2"/>
            <w:rPr>
              <w:rFonts w:asciiTheme="minorHAnsi" w:eastAsiaTheme="minorEastAsia" w:hAnsiTheme="minorHAnsi" w:cstheme="minorBidi"/>
              <w:b w:val="0"/>
              <w:noProof/>
              <w:sz w:val="22"/>
              <w:lang w:eastAsia="en-AU"/>
            </w:rPr>
          </w:pPr>
          <w:hyperlink w:anchor="_Toc57824915" w:history="1">
            <w:r w:rsidR="009B77E2" w:rsidRPr="00C30FDD">
              <w:rPr>
                <w:rStyle w:val="Hyperlink"/>
                <w:noProof/>
              </w:rPr>
              <w:t>Product Information</w:t>
            </w:r>
            <w:r w:rsidR="009B77E2">
              <w:rPr>
                <w:noProof/>
                <w:webHidden/>
              </w:rPr>
              <w:tab/>
            </w:r>
            <w:r w:rsidR="009B77E2">
              <w:rPr>
                <w:noProof/>
                <w:webHidden/>
              </w:rPr>
              <w:fldChar w:fldCharType="begin"/>
            </w:r>
            <w:r w:rsidR="009B77E2">
              <w:rPr>
                <w:noProof/>
                <w:webHidden/>
              </w:rPr>
              <w:instrText xml:space="preserve"> PAGEREF _Toc57824915 \h </w:instrText>
            </w:r>
            <w:r w:rsidR="009B77E2">
              <w:rPr>
                <w:noProof/>
                <w:webHidden/>
              </w:rPr>
            </w:r>
            <w:r w:rsidR="009B77E2">
              <w:rPr>
                <w:noProof/>
                <w:webHidden/>
              </w:rPr>
              <w:fldChar w:fldCharType="separate"/>
            </w:r>
            <w:r w:rsidR="009B77E2">
              <w:rPr>
                <w:noProof/>
                <w:webHidden/>
              </w:rPr>
              <w:t>11</w:t>
            </w:r>
            <w:r w:rsidR="009B77E2">
              <w:rPr>
                <w:noProof/>
                <w:webHidden/>
              </w:rPr>
              <w:fldChar w:fldCharType="end"/>
            </w:r>
          </w:hyperlink>
        </w:p>
        <w:p w14:paraId="5D8EA7AC" w14:textId="6E572B37" w:rsidR="009B77E2" w:rsidRDefault="0034766A">
          <w:pPr>
            <w:pStyle w:val="TOC1"/>
            <w:rPr>
              <w:rFonts w:asciiTheme="minorHAnsi" w:eastAsiaTheme="minorEastAsia" w:hAnsiTheme="minorHAnsi" w:cstheme="minorBidi"/>
              <w:b w:val="0"/>
              <w:noProof/>
              <w:sz w:val="22"/>
              <w:lang w:eastAsia="en-AU"/>
            </w:rPr>
          </w:pPr>
          <w:hyperlink w:anchor="_Toc57824916" w:history="1">
            <w:r w:rsidR="009B77E2" w:rsidRPr="00C30FDD">
              <w:rPr>
                <w:rStyle w:val="Hyperlink"/>
                <w:noProof/>
              </w:rPr>
              <w:t>II. Registration timeline</w:t>
            </w:r>
            <w:r w:rsidR="009B77E2">
              <w:rPr>
                <w:noProof/>
                <w:webHidden/>
              </w:rPr>
              <w:tab/>
            </w:r>
            <w:r w:rsidR="009B77E2">
              <w:rPr>
                <w:noProof/>
                <w:webHidden/>
              </w:rPr>
              <w:fldChar w:fldCharType="begin"/>
            </w:r>
            <w:r w:rsidR="009B77E2">
              <w:rPr>
                <w:noProof/>
                <w:webHidden/>
              </w:rPr>
              <w:instrText xml:space="preserve"> PAGEREF _Toc57824916 \h </w:instrText>
            </w:r>
            <w:r w:rsidR="009B77E2">
              <w:rPr>
                <w:noProof/>
                <w:webHidden/>
              </w:rPr>
            </w:r>
            <w:r w:rsidR="009B77E2">
              <w:rPr>
                <w:noProof/>
                <w:webHidden/>
              </w:rPr>
              <w:fldChar w:fldCharType="separate"/>
            </w:r>
            <w:r w:rsidR="009B77E2">
              <w:rPr>
                <w:noProof/>
                <w:webHidden/>
              </w:rPr>
              <w:t>11</w:t>
            </w:r>
            <w:r w:rsidR="009B77E2">
              <w:rPr>
                <w:noProof/>
                <w:webHidden/>
              </w:rPr>
              <w:fldChar w:fldCharType="end"/>
            </w:r>
          </w:hyperlink>
        </w:p>
        <w:p w14:paraId="44C36540" w14:textId="7614E6AC" w:rsidR="009B77E2" w:rsidRDefault="0034766A">
          <w:pPr>
            <w:pStyle w:val="TOC1"/>
            <w:rPr>
              <w:rFonts w:asciiTheme="minorHAnsi" w:eastAsiaTheme="minorEastAsia" w:hAnsiTheme="minorHAnsi" w:cstheme="minorBidi"/>
              <w:b w:val="0"/>
              <w:noProof/>
              <w:sz w:val="22"/>
              <w:lang w:eastAsia="en-AU"/>
            </w:rPr>
          </w:pPr>
          <w:hyperlink w:anchor="_Toc57824917" w:history="1">
            <w:r w:rsidR="009B77E2" w:rsidRPr="00C30FDD">
              <w:rPr>
                <w:rStyle w:val="Hyperlink"/>
                <w:noProof/>
              </w:rPr>
              <w:t>III. Submission overview and risk/benefit assessment</w:t>
            </w:r>
            <w:r w:rsidR="009B77E2">
              <w:rPr>
                <w:noProof/>
                <w:webHidden/>
              </w:rPr>
              <w:tab/>
            </w:r>
            <w:r w:rsidR="009B77E2">
              <w:rPr>
                <w:noProof/>
                <w:webHidden/>
              </w:rPr>
              <w:fldChar w:fldCharType="begin"/>
            </w:r>
            <w:r w:rsidR="009B77E2">
              <w:rPr>
                <w:noProof/>
                <w:webHidden/>
              </w:rPr>
              <w:instrText xml:space="preserve"> PAGEREF _Toc57824917 \h </w:instrText>
            </w:r>
            <w:r w:rsidR="009B77E2">
              <w:rPr>
                <w:noProof/>
                <w:webHidden/>
              </w:rPr>
            </w:r>
            <w:r w:rsidR="009B77E2">
              <w:rPr>
                <w:noProof/>
                <w:webHidden/>
              </w:rPr>
              <w:fldChar w:fldCharType="separate"/>
            </w:r>
            <w:r w:rsidR="009B77E2">
              <w:rPr>
                <w:noProof/>
                <w:webHidden/>
              </w:rPr>
              <w:t>11</w:t>
            </w:r>
            <w:r w:rsidR="009B77E2">
              <w:rPr>
                <w:noProof/>
                <w:webHidden/>
              </w:rPr>
              <w:fldChar w:fldCharType="end"/>
            </w:r>
          </w:hyperlink>
        </w:p>
        <w:p w14:paraId="17101415" w14:textId="0DB5C634" w:rsidR="009B77E2" w:rsidRDefault="0034766A">
          <w:pPr>
            <w:pStyle w:val="TOC2"/>
            <w:rPr>
              <w:rFonts w:asciiTheme="minorHAnsi" w:eastAsiaTheme="minorEastAsia" w:hAnsiTheme="minorHAnsi" w:cstheme="minorBidi"/>
              <w:b w:val="0"/>
              <w:noProof/>
              <w:sz w:val="22"/>
              <w:lang w:eastAsia="en-AU"/>
            </w:rPr>
          </w:pPr>
          <w:hyperlink w:anchor="_Toc57824918" w:history="1">
            <w:r w:rsidR="009B77E2" w:rsidRPr="00C30FDD">
              <w:rPr>
                <w:rStyle w:val="Hyperlink"/>
                <w:noProof/>
              </w:rPr>
              <w:t>Quality</w:t>
            </w:r>
            <w:r w:rsidR="009B77E2">
              <w:rPr>
                <w:noProof/>
                <w:webHidden/>
              </w:rPr>
              <w:tab/>
            </w:r>
            <w:r w:rsidR="009B77E2">
              <w:rPr>
                <w:noProof/>
                <w:webHidden/>
              </w:rPr>
              <w:fldChar w:fldCharType="begin"/>
            </w:r>
            <w:r w:rsidR="009B77E2">
              <w:rPr>
                <w:noProof/>
                <w:webHidden/>
              </w:rPr>
              <w:instrText xml:space="preserve"> PAGEREF _Toc57824918 \h </w:instrText>
            </w:r>
            <w:r w:rsidR="009B77E2">
              <w:rPr>
                <w:noProof/>
                <w:webHidden/>
              </w:rPr>
            </w:r>
            <w:r w:rsidR="009B77E2">
              <w:rPr>
                <w:noProof/>
                <w:webHidden/>
              </w:rPr>
              <w:fldChar w:fldCharType="separate"/>
            </w:r>
            <w:r w:rsidR="009B77E2">
              <w:rPr>
                <w:noProof/>
                <w:webHidden/>
              </w:rPr>
              <w:t>11</w:t>
            </w:r>
            <w:r w:rsidR="009B77E2">
              <w:rPr>
                <w:noProof/>
                <w:webHidden/>
              </w:rPr>
              <w:fldChar w:fldCharType="end"/>
            </w:r>
          </w:hyperlink>
        </w:p>
        <w:p w14:paraId="5EDF1636" w14:textId="34AD7909" w:rsidR="009B77E2" w:rsidRDefault="0034766A">
          <w:pPr>
            <w:pStyle w:val="TOC2"/>
            <w:rPr>
              <w:rFonts w:asciiTheme="minorHAnsi" w:eastAsiaTheme="minorEastAsia" w:hAnsiTheme="minorHAnsi" w:cstheme="minorBidi"/>
              <w:b w:val="0"/>
              <w:noProof/>
              <w:sz w:val="22"/>
              <w:lang w:eastAsia="en-AU"/>
            </w:rPr>
          </w:pPr>
          <w:hyperlink w:anchor="_Toc57824919" w:history="1">
            <w:r w:rsidR="009B77E2" w:rsidRPr="00C30FDD">
              <w:rPr>
                <w:rStyle w:val="Hyperlink"/>
                <w:noProof/>
              </w:rPr>
              <w:t>Nonclinical</w:t>
            </w:r>
            <w:r w:rsidR="009B77E2">
              <w:rPr>
                <w:noProof/>
                <w:webHidden/>
              </w:rPr>
              <w:tab/>
            </w:r>
            <w:r w:rsidR="009B77E2">
              <w:rPr>
                <w:noProof/>
                <w:webHidden/>
              </w:rPr>
              <w:fldChar w:fldCharType="begin"/>
            </w:r>
            <w:r w:rsidR="009B77E2">
              <w:rPr>
                <w:noProof/>
                <w:webHidden/>
              </w:rPr>
              <w:instrText xml:space="preserve"> PAGEREF _Toc57824919 \h </w:instrText>
            </w:r>
            <w:r w:rsidR="009B77E2">
              <w:rPr>
                <w:noProof/>
                <w:webHidden/>
              </w:rPr>
            </w:r>
            <w:r w:rsidR="009B77E2">
              <w:rPr>
                <w:noProof/>
                <w:webHidden/>
              </w:rPr>
              <w:fldChar w:fldCharType="separate"/>
            </w:r>
            <w:r w:rsidR="009B77E2">
              <w:rPr>
                <w:noProof/>
                <w:webHidden/>
              </w:rPr>
              <w:t>12</w:t>
            </w:r>
            <w:r w:rsidR="009B77E2">
              <w:rPr>
                <w:noProof/>
                <w:webHidden/>
              </w:rPr>
              <w:fldChar w:fldCharType="end"/>
            </w:r>
          </w:hyperlink>
        </w:p>
        <w:p w14:paraId="2F63F261" w14:textId="01CB3CD4" w:rsidR="009B77E2" w:rsidRDefault="0034766A">
          <w:pPr>
            <w:pStyle w:val="TOC2"/>
            <w:rPr>
              <w:rFonts w:asciiTheme="minorHAnsi" w:eastAsiaTheme="minorEastAsia" w:hAnsiTheme="minorHAnsi" w:cstheme="minorBidi"/>
              <w:b w:val="0"/>
              <w:noProof/>
              <w:sz w:val="22"/>
              <w:lang w:eastAsia="en-AU"/>
            </w:rPr>
          </w:pPr>
          <w:hyperlink w:anchor="_Toc57824920" w:history="1">
            <w:r w:rsidR="009B77E2" w:rsidRPr="00C30FDD">
              <w:rPr>
                <w:rStyle w:val="Hyperlink"/>
                <w:noProof/>
              </w:rPr>
              <w:t>Clinical</w:t>
            </w:r>
            <w:r w:rsidR="009B77E2">
              <w:rPr>
                <w:noProof/>
                <w:webHidden/>
              </w:rPr>
              <w:tab/>
            </w:r>
            <w:r w:rsidR="009B77E2">
              <w:rPr>
                <w:noProof/>
                <w:webHidden/>
              </w:rPr>
              <w:fldChar w:fldCharType="begin"/>
            </w:r>
            <w:r w:rsidR="009B77E2">
              <w:rPr>
                <w:noProof/>
                <w:webHidden/>
              </w:rPr>
              <w:instrText xml:space="preserve"> PAGEREF _Toc57824920 \h </w:instrText>
            </w:r>
            <w:r w:rsidR="009B77E2">
              <w:rPr>
                <w:noProof/>
                <w:webHidden/>
              </w:rPr>
            </w:r>
            <w:r w:rsidR="009B77E2">
              <w:rPr>
                <w:noProof/>
                <w:webHidden/>
              </w:rPr>
              <w:fldChar w:fldCharType="separate"/>
            </w:r>
            <w:r w:rsidR="009B77E2">
              <w:rPr>
                <w:noProof/>
                <w:webHidden/>
              </w:rPr>
              <w:t>12</w:t>
            </w:r>
            <w:r w:rsidR="009B77E2">
              <w:rPr>
                <w:noProof/>
                <w:webHidden/>
              </w:rPr>
              <w:fldChar w:fldCharType="end"/>
            </w:r>
          </w:hyperlink>
        </w:p>
        <w:p w14:paraId="28564822" w14:textId="57B9D04F" w:rsidR="009B77E2" w:rsidRDefault="0034766A">
          <w:pPr>
            <w:pStyle w:val="TOC2"/>
            <w:rPr>
              <w:rFonts w:asciiTheme="minorHAnsi" w:eastAsiaTheme="minorEastAsia" w:hAnsiTheme="minorHAnsi" w:cstheme="minorBidi"/>
              <w:b w:val="0"/>
              <w:noProof/>
              <w:sz w:val="22"/>
              <w:lang w:eastAsia="en-AU"/>
            </w:rPr>
          </w:pPr>
          <w:hyperlink w:anchor="_Toc57824921" w:history="1">
            <w:r w:rsidR="009B77E2" w:rsidRPr="00C30FDD">
              <w:rPr>
                <w:rStyle w:val="Hyperlink"/>
                <w:noProof/>
                <w:lang w:eastAsia="en-AU"/>
              </w:rPr>
              <w:t>Risk management plan</w:t>
            </w:r>
            <w:r w:rsidR="009B77E2">
              <w:rPr>
                <w:noProof/>
                <w:webHidden/>
              </w:rPr>
              <w:tab/>
            </w:r>
            <w:r w:rsidR="009B77E2">
              <w:rPr>
                <w:noProof/>
                <w:webHidden/>
              </w:rPr>
              <w:fldChar w:fldCharType="begin"/>
            </w:r>
            <w:r w:rsidR="009B77E2">
              <w:rPr>
                <w:noProof/>
                <w:webHidden/>
              </w:rPr>
              <w:instrText xml:space="preserve"> PAGEREF _Toc57824921 \h </w:instrText>
            </w:r>
            <w:r w:rsidR="009B77E2">
              <w:rPr>
                <w:noProof/>
                <w:webHidden/>
              </w:rPr>
            </w:r>
            <w:r w:rsidR="009B77E2">
              <w:rPr>
                <w:noProof/>
                <w:webHidden/>
              </w:rPr>
              <w:fldChar w:fldCharType="separate"/>
            </w:r>
            <w:r w:rsidR="009B77E2">
              <w:rPr>
                <w:noProof/>
                <w:webHidden/>
              </w:rPr>
              <w:t>28</w:t>
            </w:r>
            <w:r w:rsidR="009B77E2">
              <w:rPr>
                <w:noProof/>
                <w:webHidden/>
              </w:rPr>
              <w:fldChar w:fldCharType="end"/>
            </w:r>
          </w:hyperlink>
        </w:p>
        <w:p w14:paraId="111A127A" w14:textId="095E55BE" w:rsidR="009B77E2" w:rsidRDefault="0034766A">
          <w:pPr>
            <w:pStyle w:val="TOC2"/>
            <w:rPr>
              <w:rFonts w:asciiTheme="minorHAnsi" w:eastAsiaTheme="minorEastAsia" w:hAnsiTheme="minorHAnsi" w:cstheme="minorBidi"/>
              <w:b w:val="0"/>
              <w:noProof/>
              <w:sz w:val="22"/>
              <w:lang w:eastAsia="en-AU"/>
            </w:rPr>
          </w:pPr>
          <w:hyperlink w:anchor="_Toc57824922" w:history="1">
            <w:r w:rsidR="009B77E2" w:rsidRPr="00C30FDD">
              <w:rPr>
                <w:rStyle w:val="Hyperlink"/>
                <w:noProof/>
              </w:rPr>
              <w:t>Risk-benefit analysis</w:t>
            </w:r>
            <w:r w:rsidR="009B77E2">
              <w:rPr>
                <w:noProof/>
                <w:webHidden/>
              </w:rPr>
              <w:tab/>
            </w:r>
            <w:r w:rsidR="009B77E2">
              <w:rPr>
                <w:noProof/>
                <w:webHidden/>
              </w:rPr>
              <w:fldChar w:fldCharType="begin"/>
            </w:r>
            <w:r w:rsidR="009B77E2">
              <w:rPr>
                <w:noProof/>
                <w:webHidden/>
              </w:rPr>
              <w:instrText xml:space="preserve"> PAGEREF _Toc57824922 \h </w:instrText>
            </w:r>
            <w:r w:rsidR="009B77E2">
              <w:rPr>
                <w:noProof/>
                <w:webHidden/>
              </w:rPr>
            </w:r>
            <w:r w:rsidR="009B77E2">
              <w:rPr>
                <w:noProof/>
                <w:webHidden/>
              </w:rPr>
              <w:fldChar w:fldCharType="separate"/>
            </w:r>
            <w:r w:rsidR="009B77E2">
              <w:rPr>
                <w:noProof/>
                <w:webHidden/>
              </w:rPr>
              <w:t>31</w:t>
            </w:r>
            <w:r w:rsidR="009B77E2">
              <w:rPr>
                <w:noProof/>
                <w:webHidden/>
              </w:rPr>
              <w:fldChar w:fldCharType="end"/>
            </w:r>
          </w:hyperlink>
        </w:p>
        <w:p w14:paraId="304388CB" w14:textId="6B5E80B1" w:rsidR="009B77E2" w:rsidRDefault="0034766A">
          <w:pPr>
            <w:pStyle w:val="TOC2"/>
            <w:rPr>
              <w:rFonts w:asciiTheme="minorHAnsi" w:eastAsiaTheme="minorEastAsia" w:hAnsiTheme="minorHAnsi" w:cstheme="minorBidi"/>
              <w:b w:val="0"/>
              <w:noProof/>
              <w:sz w:val="22"/>
              <w:lang w:eastAsia="en-AU"/>
            </w:rPr>
          </w:pPr>
          <w:hyperlink w:anchor="_Toc57824923" w:history="1">
            <w:r w:rsidR="009B77E2" w:rsidRPr="00C30FDD">
              <w:rPr>
                <w:rStyle w:val="Hyperlink"/>
                <w:noProof/>
              </w:rPr>
              <w:t>Outcome</w:t>
            </w:r>
            <w:r w:rsidR="009B77E2">
              <w:rPr>
                <w:noProof/>
                <w:webHidden/>
              </w:rPr>
              <w:tab/>
            </w:r>
            <w:r w:rsidR="009B77E2">
              <w:rPr>
                <w:noProof/>
                <w:webHidden/>
              </w:rPr>
              <w:fldChar w:fldCharType="begin"/>
            </w:r>
            <w:r w:rsidR="009B77E2">
              <w:rPr>
                <w:noProof/>
                <w:webHidden/>
              </w:rPr>
              <w:instrText xml:space="preserve"> PAGEREF _Toc57824923 \h </w:instrText>
            </w:r>
            <w:r w:rsidR="009B77E2">
              <w:rPr>
                <w:noProof/>
                <w:webHidden/>
              </w:rPr>
            </w:r>
            <w:r w:rsidR="009B77E2">
              <w:rPr>
                <w:noProof/>
                <w:webHidden/>
              </w:rPr>
              <w:fldChar w:fldCharType="separate"/>
            </w:r>
            <w:r w:rsidR="009B77E2">
              <w:rPr>
                <w:noProof/>
                <w:webHidden/>
              </w:rPr>
              <w:t>36</w:t>
            </w:r>
            <w:r w:rsidR="009B77E2">
              <w:rPr>
                <w:noProof/>
                <w:webHidden/>
              </w:rPr>
              <w:fldChar w:fldCharType="end"/>
            </w:r>
          </w:hyperlink>
        </w:p>
        <w:p w14:paraId="29E3AF9C" w14:textId="5ED42DF6" w:rsidR="009B77E2" w:rsidRDefault="0034766A">
          <w:pPr>
            <w:pStyle w:val="TOC1"/>
            <w:rPr>
              <w:rFonts w:asciiTheme="minorHAnsi" w:eastAsiaTheme="minorEastAsia" w:hAnsiTheme="minorHAnsi" w:cstheme="minorBidi"/>
              <w:b w:val="0"/>
              <w:noProof/>
              <w:sz w:val="22"/>
              <w:lang w:eastAsia="en-AU"/>
            </w:rPr>
          </w:pPr>
          <w:hyperlink w:anchor="_Toc57824924" w:history="1">
            <w:r w:rsidR="009B77E2" w:rsidRPr="00C30FDD">
              <w:rPr>
                <w:rStyle w:val="Hyperlink"/>
                <w:noProof/>
              </w:rPr>
              <w:t>Attachment 1. Product Information</w:t>
            </w:r>
            <w:r w:rsidR="009B77E2">
              <w:rPr>
                <w:noProof/>
                <w:webHidden/>
              </w:rPr>
              <w:tab/>
            </w:r>
            <w:r w:rsidR="009B77E2">
              <w:rPr>
                <w:noProof/>
                <w:webHidden/>
              </w:rPr>
              <w:fldChar w:fldCharType="begin"/>
            </w:r>
            <w:r w:rsidR="009B77E2">
              <w:rPr>
                <w:noProof/>
                <w:webHidden/>
              </w:rPr>
              <w:instrText xml:space="preserve"> PAGEREF _Toc57824924 \h </w:instrText>
            </w:r>
            <w:r w:rsidR="009B77E2">
              <w:rPr>
                <w:noProof/>
                <w:webHidden/>
              </w:rPr>
            </w:r>
            <w:r w:rsidR="009B77E2">
              <w:rPr>
                <w:noProof/>
                <w:webHidden/>
              </w:rPr>
              <w:fldChar w:fldCharType="separate"/>
            </w:r>
            <w:r w:rsidR="009B77E2">
              <w:rPr>
                <w:noProof/>
                <w:webHidden/>
              </w:rPr>
              <w:t>37</w:t>
            </w:r>
            <w:r w:rsidR="009B77E2">
              <w:rPr>
                <w:noProof/>
                <w:webHidden/>
              </w:rPr>
              <w:fldChar w:fldCharType="end"/>
            </w:r>
          </w:hyperlink>
        </w:p>
        <w:p w14:paraId="70A6F3FD" w14:textId="7746D645" w:rsidR="003A7F6C" w:rsidRPr="00B811C6" w:rsidRDefault="00C525A2" w:rsidP="00B811C6">
          <w:pPr>
            <w:pStyle w:val="TOC2"/>
          </w:pPr>
          <w:r>
            <w:fldChar w:fldCharType="end"/>
          </w:r>
        </w:p>
      </w:sdtContent>
    </w:sdt>
    <w:bookmarkStart w:id="3" w:name="_Toc314842482" w:displacedByCustomXml="prev"/>
    <w:p w14:paraId="4FEB1EAE" w14:textId="77777777" w:rsidR="00FD119B" w:rsidRDefault="00FD119B">
      <w:pPr>
        <w:spacing w:before="0" w:after="200" w:line="0" w:lineRule="auto"/>
      </w:pPr>
      <w:r>
        <w:br w:type="page"/>
      </w:r>
    </w:p>
    <w:p w14:paraId="0A04D71A" w14:textId="77777777" w:rsidR="00C52E24" w:rsidRPr="00C52E24" w:rsidRDefault="00441C3F" w:rsidP="005C0A97">
      <w:pPr>
        <w:pStyle w:val="Heading2"/>
      </w:pPr>
      <w:bookmarkStart w:id="4" w:name="_Toc351716269"/>
      <w:bookmarkStart w:id="5" w:name="_Toc351718881"/>
      <w:bookmarkStart w:id="6" w:name="_Toc355338616"/>
      <w:bookmarkStart w:id="7" w:name="_Toc356306144"/>
      <w:bookmarkStart w:id="8" w:name="_Toc57824910"/>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97"/>
        <w:gridCol w:w="6697"/>
      </w:tblGrid>
      <w:tr w:rsidR="00FD119B" w:rsidRPr="00FD119B" w14:paraId="0EF76DE2" w14:textId="77777777" w:rsidTr="00CF5DAD">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76BCA468" w14:textId="77777777" w:rsidR="00FD119B" w:rsidRPr="00FD119B" w:rsidRDefault="00FD119B" w:rsidP="00CF5DAD">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3DFC312D" w14:textId="77777777" w:rsidR="00FD119B" w:rsidRPr="00FD119B" w:rsidRDefault="00FD119B" w:rsidP="00CF5DAD">
            <w:pPr>
              <w:keepNext w:val="0"/>
              <w:ind w:left="0" w:right="0"/>
              <w:rPr>
                <w:szCs w:val="22"/>
                <w:lang w:eastAsia="en-US"/>
              </w:rPr>
            </w:pPr>
            <w:r w:rsidRPr="00FD119B">
              <w:rPr>
                <w:szCs w:val="22"/>
                <w:lang w:eastAsia="en-US"/>
              </w:rPr>
              <w:t>Meaning</w:t>
            </w:r>
          </w:p>
        </w:tc>
      </w:tr>
      <w:tr w:rsidR="00F83A33" w:rsidRPr="00FD119B" w14:paraId="0D340D10" w14:textId="77777777" w:rsidTr="00FD119B">
        <w:tc>
          <w:tcPr>
            <w:tcW w:w="1809" w:type="dxa"/>
          </w:tcPr>
          <w:p w14:paraId="453F251C" w14:textId="77777777" w:rsidR="00F83A33" w:rsidRPr="00FD119B" w:rsidRDefault="00F83A33" w:rsidP="00CF5DAD">
            <w:r>
              <w:t>AAN</w:t>
            </w:r>
          </w:p>
        </w:tc>
        <w:tc>
          <w:tcPr>
            <w:tcW w:w="6911" w:type="dxa"/>
          </w:tcPr>
          <w:p w14:paraId="227F6AE1" w14:textId="77777777" w:rsidR="00F83A33" w:rsidRPr="00FD119B" w:rsidRDefault="00F83A33" w:rsidP="00CF5DAD">
            <w:r>
              <w:t>Australian Approved Name</w:t>
            </w:r>
          </w:p>
        </w:tc>
      </w:tr>
      <w:tr w:rsidR="00F83A33" w:rsidRPr="00FD119B" w14:paraId="3B89FBDA" w14:textId="77777777" w:rsidTr="00FD119B">
        <w:tc>
          <w:tcPr>
            <w:tcW w:w="1809" w:type="dxa"/>
          </w:tcPr>
          <w:p w14:paraId="20E5D1B1" w14:textId="77777777" w:rsidR="00F83A33" w:rsidRDefault="00F83A33" w:rsidP="00CF5DAD">
            <w:r>
              <w:t>Ab</w:t>
            </w:r>
          </w:p>
        </w:tc>
        <w:tc>
          <w:tcPr>
            <w:tcW w:w="6911" w:type="dxa"/>
          </w:tcPr>
          <w:p w14:paraId="2BAA3397" w14:textId="77777777" w:rsidR="00F83A33" w:rsidRDefault="00F83A33" w:rsidP="00CF5DAD">
            <w:r>
              <w:t>Antibody</w:t>
            </w:r>
          </w:p>
        </w:tc>
      </w:tr>
      <w:tr w:rsidR="00F83A33" w:rsidRPr="00FD119B" w14:paraId="0DA7E444" w14:textId="77777777" w:rsidTr="00FD119B">
        <w:tc>
          <w:tcPr>
            <w:tcW w:w="1809" w:type="dxa"/>
          </w:tcPr>
          <w:p w14:paraId="378FA56D" w14:textId="77777777" w:rsidR="00F83A33" w:rsidRDefault="00F83A33" w:rsidP="00CF5DAD">
            <w:r>
              <w:t>ACV</w:t>
            </w:r>
          </w:p>
        </w:tc>
        <w:tc>
          <w:tcPr>
            <w:tcW w:w="6911" w:type="dxa"/>
          </w:tcPr>
          <w:p w14:paraId="1CCA082A" w14:textId="77777777" w:rsidR="00F83A33" w:rsidRDefault="00F83A33" w:rsidP="00CF5DAD">
            <w:r>
              <w:t>Advisory Committee on Vaccines</w:t>
            </w:r>
          </w:p>
        </w:tc>
      </w:tr>
      <w:tr w:rsidR="00F83A33" w:rsidRPr="00FD119B" w14:paraId="56D54694" w14:textId="77777777" w:rsidTr="00FD119B">
        <w:tc>
          <w:tcPr>
            <w:tcW w:w="1809" w:type="dxa"/>
          </w:tcPr>
          <w:p w14:paraId="7CECB03C" w14:textId="77777777" w:rsidR="00F83A33" w:rsidRDefault="00F83A33" w:rsidP="00CF5DAD">
            <w:r>
              <w:t>ADL</w:t>
            </w:r>
          </w:p>
        </w:tc>
        <w:tc>
          <w:tcPr>
            <w:tcW w:w="6911" w:type="dxa"/>
          </w:tcPr>
          <w:p w14:paraId="1F31DC18" w14:textId="77777777" w:rsidR="00F83A33" w:rsidRDefault="00F83A33" w:rsidP="00CF5DAD">
            <w:r>
              <w:t>Activities of Daily Living score</w:t>
            </w:r>
          </w:p>
        </w:tc>
      </w:tr>
      <w:tr w:rsidR="00F83A33" w:rsidRPr="00FD119B" w14:paraId="3EB08B82" w14:textId="77777777" w:rsidTr="00FD119B">
        <w:tc>
          <w:tcPr>
            <w:tcW w:w="1809" w:type="dxa"/>
          </w:tcPr>
          <w:p w14:paraId="4F018F01" w14:textId="77777777" w:rsidR="00F83A33" w:rsidRDefault="00F83A33" w:rsidP="00CF5DAD">
            <w:r>
              <w:t>AE</w:t>
            </w:r>
          </w:p>
        </w:tc>
        <w:tc>
          <w:tcPr>
            <w:tcW w:w="6911" w:type="dxa"/>
          </w:tcPr>
          <w:p w14:paraId="09D80125" w14:textId="77777777" w:rsidR="00F83A33" w:rsidRDefault="00F83A33" w:rsidP="00CF5DAD">
            <w:r>
              <w:t>Adverse event</w:t>
            </w:r>
          </w:p>
        </w:tc>
      </w:tr>
      <w:tr w:rsidR="00F83A33" w:rsidRPr="00FD119B" w14:paraId="3DD842C9" w14:textId="77777777" w:rsidTr="00FD119B">
        <w:tc>
          <w:tcPr>
            <w:tcW w:w="1809" w:type="dxa"/>
          </w:tcPr>
          <w:p w14:paraId="15E4D45E" w14:textId="77777777" w:rsidR="00F83A33" w:rsidRDefault="00F83A33" w:rsidP="00CF5DAD">
            <w:r>
              <w:t>AESI</w:t>
            </w:r>
          </w:p>
        </w:tc>
        <w:tc>
          <w:tcPr>
            <w:tcW w:w="6911" w:type="dxa"/>
          </w:tcPr>
          <w:p w14:paraId="06B3E156" w14:textId="77777777" w:rsidR="00F83A33" w:rsidRDefault="00F83A33" w:rsidP="00CF5DAD">
            <w:r>
              <w:t>Adverse event of special interest</w:t>
            </w:r>
          </w:p>
        </w:tc>
      </w:tr>
      <w:tr w:rsidR="00F83A33" w:rsidRPr="00FD119B" w14:paraId="4417D05E" w14:textId="77777777" w:rsidTr="00FD119B">
        <w:tc>
          <w:tcPr>
            <w:tcW w:w="1809" w:type="dxa"/>
          </w:tcPr>
          <w:p w14:paraId="2C86E8BF" w14:textId="77777777" w:rsidR="00F83A33" w:rsidRPr="00F83A33" w:rsidRDefault="00F83A33" w:rsidP="00F83A33">
            <w:r w:rsidRPr="00F83A33">
              <w:t>ARTG</w:t>
            </w:r>
          </w:p>
        </w:tc>
        <w:tc>
          <w:tcPr>
            <w:tcW w:w="6911" w:type="dxa"/>
          </w:tcPr>
          <w:p w14:paraId="4E9BA50D" w14:textId="77777777" w:rsidR="00F83A33" w:rsidRPr="00F83A33" w:rsidRDefault="00F83A33" w:rsidP="00F83A33">
            <w:r w:rsidRPr="00F83A33">
              <w:t>Australian Register of Therapeutic Goods</w:t>
            </w:r>
          </w:p>
        </w:tc>
      </w:tr>
      <w:tr w:rsidR="00F83A33" w:rsidRPr="00FD119B" w14:paraId="703F124E" w14:textId="77777777" w:rsidTr="00FD119B">
        <w:tc>
          <w:tcPr>
            <w:tcW w:w="1809" w:type="dxa"/>
          </w:tcPr>
          <w:p w14:paraId="60A18E86" w14:textId="77777777" w:rsidR="00F83A33" w:rsidRDefault="00F83A33" w:rsidP="00CF5DAD">
            <w:r>
              <w:t>ASA</w:t>
            </w:r>
          </w:p>
        </w:tc>
        <w:tc>
          <w:tcPr>
            <w:tcW w:w="6911" w:type="dxa"/>
          </w:tcPr>
          <w:p w14:paraId="30E5857E" w14:textId="77777777" w:rsidR="00F83A33" w:rsidRDefault="00F83A33" w:rsidP="00CF5DAD">
            <w:r>
              <w:t>Australian-specific Annex</w:t>
            </w:r>
          </w:p>
        </w:tc>
      </w:tr>
      <w:tr w:rsidR="00F83A33" w:rsidRPr="00FD119B" w14:paraId="0557B1D2" w14:textId="77777777" w:rsidTr="00FD119B">
        <w:tc>
          <w:tcPr>
            <w:tcW w:w="1809" w:type="dxa"/>
          </w:tcPr>
          <w:p w14:paraId="3EAE2AE1" w14:textId="77777777" w:rsidR="00F83A33" w:rsidRDefault="00F83A33" w:rsidP="00CF5DAD">
            <w:r>
              <w:t>ATAGI</w:t>
            </w:r>
          </w:p>
        </w:tc>
        <w:tc>
          <w:tcPr>
            <w:tcW w:w="6911" w:type="dxa"/>
          </w:tcPr>
          <w:p w14:paraId="3AAFCCFC" w14:textId="77777777" w:rsidR="00F83A33" w:rsidRDefault="00F83A33" w:rsidP="00CF5DAD">
            <w:r>
              <w:t>Australian Technical Advisory Group on Immunisation</w:t>
            </w:r>
          </w:p>
        </w:tc>
      </w:tr>
      <w:tr w:rsidR="00F83A33" w:rsidRPr="00FD119B" w14:paraId="1D368E0F" w14:textId="77777777" w:rsidTr="00FD119B">
        <w:tc>
          <w:tcPr>
            <w:tcW w:w="1809" w:type="dxa"/>
          </w:tcPr>
          <w:p w14:paraId="104D89B4" w14:textId="77777777" w:rsidR="00F83A33" w:rsidRPr="00FD119B" w:rsidRDefault="00F83A33" w:rsidP="00CF5DAD">
            <w:r>
              <w:t>BLA</w:t>
            </w:r>
          </w:p>
        </w:tc>
        <w:tc>
          <w:tcPr>
            <w:tcW w:w="6911" w:type="dxa"/>
          </w:tcPr>
          <w:p w14:paraId="09A86BA7" w14:textId="77777777" w:rsidR="00F83A33" w:rsidRPr="00FD119B" w:rsidRDefault="00F83A33" w:rsidP="00CF5DAD">
            <w:r>
              <w:t>Biological Licensing Application (United States)</w:t>
            </w:r>
          </w:p>
        </w:tc>
      </w:tr>
      <w:tr w:rsidR="00F83A33" w:rsidRPr="00FD119B" w14:paraId="1D43C351" w14:textId="77777777" w:rsidTr="00FD119B">
        <w:tc>
          <w:tcPr>
            <w:tcW w:w="1809" w:type="dxa"/>
          </w:tcPr>
          <w:p w14:paraId="50F48541" w14:textId="77777777" w:rsidR="00F83A33" w:rsidRDefault="00F83A33" w:rsidP="00CF5DAD">
            <w:r>
              <w:t>BMI</w:t>
            </w:r>
          </w:p>
        </w:tc>
        <w:tc>
          <w:tcPr>
            <w:tcW w:w="6911" w:type="dxa"/>
          </w:tcPr>
          <w:p w14:paraId="4FA8E41B" w14:textId="77777777" w:rsidR="00F83A33" w:rsidRDefault="00F83A33" w:rsidP="00CF5DAD">
            <w:r>
              <w:t>Body mass index</w:t>
            </w:r>
          </w:p>
        </w:tc>
      </w:tr>
      <w:tr w:rsidR="00F83A33" w:rsidRPr="00FD119B" w14:paraId="46CFF600" w14:textId="77777777" w:rsidTr="00FD119B">
        <w:tc>
          <w:tcPr>
            <w:tcW w:w="1809" w:type="dxa"/>
          </w:tcPr>
          <w:p w14:paraId="4BA8B64B" w14:textId="77777777" w:rsidR="00F83A33" w:rsidRPr="00FD119B" w:rsidRDefault="00F83A33" w:rsidP="00CF5DAD">
            <w:r>
              <w:t>CAS</w:t>
            </w:r>
          </w:p>
        </w:tc>
        <w:tc>
          <w:tcPr>
            <w:tcW w:w="6911" w:type="dxa"/>
          </w:tcPr>
          <w:p w14:paraId="22663A1C" w14:textId="77777777" w:rsidR="00F83A33" w:rsidRPr="00FD119B" w:rsidRDefault="00F83A33" w:rsidP="00CF5DAD">
            <w:r>
              <w:t>Chemical Abstracts Service</w:t>
            </w:r>
          </w:p>
        </w:tc>
      </w:tr>
      <w:tr w:rsidR="00F83A33" w:rsidRPr="00FD119B" w14:paraId="4EF9DD62" w14:textId="77777777" w:rsidTr="00FD119B">
        <w:tc>
          <w:tcPr>
            <w:tcW w:w="1809" w:type="dxa"/>
          </w:tcPr>
          <w:p w14:paraId="331D2FD3" w14:textId="77777777" w:rsidR="00F83A33" w:rsidRDefault="00F83A33" w:rsidP="00CF5DAD">
            <w:r>
              <w:t>CI</w:t>
            </w:r>
          </w:p>
        </w:tc>
        <w:tc>
          <w:tcPr>
            <w:tcW w:w="6911" w:type="dxa"/>
          </w:tcPr>
          <w:p w14:paraId="01C0729F" w14:textId="77777777" w:rsidR="00F83A33" w:rsidRDefault="00F83A33" w:rsidP="00CF5DAD">
            <w:r>
              <w:t>Confidence interval</w:t>
            </w:r>
          </w:p>
        </w:tc>
      </w:tr>
      <w:tr w:rsidR="00F83A33" w:rsidRPr="00FD119B" w14:paraId="70410C5A" w14:textId="77777777" w:rsidTr="00FD119B">
        <w:tc>
          <w:tcPr>
            <w:tcW w:w="1809" w:type="dxa"/>
          </w:tcPr>
          <w:p w14:paraId="62AEC51B" w14:textId="77777777" w:rsidR="00F83A33" w:rsidRDefault="00F83A33" w:rsidP="00CF5DAD">
            <w:r>
              <w:t>CMI</w:t>
            </w:r>
          </w:p>
        </w:tc>
        <w:tc>
          <w:tcPr>
            <w:tcW w:w="6911" w:type="dxa"/>
          </w:tcPr>
          <w:p w14:paraId="65CC78BE" w14:textId="77777777" w:rsidR="00F83A33" w:rsidRDefault="00F83A33" w:rsidP="00CF5DAD">
            <w:r>
              <w:t>Consumer Medicines Information</w:t>
            </w:r>
          </w:p>
        </w:tc>
      </w:tr>
      <w:tr w:rsidR="00F83A33" w:rsidRPr="00FD119B" w14:paraId="7158646C" w14:textId="77777777" w:rsidTr="00FD119B">
        <w:tc>
          <w:tcPr>
            <w:tcW w:w="1809" w:type="dxa"/>
          </w:tcPr>
          <w:p w14:paraId="0A83D827" w14:textId="77777777" w:rsidR="00F83A33" w:rsidRDefault="00F83A33" w:rsidP="00CF5DAD">
            <w:r>
              <w:t>COPD</w:t>
            </w:r>
          </w:p>
        </w:tc>
        <w:tc>
          <w:tcPr>
            <w:tcW w:w="6911" w:type="dxa"/>
          </w:tcPr>
          <w:p w14:paraId="7F080297" w14:textId="77777777" w:rsidR="00F83A33" w:rsidRDefault="00F83A33" w:rsidP="00CF5DAD">
            <w:r>
              <w:t>Chronic obstructive pulmonary disease</w:t>
            </w:r>
          </w:p>
        </w:tc>
      </w:tr>
      <w:tr w:rsidR="00F83A33" w:rsidRPr="00FD119B" w14:paraId="71ADC41B" w14:textId="77777777" w:rsidTr="00FD119B">
        <w:tc>
          <w:tcPr>
            <w:tcW w:w="1809" w:type="dxa"/>
          </w:tcPr>
          <w:p w14:paraId="67116FF4" w14:textId="77777777" w:rsidR="00F83A33" w:rsidRPr="00FD119B" w:rsidRDefault="00F83A33" w:rsidP="00CF5DAD">
            <w:r>
              <w:t>CPD</w:t>
            </w:r>
          </w:p>
        </w:tc>
        <w:tc>
          <w:tcPr>
            <w:tcW w:w="6911" w:type="dxa"/>
          </w:tcPr>
          <w:p w14:paraId="2300D310" w14:textId="77777777" w:rsidR="00F83A33" w:rsidRPr="00FD119B" w:rsidRDefault="00F83A33" w:rsidP="00CF5DAD">
            <w:r>
              <w:t>Certified Product Details</w:t>
            </w:r>
          </w:p>
        </w:tc>
      </w:tr>
      <w:tr w:rsidR="00F83A33" w:rsidRPr="00FD119B" w14:paraId="6A00A741" w14:textId="77777777" w:rsidTr="00FD119B">
        <w:tc>
          <w:tcPr>
            <w:tcW w:w="1809" w:type="dxa"/>
          </w:tcPr>
          <w:p w14:paraId="324941F6" w14:textId="77777777" w:rsidR="00F83A33" w:rsidRDefault="00F83A33" w:rsidP="00CF5DAD">
            <w:r>
              <w:t>DLP</w:t>
            </w:r>
          </w:p>
        </w:tc>
        <w:tc>
          <w:tcPr>
            <w:tcW w:w="6911" w:type="dxa"/>
          </w:tcPr>
          <w:p w14:paraId="3F744179" w14:textId="77777777" w:rsidR="00F83A33" w:rsidRDefault="00F83A33" w:rsidP="00CF5DAD">
            <w:r>
              <w:t>Data lock point</w:t>
            </w:r>
          </w:p>
        </w:tc>
      </w:tr>
      <w:tr w:rsidR="00F83A33" w:rsidRPr="00FD119B" w14:paraId="5C3C0EB8" w14:textId="77777777" w:rsidTr="00FD119B">
        <w:tc>
          <w:tcPr>
            <w:tcW w:w="1809" w:type="dxa"/>
          </w:tcPr>
          <w:p w14:paraId="361D62D2" w14:textId="77777777" w:rsidR="00F83A33" w:rsidRPr="00FD119B" w:rsidRDefault="00F83A33" w:rsidP="00CF5DAD">
            <w:r>
              <w:t>EMA</w:t>
            </w:r>
          </w:p>
        </w:tc>
        <w:tc>
          <w:tcPr>
            <w:tcW w:w="6911" w:type="dxa"/>
          </w:tcPr>
          <w:p w14:paraId="2064F5F2" w14:textId="77777777" w:rsidR="00F83A33" w:rsidRPr="00FD119B" w:rsidRDefault="00F83A33" w:rsidP="00CF5DAD">
            <w:r>
              <w:t>European Medicines Agency (European Union)</w:t>
            </w:r>
          </w:p>
        </w:tc>
      </w:tr>
      <w:tr w:rsidR="00F83A33" w:rsidRPr="00FD119B" w14:paraId="3EA891FA" w14:textId="77777777" w:rsidTr="00FD119B">
        <w:tc>
          <w:tcPr>
            <w:tcW w:w="1809" w:type="dxa"/>
          </w:tcPr>
          <w:p w14:paraId="070D7F77" w14:textId="77777777" w:rsidR="00F83A33" w:rsidRDefault="00F83A33" w:rsidP="00CF5DAD">
            <w:r>
              <w:t>EMEA</w:t>
            </w:r>
          </w:p>
        </w:tc>
        <w:tc>
          <w:tcPr>
            <w:tcW w:w="6911" w:type="dxa"/>
          </w:tcPr>
          <w:p w14:paraId="2BDFAACF" w14:textId="77777777" w:rsidR="00F83A33" w:rsidRDefault="00F83A33" w:rsidP="00E91336">
            <w:r>
              <w:t>European Medicines Evaluation Agency (European Union; now known as European Medicines Agency)</w:t>
            </w:r>
          </w:p>
        </w:tc>
      </w:tr>
      <w:tr w:rsidR="00F83A33" w:rsidRPr="00FD119B" w14:paraId="699B380A" w14:textId="77777777" w:rsidTr="00FD119B">
        <w:tc>
          <w:tcPr>
            <w:tcW w:w="1809" w:type="dxa"/>
          </w:tcPr>
          <w:p w14:paraId="63F5084C" w14:textId="77777777" w:rsidR="00F83A33" w:rsidRPr="00FD119B" w:rsidRDefault="00F83A33" w:rsidP="00CF5DAD">
            <w:r>
              <w:t>EU</w:t>
            </w:r>
          </w:p>
        </w:tc>
        <w:tc>
          <w:tcPr>
            <w:tcW w:w="6911" w:type="dxa"/>
          </w:tcPr>
          <w:p w14:paraId="4A4C3BB4" w14:textId="77777777" w:rsidR="00F83A33" w:rsidRPr="00FD119B" w:rsidRDefault="00F83A33" w:rsidP="00CF5DAD">
            <w:r>
              <w:t>European Union</w:t>
            </w:r>
          </w:p>
        </w:tc>
      </w:tr>
      <w:tr w:rsidR="00F83A33" w:rsidRPr="00FD119B" w14:paraId="4C0A032E" w14:textId="77777777" w:rsidTr="00FD119B">
        <w:tc>
          <w:tcPr>
            <w:tcW w:w="1809" w:type="dxa"/>
          </w:tcPr>
          <w:p w14:paraId="02C1B4B3" w14:textId="77777777" w:rsidR="00F83A33" w:rsidRDefault="00F83A33" w:rsidP="00CF5DAD">
            <w:r>
              <w:t>FAS</w:t>
            </w:r>
          </w:p>
        </w:tc>
        <w:tc>
          <w:tcPr>
            <w:tcW w:w="6911" w:type="dxa"/>
          </w:tcPr>
          <w:p w14:paraId="5C3DDB11" w14:textId="77777777" w:rsidR="00F83A33" w:rsidRDefault="00F83A33" w:rsidP="00CF5DAD">
            <w:r>
              <w:t>Full analysis set</w:t>
            </w:r>
          </w:p>
        </w:tc>
      </w:tr>
      <w:tr w:rsidR="00F83A33" w:rsidRPr="00FD119B" w14:paraId="69DE576F" w14:textId="77777777" w:rsidTr="00FD119B">
        <w:tc>
          <w:tcPr>
            <w:tcW w:w="1809" w:type="dxa"/>
          </w:tcPr>
          <w:p w14:paraId="3728CAB0" w14:textId="77777777" w:rsidR="00F83A33" w:rsidRPr="00FD119B" w:rsidRDefault="00F83A33" w:rsidP="00CF5DAD">
            <w:r>
              <w:t>FDA</w:t>
            </w:r>
          </w:p>
        </w:tc>
        <w:tc>
          <w:tcPr>
            <w:tcW w:w="6911" w:type="dxa"/>
          </w:tcPr>
          <w:p w14:paraId="32F486A6" w14:textId="77777777" w:rsidR="00F83A33" w:rsidRPr="00FD119B" w:rsidRDefault="00F83A33" w:rsidP="00CF5DAD">
            <w:r>
              <w:t>Food and Drug Administration (United States)</w:t>
            </w:r>
          </w:p>
        </w:tc>
      </w:tr>
      <w:tr w:rsidR="00F83A33" w:rsidRPr="00FD119B" w14:paraId="5BE74F1B" w14:textId="77777777" w:rsidTr="00FD119B">
        <w:tc>
          <w:tcPr>
            <w:tcW w:w="1809" w:type="dxa"/>
          </w:tcPr>
          <w:p w14:paraId="11CD21F5" w14:textId="77777777" w:rsidR="00F83A33" w:rsidRDefault="00F83A33" w:rsidP="00CF5DAD">
            <w:r>
              <w:t>GMR</w:t>
            </w:r>
          </w:p>
        </w:tc>
        <w:tc>
          <w:tcPr>
            <w:tcW w:w="6911" w:type="dxa"/>
          </w:tcPr>
          <w:p w14:paraId="059C6550" w14:textId="77777777" w:rsidR="00F83A33" w:rsidRDefault="00F83A33" w:rsidP="00CF5DAD">
            <w:r>
              <w:t>Geometric mean ratio</w:t>
            </w:r>
          </w:p>
        </w:tc>
      </w:tr>
      <w:tr w:rsidR="00F83A33" w:rsidRPr="00FD119B" w14:paraId="174EE16B" w14:textId="77777777" w:rsidTr="00FD119B">
        <w:tc>
          <w:tcPr>
            <w:tcW w:w="1809" w:type="dxa"/>
          </w:tcPr>
          <w:p w14:paraId="53D29C9E" w14:textId="77777777" w:rsidR="00F83A33" w:rsidRDefault="00F83A33" w:rsidP="00CF5DAD">
            <w:r>
              <w:t>GMT</w:t>
            </w:r>
          </w:p>
        </w:tc>
        <w:tc>
          <w:tcPr>
            <w:tcW w:w="6911" w:type="dxa"/>
          </w:tcPr>
          <w:p w14:paraId="51CF431F" w14:textId="77777777" w:rsidR="00F83A33" w:rsidRDefault="00F83A33" w:rsidP="00CF5DAD">
            <w:r>
              <w:t>Geometric mean titre</w:t>
            </w:r>
          </w:p>
        </w:tc>
      </w:tr>
      <w:tr w:rsidR="00F83A33" w:rsidRPr="00FD119B" w14:paraId="036D08BB" w14:textId="77777777" w:rsidTr="00FD119B">
        <w:tc>
          <w:tcPr>
            <w:tcW w:w="1809" w:type="dxa"/>
          </w:tcPr>
          <w:p w14:paraId="482A8197" w14:textId="77777777" w:rsidR="00F83A33" w:rsidRDefault="00F83A33" w:rsidP="00CF5DAD">
            <w:r>
              <w:lastRenderedPageBreak/>
              <w:t>GMTR</w:t>
            </w:r>
          </w:p>
        </w:tc>
        <w:tc>
          <w:tcPr>
            <w:tcW w:w="6911" w:type="dxa"/>
          </w:tcPr>
          <w:p w14:paraId="21BA4EC8" w14:textId="77777777" w:rsidR="00F83A33" w:rsidRDefault="00F83A33" w:rsidP="00CF5DAD">
            <w:r>
              <w:t>Geometric mean titre ratio</w:t>
            </w:r>
          </w:p>
        </w:tc>
      </w:tr>
      <w:tr w:rsidR="00F83A33" w:rsidRPr="00FD119B" w14:paraId="0D3A681C" w14:textId="77777777" w:rsidTr="00FD119B">
        <w:tc>
          <w:tcPr>
            <w:tcW w:w="1809" w:type="dxa"/>
          </w:tcPr>
          <w:p w14:paraId="08F498A5" w14:textId="77777777" w:rsidR="00F83A33" w:rsidRDefault="00F83A33" w:rsidP="00CF5DAD">
            <w:r>
              <w:t>GVP</w:t>
            </w:r>
          </w:p>
        </w:tc>
        <w:tc>
          <w:tcPr>
            <w:tcW w:w="6911" w:type="dxa"/>
          </w:tcPr>
          <w:p w14:paraId="2A90B9F3" w14:textId="77777777" w:rsidR="00F83A33" w:rsidRDefault="00F83A33" w:rsidP="00CF5DAD">
            <w:r>
              <w:t>Good Pha</w:t>
            </w:r>
            <w:r w:rsidR="00430AE4">
              <w:t>r</w:t>
            </w:r>
            <w:r>
              <w:t>macovigilance Practices</w:t>
            </w:r>
          </w:p>
        </w:tc>
      </w:tr>
      <w:tr w:rsidR="00F83A33" w:rsidRPr="00FD119B" w14:paraId="15FFEB29" w14:textId="77777777" w:rsidTr="00FD119B">
        <w:tc>
          <w:tcPr>
            <w:tcW w:w="1809" w:type="dxa"/>
          </w:tcPr>
          <w:p w14:paraId="14B8C2EE" w14:textId="77777777" w:rsidR="00F83A33" w:rsidRPr="00FD119B" w:rsidRDefault="00F83A33" w:rsidP="00CF5DAD">
            <w:r>
              <w:t>H1N1</w:t>
            </w:r>
          </w:p>
        </w:tc>
        <w:tc>
          <w:tcPr>
            <w:tcW w:w="6911" w:type="dxa"/>
          </w:tcPr>
          <w:p w14:paraId="0F1AE640" w14:textId="77777777" w:rsidR="00F83A33" w:rsidRPr="00FD119B" w:rsidRDefault="00F83A33" w:rsidP="00CF5DAD">
            <w:r>
              <w:t>Influenza A virus subtype H1N1</w:t>
            </w:r>
          </w:p>
        </w:tc>
      </w:tr>
      <w:tr w:rsidR="00F83A33" w:rsidRPr="00FD119B" w14:paraId="2A20D91D" w14:textId="77777777" w:rsidTr="00FD119B">
        <w:tc>
          <w:tcPr>
            <w:tcW w:w="1809" w:type="dxa"/>
          </w:tcPr>
          <w:p w14:paraId="15ED496E" w14:textId="77777777" w:rsidR="00F83A33" w:rsidRPr="00FD119B" w:rsidRDefault="00F83A33" w:rsidP="00CF5DAD">
            <w:r>
              <w:t>H3N2</w:t>
            </w:r>
          </w:p>
        </w:tc>
        <w:tc>
          <w:tcPr>
            <w:tcW w:w="6911" w:type="dxa"/>
          </w:tcPr>
          <w:p w14:paraId="4B26CA04" w14:textId="77777777" w:rsidR="00F83A33" w:rsidRPr="00FD119B" w:rsidRDefault="00F83A33" w:rsidP="00CF5DAD">
            <w:r>
              <w:t>Influenza A virus subtype H3N2</w:t>
            </w:r>
          </w:p>
        </w:tc>
      </w:tr>
      <w:tr w:rsidR="00F83A33" w:rsidRPr="00FD119B" w14:paraId="4878F868" w14:textId="77777777" w:rsidTr="00FD119B">
        <w:tc>
          <w:tcPr>
            <w:tcW w:w="1809" w:type="dxa"/>
          </w:tcPr>
          <w:p w14:paraId="49360952" w14:textId="77777777" w:rsidR="00F83A33" w:rsidRPr="00FD119B" w:rsidRDefault="00F83A33" w:rsidP="00CF5DAD">
            <w:r>
              <w:t>HA</w:t>
            </w:r>
          </w:p>
        </w:tc>
        <w:tc>
          <w:tcPr>
            <w:tcW w:w="6911" w:type="dxa"/>
          </w:tcPr>
          <w:p w14:paraId="39107C2F" w14:textId="77777777" w:rsidR="00F83A33" w:rsidRPr="00FD119B" w:rsidRDefault="00F83A33" w:rsidP="00CF5DAD">
            <w:r>
              <w:t>Haemagglutinin</w:t>
            </w:r>
          </w:p>
        </w:tc>
      </w:tr>
      <w:tr w:rsidR="00F83A33" w:rsidRPr="00FD119B" w14:paraId="0F6E1473" w14:textId="77777777" w:rsidTr="00FD119B">
        <w:tc>
          <w:tcPr>
            <w:tcW w:w="1809" w:type="dxa"/>
          </w:tcPr>
          <w:p w14:paraId="63DE85BF" w14:textId="77777777" w:rsidR="00F83A33" w:rsidRDefault="00F83A33" w:rsidP="00CF5DAD">
            <w:r>
              <w:t>HAI</w:t>
            </w:r>
          </w:p>
        </w:tc>
        <w:tc>
          <w:tcPr>
            <w:tcW w:w="6911" w:type="dxa"/>
          </w:tcPr>
          <w:p w14:paraId="6ABDD3AA" w14:textId="77777777" w:rsidR="00F83A33" w:rsidRDefault="00F83A33" w:rsidP="00CF5DAD">
            <w:r>
              <w:t>Haemagglutination inhibition</w:t>
            </w:r>
          </w:p>
        </w:tc>
      </w:tr>
      <w:tr w:rsidR="00F83A33" w:rsidRPr="00FD119B" w14:paraId="390DBE8B" w14:textId="77777777" w:rsidTr="00FD119B">
        <w:tc>
          <w:tcPr>
            <w:tcW w:w="1809" w:type="dxa"/>
          </w:tcPr>
          <w:p w14:paraId="0D1344A4" w14:textId="77777777" w:rsidR="00F83A33" w:rsidRDefault="00F83A33" w:rsidP="00CF5DAD">
            <w:r>
              <w:t>HAI GMT</w:t>
            </w:r>
          </w:p>
        </w:tc>
        <w:tc>
          <w:tcPr>
            <w:tcW w:w="6911" w:type="dxa"/>
          </w:tcPr>
          <w:p w14:paraId="373CF848" w14:textId="77777777" w:rsidR="00F83A33" w:rsidRDefault="00F83A33" w:rsidP="00CF5DAD">
            <w:r>
              <w:t>Haemagglutination inhibition geometric mean titre</w:t>
            </w:r>
          </w:p>
        </w:tc>
      </w:tr>
      <w:tr w:rsidR="00F83A33" w:rsidRPr="00FD119B" w14:paraId="05A0C67B" w14:textId="77777777" w:rsidTr="00FD119B">
        <w:tc>
          <w:tcPr>
            <w:tcW w:w="1809" w:type="dxa"/>
          </w:tcPr>
          <w:p w14:paraId="5F53B2E9" w14:textId="77777777" w:rsidR="00F83A33" w:rsidRDefault="00F83A33" w:rsidP="00CF5DAD">
            <w:r>
              <w:t>ICD</w:t>
            </w:r>
          </w:p>
        </w:tc>
        <w:tc>
          <w:tcPr>
            <w:tcW w:w="6911" w:type="dxa"/>
          </w:tcPr>
          <w:p w14:paraId="29037B5F" w14:textId="77777777" w:rsidR="00F83A33" w:rsidRDefault="00F83A33" w:rsidP="00CF5DAD">
            <w:r>
              <w:t>International Classification of Diseases (World Health Organization)</w:t>
            </w:r>
          </w:p>
        </w:tc>
      </w:tr>
      <w:tr w:rsidR="00F83A33" w:rsidRPr="00FD119B" w14:paraId="1F261967" w14:textId="77777777" w:rsidTr="00FD119B">
        <w:tc>
          <w:tcPr>
            <w:tcW w:w="1809" w:type="dxa"/>
          </w:tcPr>
          <w:p w14:paraId="03EAFD6E" w14:textId="77777777" w:rsidR="00F83A33" w:rsidRDefault="00F83A33" w:rsidP="00CF5DAD">
            <w:r>
              <w:t>ILI</w:t>
            </w:r>
          </w:p>
        </w:tc>
        <w:tc>
          <w:tcPr>
            <w:tcW w:w="6911" w:type="dxa"/>
          </w:tcPr>
          <w:p w14:paraId="690926E5" w14:textId="77777777" w:rsidR="00F83A33" w:rsidRDefault="00F83A33" w:rsidP="00CF5DAD">
            <w:r>
              <w:t>Influenza-like illness</w:t>
            </w:r>
          </w:p>
        </w:tc>
      </w:tr>
      <w:tr w:rsidR="00F83A33" w:rsidRPr="00FD119B" w14:paraId="4ED8B05A" w14:textId="77777777" w:rsidTr="00FD119B">
        <w:tc>
          <w:tcPr>
            <w:tcW w:w="1809" w:type="dxa"/>
          </w:tcPr>
          <w:p w14:paraId="13A941B6" w14:textId="77777777" w:rsidR="00F83A33" w:rsidRPr="00FD119B" w:rsidRDefault="00F83A33" w:rsidP="00CF5DAD">
            <w:r>
              <w:t>IM</w:t>
            </w:r>
          </w:p>
        </w:tc>
        <w:tc>
          <w:tcPr>
            <w:tcW w:w="6911" w:type="dxa"/>
          </w:tcPr>
          <w:p w14:paraId="5F4AACEC" w14:textId="77777777" w:rsidR="00F83A33" w:rsidRPr="00FD119B" w:rsidRDefault="00F83A33" w:rsidP="00CF5DAD">
            <w:r>
              <w:t>Intramuscular</w:t>
            </w:r>
          </w:p>
        </w:tc>
      </w:tr>
      <w:tr w:rsidR="00F83A33" w:rsidRPr="00FD119B" w14:paraId="050B1CC2" w14:textId="77777777" w:rsidTr="00FD119B">
        <w:tc>
          <w:tcPr>
            <w:tcW w:w="1809" w:type="dxa"/>
          </w:tcPr>
          <w:p w14:paraId="69F245A2" w14:textId="77777777" w:rsidR="00F83A33" w:rsidRPr="00FD119B" w:rsidRDefault="00F83A33" w:rsidP="00CF5DAD">
            <w:r>
              <w:t>MF59</w:t>
            </w:r>
          </w:p>
        </w:tc>
        <w:tc>
          <w:tcPr>
            <w:tcW w:w="6911" w:type="dxa"/>
          </w:tcPr>
          <w:p w14:paraId="0E6648FF" w14:textId="77777777" w:rsidR="00F83A33" w:rsidRPr="00FD119B" w:rsidRDefault="00F83A33" w:rsidP="00CF5DAD">
            <w:r>
              <w:t>An immunologic adjuvant</w:t>
            </w:r>
          </w:p>
        </w:tc>
      </w:tr>
      <w:tr w:rsidR="00F83A33" w:rsidRPr="00FD119B" w14:paraId="33C6BAF6" w14:textId="77777777" w:rsidTr="00FD119B">
        <w:tc>
          <w:tcPr>
            <w:tcW w:w="1809" w:type="dxa"/>
          </w:tcPr>
          <w:p w14:paraId="165AE1D8" w14:textId="77777777" w:rsidR="00F83A33" w:rsidRPr="00FD119B" w:rsidRDefault="00F83A33" w:rsidP="00CF5DAD">
            <w:r>
              <w:t>NA</w:t>
            </w:r>
          </w:p>
        </w:tc>
        <w:tc>
          <w:tcPr>
            <w:tcW w:w="6911" w:type="dxa"/>
          </w:tcPr>
          <w:p w14:paraId="3796EB1E" w14:textId="77777777" w:rsidR="00F83A33" w:rsidRPr="00FD119B" w:rsidRDefault="00F83A33" w:rsidP="00CF5DAD">
            <w:r>
              <w:t>Neuraminidase</w:t>
            </w:r>
          </w:p>
        </w:tc>
      </w:tr>
      <w:tr w:rsidR="00F83A33" w:rsidRPr="00FD119B" w14:paraId="7332F302" w14:textId="77777777" w:rsidTr="00FD119B">
        <w:tc>
          <w:tcPr>
            <w:tcW w:w="1809" w:type="dxa"/>
          </w:tcPr>
          <w:p w14:paraId="69FF39C5" w14:textId="77777777" w:rsidR="00F83A33" w:rsidRPr="00FD119B" w:rsidRDefault="00F83A33" w:rsidP="00CF5DAD">
            <w:r>
              <w:t>NIH</w:t>
            </w:r>
          </w:p>
        </w:tc>
        <w:tc>
          <w:tcPr>
            <w:tcW w:w="6911" w:type="dxa"/>
          </w:tcPr>
          <w:p w14:paraId="7F582290" w14:textId="77777777" w:rsidR="00F83A33" w:rsidRPr="00FD119B" w:rsidRDefault="00F83A33" w:rsidP="00CF5DAD">
            <w:r>
              <w:t>National Institutes of Health (United States)</w:t>
            </w:r>
          </w:p>
        </w:tc>
      </w:tr>
      <w:tr w:rsidR="00F83A33" w:rsidRPr="00FD119B" w14:paraId="5B7B1A1B" w14:textId="77777777" w:rsidTr="00FD119B">
        <w:tc>
          <w:tcPr>
            <w:tcW w:w="1809" w:type="dxa"/>
          </w:tcPr>
          <w:p w14:paraId="04A187F2" w14:textId="77777777" w:rsidR="00F83A33" w:rsidRDefault="00F83A33" w:rsidP="00CF5DAD">
            <w:r>
              <w:t>NIID</w:t>
            </w:r>
          </w:p>
        </w:tc>
        <w:tc>
          <w:tcPr>
            <w:tcW w:w="6911" w:type="dxa"/>
          </w:tcPr>
          <w:p w14:paraId="43E8F7E6" w14:textId="77777777" w:rsidR="00F83A33" w:rsidRDefault="00F83A33" w:rsidP="00CF5DAD">
            <w:r>
              <w:t>National Institute of Infectious Diseases (Japan)</w:t>
            </w:r>
          </w:p>
        </w:tc>
      </w:tr>
      <w:tr w:rsidR="00F83A33" w:rsidRPr="00FD119B" w14:paraId="100FB6AF" w14:textId="77777777" w:rsidTr="00FD119B">
        <w:tc>
          <w:tcPr>
            <w:tcW w:w="1809" w:type="dxa"/>
          </w:tcPr>
          <w:p w14:paraId="1CA558B3" w14:textId="77777777" w:rsidR="00F83A33" w:rsidRPr="00FD119B" w:rsidRDefault="00F83A33" w:rsidP="00CF5DAD">
            <w:r>
              <w:t>NIP</w:t>
            </w:r>
          </w:p>
        </w:tc>
        <w:tc>
          <w:tcPr>
            <w:tcW w:w="6911" w:type="dxa"/>
          </w:tcPr>
          <w:p w14:paraId="0E488B2B" w14:textId="77777777" w:rsidR="00F83A33" w:rsidRPr="00FD119B" w:rsidRDefault="00F83A33" w:rsidP="00CF5DAD">
            <w:r>
              <w:t>National Immunisation Program</w:t>
            </w:r>
          </w:p>
        </w:tc>
      </w:tr>
      <w:tr w:rsidR="00F83A33" w:rsidRPr="00FD119B" w14:paraId="7D37AA5F" w14:textId="77777777" w:rsidTr="00FD119B">
        <w:tc>
          <w:tcPr>
            <w:tcW w:w="1809" w:type="dxa"/>
          </w:tcPr>
          <w:p w14:paraId="45E004AE" w14:textId="77777777" w:rsidR="00F83A33" w:rsidRDefault="00F83A33" w:rsidP="00CF5DAD">
            <w:r>
              <w:t>NSAID</w:t>
            </w:r>
          </w:p>
        </w:tc>
        <w:tc>
          <w:tcPr>
            <w:tcW w:w="6911" w:type="dxa"/>
          </w:tcPr>
          <w:p w14:paraId="3E206E63" w14:textId="77777777" w:rsidR="00F83A33" w:rsidRDefault="00F83A33" w:rsidP="00CF5DAD">
            <w:r>
              <w:t>Non-steroidal anti-inflammatory drug</w:t>
            </w:r>
          </w:p>
        </w:tc>
      </w:tr>
      <w:tr w:rsidR="00F83A33" w:rsidRPr="00FD119B" w14:paraId="5BC864DD" w14:textId="77777777" w:rsidTr="00FD119B">
        <w:tc>
          <w:tcPr>
            <w:tcW w:w="1809" w:type="dxa"/>
          </w:tcPr>
          <w:p w14:paraId="5B8FF99E" w14:textId="77777777" w:rsidR="00F83A33" w:rsidRDefault="00F83A33" w:rsidP="00CF5DAD">
            <w:r>
              <w:t>PBAC</w:t>
            </w:r>
          </w:p>
        </w:tc>
        <w:tc>
          <w:tcPr>
            <w:tcW w:w="6911" w:type="dxa"/>
          </w:tcPr>
          <w:p w14:paraId="3D680D06" w14:textId="77777777" w:rsidR="00F83A33" w:rsidRDefault="00F83A33" w:rsidP="00CF5DAD">
            <w:r>
              <w:t>Pharmaceutical Benefits Advisory Committee</w:t>
            </w:r>
          </w:p>
        </w:tc>
      </w:tr>
      <w:tr w:rsidR="00F83A33" w:rsidRPr="00FD119B" w14:paraId="43923A27" w14:textId="77777777" w:rsidTr="00FD119B">
        <w:tc>
          <w:tcPr>
            <w:tcW w:w="1809" w:type="dxa"/>
          </w:tcPr>
          <w:p w14:paraId="31D24947" w14:textId="77777777" w:rsidR="00F83A33" w:rsidRDefault="00F83A33" w:rsidP="00CF5DAD">
            <w:r>
              <w:t>PBRER</w:t>
            </w:r>
          </w:p>
        </w:tc>
        <w:tc>
          <w:tcPr>
            <w:tcW w:w="6911" w:type="dxa"/>
          </w:tcPr>
          <w:p w14:paraId="6B51FE35" w14:textId="77777777" w:rsidR="00F83A33" w:rsidRDefault="00F83A33" w:rsidP="00CF5DAD">
            <w:r>
              <w:t>Periodic benefit</w:t>
            </w:r>
            <w:r>
              <w:noBreakHyphen/>
              <w:t>risk evaluation report</w:t>
            </w:r>
          </w:p>
        </w:tc>
      </w:tr>
      <w:tr w:rsidR="00F83A33" w:rsidRPr="00FD119B" w14:paraId="79CC6A13" w14:textId="77777777" w:rsidTr="00FD119B">
        <w:tc>
          <w:tcPr>
            <w:tcW w:w="1809" w:type="dxa"/>
          </w:tcPr>
          <w:p w14:paraId="5BCDD098" w14:textId="77777777" w:rsidR="00F83A33" w:rsidRDefault="00F83A33" w:rsidP="00CF5DAD">
            <w:r>
              <w:t>PBS</w:t>
            </w:r>
          </w:p>
        </w:tc>
        <w:tc>
          <w:tcPr>
            <w:tcW w:w="6911" w:type="dxa"/>
          </w:tcPr>
          <w:p w14:paraId="01C83CAD" w14:textId="77777777" w:rsidR="00F83A33" w:rsidRDefault="00F83A33" w:rsidP="00CF5DAD">
            <w:r>
              <w:t>Pharmaceutical Benefit Scheme</w:t>
            </w:r>
          </w:p>
        </w:tc>
      </w:tr>
      <w:tr w:rsidR="00F83A33" w:rsidRPr="00FD119B" w14:paraId="38B9234F" w14:textId="77777777" w:rsidTr="00FD119B">
        <w:tc>
          <w:tcPr>
            <w:tcW w:w="1809" w:type="dxa"/>
          </w:tcPr>
          <w:p w14:paraId="320E41B5" w14:textId="77777777" w:rsidR="00F83A33" w:rsidRDefault="00F83A33" w:rsidP="00CF5DAD">
            <w:r>
              <w:t>PCR</w:t>
            </w:r>
          </w:p>
        </w:tc>
        <w:tc>
          <w:tcPr>
            <w:tcW w:w="6911" w:type="dxa"/>
          </w:tcPr>
          <w:p w14:paraId="67FB8F66" w14:textId="77777777" w:rsidR="00F83A33" w:rsidRDefault="00F83A33" w:rsidP="00CF5DAD">
            <w:r>
              <w:t>Polymerase chain reaction</w:t>
            </w:r>
          </w:p>
        </w:tc>
      </w:tr>
      <w:tr w:rsidR="00F83A33" w:rsidRPr="00FD119B" w14:paraId="2100A55F" w14:textId="77777777" w:rsidTr="00FD119B">
        <w:tc>
          <w:tcPr>
            <w:tcW w:w="1809" w:type="dxa"/>
          </w:tcPr>
          <w:p w14:paraId="318C4CB7" w14:textId="77777777" w:rsidR="00F83A33" w:rsidRDefault="00F83A33" w:rsidP="00CF5DAD">
            <w:r>
              <w:t>PERR</w:t>
            </w:r>
          </w:p>
        </w:tc>
        <w:tc>
          <w:tcPr>
            <w:tcW w:w="6911" w:type="dxa"/>
          </w:tcPr>
          <w:p w14:paraId="6E67D91A" w14:textId="77777777" w:rsidR="00F83A33" w:rsidRDefault="00F83A33" w:rsidP="00CF5DAD">
            <w:r>
              <w:t>Previous event rate ratio</w:t>
            </w:r>
          </w:p>
        </w:tc>
      </w:tr>
      <w:tr w:rsidR="00F83A33" w:rsidRPr="00FD119B" w14:paraId="71720125" w14:textId="77777777" w:rsidTr="00FD119B">
        <w:tc>
          <w:tcPr>
            <w:tcW w:w="1809" w:type="dxa"/>
          </w:tcPr>
          <w:p w14:paraId="30D4E8C8" w14:textId="77777777" w:rsidR="00F83A33" w:rsidRPr="00FD119B" w:rsidRDefault="00F83A33" w:rsidP="00CF5DAD">
            <w:r>
              <w:t>Ph. Eur.</w:t>
            </w:r>
          </w:p>
        </w:tc>
        <w:tc>
          <w:tcPr>
            <w:tcW w:w="6911" w:type="dxa"/>
          </w:tcPr>
          <w:p w14:paraId="72F30E21" w14:textId="77777777" w:rsidR="00F83A33" w:rsidRPr="00FD119B" w:rsidRDefault="00F83A33" w:rsidP="00CF5DAD">
            <w:r w:rsidRPr="00076026">
              <w:t>European Pharmacopoeia</w:t>
            </w:r>
          </w:p>
        </w:tc>
      </w:tr>
      <w:tr w:rsidR="00F83A33" w:rsidRPr="00FD119B" w14:paraId="68748342" w14:textId="77777777" w:rsidTr="00FD119B">
        <w:tc>
          <w:tcPr>
            <w:tcW w:w="1809" w:type="dxa"/>
          </w:tcPr>
          <w:p w14:paraId="3DA2DDB4" w14:textId="77777777" w:rsidR="00F83A33" w:rsidRPr="00FD119B" w:rsidRDefault="00F83A33" w:rsidP="00CF5DAD">
            <w:r>
              <w:t>PI</w:t>
            </w:r>
          </w:p>
        </w:tc>
        <w:tc>
          <w:tcPr>
            <w:tcW w:w="6911" w:type="dxa"/>
          </w:tcPr>
          <w:p w14:paraId="2C202692" w14:textId="77777777" w:rsidR="00F83A33" w:rsidRPr="00FD119B" w:rsidRDefault="00F83A33" w:rsidP="00CF5DAD">
            <w:r>
              <w:t>Product Information</w:t>
            </w:r>
          </w:p>
        </w:tc>
      </w:tr>
      <w:tr w:rsidR="00F83A33" w:rsidRPr="00FD119B" w14:paraId="517B30C9" w14:textId="77777777" w:rsidTr="00FD119B">
        <w:tc>
          <w:tcPr>
            <w:tcW w:w="1809" w:type="dxa"/>
          </w:tcPr>
          <w:p w14:paraId="58DC5B1C" w14:textId="77777777" w:rsidR="00F83A33" w:rsidRDefault="00F83A33" w:rsidP="00CF5DAD">
            <w:r>
              <w:t>PPAS</w:t>
            </w:r>
          </w:p>
        </w:tc>
        <w:tc>
          <w:tcPr>
            <w:tcW w:w="6911" w:type="dxa"/>
          </w:tcPr>
          <w:p w14:paraId="18A01CBD" w14:textId="77777777" w:rsidR="00F83A33" w:rsidRDefault="00F83A33" w:rsidP="00CF5DAD">
            <w:r>
              <w:t>Per-protocol analysis set</w:t>
            </w:r>
          </w:p>
        </w:tc>
      </w:tr>
      <w:tr w:rsidR="00F83A33" w:rsidRPr="00FD119B" w14:paraId="683BEAB5" w14:textId="77777777" w:rsidTr="00FD119B">
        <w:tc>
          <w:tcPr>
            <w:tcW w:w="1809" w:type="dxa"/>
          </w:tcPr>
          <w:p w14:paraId="7E0B7CB6" w14:textId="77777777" w:rsidR="00F83A33" w:rsidRDefault="00F83A33" w:rsidP="00CF5DAD">
            <w:r>
              <w:t>PSUR</w:t>
            </w:r>
          </w:p>
        </w:tc>
        <w:tc>
          <w:tcPr>
            <w:tcW w:w="6911" w:type="dxa"/>
          </w:tcPr>
          <w:p w14:paraId="19BC4F53" w14:textId="77777777" w:rsidR="00F83A33" w:rsidRDefault="00F83A33" w:rsidP="00CF5DAD">
            <w:r>
              <w:t>Periodic safety update report</w:t>
            </w:r>
          </w:p>
        </w:tc>
      </w:tr>
      <w:tr w:rsidR="00F83A33" w:rsidRPr="00FD119B" w14:paraId="059D2B17" w14:textId="77777777" w:rsidTr="00FD119B">
        <w:tc>
          <w:tcPr>
            <w:tcW w:w="1809" w:type="dxa"/>
          </w:tcPr>
          <w:p w14:paraId="5DA80D80" w14:textId="77777777" w:rsidR="00F83A33" w:rsidRPr="00FD119B" w:rsidRDefault="00F83A33" w:rsidP="00CF5DAD">
            <w:r>
              <w:lastRenderedPageBreak/>
              <w:t>QIV</w:t>
            </w:r>
          </w:p>
        </w:tc>
        <w:tc>
          <w:tcPr>
            <w:tcW w:w="6911" w:type="dxa"/>
          </w:tcPr>
          <w:p w14:paraId="131AC8FC" w14:textId="77777777" w:rsidR="00F83A33" w:rsidRPr="00FD119B" w:rsidRDefault="00F83A33" w:rsidP="00CF5DAD">
            <w:r>
              <w:t>Quadrivalent influenza vaccine</w:t>
            </w:r>
          </w:p>
        </w:tc>
      </w:tr>
      <w:tr w:rsidR="00F83A33" w:rsidRPr="00FD119B" w14:paraId="1F6BF784" w14:textId="77777777" w:rsidTr="00FD119B">
        <w:tc>
          <w:tcPr>
            <w:tcW w:w="1809" w:type="dxa"/>
          </w:tcPr>
          <w:p w14:paraId="798AC607" w14:textId="77777777" w:rsidR="00F83A33" w:rsidRPr="00FD119B" w:rsidRDefault="00F83A33" w:rsidP="00CF5DAD">
            <w:r>
              <w:t>QIV-HD</w:t>
            </w:r>
          </w:p>
        </w:tc>
        <w:tc>
          <w:tcPr>
            <w:tcW w:w="6911" w:type="dxa"/>
          </w:tcPr>
          <w:p w14:paraId="5BDBEEFB" w14:textId="77777777" w:rsidR="00F83A33" w:rsidRPr="00FD119B" w:rsidRDefault="00F83A33" w:rsidP="00CF5DAD">
            <w:r>
              <w:t>High dose quadrivalent influenza vaccine</w:t>
            </w:r>
          </w:p>
        </w:tc>
      </w:tr>
      <w:tr w:rsidR="00F83A33" w:rsidRPr="00FD119B" w14:paraId="3623691B" w14:textId="77777777" w:rsidTr="00FD119B">
        <w:tc>
          <w:tcPr>
            <w:tcW w:w="1809" w:type="dxa"/>
          </w:tcPr>
          <w:p w14:paraId="0C033EC0" w14:textId="77777777" w:rsidR="00F83A33" w:rsidRDefault="00F83A33" w:rsidP="00CF5DAD">
            <w:r>
              <w:t>RCT</w:t>
            </w:r>
          </w:p>
        </w:tc>
        <w:tc>
          <w:tcPr>
            <w:tcW w:w="6911" w:type="dxa"/>
          </w:tcPr>
          <w:p w14:paraId="738AFD46" w14:textId="77777777" w:rsidR="00F83A33" w:rsidRDefault="00F83A33" w:rsidP="00CF5DAD">
            <w:r>
              <w:t>Randomised control trial</w:t>
            </w:r>
          </w:p>
        </w:tc>
      </w:tr>
      <w:tr w:rsidR="00F83A33" w:rsidRPr="00FD119B" w14:paraId="29692375" w14:textId="77777777" w:rsidTr="00FD119B">
        <w:tc>
          <w:tcPr>
            <w:tcW w:w="1809" w:type="dxa"/>
          </w:tcPr>
          <w:p w14:paraId="07840242" w14:textId="77777777" w:rsidR="00F83A33" w:rsidRDefault="00F83A33" w:rsidP="00CF5DAD">
            <w:r>
              <w:t>RMP</w:t>
            </w:r>
          </w:p>
        </w:tc>
        <w:tc>
          <w:tcPr>
            <w:tcW w:w="6911" w:type="dxa"/>
          </w:tcPr>
          <w:p w14:paraId="6E576275" w14:textId="77777777" w:rsidR="00F83A33" w:rsidRDefault="00F83A33" w:rsidP="00CF5DAD">
            <w:r>
              <w:t>Risk management plan</w:t>
            </w:r>
          </w:p>
        </w:tc>
      </w:tr>
      <w:tr w:rsidR="00F83A33" w:rsidRPr="00FD119B" w14:paraId="6EC8DD0D" w14:textId="77777777" w:rsidTr="00FD119B">
        <w:tc>
          <w:tcPr>
            <w:tcW w:w="1809" w:type="dxa"/>
          </w:tcPr>
          <w:p w14:paraId="41820A35" w14:textId="77777777" w:rsidR="00F83A33" w:rsidRPr="00FD119B" w:rsidRDefault="00F83A33" w:rsidP="00CF5DAD">
            <w:r>
              <w:t>RNA</w:t>
            </w:r>
          </w:p>
        </w:tc>
        <w:tc>
          <w:tcPr>
            <w:tcW w:w="6911" w:type="dxa"/>
          </w:tcPr>
          <w:p w14:paraId="34CE70C4" w14:textId="77777777" w:rsidR="00F83A33" w:rsidRPr="00FD119B" w:rsidRDefault="00F83A33" w:rsidP="00CF5DAD">
            <w:r>
              <w:t>Ribonucleic acid</w:t>
            </w:r>
          </w:p>
        </w:tc>
      </w:tr>
      <w:tr w:rsidR="00F83A33" w:rsidRPr="00FD119B" w14:paraId="7E8F001C" w14:textId="77777777" w:rsidTr="00FD119B">
        <w:tc>
          <w:tcPr>
            <w:tcW w:w="1809" w:type="dxa"/>
          </w:tcPr>
          <w:p w14:paraId="2AD5315D" w14:textId="77777777" w:rsidR="00F83A33" w:rsidRDefault="00F83A33" w:rsidP="00CF5DAD">
            <w:r>
              <w:t>RR</w:t>
            </w:r>
          </w:p>
        </w:tc>
        <w:tc>
          <w:tcPr>
            <w:tcW w:w="6911" w:type="dxa"/>
          </w:tcPr>
          <w:p w14:paraId="4FD37727" w14:textId="77777777" w:rsidR="00F83A33" w:rsidRDefault="00F83A33" w:rsidP="00CF5DAD">
            <w:r>
              <w:t>Relative risk</w:t>
            </w:r>
          </w:p>
        </w:tc>
      </w:tr>
      <w:tr w:rsidR="00F83A33" w:rsidRPr="00FD119B" w14:paraId="31CE3037" w14:textId="77777777" w:rsidTr="00FD119B">
        <w:tc>
          <w:tcPr>
            <w:tcW w:w="1809" w:type="dxa"/>
          </w:tcPr>
          <w:p w14:paraId="4F04366B" w14:textId="77777777" w:rsidR="00F83A33" w:rsidRDefault="00F83A33" w:rsidP="00CF5DAD">
            <w:r>
              <w:t>SAE</w:t>
            </w:r>
          </w:p>
        </w:tc>
        <w:tc>
          <w:tcPr>
            <w:tcW w:w="6911" w:type="dxa"/>
          </w:tcPr>
          <w:p w14:paraId="6FA897A3" w14:textId="77777777" w:rsidR="00F83A33" w:rsidRDefault="00F83A33" w:rsidP="00CF5DAD">
            <w:r>
              <w:t>Serious adverse event</w:t>
            </w:r>
          </w:p>
        </w:tc>
      </w:tr>
      <w:tr w:rsidR="00F83A33" w:rsidRPr="00FD119B" w14:paraId="02B00C33" w14:textId="77777777" w:rsidTr="00FD119B">
        <w:tc>
          <w:tcPr>
            <w:tcW w:w="1809" w:type="dxa"/>
          </w:tcPr>
          <w:p w14:paraId="4E1C8C51" w14:textId="77777777" w:rsidR="00F83A33" w:rsidRDefault="00F83A33" w:rsidP="00CF5DAD">
            <w:r>
              <w:t>SC</w:t>
            </w:r>
          </w:p>
        </w:tc>
        <w:tc>
          <w:tcPr>
            <w:tcW w:w="6911" w:type="dxa"/>
          </w:tcPr>
          <w:p w14:paraId="383FCD34" w14:textId="77777777" w:rsidR="00F83A33" w:rsidRDefault="00F83A33" w:rsidP="00CF5DAD">
            <w:r>
              <w:t>Subcutaneous</w:t>
            </w:r>
          </w:p>
        </w:tc>
      </w:tr>
      <w:tr w:rsidR="00F83A33" w:rsidRPr="00FD119B" w14:paraId="3C37AFCF" w14:textId="77777777" w:rsidTr="00FD119B">
        <w:tc>
          <w:tcPr>
            <w:tcW w:w="1809" w:type="dxa"/>
          </w:tcPr>
          <w:p w14:paraId="36D0BEDE" w14:textId="77777777" w:rsidR="00F83A33" w:rsidRPr="00FD119B" w:rsidRDefault="00F83A33" w:rsidP="00CF5DAD">
            <w:r>
              <w:t>TIV</w:t>
            </w:r>
          </w:p>
        </w:tc>
        <w:tc>
          <w:tcPr>
            <w:tcW w:w="6911" w:type="dxa"/>
          </w:tcPr>
          <w:p w14:paraId="0137294A" w14:textId="77777777" w:rsidR="00F83A33" w:rsidRPr="00FD119B" w:rsidRDefault="00F83A33" w:rsidP="00CF5DAD">
            <w:r>
              <w:t>Trivalent influenza vaccine</w:t>
            </w:r>
          </w:p>
        </w:tc>
      </w:tr>
      <w:tr w:rsidR="00F83A33" w:rsidRPr="00FD119B" w14:paraId="729935D3" w14:textId="77777777" w:rsidTr="00FD119B">
        <w:tc>
          <w:tcPr>
            <w:tcW w:w="1809" w:type="dxa"/>
          </w:tcPr>
          <w:p w14:paraId="3F606D52" w14:textId="77777777" w:rsidR="00F83A33" w:rsidRPr="00FD119B" w:rsidRDefault="00F83A33" w:rsidP="00CF5DAD">
            <w:r>
              <w:t>TIV-HD</w:t>
            </w:r>
          </w:p>
        </w:tc>
        <w:tc>
          <w:tcPr>
            <w:tcW w:w="6911" w:type="dxa"/>
          </w:tcPr>
          <w:p w14:paraId="714EAEEA" w14:textId="77777777" w:rsidR="00F83A33" w:rsidRPr="00FD119B" w:rsidRDefault="00F83A33" w:rsidP="00CF5DAD">
            <w:r>
              <w:t>High dose trivalent influenza vaccine</w:t>
            </w:r>
          </w:p>
        </w:tc>
      </w:tr>
      <w:tr w:rsidR="00F83A33" w:rsidRPr="00FD119B" w14:paraId="7D706A72" w14:textId="77777777" w:rsidTr="00FD119B">
        <w:tc>
          <w:tcPr>
            <w:tcW w:w="1809" w:type="dxa"/>
          </w:tcPr>
          <w:p w14:paraId="7AB2D25D" w14:textId="77777777" w:rsidR="00F83A33" w:rsidRPr="00FD119B" w:rsidRDefault="00F83A33" w:rsidP="00CF5DAD">
            <w:r>
              <w:t>TIV-HD1</w:t>
            </w:r>
          </w:p>
        </w:tc>
        <w:tc>
          <w:tcPr>
            <w:tcW w:w="6911" w:type="dxa"/>
          </w:tcPr>
          <w:p w14:paraId="393D3D96" w14:textId="77777777" w:rsidR="00F83A33" w:rsidRPr="00FD119B" w:rsidRDefault="00F83A33" w:rsidP="00CF5DAD">
            <w:r>
              <w:t>High dose trivalent influenza vaccine licensed as Fluzone High</w:t>
            </w:r>
            <w:r>
              <w:noBreakHyphen/>
              <w:t>Dose for the 2017-2018 Northern Hemisphere influenza season</w:t>
            </w:r>
          </w:p>
        </w:tc>
      </w:tr>
      <w:tr w:rsidR="00F83A33" w:rsidRPr="00FD119B" w14:paraId="353FE2E8" w14:textId="77777777" w:rsidTr="00FD119B">
        <w:tc>
          <w:tcPr>
            <w:tcW w:w="1809" w:type="dxa"/>
          </w:tcPr>
          <w:p w14:paraId="5CB09824" w14:textId="77777777" w:rsidR="00F83A33" w:rsidRDefault="00F83A33" w:rsidP="00CF5DAD">
            <w:r w:rsidRPr="003534CC">
              <w:t>TIV-HD2</w:t>
            </w:r>
          </w:p>
        </w:tc>
        <w:tc>
          <w:tcPr>
            <w:tcW w:w="6911" w:type="dxa"/>
          </w:tcPr>
          <w:p w14:paraId="7DC97950" w14:textId="77777777" w:rsidR="00F83A33" w:rsidRDefault="00F83A33" w:rsidP="00FE75EC">
            <w:r>
              <w:t>High dose trivalent influenza vaccine containing an alternate strain of influenza B lineage (compared with TIV-HD1; see above)</w:t>
            </w:r>
          </w:p>
        </w:tc>
      </w:tr>
      <w:tr w:rsidR="00F83A33" w:rsidRPr="00FD119B" w14:paraId="6C2EB14A" w14:textId="77777777" w:rsidTr="00FD119B">
        <w:tc>
          <w:tcPr>
            <w:tcW w:w="1809" w:type="dxa"/>
          </w:tcPr>
          <w:p w14:paraId="6EF0A709" w14:textId="77777777" w:rsidR="00F83A33" w:rsidRPr="00FD119B" w:rsidRDefault="00F83A33" w:rsidP="00CF5DAD">
            <w:r>
              <w:t>TIV-SD</w:t>
            </w:r>
          </w:p>
        </w:tc>
        <w:tc>
          <w:tcPr>
            <w:tcW w:w="6911" w:type="dxa"/>
          </w:tcPr>
          <w:p w14:paraId="2144EC6C" w14:textId="77777777" w:rsidR="00F83A33" w:rsidRPr="00FD119B" w:rsidRDefault="00F83A33" w:rsidP="00CF5DAD">
            <w:r>
              <w:t>Standard dose trivalent influenza vaccine</w:t>
            </w:r>
          </w:p>
        </w:tc>
      </w:tr>
      <w:tr w:rsidR="00F83A33" w:rsidRPr="00FD119B" w14:paraId="6909F72E" w14:textId="77777777" w:rsidTr="00FD119B">
        <w:tc>
          <w:tcPr>
            <w:tcW w:w="1809" w:type="dxa"/>
          </w:tcPr>
          <w:p w14:paraId="56545DB7" w14:textId="77777777" w:rsidR="00F83A33" w:rsidRPr="00FD119B" w:rsidRDefault="00F83A33" w:rsidP="00CF5DAD">
            <w:r>
              <w:t>US(A)</w:t>
            </w:r>
          </w:p>
        </w:tc>
        <w:tc>
          <w:tcPr>
            <w:tcW w:w="6911" w:type="dxa"/>
          </w:tcPr>
          <w:p w14:paraId="7D9C1CCE" w14:textId="77777777" w:rsidR="00F83A33" w:rsidRPr="00FD119B" w:rsidRDefault="00F83A33" w:rsidP="00CF5DAD">
            <w:r>
              <w:t>United States (of America)</w:t>
            </w:r>
          </w:p>
        </w:tc>
      </w:tr>
      <w:tr w:rsidR="00F83A33" w:rsidRPr="00FD119B" w14:paraId="3FCB10D8" w14:textId="77777777" w:rsidTr="00FD119B">
        <w:tc>
          <w:tcPr>
            <w:tcW w:w="1809" w:type="dxa"/>
          </w:tcPr>
          <w:p w14:paraId="3E5C92BA" w14:textId="77777777" w:rsidR="00F83A33" w:rsidRDefault="00F83A33" w:rsidP="00CF5DAD">
            <w:r>
              <w:t>VHA</w:t>
            </w:r>
          </w:p>
        </w:tc>
        <w:tc>
          <w:tcPr>
            <w:tcW w:w="6911" w:type="dxa"/>
          </w:tcPr>
          <w:p w14:paraId="0075BC72" w14:textId="77777777" w:rsidR="00F83A33" w:rsidRDefault="00F83A33" w:rsidP="00CF5DAD">
            <w:r>
              <w:t>Veterans Health Administration (United States)</w:t>
            </w:r>
          </w:p>
        </w:tc>
      </w:tr>
      <w:tr w:rsidR="00F83A33" w:rsidRPr="00FD119B" w14:paraId="7501A550" w14:textId="77777777" w:rsidTr="00FD119B">
        <w:tc>
          <w:tcPr>
            <w:tcW w:w="1809" w:type="dxa"/>
          </w:tcPr>
          <w:p w14:paraId="6C52077B" w14:textId="77777777" w:rsidR="00F83A33" w:rsidRDefault="00F83A33" w:rsidP="00CF5DAD">
            <w:r>
              <w:t>VRBPAC</w:t>
            </w:r>
          </w:p>
        </w:tc>
        <w:tc>
          <w:tcPr>
            <w:tcW w:w="6911" w:type="dxa"/>
          </w:tcPr>
          <w:p w14:paraId="21F5FD43" w14:textId="77777777" w:rsidR="00F83A33" w:rsidRDefault="00F83A33" w:rsidP="00CF5DAD">
            <w:r w:rsidRPr="00BC44C5">
              <w:rPr>
                <w:rFonts w:cs="TimesNewRomanPS-ItalicMT"/>
                <w:iCs/>
              </w:rPr>
              <w:t>Vaccines and Related Biological Products Advisory Committee</w:t>
            </w:r>
            <w:r>
              <w:rPr>
                <w:rFonts w:cs="TimesNewRomanPS-ItalicMT"/>
                <w:iCs/>
              </w:rPr>
              <w:t xml:space="preserve"> (United States)</w:t>
            </w:r>
          </w:p>
        </w:tc>
      </w:tr>
      <w:tr w:rsidR="00F83A33" w:rsidRPr="00FD119B" w14:paraId="71DB415E" w14:textId="77777777" w:rsidTr="00FD119B">
        <w:tc>
          <w:tcPr>
            <w:tcW w:w="1809" w:type="dxa"/>
          </w:tcPr>
          <w:p w14:paraId="5B2FF42F" w14:textId="77777777" w:rsidR="00F83A33" w:rsidRDefault="00F83A33" w:rsidP="00CF5DAD">
            <w:r>
              <w:t>WHO</w:t>
            </w:r>
          </w:p>
        </w:tc>
        <w:tc>
          <w:tcPr>
            <w:tcW w:w="6911" w:type="dxa"/>
          </w:tcPr>
          <w:p w14:paraId="59B78E4F" w14:textId="77777777" w:rsidR="00F83A33" w:rsidRDefault="00F83A33" w:rsidP="00CF5DAD">
            <w:r>
              <w:t>World Health Organization</w:t>
            </w:r>
          </w:p>
        </w:tc>
      </w:tr>
      <w:tr w:rsidR="00F83A33" w:rsidRPr="00FD119B" w14:paraId="16C0AE2E" w14:textId="77777777" w:rsidTr="00FD119B">
        <w:tc>
          <w:tcPr>
            <w:tcW w:w="1809" w:type="dxa"/>
          </w:tcPr>
          <w:p w14:paraId="036796BB" w14:textId="77777777" w:rsidR="00F83A33" w:rsidRPr="00FD119B" w:rsidRDefault="00F83A33" w:rsidP="00CF5DAD">
            <w:r>
              <w:t>WSL</w:t>
            </w:r>
          </w:p>
        </w:tc>
        <w:tc>
          <w:tcPr>
            <w:tcW w:w="6911" w:type="dxa"/>
          </w:tcPr>
          <w:p w14:paraId="380E46D8" w14:textId="77777777" w:rsidR="00F83A33" w:rsidRPr="00FD119B" w:rsidRDefault="00F83A33" w:rsidP="00CF5DAD">
            <w:r>
              <w:t>Working seed lots</w:t>
            </w:r>
          </w:p>
        </w:tc>
      </w:tr>
    </w:tbl>
    <w:p w14:paraId="78E6C8CA" w14:textId="77777777" w:rsidR="00FD119B" w:rsidRDefault="00FD119B" w:rsidP="00FD119B"/>
    <w:p w14:paraId="48B1E26C"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B481895" w14:textId="77777777" w:rsidR="008E7846" w:rsidRDefault="00F53C07" w:rsidP="008E7846">
      <w:pPr>
        <w:pStyle w:val="Heading2"/>
      </w:pPr>
      <w:bookmarkStart w:id="9" w:name="_Toc57824911"/>
      <w:r>
        <w:lastRenderedPageBreak/>
        <w:t>I.</w:t>
      </w:r>
      <w:r w:rsidR="008E7846">
        <w:t xml:space="preserve"> Introduction to product submission</w:t>
      </w:r>
      <w:bookmarkEnd w:id="9"/>
      <w:bookmarkEnd w:id="1"/>
      <w:bookmarkEnd w:id="3"/>
    </w:p>
    <w:p w14:paraId="47E3F3AE" w14:textId="77777777" w:rsidR="008E7846" w:rsidRDefault="008E7846" w:rsidP="008E7846">
      <w:pPr>
        <w:pStyle w:val="Heading3"/>
        <w:rPr>
          <w:lang w:eastAsia="en-AU"/>
        </w:rPr>
      </w:pPr>
      <w:bookmarkStart w:id="10" w:name="_Toc247691502"/>
      <w:bookmarkStart w:id="11" w:name="_Toc314842483"/>
      <w:bookmarkStart w:id="12" w:name="_Toc57824912"/>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2CCCA255" w14:textId="77777777" w:rsidTr="003735BC">
        <w:tc>
          <w:tcPr>
            <w:tcW w:w="2907" w:type="dxa"/>
          </w:tcPr>
          <w:p w14:paraId="0F083541"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8EFA653" w14:textId="68287694" w:rsidR="008E7846" w:rsidRPr="003D1E62" w:rsidRDefault="00C948E0" w:rsidP="00C948E0">
            <w:r>
              <w:t>New biological entity</w:t>
            </w:r>
          </w:p>
        </w:tc>
      </w:tr>
      <w:tr w:rsidR="00460036" w:rsidRPr="003D1E62" w14:paraId="0267DF8C" w14:textId="77777777" w:rsidTr="003735BC">
        <w:tc>
          <w:tcPr>
            <w:tcW w:w="2907" w:type="dxa"/>
          </w:tcPr>
          <w:p w14:paraId="417C6B19" w14:textId="77777777" w:rsidR="00460036" w:rsidRPr="003D1E62" w:rsidRDefault="00FD4C0D" w:rsidP="003D1E62">
            <w:pPr>
              <w:rPr>
                <w:i/>
              </w:rPr>
            </w:pPr>
            <w:r>
              <w:rPr>
                <w:i/>
              </w:rPr>
              <w:t>Product name</w:t>
            </w:r>
            <w:r w:rsidR="00460036" w:rsidRPr="00460036">
              <w:rPr>
                <w:i/>
              </w:rPr>
              <w:t>:</w:t>
            </w:r>
          </w:p>
        </w:tc>
        <w:tc>
          <w:tcPr>
            <w:tcW w:w="6307" w:type="dxa"/>
          </w:tcPr>
          <w:p w14:paraId="5D257E37" w14:textId="77777777" w:rsidR="00460036" w:rsidRPr="003D1E62" w:rsidRDefault="00FD4C0D" w:rsidP="00FD4C0D">
            <w:r>
              <w:t>Fluzone High-Dose Quadrivalent (QIV);</w:t>
            </w:r>
            <w:bookmarkStart w:id="13" w:name="_Ref54744497"/>
            <w:r>
              <w:rPr>
                <w:rStyle w:val="FootnoteReference"/>
              </w:rPr>
              <w:footnoteReference w:id="1"/>
            </w:r>
            <w:bookmarkEnd w:id="13"/>
          </w:p>
        </w:tc>
      </w:tr>
      <w:tr w:rsidR="00460036" w:rsidRPr="003D1E62" w14:paraId="7F71EC5D" w14:textId="77777777" w:rsidTr="003735BC">
        <w:tc>
          <w:tcPr>
            <w:tcW w:w="2907" w:type="dxa"/>
          </w:tcPr>
          <w:p w14:paraId="65F7AFFC" w14:textId="77777777" w:rsidR="00460036" w:rsidRPr="003D1E62" w:rsidRDefault="00FD4C0D" w:rsidP="003D1E62">
            <w:pPr>
              <w:rPr>
                <w:i/>
              </w:rPr>
            </w:pPr>
            <w:r>
              <w:rPr>
                <w:i/>
              </w:rPr>
              <w:t>Active ingredient</w:t>
            </w:r>
            <w:r w:rsidR="00460036" w:rsidRPr="00460036">
              <w:rPr>
                <w:i/>
              </w:rPr>
              <w:t>:</w:t>
            </w:r>
          </w:p>
        </w:tc>
        <w:tc>
          <w:tcPr>
            <w:tcW w:w="6307" w:type="dxa"/>
          </w:tcPr>
          <w:p w14:paraId="6A27443E" w14:textId="77777777" w:rsidR="00460036" w:rsidRPr="003D1E62" w:rsidRDefault="00C801CA" w:rsidP="00C801CA">
            <w:r>
              <w:t>I</w:t>
            </w:r>
            <w:r w:rsidR="00FD4C0D" w:rsidRPr="00FD4C0D">
              <w:t>nactivated q</w:t>
            </w:r>
            <w:r w:rsidR="00465EFF">
              <w:t>uadrivalent influenza vaccine (split v</w:t>
            </w:r>
            <w:r w:rsidR="00FD4C0D" w:rsidRPr="00FD4C0D">
              <w:t>irion)</w:t>
            </w:r>
            <w:r>
              <w:t xml:space="preserve"> influenza virus haemagglutinin</w:t>
            </w:r>
          </w:p>
        </w:tc>
      </w:tr>
      <w:tr w:rsidR="008E7846" w:rsidRPr="003D1E62" w14:paraId="65B0A36D" w14:textId="77777777" w:rsidTr="003735BC">
        <w:tc>
          <w:tcPr>
            <w:tcW w:w="2907" w:type="dxa"/>
          </w:tcPr>
          <w:p w14:paraId="5085B6ED" w14:textId="77777777" w:rsidR="008E7846" w:rsidRPr="003D1E62" w:rsidRDefault="008E7846" w:rsidP="003D1E62">
            <w:r w:rsidRPr="003D1E62">
              <w:rPr>
                <w:i/>
              </w:rPr>
              <w:t>Decision</w:t>
            </w:r>
            <w:r w:rsidRPr="003D1E62">
              <w:t>:</w:t>
            </w:r>
          </w:p>
        </w:tc>
        <w:tc>
          <w:tcPr>
            <w:tcW w:w="6307" w:type="dxa"/>
          </w:tcPr>
          <w:p w14:paraId="34C787C7" w14:textId="77777777" w:rsidR="008E7846" w:rsidRPr="003D1E62" w:rsidRDefault="00FD4C0D" w:rsidP="00FD4C0D">
            <w:r>
              <w:t>Approved</w:t>
            </w:r>
          </w:p>
        </w:tc>
      </w:tr>
      <w:tr w:rsidR="008E7846" w:rsidRPr="003D1E62" w14:paraId="0752F9F1" w14:textId="77777777" w:rsidTr="003735BC">
        <w:tc>
          <w:tcPr>
            <w:tcW w:w="2907" w:type="dxa"/>
          </w:tcPr>
          <w:p w14:paraId="447A6709"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26CFA754" w14:textId="77777777" w:rsidR="008E7846" w:rsidRPr="003D1E62" w:rsidRDefault="00FD4C0D" w:rsidP="001B5C90">
            <w:r>
              <w:t>30 July 2020</w:t>
            </w:r>
          </w:p>
        </w:tc>
      </w:tr>
      <w:tr w:rsidR="00ED2922" w:rsidRPr="003D1E62" w14:paraId="793921F1" w14:textId="77777777" w:rsidTr="003735BC">
        <w:tc>
          <w:tcPr>
            <w:tcW w:w="2907" w:type="dxa"/>
          </w:tcPr>
          <w:p w14:paraId="154B3D6A" w14:textId="77777777" w:rsidR="00ED2922" w:rsidRPr="00441C3F" w:rsidRDefault="00ED2922" w:rsidP="001B5C90">
            <w:pPr>
              <w:rPr>
                <w:i/>
              </w:rPr>
            </w:pPr>
            <w:r w:rsidRPr="00441C3F">
              <w:rPr>
                <w:i/>
              </w:rPr>
              <w:t>Date of entry onto ARTG</w:t>
            </w:r>
            <w:r w:rsidR="00500337">
              <w:rPr>
                <w:i/>
              </w:rPr>
              <w:t>:</w:t>
            </w:r>
          </w:p>
        </w:tc>
        <w:tc>
          <w:tcPr>
            <w:tcW w:w="6307" w:type="dxa"/>
          </w:tcPr>
          <w:p w14:paraId="027FBB17" w14:textId="77777777" w:rsidR="00ED2922" w:rsidRPr="00441C3F" w:rsidRDefault="00FD4C0D" w:rsidP="00FD4C0D">
            <w:pPr>
              <w:rPr>
                <w:i/>
              </w:rPr>
            </w:pPr>
            <w:r>
              <w:t>31 July 2020</w:t>
            </w:r>
          </w:p>
        </w:tc>
      </w:tr>
      <w:tr w:rsidR="00500337" w:rsidRPr="003D1E62" w14:paraId="38BD578B" w14:textId="77777777" w:rsidTr="003735BC">
        <w:tc>
          <w:tcPr>
            <w:tcW w:w="2907" w:type="dxa"/>
          </w:tcPr>
          <w:p w14:paraId="1FD80A6C" w14:textId="77777777" w:rsidR="00500337" w:rsidRPr="00441C3F" w:rsidRDefault="00500337" w:rsidP="001B5C90">
            <w:pPr>
              <w:rPr>
                <w:i/>
              </w:rPr>
            </w:pPr>
            <w:r>
              <w:rPr>
                <w:i/>
              </w:rPr>
              <w:t>ARTG number:</w:t>
            </w:r>
          </w:p>
        </w:tc>
        <w:tc>
          <w:tcPr>
            <w:tcW w:w="6307" w:type="dxa"/>
          </w:tcPr>
          <w:p w14:paraId="3E14A2FB" w14:textId="77777777" w:rsidR="00500337" w:rsidRPr="00441C3F" w:rsidRDefault="00FD4C0D" w:rsidP="00EC463D">
            <w:r>
              <w:t>320962</w:t>
            </w:r>
          </w:p>
        </w:tc>
      </w:tr>
      <w:tr w:rsidR="003735BC" w:rsidRPr="003D1E62" w14:paraId="080DC25D" w14:textId="77777777" w:rsidTr="003735BC">
        <w:tc>
          <w:tcPr>
            <w:tcW w:w="2907" w:type="dxa"/>
          </w:tcPr>
          <w:p w14:paraId="52D43999"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2"/>
            </w:r>
          </w:p>
        </w:tc>
        <w:tc>
          <w:tcPr>
            <w:tcW w:w="6307" w:type="dxa"/>
          </w:tcPr>
          <w:p w14:paraId="32B29513" w14:textId="77777777" w:rsidR="003735BC" w:rsidRPr="00487162" w:rsidRDefault="00240277" w:rsidP="003735BC">
            <w:r>
              <w:t>No</w:t>
            </w:r>
          </w:p>
        </w:tc>
      </w:tr>
      <w:tr w:rsidR="008E7846" w:rsidRPr="00487162" w14:paraId="0E3577D6" w14:textId="77777777" w:rsidTr="00BF1190">
        <w:tc>
          <w:tcPr>
            <w:tcW w:w="2907" w:type="dxa"/>
          </w:tcPr>
          <w:p w14:paraId="1EF51C6C"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C501F45" w14:textId="77777777" w:rsidR="00240277" w:rsidRDefault="00240277" w:rsidP="00240277">
            <w:r>
              <w:t>Sanofi-Aventis Australia Pty Ltd</w:t>
            </w:r>
          </w:p>
          <w:p w14:paraId="68CC7135" w14:textId="77777777" w:rsidR="00240277" w:rsidRDefault="00240277" w:rsidP="00240277">
            <w:r>
              <w:t>Talavera Corporate Centre</w:t>
            </w:r>
            <w:r w:rsidR="00C948E0">
              <w:t>,</w:t>
            </w:r>
            <w:r>
              <w:t xml:space="preserve"> Building D</w:t>
            </w:r>
          </w:p>
          <w:p w14:paraId="061FE19D" w14:textId="77777777" w:rsidR="00240277" w:rsidRDefault="00240277" w:rsidP="00240277">
            <w:r>
              <w:t>12 - 24 Talavera Road</w:t>
            </w:r>
          </w:p>
          <w:p w14:paraId="101EF1F8" w14:textId="77777777" w:rsidR="008E7846" w:rsidRPr="00487162" w:rsidRDefault="00240277" w:rsidP="00240277">
            <w:r>
              <w:t>Macquarie Park, NSW, 2113</w:t>
            </w:r>
          </w:p>
        </w:tc>
      </w:tr>
      <w:tr w:rsidR="008E7846" w:rsidRPr="00487162" w14:paraId="4E93D457" w14:textId="77777777" w:rsidTr="00BF1190">
        <w:tc>
          <w:tcPr>
            <w:tcW w:w="2907" w:type="dxa"/>
          </w:tcPr>
          <w:p w14:paraId="3442FDD2" w14:textId="77777777" w:rsidR="008E7846" w:rsidRPr="00487162" w:rsidRDefault="001B5C90" w:rsidP="00E45619">
            <w:pPr>
              <w:rPr>
                <w:i/>
              </w:rPr>
            </w:pPr>
            <w:r>
              <w:rPr>
                <w:i/>
              </w:rPr>
              <w:t>Dos</w:t>
            </w:r>
            <w:r w:rsidR="00240277">
              <w:rPr>
                <w:i/>
              </w:rPr>
              <w:t>e form</w:t>
            </w:r>
            <w:r>
              <w:rPr>
                <w:i/>
              </w:rPr>
              <w:t>:</w:t>
            </w:r>
          </w:p>
        </w:tc>
        <w:tc>
          <w:tcPr>
            <w:tcW w:w="6307" w:type="dxa"/>
          </w:tcPr>
          <w:p w14:paraId="09103A28" w14:textId="77777777" w:rsidR="008E7846" w:rsidRPr="00487162" w:rsidRDefault="00240277" w:rsidP="00E45619">
            <w:r>
              <w:t>Suspension for injection</w:t>
            </w:r>
          </w:p>
        </w:tc>
      </w:tr>
      <w:tr w:rsidR="008E7846" w:rsidRPr="00487162" w14:paraId="44D3EBD8" w14:textId="77777777" w:rsidTr="00BF1190">
        <w:tc>
          <w:tcPr>
            <w:tcW w:w="2907" w:type="dxa"/>
          </w:tcPr>
          <w:p w14:paraId="1845F635" w14:textId="77777777" w:rsidR="008E7846" w:rsidRPr="00487162" w:rsidRDefault="00240277" w:rsidP="00E45619">
            <w:pPr>
              <w:rPr>
                <w:i/>
              </w:rPr>
            </w:pPr>
            <w:r>
              <w:rPr>
                <w:i/>
              </w:rPr>
              <w:t>Strength:</w:t>
            </w:r>
          </w:p>
        </w:tc>
        <w:tc>
          <w:tcPr>
            <w:tcW w:w="6307" w:type="dxa"/>
          </w:tcPr>
          <w:p w14:paraId="4F03189C" w14:textId="77777777" w:rsidR="008E7846" w:rsidRPr="00487162" w:rsidRDefault="00C948E0" w:rsidP="00E45619">
            <w:r w:rsidRPr="00C948E0">
              <w:t>240 µg</w:t>
            </w:r>
            <w:r w:rsidR="00C801CA">
              <w:t>/0.7 mL</w:t>
            </w:r>
            <w:r w:rsidR="004F3C82">
              <w:t>;</w:t>
            </w:r>
            <w:r w:rsidR="004F3C82">
              <w:rPr>
                <w:rStyle w:val="FootnoteReference"/>
              </w:rPr>
              <w:footnoteReference w:id="3"/>
            </w:r>
          </w:p>
        </w:tc>
      </w:tr>
      <w:tr w:rsidR="008E7846" w:rsidRPr="00487162" w14:paraId="24386E1D" w14:textId="77777777" w:rsidTr="00BF1190">
        <w:tc>
          <w:tcPr>
            <w:tcW w:w="2907" w:type="dxa"/>
          </w:tcPr>
          <w:p w14:paraId="110B88C6" w14:textId="77777777" w:rsidR="008E7846" w:rsidRPr="00487162" w:rsidRDefault="00240277" w:rsidP="00E45619">
            <w:pPr>
              <w:rPr>
                <w:i/>
              </w:rPr>
            </w:pPr>
            <w:r>
              <w:rPr>
                <w:i/>
              </w:rPr>
              <w:t>Container</w:t>
            </w:r>
            <w:r w:rsidR="008E7846" w:rsidRPr="00487162">
              <w:rPr>
                <w:i/>
              </w:rPr>
              <w:t>:</w:t>
            </w:r>
          </w:p>
        </w:tc>
        <w:tc>
          <w:tcPr>
            <w:tcW w:w="6307" w:type="dxa"/>
          </w:tcPr>
          <w:p w14:paraId="028ADC77" w14:textId="77777777" w:rsidR="008E7846" w:rsidRPr="00487162" w:rsidRDefault="00240277" w:rsidP="00E45619">
            <w:r>
              <w:t>Pre-filled syringe (PFS)</w:t>
            </w:r>
          </w:p>
        </w:tc>
      </w:tr>
      <w:tr w:rsidR="008E7846" w:rsidRPr="00487162" w14:paraId="34B81B0E" w14:textId="77777777" w:rsidTr="00BF1190">
        <w:tc>
          <w:tcPr>
            <w:tcW w:w="2907" w:type="dxa"/>
          </w:tcPr>
          <w:p w14:paraId="23E520D0" w14:textId="77777777" w:rsidR="008E7846" w:rsidRPr="00487162" w:rsidRDefault="00C948E0" w:rsidP="00E45619">
            <w:pPr>
              <w:rPr>
                <w:i/>
              </w:rPr>
            </w:pPr>
            <w:r>
              <w:rPr>
                <w:i/>
              </w:rPr>
              <w:t>Pack sizes</w:t>
            </w:r>
            <w:r w:rsidR="008E7846" w:rsidRPr="00487162">
              <w:rPr>
                <w:i/>
              </w:rPr>
              <w:t>:</w:t>
            </w:r>
          </w:p>
        </w:tc>
        <w:tc>
          <w:tcPr>
            <w:tcW w:w="6307" w:type="dxa"/>
          </w:tcPr>
          <w:p w14:paraId="2828809D" w14:textId="77777777" w:rsidR="00EB0A9D" w:rsidRDefault="00C948E0" w:rsidP="00C948E0">
            <w:r>
              <w:t xml:space="preserve">5 </w:t>
            </w:r>
            <w:r w:rsidR="00EB0A9D">
              <w:t xml:space="preserve">x 0.7 mL single dose </w:t>
            </w:r>
            <w:r>
              <w:t>pre-filled syringes with needles;</w:t>
            </w:r>
          </w:p>
          <w:p w14:paraId="34DAD197" w14:textId="77777777" w:rsidR="00EB0A9D" w:rsidRDefault="00EB0A9D" w:rsidP="00C948E0">
            <w:r>
              <w:t xml:space="preserve">5 x 0.7 mL single dose </w:t>
            </w:r>
            <w:r w:rsidR="00C948E0">
              <w:t>pre-filled syringes without needle;</w:t>
            </w:r>
          </w:p>
          <w:p w14:paraId="49A75D6E" w14:textId="77777777" w:rsidR="008E7846" w:rsidRPr="00487162" w:rsidRDefault="00C948E0" w:rsidP="00C948E0">
            <w:r>
              <w:t xml:space="preserve">10 </w:t>
            </w:r>
            <w:r w:rsidR="00EB0A9D">
              <w:t xml:space="preserve">x 0.7 mL single dose </w:t>
            </w:r>
            <w:r>
              <w:t>pre-filled syringes without needle.</w:t>
            </w:r>
          </w:p>
        </w:tc>
      </w:tr>
      <w:tr w:rsidR="008E7846" w:rsidRPr="00487162" w14:paraId="3ACBF378" w14:textId="77777777" w:rsidTr="00BF1190">
        <w:tc>
          <w:tcPr>
            <w:tcW w:w="2907" w:type="dxa"/>
          </w:tcPr>
          <w:p w14:paraId="15F2B69D"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1B54664D" w14:textId="77777777" w:rsidR="008841C2" w:rsidRPr="008841C2" w:rsidRDefault="008841C2" w:rsidP="008841C2">
            <w:pPr>
              <w:rPr>
                <w:rFonts w:eastAsia="MS Mincho"/>
                <w:i/>
                <w:lang w:eastAsia="ja-JP"/>
              </w:rPr>
            </w:pPr>
            <w:r w:rsidRPr="008841C2">
              <w:rPr>
                <w:rFonts w:eastAsia="MS Mincho"/>
                <w:i/>
                <w:lang w:eastAsia="ja-JP"/>
              </w:rPr>
              <w:t>Fluzone High-Dose Quadrivalent is indicated for active immunisation for the prevention of influenza disease. Fluzone High-Dose Quadrivalent is indicated for use in persons 65 years of age and older.</w:t>
            </w:r>
          </w:p>
          <w:p w14:paraId="0FE55378" w14:textId="77777777" w:rsidR="008841C2" w:rsidRPr="008841C2" w:rsidRDefault="008841C2" w:rsidP="008841C2">
            <w:pPr>
              <w:rPr>
                <w:rFonts w:eastAsia="MS Mincho"/>
                <w:i/>
                <w:lang w:eastAsia="ja-JP"/>
              </w:rPr>
            </w:pPr>
            <w:r w:rsidRPr="008841C2">
              <w:rPr>
                <w:rFonts w:eastAsia="MS Mincho"/>
                <w:i/>
                <w:lang w:eastAsia="ja-JP"/>
              </w:rPr>
              <w:lastRenderedPageBreak/>
              <w:t>The use of Fluzone High-Dose Quadrivalent should be based on official recommendations.</w:t>
            </w:r>
          </w:p>
          <w:p w14:paraId="6BBFDE9C" w14:textId="77777777" w:rsidR="008E7846" w:rsidRPr="00487162" w:rsidRDefault="008841C2" w:rsidP="008841C2">
            <w:pPr>
              <w:rPr>
                <w:rFonts w:eastAsia="MS Mincho"/>
                <w:lang w:eastAsia="ja-JP"/>
              </w:rPr>
            </w:pPr>
            <w:r w:rsidRPr="008841C2">
              <w:rPr>
                <w:rFonts w:eastAsia="MS Mincho"/>
                <w:i/>
                <w:lang w:eastAsia="ja-JP"/>
              </w:rPr>
              <w:t>See Section 5.1 Clinical Trials for information on the effects on influenza associated complications.</w:t>
            </w:r>
          </w:p>
        </w:tc>
      </w:tr>
      <w:tr w:rsidR="008E7846" w:rsidRPr="00487162" w14:paraId="35F33976" w14:textId="77777777" w:rsidTr="00BF1190">
        <w:tc>
          <w:tcPr>
            <w:tcW w:w="2907" w:type="dxa"/>
          </w:tcPr>
          <w:p w14:paraId="3D48128B" w14:textId="77777777" w:rsidR="008E7846" w:rsidRPr="00487162" w:rsidRDefault="004F3C82" w:rsidP="00E45619">
            <w:pPr>
              <w:rPr>
                <w:i/>
              </w:rPr>
            </w:pPr>
            <w:r>
              <w:rPr>
                <w:i/>
              </w:rPr>
              <w:lastRenderedPageBreak/>
              <w:t>Route</w:t>
            </w:r>
            <w:r w:rsidR="008E7846" w:rsidRPr="00487162">
              <w:rPr>
                <w:i/>
              </w:rPr>
              <w:t xml:space="preserve"> of administration:</w:t>
            </w:r>
          </w:p>
        </w:tc>
        <w:tc>
          <w:tcPr>
            <w:tcW w:w="6307" w:type="dxa"/>
          </w:tcPr>
          <w:p w14:paraId="10FC3112" w14:textId="77777777" w:rsidR="008E7846" w:rsidRPr="00487162" w:rsidRDefault="004F3C82" w:rsidP="00E45619">
            <w:r>
              <w:t>Intramuscular injection</w:t>
            </w:r>
          </w:p>
        </w:tc>
      </w:tr>
      <w:tr w:rsidR="008E7846" w:rsidRPr="00487162" w14:paraId="6C115967" w14:textId="77777777" w:rsidTr="00BF1190">
        <w:tc>
          <w:tcPr>
            <w:tcW w:w="2907" w:type="dxa"/>
          </w:tcPr>
          <w:p w14:paraId="4EF02701" w14:textId="77777777" w:rsidR="008E7846" w:rsidRPr="00487162" w:rsidRDefault="008E7846" w:rsidP="00E45619">
            <w:pPr>
              <w:rPr>
                <w:i/>
              </w:rPr>
            </w:pPr>
            <w:r w:rsidRPr="00487162">
              <w:rPr>
                <w:i/>
              </w:rPr>
              <w:t>Dosage:</w:t>
            </w:r>
          </w:p>
        </w:tc>
        <w:tc>
          <w:tcPr>
            <w:tcW w:w="6307" w:type="dxa"/>
          </w:tcPr>
          <w:p w14:paraId="6E15219C" w14:textId="77777777" w:rsidR="00980DE7" w:rsidRDefault="00980DE7" w:rsidP="00980DE7">
            <w:r>
              <w:t>Fluzone High-Dose Quadrivalent should be given in accordance with the national recommendation as per the current Immunisation Handbook.</w:t>
            </w:r>
          </w:p>
          <w:p w14:paraId="3BB74C1E" w14:textId="77777777" w:rsidR="00980DE7" w:rsidRDefault="00980DE7" w:rsidP="00980DE7">
            <w:r>
              <w:t>The recommended dosage of Fluzone High-Dose Quadrivalent is 1 dose of 0.7 mL, annually, in persons 65 years of age and older.</w:t>
            </w:r>
          </w:p>
          <w:p w14:paraId="01EFEADA" w14:textId="77777777" w:rsidR="00460036" w:rsidRPr="00487162" w:rsidRDefault="00980DE7" w:rsidP="00980DE7">
            <w:r>
              <w:t>For further information refer to the Product Information.</w:t>
            </w:r>
          </w:p>
        </w:tc>
      </w:tr>
      <w:tr w:rsidR="00460036" w:rsidRPr="00487162" w14:paraId="74BF008B" w14:textId="77777777" w:rsidTr="00BF1190">
        <w:tc>
          <w:tcPr>
            <w:tcW w:w="2907" w:type="dxa"/>
          </w:tcPr>
          <w:p w14:paraId="709FA4B3" w14:textId="77777777" w:rsidR="00460036" w:rsidRPr="00487162" w:rsidRDefault="00460036" w:rsidP="00E45619">
            <w:pPr>
              <w:rPr>
                <w:i/>
              </w:rPr>
            </w:pPr>
            <w:r w:rsidRPr="00460036">
              <w:rPr>
                <w:i/>
              </w:rPr>
              <w:t>Pregnancy category</w:t>
            </w:r>
            <w:r>
              <w:rPr>
                <w:i/>
              </w:rPr>
              <w:t>:</w:t>
            </w:r>
          </w:p>
        </w:tc>
        <w:tc>
          <w:tcPr>
            <w:tcW w:w="6307" w:type="dxa"/>
          </w:tcPr>
          <w:p w14:paraId="377E6788" w14:textId="77777777" w:rsidR="004F3C82" w:rsidRDefault="004F3C82" w:rsidP="004F3C82">
            <w:r>
              <w:t>B2</w:t>
            </w:r>
          </w:p>
          <w:p w14:paraId="075693AB" w14:textId="77777777" w:rsidR="004F3C82" w:rsidRDefault="004F3C82" w:rsidP="004F3C82">
            <w:r>
              <w:t>Drugs which have been taken by only a limited number of pregnant women and women of childbearing age, without an increase in the frequency of malformation or other direct or indirect harmful effects on the human fetus having been observed.</w:t>
            </w:r>
          </w:p>
          <w:p w14:paraId="1F6BB0A2" w14:textId="77777777" w:rsidR="004F3C82" w:rsidRDefault="004F3C82" w:rsidP="004F3C82">
            <w:r>
              <w:t>Studies in animals are inadequate or may be lacking, but available data show no evidence of an increased occurrence of fetal damage.</w:t>
            </w:r>
          </w:p>
          <w:p w14:paraId="01640275" w14:textId="77777777" w:rsidR="00460036" w:rsidRPr="00487162" w:rsidRDefault="004F3C82" w:rsidP="004F3C82">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E84BD9F" w14:textId="77777777" w:rsidR="008E7846" w:rsidRDefault="008E7846" w:rsidP="008E7846">
      <w:pPr>
        <w:pStyle w:val="Heading3"/>
      </w:pPr>
      <w:bookmarkStart w:id="14" w:name="_Toc247691503"/>
      <w:bookmarkStart w:id="15" w:name="_Toc314842484"/>
      <w:bookmarkStart w:id="16" w:name="_Toc57824913"/>
      <w:r>
        <w:t>Product background</w:t>
      </w:r>
      <w:bookmarkEnd w:id="14"/>
      <w:bookmarkEnd w:id="15"/>
      <w:bookmarkEnd w:id="16"/>
    </w:p>
    <w:p w14:paraId="030569A9" w14:textId="499C5A7E" w:rsidR="000C738B" w:rsidRDefault="00250271" w:rsidP="000C738B">
      <w:r w:rsidRPr="00250271">
        <w:t>This AusPAR describes the appli</w:t>
      </w:r>
      <w:r w:rsidR="00702087">
        <w:t>cation by Sanofi-Aventis Australia Pty Ltd</w:t>
      </w:r>
      <w:r w:rsidRPr="00250271">
        <w:t xml:space="preserve"> (the sponsor) to register </w:t>
      </w:r>
      <w:r w:rsidR="00FD4C0D">
        <w:t>Fluzone High-Dose Quadrivalent (QIV)</w:t>
      </w:r>
      <w:r w:rsidR="00702087">
        <w:t>;</w:t>
      </w:r>
      <w:r w:rsidR="00702087" w:rsidRPr="00702087">
        <w:rPr>
          <w:vertAlign w:val="superscript"/>
        </w:rPr>
        <w:fldChar w:fldCharType="begin"/>
      </w:r>
      <w:r w:rsidR="00702087" w:rsidRPr="00702087">
        <w:rPr>
          <w:vertAlign w:val="superscript"/>
        </w:rPr>
        <w:instrText xml:space="preserve"> NOTEREF _Ref54744497 \h </w:instrText>
      </w:r>
      <w:r w:rsidR="00702087">
        <w:rPr>
          <w:vertAlign w:val="superscript"/>
        </w:rPr>
        <w:instrText xml:space="preserve"> \* MERGEFORMAT </w:instrText>
      </w:r>
      <w:r w:rsidR="00702087" w:rsidRPr="00702087">
        <w:rPr>
          <w:vertAlign w:val="superscript"/>
        </w:rPr>
      </w:r>
      <w:r w:rsidR="00702087" w:rsidRPr="00702087">
        <w:rPr>
          <w:vertAlign w:val="superscript"/>
        </w:rPr>
        <w:fldChar w:fldCharType="separate"/>
      </w:r>
      <w:r w:rsidR="00DA143A">
        <w:rPr>
          <w:vertAlign w:val="superscript"/>
        </w:rPr>
        <w:t>1</w:t>
      </w:r>
      <w:r w:rsidR="00702087" w:rsidRPr="00702087">
        <w:rPr>
          <w:vertAlign w:val="superscript"/>
        </w:rPr>
        <w:fldChar w:fldCharType="end"/>
      </w:r>
      <w:r w:rsidR="00FD4C0D">
        <w:t xml:space="preserve"> inactivated q</w:t>
      </w:r>
      <w:r w:rsidR="00D24F8A">
        <w:t>uadrivalent influenza vaccine (split v</w:t>
      </w:r>
      <w:r w:rsidR="00FD4C0D">
        <w:t xml:space="preserve">irion) influenza virus haemagglutinin 240 </w:t>
      </w:r>
      <w:r w:rsidR="00702087">
        <w:t>µg</w:t>
      </w:r>
      <w:r w:rsidR="00FD4C0D">
        <w:t>, suspension for</w:t>
      </w:r>
      <w:r w:rsidR="00702087">
        <w:t xml:space="preserve"> injection </w:t>
      </w:r>
      <w:r w:rsidR="00DA1E73">
        <w:t xml:space="preserve">0.7 mL </w:t>
      </w:r>
      <w:r w:rsidR="00702087">
        <w:t>pre</w:t>
      </w:r>
      <w:r w:rsidR="00702087">
        <w:noBreakHyphen/>
        <w:t>filled syringe.</w:t>
      </w:r>
    </w:p>
    <w:p w14:paraId="256B5C26" w14:textId="60922B81" w:rsidR="00FD4C0D" w:rsidRPr="000C738B" w:rsidRDefault="000C738B" w:rsidP="000C738B">
      <w:pPr>
        <w:ind w:left="720"/>
        <w:rPr>
          <w:i/>
        </w:rPr>
      </w:pPr>
      <w:r w:rsidRPr="000C738B">
        <w:rPr>
          <w:i/>
        </w:rPr>
        <w:t>Fluzone Quadrivalent High-Dose is indicated for active immunisation for the prevention of influenza disease and the associated complication of pneumonia-related hospitalisation. Fluzone Quadrivalent High-Dose is indicated for use in persons 65 years of age and older.</w:t>
      </w:r>
    </w:p>
    <w:p w14:paraId="578C39E1" w14:textId="3206BAE7" w:rsidR="006E57CC" w:rsidRPr="004C60D2" w:rsidRDefault="006E57CC" w:rsidP="005D3672">
      <w:r w:rsidRPr="00331127">
        <w:t xml:space="preserve">Fluzone High-Dose </w:t>
      </w:r>
      <w:r>
        <w:t xml:space="preserve">Quadrivalent </w:t>
      </w:r>
      <w:r w:rsidRPr="00331127">
        <w:t xml:space="preserve">is an inactivated split-virus </w:t>
      </w:r>
      <w:r w:rsidR="00E445D3">
        <w:t xml:space="preserve">quadrivalent influenza </w:t>
      </w:r>
      <w:r w:rsidRPr="00331127">
        <w:t>vaccine</w:t>
      </w:r>
      <w:r w:rsidR="00E445D3">
        <w:t xml:space="preserve"> (QIV)</w:t>
      </w:r>
      <w:r w:rsidRPr="00331127">
        <w:t xml:space="preserve"> containing </w:t>
      </w:r>
      <w:r>
        <w:t>four i</w:t>
      </w:r>
      <w:r w:rsidRPr="00331127">
        <w:t>nfluenza virus</w:t>
      </w:r>
      <w:r>
        <w:t xml:space="preserve"> </w:t>
      </w:r>
      <w:r w:rsidR="00E445D3">
        <w:t>components, two influenzavirus</w:t>
      </w:r>
      <w:r w:rsidRPr="00331127">
        <w:t xml:space="preserve"> A strains (subtypes H1N1 and H3N2) and </w:t>
      </w:r>
      <w:r>
        <w:t>two</w:t>
      </w:r>
      <w:r w:rsidR="00E445D3">
        <w:t xml:space="preserve"> influenzavirus </w:t>
      </w:r>
      <w:r w:rsidRPr="00331127">
        <w:t>B strain</w:t>
      </w:r>
      <w:r>
        <w:t>s</w:t>
      </w:r>
      <w:r w:rsidRPr="00331127">
        <w:t xml:space="preserve"> (</w:t>
      </w:r>
      <w:r>
        <w:t xml:space="preserve">one </w:t>
      </w:r>
      <w:r w:rsidRPr="00331127">
        <w:t>from</w:t>
      </w:r>
      <w:r>
        <w:t xml:space="preserve"> each of </w:t>
      </w:r>
      <w:r w:rsidRPr="00331127">
        <w:t xml:space="preserve">the Victoria </w:t>
      </w:r>
      <w:r>
        <w:t>and Yamagata lineages).</w:t>
      </w:r>
      <w:r w:rsidR="00C07A2A">
        <w:t xml:space="preserve"> </w:t>
      </w:r>
      <w:r w:rsidRPr="00331127">
        <w:t xml:space="preserve">Fluzone High-Dose </w:t>
      </w:r>
      <w:r>
        <w:t>Quadrivalent contains 60 µ</w:t>
      </w:r>
      <w:r w:rsidRPr="00331127">
        <w:t xml:space="preserve">g </w:t>
      </w:r>
      <w:r w:rsidR="00E445D3">
        <w:t>haemagglutinin</w:t>
      </w:r>
      <w:r w:rsidR="00E445D3" w:rsidRPr="00331127">
        <w:t xml:space="preserve"> </w:t>
      </w:r>
      <w:r w:rsidR="00E445D3">
        <w:t>(</w:t>
      </w:r>
      <w:r w:rsidRPr="00331127">
        <w:t>HA</w:t>
      </w:r>
      <w:r w:rsidR="00E445D3">
        <w:t>)</w:t>
      </w:r>
      <w:r w:rsidRPr="00331127">
        <w:t xml:space="preserve"> of each of the </w:t>
      </w:r>
      <w:r>
        <w:t xml:space="preserve">four </w:t>
      </w:r>
      <w:r w:rsidRPr="00331127">
        <w:t xml:space="preserve">virus strains for a minimum of </w:t>
      </w:r>
      <w:r>
        <w:t>240</w:t>
      </w:r>
      <w:r w:rsidRPr="00331127">
        <w:t xml:space="preserve"> </w:t>
      </w:r>
      <w:r w:rsidR="00E445D3">
        <w:t>µg</w:t>
      </w:r>
      <w:r w:rsidRPr="00331127">
        <w:t xml:space="preserve"> of</w:t>
      </w:r>
      <w:r w:rsidR="00E445D3">
        <w:t xml:space="preserve"> </w:t>
      </w:r>
      <w:r w:rsidRPr="00331127">
        <w:t>HA</w:t>
      </w:r>
      <w:r>
        <w:t xml:space="preserve"> compared to 15 µ</w:t>
      </w:r>
      <w:r w:rsidRPr="004472FF">
        <w:t>g HA</w:t>
      </w:r>
      <w:r>
        <w:t xml:space="preserve"> per strain in standard adult presentations. In Australia</w:t>
      </w:r>
      <w:r w:rsidR="00775E1A">
        <w:t>,</w:t>
      </w:r>
      <w:r>
        <w:t xml:space="preserve"> Fluzone High-Dose is currently registered as a trivalent</w:t>
      </w:r>
      <w:r w:rsidR="00775E1A">
        <w:t xml:space="preserve"> influenza vaccine</w:t>
      </w:r>
      <w:r>
        <w:t xml:space="preserve"> </w:t>
      </w:r>
      <w:r w:rsidR="00E445D3">
        <w:t xml:space="preserve">(TIV) </w:t>
      </w:r>
      <w:r w:rsidR="00775E1A">
        <w:t xml:space="preserve">(an </w:t>
      </w:r>
      <w:r>
        <w:t xml:space="preserve">inactivated </w:t>
      </w:r>
      <w:r>
        <w:lastRenderedPageBreak/>
        <w:t>influenza virus (split virion) vaccine</w:t>
      </w:r>
      <w:r w:rsidR="00775E1A">
        <w:t>)</w:t>
      </w:r>
      <w:r>
        <w:t>.</w:t>
      </w:r>
      <w:bookmarkStart w:id="17" w:name="_Ref54851976"/>
      <w:r w:rsidR="00775E1A">
        <w:rPr>
          <w:rStyle w:val="FootnoteReference"/>
        </w:rPr>
        <w:footnoteReference w:id="4"/>
      </w:r>
      <w:bookmarkEnd w:id="17"/>
      <w:r>
        <w:t xml:space="preserve"> </w:t>
      </w:r>
      <w:r w:rsidRPr="00C36900">
        <w:t xml:space="preserve">The antigens included in Fluzone High-Dose </w:t>
      </w:r>
      <w:r w:rsidR="00F665AE">
        <w:t xml:space="preserve">Quadrivalent </w:t>
      </w:r>
      <w:r w:rsidRPr="00C36900">
        <w:t xml:space="preserve">are the same drug substances used </w:t>
      </w:r>
      <w:r w:rsidR="00812F3D">
        <w:t>in the manufacture of FluQuadri;</w:t>
      </w:r>
      <w:r w:rsidR="00812F3D">
        <w:rPr>
          <w:rStyle w:val="FootnoteReference"/>
        </w:rPr>
        <w:footnoteReference w:id="5"/>
      </w:r>
      <w:r w:rsidRPr="00C36900">
        <w:t xml:space="preserve"> inactivated q</w:t>
      </w:r>
      <w:r>
        <w:t>uadrivalent influenza vaccine.</w:t>
      </w:r>
    </w:p>
    <w:p w14:paraId="29DED4A5" w14:textId="17674E01" w:rsidR="006E57CC" w:rsidRDefault="006E57CC" w:rsidP="006E57CC">
      <w:r>
        <w:t xml:space="preserve">Influenza viruses are single-stranded </w:t>
      </w:r>
      <w:r w:rsidR="008F6D89">
        <w:t>ribonucleic acid (</w:t>
      </w:r>
      <w:r>
        <w:t>RNA</w:t>
      </w:r>
      <w:r w:rsidR="008F6D89">
        <w:t>)</w:t>
      </w:r>
      <w:r>
        <w:t xml:space="preserve"> orthomyxoviruses. They are classified antigenically as types A, B or C. Generally, only influenza A and B </w:t>
      </w:r>
      <w:r w:rsidR="008F6D89">
        <w:t>cause severe disease in humans.</w:t>
      </w:r>
      <w:r w:rsidR="005D3672">
        <w:t xml:space="preserve"> </w:t>
      </w:r>
      <w:r>
        <w:t xml:space="preserve">Influenza viruses have 2 surface glycoprotein antigens: haemagglutinin (HA), which is involved in cell attachment during infection; </w:t>
      </w:r>
      <w:r w:rsidR="00812F3D">
        <w:t xml:space="preserve">and, </w:t>
      </w:r>
      <w:r>
        <w:t>neuraminidase (NA), which facilitates the release of newly synthesised virus from the cell. Influenza A viruses can be classified into subtypes based on differences in these surface antigens, but influenza B viruses cannot. There are 2 distinct influenza B lin</w:t>
      </w:r>
      <w:r w:rsidR="008F6D89">
        <w:t>eages that co-</w:t>
      </w:r>
      <w:r>
        <w:t xml:space="preserve">circulate in varying proportions from year to year: B/Victoria and B/Yamagata. Antibodies against the surface antigens, particularly </w:t>
      </w:r>
      <w:r w:rsidR="00812F3D">
        <w:t>HA</w:t>
      </w:r>
      <w:r>
        <w:t>, reduce infection or severe illness due to influenza.</w:t>
      </w:r>
    </w:p>
    <w:p w14:paraId="50E6132B" w14:textId="77777777" w:rsidR="005D3672" w:rsidRDefault="00C07A2A" w:rsidP="005D3672">
      <w:r>
        <w:t xml:space="preserve">Influenza is estimated to cause approximately 3500 deaths, 18,000 hospitalisations and 300,000 general practice presentations in Australia each year. </w:t>
      </w:r>
      <w:r w:rsidR="006E57CC" w:rsidRPr="00DA0A20">
        <w:t>Vaccination against influenza A and B is the main way to protect vulnerable people from the potential complications of influenza infection. In Australia, the National Immunisation Program (NIP)</w:t>
      </w:r>
      <w:r w:rsidR="00DA1E73">
        <w:t>;</w:t>
      </w:r>
      <w:r w:rsidR="00DA1E73">
        <w:rPr>
          <w:rStyle w:val="FootnoteReference"/>
        </w:rPr>
        <w:footnoteReference w:id="6"/>
      </w:r>
      <w:r w:rsidR="006E57CC" w:rsidRPr="00DA0A20">
        <w:t xml:space="preserve"> recommends annual influenza vaccination for all people over the age of 65 (as well as other vulnerable groups).</w:t>
      </w:r>
      <w:r w:rsidR="00D27E21">
        <w:rPr>
          <w:rStyle w:val="FootnoteReference"/>
        </w:rPr>
        <w:footnoteReference w:id="7"/>
      </w:r>
      <w:r w:rsidR="006E57CC" w:rsidRPr="00DA0A20">
        <w:t xml:space="preserve"> </w:t>
      </w:r>
    </w:p>
    <w:p w14:paraId="26564117" w14:textId="7A07B512" w:rsidR="006E57CC" w:rsidRDefault="006E57CC" w:rsidP="005D3672">
      <w:pPr>
        <w:rPr>
          <w:rFonts w:cs="Segoe UI"/>
        </w:rPr>
      </w:pPr>
      <w:r w:rsidRPr="00DA0A20">
        <w:rPr>
          <w:rFonts w:cs="Segoe UI"/>
        </w:rPr>
        <w:t>Trivalent influenza vaccines (TIVs) have been used since the 1970s and contain 3 strains of influenza </w:t>
      </w:r>
      <w:hyperlink r:id="rId16" w:anchor="virus" w:history="1">
        <w:r w:rsidRPr="00DA0A20">
          <w:rPr>
            <w:rStyle w:val="Hyperlink"/>
            <w:rFonts w:cs="Segoe UI"/>
            <w:color w:val="auto"/>
            <w:u w:val="none"/>
          </w:rPr>
          <w:t>virus</w:t>
        </w:r>
      </w:hyperlink>
      <w:r w:rsidRPr="00DA0A20">
        <w:rPr>
          <w:rFonts w:cs="Segoe UI"/>
        </w:rPr>
        <w:t>: 2 influenza A subtypes and 1 influenza B lineage</w:t>
      </w:r>
      <w:r>
        <w:rPr>
          <w:rFonts w:cs="Segoe UI"/>
        </w:rPr>
        <w:t>.</w:t>
      </w:r>
      <w:r w:rsidRPr="00DA0A20">
        <w:rPr>
          <w:rFonts w:cs="Segoe UI"/>
        </w:rPr>
        <w:t xml:space="preserve"> The 3 strains included are the same as those contained in </w:t>
      </w:r>
      <w:r w:rsidR="005D3672" w:rsidRPr="00DA0A20">
        <w:rPr>
          <w:rFonts w:cs="Segoe UI"/>
        </w:rPr>
        <w:t xml:space="preserve">quadrivalent influenza vaccines </w:t>
      </w:r>
      <w:r w:rsidR="005D3672">
        <w:rPr>
          <w:rFonts w:cs="Segoe UI"/>
        </w:rPr>
        <w:t>(</w:t>
      </w:r>
      <w:r w:rsidRPr="00DA0A20">
        <w:rPr>
          <w:rFonts w:cs="Segoe UI"/>
        </w:rPr>
        <w:t>QIVs</w:t>
      </w:r>
      <w:r w:rsidR="005D3672">
        <w:rPr>
          <w:rFonts w:cs="Segoe UI"/>
        </w:rPr>
        <w:t>)</w:t>
      </w:r>
      <w:r w:rsidRPr="00DA0A20">
        <w:rPr>
          <w:rFonts w:cs="Segoe UI"/>
        </w:rPr>
        <w:t xml:space="preserve">, which </w:t>
      </w:r>
      <w:r w:rsidRPr="00732B4A">
        <w:rPr>
          <w:rFonts w:cs="Segoe UI"/>
        </w:rPr>
        <w:t xml:space="preserve">contain an additional influenza B lineage. </w:t>
      </w:r>
      <w:r w:rsidRPr="00DA0A20">
        <w:rPr>
          <w:rFonts w:cs="Segoe UI"/>
        </w:rPr>
        <w:t xml:space="preserve">From 2018, </w:t>
      </w:r>
      <w:r>
        <w:rPr>
          <w:rFonts w:cs="Segoe UI"/>
        </w:rPr>
        <w:t>two</w:t>
      </w:r>
      <w:r w:rsidRPr="00DA0A20">
        <w:rPr>
          <w:rFonts w:cs="Segoe UI"/>
        </w:rPr>
        <w:t xml:space="preserve"> new formulations of TIVs (also known as ‘enhanced TIVs’) became available for use in adults aged ≥</w:t>
      </w:r>
      <w:r w:rsidR="00671AF1">
        <w:rPr>
          <w:rFonts w:cs="Segoe UI"/>
        </w:rPr>
        <w:t xml:space="preserve"> </w:t>
      </w:r>
      <w:r w:rsidRPr="00DA0A20">
        <w:rPr>
          <w:rFonts w:cs="Segoe UI"/>
        </w:rPr>
        <w:t xml:space="preserve">65 years only. One is </w:t>
      </w:r>
      <w:r w:rsidR="00B818FF">
        <w:rPr>
          <w:rFonts w:cs="Segoe UI"/>
        </w:rPr>
        <w:t>Fluzone High</w:t>
      </w:r>
      <w:r w:rsidR="00B818FF">
        <w:rPr>
          <w:rFonts w:cs="Segoe UI"/>
        </w:rPr>
        <w:noBreakHyphen/>
        <w:t>Dose</w:t>
      </w:r>
      <w:r w:rsidR="008F6D89">
        <w:rPr>
          <w:rFonts w:cs="Segoe UI"/>
        </w:rPr>
        <w:t>, a</w:t>
      </w:r>
      <w:r w:rsidR="00C07A2A">
        <w:rPr>
          <w:rFonts w:cs="Segoe UI"/>
        </w:rPr>
        <w:t xml:space="preserve"> </w:t>
      </w:r>
      <w:r w:rsidR="008F6D89">
        <w:rPr>
          <w:rFonts w:cs="Segoe UI"/>
        </w:rPr>
        <w:t>TIV</w:t>
      </w:r>
      <w:r w:rsidR="00B818FF">
        <w:rPr>
          <w:rFonts w:cs="Segoe UI"/>
        </w:rPr>
        <w:t xml:space="preserve"> from the same sponsor; this is </w:t>
      </w:r>
      <w:r w:rsidRPr="00DA0A20">
        <w:rPr>
          <w:rFonts w:cs="Segoe UI"/>
        </w:rPr>
        <w:t>a hig</w:t>
      </w:r>
      <w:r w:rsidR="004736FF">
        <w:rPr>
          <w:rFonts w:cs="Segoe UI"/>
        </w:rPr>
        <w:t>h-dose vaccine that contains 60 </w:t>
      </w:r>
      <w:r w:rsidRPr="00DA0A20">
        <w:rPr>
          <w:rFonts w:cs="Segoe UI"/>
        </w:rPr>
        <w:t xml:space="preserve">µg </w:t>
      </w:r>
      <w:r w:rsidR="004736FF">
        <w:rPr>
          <w:rFonts w:cs="Segoe UI"/>
        </w:rPr>
        <w:t>HA</w:t>
      </w:r>
      <w:r w:rsidRPr="00DA0A20">
        <w:rPr>
          <w:rFonts w:cs="Segoe UI"/>
        </w:rPr>
        <w:t xml:space="preserve"> per included </w:t>
      </w:r>
      <w:hyperlink r:id="rId17" w:anchor="virus" w:history="1">
        <w:r w:rsidRPr="00DA0A20">
          <w:rPr>
            <w:rStyle w:val="Hyperlink"/>
            <w:rFonts w:cs="Segoe UI"/>
            <w:color w:val="auto"/>
            <w:u w:val="none"/>
          </w:rPr>
          <w:t>virus</w:t>
        </w:r>
      </w:hyperlink>
      <w:r w:rsidR="004736FF">
        <w:rPr>
          <w:rFonts w:cs="Segoe UI"/>
        </w:rPr>
        <w:t> strain per dose;</w:t>
      </w:r>
      <w:r w:rsidRPr="00DA0A20">
        <w:rPr>
          <w:rFonts w:cs="Segoe UI"/>
        </w:rPr>
        <w:t xml:space="preserve"> this is 4 times the </w:t>
      </w:r>
      <w:r w:rsidR="004736FF">
        <w:rPr>
          <w:rFonts w:cs="Segoe UI"/>
        </w:rPr>
        <w:t>HA</w:t>
      </w:r>
      <w:r w:rsidRPr="00DA0A20">
        <w:rPr>
          <w:rFonts w:cs="Segoe UI"/>
        </w:rPr>
        <w:t xml:space="preserve"> content of standard TIVs.</w:t>
      </w:r>
      <w:r w:rsidR="004736FF" w:rsidRPr="004736FF">
        <w:rPr>
          <w:rFonts w:cs="Segoe UI"/>
          <w:vertAlign w:val="superscript"/>
        </w:rPr>
        <w:fldChar w:fldCharType="begin"/>
      </w:r>
      <w:r w:rsidR="004736FF" w:rsidRPr="004736FF">
        <w:rPr>
          <w:rFonts w:cs="Segoe UI"/>
          <w:vertAlign w:val="superscript"/>
        </w:rPr>
        <w:instrText xml:space="preserve"> NOTEREF _Ref54851976 \h </w:instrText>
      </w:r>
      <w:r w:rsidR="004736FF">
        <w:rPr>
          <w:rFonts w:cs="Segoe UI"/>
          <w:vertAlign w:val="superscript"/>
        </w:rPr>
        <w:instrText xml:space="preserve"> \* MERGEFORMAT </w:instrText>
      </w:r>
      <w:r w:rsidR="004736FF" w:rsidRPr="004736FF">
        <w:rPr>
          <w:rFonts w:cs="Segoe UI"/>
          <w:vertAlign w:val="superscript"/>
        </w:rPr>
      </w:r>
      <w:r w:rsidR="004736FF" w:rsidRPr="004736FF">
        <w:rPr>
          <w:rFonts w:cs="Segoe UI"/>
          <w:vertAlign w:val="superscript"/>
        </w:rPr>
        <w:fldChar w:fldCharType="separate"/>
      </w:r>
      <w:r w:rsidR="00DA143A">
        <w:rPr>
          <w:rFonts w:cs="Segoe UI"/>
          <w:vertAlign w:val="superscript"/>
        </w:rPr>
        <w:t>4</w:t>
      </w:r>
      <w:r w:rsidR="004736FF" w:rsidRPr="004736FF">
        <w:rPr>
          <w:rFonts w:cs="Segoe UI"/>
          <w:vertAlign w:val="superscript"/>
        </w:rPr>
        <w:fldChar w:fldCharType="end"/>
      </w:r>
      <w:r w:rsidR="00201DFB">
        <w:rPr>
          <w:rFonts w:cs="Segoe UI"/>
        </w:rPr>
        <w:t xml:space="preserve"> The other</w:t>
      </w:r>
      <w:r w:rsidR="009B0DAC">
        <w:rPr>
          <w:rFonts w:cs="Segoe UI"/>
        </w:rPr>
        <w:t xml:space="preserve"> </w:t>
      </w:r>
      <w:r w:rsidRPr="00DA0A20">
        <w:rPr>
          <w:rFonts w:cs="Segoe UI"/>
        </w:rPr>
        <w:t>contains an </w:t>
      </w:r>
      <w:hyperlink r:id="rId18" w:anchor="adjuvant" w:history="1">
        <w:r w:rsidRPr="00DA0A20">
          <w:rPr>
            <w:rStyle w:val="Hyperlink"/>
            <w:rFonts w:cs="Segoe UI"/>
            <w:color w:val="auto"/>
            <w:u w:val="none"/>
          </w:rPr>
          <w:t>adjuvant</w:t>
        </w:r>
      </w:hyperlink>
      <w:r w:rsidR="008F6D89">
        <w:rPr>
          <w:rFonts w:cs="Segoe UI"/>
        </w:rPr>
        <w:t>, MF59;</w:t>
      </w:r>
      <w:r w:rsidR="008F6D89">
        <w:rPr>
          <w:rStyle w:val="FootnoteReference"/>
          <w:rFonts w:cs="Segoe UI"/>
        </w:rPr>
        <w:footnoteReference w:id="8"/>
      </w:r>
      <w:r w:rsidRPr="00DA0A20">
        <w:rPr>
          <w:rFonts w:cs="Segoe UI"/>
        </w:rPr>
        <w:t xml:space="preserve"> and the standard 15 µg of </w:t>
      </w:r>
      <w:r w:rsidR="004736FF">
        <w:rPr>
          <w:rFonts w:cs="Segoe UI"/>
        </w:rPr>
        <w:t>HA</w:t>
      </w:r>
      <w:r w:rsidRPr="00DA0A20">
        <w:rPr>
          <w:rFonts w:cs="Segoe UI"/>
        </w:rPr>
        <w:t xml:space="preserve"> per strain per dose</w:t>
      </w:r>
      <w:r>
        <w:rPr>
          <w:rFonts w:cs="Segoe UI"/>
        </w:rPr>
        <w:t xml:space="preserve"> (Fluad)</w:t>
      </w:r>
      <w:r w:rsidRPr="00DA0A20">
        <w:rPr>
          <w:rFonts w:cs="Segoe UI"/>
        </w:rPr>
        <w:t>. Both vaccines are formulated to induce a greater immune response than standard TIVs</w:t>
      </w:r>
      <w:r>
        <w:rPr>
          <w:rFonts w:cs="Segoe UI"/>
        </w:rPr>
        <w:t xml:space="preserve"> and are currently recommended for elderly Australian subjects (aged </w:t>
      </w:r>
      <w:r w:rsidRPr="00E31D18">
        <w:rPr>
          <w:rFonts w:cs="Segoe UI"/>
          <w:u w:val="single"/>
        </w:rPr>
        <w:t>&gt;</w:t>
      </w:r>
      <w:r>
        <w:rPr>
          <w:rFonts w:cs="Segoe UI"/>
        </w:rPr>
        <w:t xml:space="preserve"> 65 years</w:t>
      </w:r>
      <w:r w:rsidRPr="00732B4A">
        <w:rPr>
          <w:rFonts w:cs="Segoe UI"/>
        </w:rPr>
        <w:t>)</w:t>
      </w:r>
      <w:r w:rsidR="004736FF">
        <w:rPr>
          <w:rFonts w:cs="Segoe UI"/>
        </w:rPr>
        <w:t>.</w:t>
      </w:r>
      <w:r>
        <w:rPr>
          <w:rStyle w:val="FootnoteReference"/>
          <w:rFonts w:cs="Segoe UI"/>
        </w:rPr>
        <w:footnoteReference w:id="9"/>
      </w:r>
      <w:r w:rsidRPr="00732B4A">
        <w:rPr>
          <w:rFonts w:cs="Segoe UI"/>
        </w:rPr>
        <w:t xml:space="preserve"> </w:t>
      </w:r>
      <w:r w:rsidR="00B818FF">
        <w:rPr>
          <w:rFonts w:cs="Segoe UI"/>
        </w:rPr>
        <w:t xml:space="preserve">At the time of evaluation, </w:t>
      </w:r>
      <w:r w:rsidR="00B818FF">
        <w:rPr>
          <w:rFonts w:asciiTheme="minorHAnsi" w:hAnsiTheme="minorHAnsi" w:cs="Segoe UI"/>
        </w:rPr>
        <w:t>t</w:t>
      </w:r>
      <w:r w:rsidRPr="00732B4A">
        <w:rPr>
          <w:rFonts w:asciiTheme="minorHAnsi" w:hAnsiTheme="minorHAnsi" w:cs="Segoe UI"/>
        </w:rPr>
        <w:t>he high-dose (Fluzone High-Dose) and adjuvanted (Fluad</w:t>
      </w:r>
      <w:r w:rsidR="009B0DAC">
        <w:rPr>
          <w:rFonts w:asciiTheme="minorHAnsi" w:hAnsiTheme="minorHAnsi" w:cs="Segoe UI"/>
        </w:rPr>
        <w:t>)</w:t>
      </w:r>
      <w:r w:rsidRPr="00732B4A">
        <w:rPr>
          <w:rFonts w:asciiTheme="minorHAnsi" w:hAnsiTheme="minorHAnsi" w:cs="Segoe UI"/>
        </w:rPr>
        <w:t xml:space="preserve"> </w:t>
      </w:r>
      <w:r w:rsidR="009B0DAC">
        <w:rPr>
          <w:rFonts w:asciiTheme="minorHAnsi" w:hAnsiTheme="minorHAnsi" w:cs="Segoe UI"/>
        </w:rPr>
        <w:t xml:space="preserve">TIVs </w:t>
      </w:r>
      <w:r w:rsidRPr="00732B4A">
        <w:rPr>
          <w:rFonts w:asciiTheme="minorHAnsi" w:hAnsiTheme="minorHAnsi" w:cs="Segoe UI"/>
        </w:rPr>
        <w:t>are recommended in preference to quadrivalent influenza vaccines for adults aged ≥</w:t>
      </w:r>
      <w:r w:rsidR="004736FF">
        <w:rPr>
          <w:rFonts w:asciiTheme="minorHAnsi" w:hAnsiTheme="minorHAnsi" w:cs="Segoe UI"/>
        </w:rPr>
        <w:t xml:space="preserve"> </w:t>
      </w:r>
      <w:r w:rsidRPr="00732B4A">
        <w:rPr>
          <w:rFonts w:asciiTheme="minorHAnsi" w:hAnsiTheme="minorHAnsi" w:cs="Segoe UI"/>
        </w:rPr>
        <w:t>65 years</w:t>
      </w:r>
      <w:r w:rsidRPr="00732B4A">
        <w:rPr>
          <w:rFonts w:cs="Segoe UI"/>
        </w:rPr>
        <w:t>.</w:t>
      </w:r>
    </w:p>
    <w:p w14:paraId="1DD384D1" w14:textId="77777777" w:rsidR="006E57CC" w:rsidRDefault="006E57CC" w:rsidP="006E57CC">
      <w:r>
        <w:t xml:space="preserve">While vaccination in the elderly is associated with a reduced rate of complications from influenza infection, this group has a lower rate of developing protective immunity than younger adults. It has been estimated that the efficacy of influenza vaccine in adults </w:t>
      </w:r>
      <w:r>
        <w:lastRenderedPageBreak/>
        <w:t>&gt;</w:t>
      </w:r>
      <w:r w:rsidR="00201DFB">
        <w:t> 65 </w:t>
      </w:r>
      <w:r>
        <w:t xml:space="preserve">years of age living in the community is only 43% when high levels of virus are circulating compared </w:t>
      </w:r>
      <w:r w:rsidR="00201DFB">
        <w:t>to about 60% in younger adults.</w:t>
      </w:r>
    </w:p>
    <w:p w14:paraId="5A7E558C" w14:textId="74A2A74B" w:rsidR="004C60D2" w:rsidRDefault="006E57CC" w:rsidP="006E57CC">
      <w:pPr>
        <w:rPr>
          <w:rFonts w:asciiTheme="minorHAnsi" w:hAnsiTheme="minorHAnsi"/>
        </w:rPr>
      </w:pPr>
      <w:r>
        <w:t>Influenza A viruses (of subtypes H1N1 and H3N2) account for the majority of circulating influenza viruses in most countries and seasons; influenza B is common in all regions of the world with approximately 20% of the reported influenza cases. Influenza B often co-circulates with influenza A, although it is rarely dominant, and usually circulates later in the s</w:t>
      </w:r>
      <w:r w:rsidR="004C60D2">
        <w:t>eason than influenza A viruses.</w:t>
      </w:r>
      <w:r w:rsidR="005D3672">
        <w:t xml:space="preserve"> </w:t>
      </w:r>
      <w:r>
        <w:t>Influenza B outbreaks have been described among older adults and have led to excess mortality in some annual epidemics. Among the elderly, influenza B is associated with excess pneumonia and influenza hospitalisations, and while excess population-based hospitalisation rates associated with influenza B are lower than those associated with A/H3N2, they are twice as high a</w:t>
      </w:r>
      <w:r w:rsidR="00D27E21">
        <w:t>s those associated with A/H1N1.</w:t>
      </w:r>
    </w:p>
    <w:p w14:paraId="569B19B2" w14:textId="0FCD8545" w:rsidR="006E57CC" w:rsidRDefault="004C60D2" w:rsidP="006E57CC">
      <w:r w:rsidRPr="00081780">
        <w:rPr>
          <w:rFonts w:asciiTheme="minorHAnsi" w:hAnsiTheme="minorHAnsi"/>
        </w:rPr>
        <w:t xml:space="preserve">Fluzone High-Dose </w:t>
      </w:r>
      <w:r>
        <w:rPr>
          <w:rFonts w:asciiTheme="minorHAnsi" w:hAnsiTheme="minorHAnsi"/>
        </w:rPr>
        <w:t xml:space="preserve">Quadrivalent </w:t>
      </w:r>
      <w:r w:rsidRPr="00081780">
        <w:rPr>
          <w:rFonts w:asciiTheme="minorHAnsi" w:hAnsiTheme="minorHAnsi"/>
        </w:rPr>
        <w:t>is designed to enhance immune</w:t>
      </w:r>
      <w:r>
        <w:rPr>
          <w:rFonts w:asciiTheme="minorHAnsi" w:hAnsiTheme="minorHAnsi"/>
        </w:rPr>
        <w:t xml:space="preserve"> </w:t>
      </w:r>
      <w:r w:rsidRPr="00081780">
        <w:rPr>
          <w:rFonts w:asciiTheme="minorHAnsi" w:hAnsiTheme="minorHAnsi"/>
        </w:rPr>
        <w:t xml:space="preserve">responses to influenza vaccines </w:t>
      </w:r>
      <w:r>
        <w:rPr>
          <w:rFonts w:asciiTheme="minorHAnsi" w:hAnsiTheme="minorHAnsi"/>
        </w:rPr>
        <w:t xml:space="preserve">through higher HA antigen content </w:t>
      </w:r>
      <w:r w:rsidRPr="00081780">
        <w:rPr>
          <w:rFonts w:asciiTheme="minorHAnsi" w:hAnsiTheme="minorHAnsi"/>
        </w:rPr>
        <w:t>in the elderly population and therefore reduce the disease burden</w:t>
      </w:r>
    </w:p>
    <w:p w14:paraId="0B6C9A02" w14:textId="77777777" w:rsidR="008E7846" w:rsidRDefault="00386150" w:rsidP="008E7846">
      <w:pPr>
        <w:pStyle w:val="Heading3"/>
      </w:pPr>
      <w:bookmarkStart w:id="18" w:name="_Toc314842485"/>
      <w:bookmarkStart w:id="19" w:name="_Toc247691504"/>
      <w:bookmarkStart w:id="20" w:name="_Toc57824914"/>
      <w:r>
        <w:t>Regulatory s</w:t>
      </w:r>
      <w:r w:rsidR="008E7846">
        <w:t>tatus</w:t>
      </w:r>
      <w:bookmarkEnd w:id="18"/>
      <w:bookmarkEnd w:id="19"/>
      <w:bookmarkEnd w:id="20"/>
    </w:p>
    <w:p w14:paraId="605CF4E6" w14:textId="77777777" w:rsidR="006B4A22" w:rsidRPr="006B4A22" w:rsidRDefault="006B4A22" w:rsidP="006B4A22">
      <w:pPr>
        <w:pStyle w:val="Heading4"/>
      </w:pPr>
      <w:r>
        <w:t>Australia</w:t>
      </w:r>
    </w:p>
    <w:p w14:paraId="692C01E8" w14:textId="4630D59F" w:rsidR="00006FAB" w:rsidRDefault="00006FAB" w:rsidP="008A1B53">
      <w:bookmarkStart w:id="21" w:name="_Toc247691505"/>
      <w:bookmarkStart w:id="22" w:name="_Toc314842486"/>
      <w:r w:rsidRPr="00006FAB">
        <w:t>This produ</w:t>
      </w:r>
      <w:r w:rsidR="008A1B53">
        <w:t>ct is considered a new</w:t>
      </w:r>
      <w:r w:rsidR="00671AF1">
        <w:t xml:space="preserve"> biological entity</w:t>
      </w:r>
      <w:r w:rsidR="008A1B53">
        <w:t xml:space="preserve"> for</w:t>
      </w:r>
      <w:r w:rsidRPr="00006FAB">
        <w:t xml:space="preserve"> Australian regulatory purposes.</w:t>
      </w:r>
    </w:p>
    <w:p w14:paraId="5851FFC4" w14:textId="50502DD6" w:rsidR="00B02B1B" w:rsidRDefault="00B02B1B" w:rsidP="008A1B53">
      <w:r>
        <w:t>This product is similar to Fluzone High</w:t>
      </w:r>
      <w:r>
        <w:noBreakHyphen/>
        <w:t>Dose, a high dosed inactivated (split virion) TIV</w:t>
      </w:r>
      <w:r w:rsidRPr="00B02B1B">
        <w:t xml:space="preserve"> currently registered and supplied </w:t>
      </w:r>
      <w:r>
        <w:t>by the same sponsor containing</w:t>
      </w:r>
      <w:r w:rsidRPr="00B02B1B">
        <w:t xml:space="preserve"> a nominal 180</w:t>
      </w:r>
      <w:r>
        <w:t> µg of HA antigen,</w:t>
      </w:r>
      <w:r w:rsidRPr="00B02B1B">
        <w:t xml:space="preserve"> </w:t>
      </w:r>
      <w:r>
        <w:t xml:space="preserve">with </w:t>
      </w:r>
      <w:r w:rsidRPr="00B02B1B">
        <w:t>60</w:t>
      </w:r>
      <w:r>
        <w:t> </w:t>
      </w:r>
      <w:r w:rsidRPr="00B02B1B">
        <w:t>µg of each of three strains (</w:t>
      </w:r>
      <w:r>
        <w:t>influenza A/H1N1 and</w:t>
      </w:r>
      <w:r w:rsidRPr="00B02B1B">
        <w:t xml:space="preserve"> A/H3N2, and a B strain of eithe</w:t>
      </w:r>
      <w:r>
        <w:t>r Yamagata or Victoria lineage).</w:t>
      </w:r>
      <w:r w:rsidRPr="00B02B1B">
        <w:t xml:space="preserve"> </w:t>
      </w:r>
      <w:r>
        <w:t>Fluzone High</w:t>
      </w:r>
      <w:r>
        <w:noBreakHyphen/>
        <w:t>Dose was approved on 20 December </w:t>
      </w:r>
      <w:r w:rsidRPr="00B818FF">
        <w:t>2017</w:t>
      </w:r>
      <w:r>
        <w:t xml:space="preserve"> and listed on the ARTG from 21 December 2017.</w:t>
      </w:r>
      <w:r w:rsidRPr="00630EBB">
        <w:rPr>
          <w:vertAlign w:val="superscript"/>
        </w:rPr>
        <w:fldChar w:fldCharType="begin"/>
      </w:r>
      <w:r w:rsidRPr="00630EBB">
        <w:rPr>
          <w:vertAlign w:val="superscript"/>
        </w:rPr>
        <w:instrText xml:space="preserve"> NOTEREF _Ref54851976 \h </w:instrText>
      </w:r>
      <w:r>
        <w:rPr>
          <w:vertAlign w:val="superscript"/>
        </w:rPr>
        <w:instrText xml:space="preserve"> \* MERGEFORMAT </w:instrText>
      </w:r>
      <w:r w:rsidRPr="00630EBB">
        <w:rPr>
          <w:vertAlign w:val="superscript"/>
        </w:rPr>
      </w:r>
      <w:r w:rsidRPr="00630EBB">
        <w:rPr>
          <w:vertAlign w:val="superscript"/>
        </w:rPr>
        <w:fldChar w:fldCharType="separate"/>
      </w:r>
      <w:r w:rsidR="00DA143A">
        <w:rPr>
          <w:vertAlign w:val="superscript"/>
        </w:rPr>
        <w:t>4</w:t>
      </w:r>
      <w:r w:rsidRPr="00630EBB">
        <w:rPr>
          <w:vertAlign w:val="superscript"/>
        </w:rPr>
        <w:fldChar w:fldCharType="end"/>
      </w:r>
    </w:p>
    <w:p w14:paraId="5CCDDDEA" w14:textId="77777777" w:rsidR="00B818FF" w:rsidRDefault="00630EBB" w:rsidP="008A1B53">
      <w:r>
        <w:t>Fluzone High</w:t>
      </w:r>
      <w:r>
        <w:noBreakHyphen/>
        <w:t xml:space="preserve">Dose Quadrivalent, covered in this submission, </w:t>
      </w:r>
      <w:r w:rsidR="00D726FD">
        <w:t>is a similar</w:t>
      </w:r>
      <w:r>
        <w:t>ly high-dosed</w:t>
      </w:r>
      <w:r w:rsidRPr="00B22566">
        <w:t xml:space="preserve"> </w:t>
      </w:r>
      <w:r w:rsidR="00D726FD" w:rsidRPr="00B22566">
        <w:t>inactivated split-v</w:t>
      </w:r>
      <w:r w:rsidR="00B02B1B">
        <w:t>irion</w:t>
      </w:r>
      <w:r w:rsidR="00D726FD" w:rsidRPr="00B22566">
        <w:t xml:space="preserve"> </w:t>
      </w:r>
      <w:r w:rsidR="00B02B1B">
        <w:t xml:space="preserve">influenza </w:t>
      </w:r>
      <w:r w:rsidR="00D726FD" w:rsidRPr="00B22566">
        <w:t>vaccine</w:t>
      </w:r>
      <w:r w:rsidR="00D726FD">
        <w:t xml:space="preserve">, </w:t>
      </w:r>
      <w:r w:rsidR="00B02B1B">
        <w:t>containing a nominal 240 µg</w:t>
      </w:r>
      <w:r w:rsidR="00D726FD" w:rsidRPr="00B22566">
        <w:t xml:space="preserve"> </w:t>
      </w:r>
      <w:r w:rsidR="00B02B1B">
        <w:t xml:space="preserve">of HA antigen, with </w:t>
      </w:r>
      <w:r w:rsidR="00B02B1B" w:rsidRPr="00B02B1B">
        <w:t>60</w:t>
      </w:r>
      <w:r w:rsidR="00B02B1B">
        <w:t> </w:t>
      </w:r>
      <w:r w:rsidR="00B02B1B" w:rsidRPr="00B02B1B">
        <w:t>µg</w:t>
      </w:r>
      <w:r w:rsidR="00B02B1B">
        <w:t xml:space="preserve"> each of four </w:t>
      </w:r>
      <w:r w:rsidR="00D726FD" w:rsidRPr="00B22566">
        <w:t>i</w:t>
      </w:r>
      <w:r w:rsidR="00D726FD">
        <w:t>nfluenza viru</w:t>
      </w:r>
      <w:r w:rsidR="00B02B1B">
        <w:t>s strains</w:t>
      </w:r>
      <w:r w:rsidR="00D726FD">
        <w:t xml:space="preserve">; </w:t>
      </w:r>
      <w:r w:rsidRPr="00B22566">
        <w:t xml:space="preserve">two type A strains (subtypes H1N1 and H3N2) and </w:t>
      </w:r>
      <w:r>
        <w:t>two</w:t>
      </w:r>
      <w:r w:rsidR="006B4A22">
        <w:t xml:space="preserve"> strains of</w:t>
      </w:r>
      <w:r w:rsidRPr="00B22566">
        <w:t xml:space="preserve"> </w:t>
      </w:r>
      <w:r w:rsidR="006B4A22">
        <w:t>influenza B lineage</w:t>
      </w:r>
      <w:r>
        <w:t>.</w:t>
      </w:r>
    </w:p>
    <w:p w14:paraId="60C7406F" w14:textId="77777777" w:rsidR="006B4A22" w:rsidRPr="008A1B53" w:rsidRDefault="006B4A22" w:rsidP="006B4A22">
      <w:pPr>
        <w:pStyle w:val="Heading4"/>
      </w:pPr>
      <w:r>
        <w:t>Overseas</w:t>
      </w:r>
    </w:p>
    <w:p w14:paraId="56FFC7C7" w14:textId="77777777" w:rsidR="008A1B53" w:rsidRDefault="00006FAB" w:rsidP="008A1B53">
      <w:r>
        <w:t xml:space="preserve">At the time the TGA considered this application, a similar application </w:t>
      </w:r>
      <w:r w:rsidR="00B22566">
        <w:t>for Fluzone High</w:t>
      </w:r>
      <w:r w:rsidR="00B22566">
        <w:noBreakHyphen/>
        <w:t xml:space="preserve">Dose </w:t>
      </w:r>
      <w:r w:rsidR="008A1B53">
        <w:t>Quadriv</w:t>
      </w:r>
      <w:r w:rsidR="00B22566">
        <w:t>alent had</w:t>
      </w:r>
      <w:r w:rsidR="008A1B53">
        <w:t xml:space="preserve"> been submitted in the United States (US), as a supplement to the US Food and Drug Administration (FDA) Fluzone Biological Licensing Application (BLA) in January 2019. It was approved in November 2019 for:</w:t>
      </w:r>
    </w:p>
    <w:p w14:paraId="2D9FF4E3" w14:textId="77777777" w:rsidR="008A1B53" w:rsidRPr="008A1B53" w:rsidRDefault="008A1B53" w:rsidP="008A1B53">
      <w:pPr>
        <w:ind w:left="720"/>
        <w:rPr>
          <w:i/>
        </w:rPr>
      </w:pPr>
      <w:r w:rsidRPr="008A1B53">
        <w:rPr>
          <w:i/>
        </w:rPr>
        <w:t>‘Fluzone High-Dose Quadrivalent is a vaccine indicated for active immunization for the prevention of influenza caused by influenza A subtype viruses and type B viruses contained in the vaccine.</w:t>
      </w:r>
    </w:p>
    <w:p w14:paraId="6C8268E7" w14:textId="77777777" w:rsidR="008A1B53" w:rsidRPr="008A1B53" w:rsidRDefault="008A1B53" w:rsidP="008A1B53">
      <w:pPr>
        <w:ind w:left="720"/>
        <w:rPr>
          <w:i/>
        </w:rPr>
      </w:pPr>
      <w:r w:rsidRPr="008A1B53">
        <w:rPr>
          <w:i/>
        </w:rPr>
        <w:t>Fluzone High-Dose Quadrivalent is indicated for use in persons 65 years of age and older.’</w:t>
      </w:r>
    </w:p>
    <w:p w14:paraId="61FF47D9" w14:textId="77777777" w:rsidR="008A1B53" w:rsidRDefault="00B22566" w:rsidP="008A1B53">
      <w:r>
        <w:t xml:space="preserve">Fluzone </w:t>
      </w:r>
      <w:r w:rsidR="008A1B53">
        <w:t xml:space="preserve">High-Dose </w:t>
      </w:r>
      <w:r>
        <w:t>Quadrivalent i</w:t>
      </w:r>
      <w:r w:rsidR="008A1B53">
        <w:t xml:space="preserve">nfluenza vaccine has also been submitted in the European Union (EU) through the European Medicine Agency’s (EMA) decentralised procedure (25 countries included) in April 2019 with proposed </w:t>
      </w:r>
      <w:r w:rsidR="00076026">
        <w:t>indications</w:t>
      </w:r>
      <w:r w:rsidR="008A1B53">
        <w:t xml:space="preserve"> aligned to those proposed in Australia.</w:t>
      </w:r>
    </w:p>
    <w:p w14:paraId="19743942" w14:textId="77777777" w:rsidR="008A1B53" w:rsidRPr="008A1B53" w:rsidRDefault="008A1B53" w:rsidP="008A1B53">
      <w:r>
        <w:t>Fluzone Quadrivalent High-Dose was submitted in Canada in July 2019 with proposed indicat</w:t>
      </w:r>
      <w:r w:rsidR="00B22566">
        <w:t>ions aligned to those in the US</w:t>
      </w:r>
      <w:r>
        <w:t>.</w:t>
      </w:r>
    </w:p>
    <w:p w14:paraId="1AC56242" w14:textId="77777777" w:rsidR="008E7846" w:rsidRDefault="008E7846" w:rsidP="00940A89">
      <w:pPr>
        <w:pStyle w:val="Heading3"/>
      </w:pPr>
      <w:bookmarkStart w:id="23" w:name="_Toc57824915"/>
      <w:r>
        <w:lastRenderedPageBreak/>
        <w:t>Product Information</w:t>
      </w:r>
      <w:bookmarkEnd w:id="21"/>
      <w:bookmarkEnd w:id="22"/>
      <w:bookmarkEnd w:id="23"/>
    </w:p>
    <w:p w14:paraId="21574A2E" w14:textId="2EFB4568" w:rsidR="00940A89" w:rsidRDefault="006136D7" w:rsidP="00940A89">
      <w:bookmarkStart w:id="24" w:name="_Toc247691506"/>
      <w:bookmarkStart w:id="25"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2CC59623" w14:textId="77777777" w:rsidR="00500337" w:rsidRDefault="00500337" w:rsidP="00500337">
      <w:pPr>
        <w:pStyle w:val="Heading2"/>
      </w:pPr>
      <w:bookmarkStart w:id="26" w:name="_Toc504480011"/>
      <w:bookmarkStart w:id="27" w:name="_Toc57824916"/>
      <w:r>
        <w:t>II. Registration timeline</w:t>
      </w:r>
      <w:bookmarkEnd w:id="26"/>
      <w:bookmarkEnd w:id="27"/>
    </w:p>
    <w:p w14:paraId="331D84DF" w14:textId="77777777" w:rsidR="00500337" w:rsidRPr="00377BD4" w:rsidRDefault="00500337" w:rsidP="00144D37">
      <w:r>
        <w:t>The following table captures the key steps and dates for this application and which are detailed and discussed in this AusPAR.</w:t>
      </w:r>
    </w:p>
    <w:p w14:paraId="0E7F35C8" w14:textId="32188067" w:rsidR="00144D37" w:rsidRDefault="00C90608" w:rsidP="00C90608">
      <w:pPr>
        <w:pStyle w:val="TableTitle"/>
      </w:pPr>
      <w:r w:rsidRPr="00C90608">
        <w:t xml:space="preserve">Table </w:t>
      </w:r>
      <w:r w:rsidR="0034766A">
        <w:fldChar w:fldCharType="begin"/>
      </w:r>
      <w:r w:rsidR="0034766A">
        <w:instrText xml:space="preserve"> SEQ Table \* ARABIC </w:instrText>
      </w:r>
      <w:r w:rsidR="0034766A">
        <w:fldChar w:fldCharType="separate"/>
      </w:r>
      <w:r w:rsidR="00DA143A">
        <w:rPr>
          <w:noProof/>
        </w:rPr>
        <w:t>1</w:t>
      </w:r>
      <w:r w:rsidR="0034766A">
        <w:rPr>
          <w:noProof/>
        </w:rPr>
        <w:fldChar w:fldCharType="end"/>
      </w:r>
      <w:r w:rsidR="00144D37" w:rsidRPr="00C90608">
        <w:t>:</w:t>
      </w:r>
      <w:r w:rsidR="00144D37" w:rsidRPr="00E93ABD">
        <w:t xml:space="preserve"> Timeline for Submission PM-2019-03202-1-2</w:t>
      </w:r>
    </w:p>
    <w:tbl>
      <w:tblPr>
        <w:tblStyle w:val="TableTGAblue"/>
        <w:tblW w:w="0" w:type="auto"/>
        <w:tblLook w:val="04A0" w:firstRow="1" w:lastRow="0" w:firstColumn="1" w:lastColumn="0" w:noHBand="0" w:noVBand="1"/>
      </w:tblPr>
      <w:tblGrid>
        <w:gridCol w:w="6091"/>
        <w:gridCol w:w="2403"/>
      </w:tblGrid>
      <w:tr w:rsidR="00500337" w14:paraId="0F88CF8C" w14:textId="77777777" w:rsidTr="009B77E2">
        <w:trPr>
          <w:cnfStyle w:val="100000000000" w:firstRow="1" w:lastRow="0" w:firstColumn="0" w:lastColumn="0" w:oddVBand="0" w:evenVBand="0" w:oddHBand="0" w:evenHBand="0" w:firstRowFirstColumn="0" w:firstRowLastColumn="0" w:lastRowFirstColumn="0" w:lastRowLastColumn="0"/>
          <w:cantSplit/>
        </w:trPr>
        <w:tc>
          <w:tcPr>
            <w:tcW w:w="6091" w:type="dxa"/>
            <w:tcBorders>
              <w:top w:val="single" w:sz="4" w:space="0" w:color="auto"/>
              <w:left w:val="single" w:sz="4" w:space="0" w:color="auto"/>
              <w:bottom w:val="single" w:sz="4" w:space="0" w:color="auto"/>
              <w:right w:val="single" w:sz="4" w:space="0" w:color="auto"/>
            </w:tcBorders>
          </w:tcPr>
          <w:p w14:paraId="413EFA2B" w14:textId="77777777" w:rsidR="00500337" w:rsidRDefault="00500337" w:rsidP="00076026">
            <w:pPr>
              <w:ind w:left="0" w:right="0"/>
            </w:pPr>
            <w:r>
              <w:t>Description</w:t>
            </w:r>
          </w:p>
        </w:tc>
        <w:tc>
          <w:tcPr>
            <w:tcW w:w="2403" w:type="dxa"/>
            <w:tcBorders>
              <w:top w:val="single" w:sz="4" w:space="0" w:color="auto"/>
              <w:left w:val="single" w:sz="4" w:space="0" w:color="auto"/>
              <w:bottom w:val="single" w:sz="4" w:space="0" w:color="auto"/>
              <w:right w:val="single" w:sz="4" w:space="0" w:color="auto"/>
            </w:tcBorders>
          </w:tcPr>
          <w:p w14:paraId="28102C86" w14:textId="77777777" w:rsidR="00500337" w:rsidRDefault="00500337" w:rsidP="00076026">
            <w:pPr>
              <w:ind w:left="0" w:right="0"/>
            </w:pPr>
            <w:r>
              <w:t>Date</w:t>
            </w:r>
          </w:p>
        </w:tc>
      </w:tr>
      <w:tr w:rsidR="00500337" w14:paraId="7F5FEF33" w14:textId="77777777" w:rsidTr="009B77E2">
        <w:tc>
          <w:tcPr>
            <w:tcW w:w="6091" w:type="dxa"/>
            <w:tcBorders>
              <w:top w:val="single" w:sz="4" w:space="0" w:color="auto"/>
            </w:tcBorders>
          </w:tcPr>
          <w:p w14:paraId="0E8EF08D" w14:textId="77777777" w:rsidR="00500337" w:rsidRDefault="00500337" w:rsidP="00076026">
            <w:pPr>
              <w:keepNext/>
              <w:ind w:left="0" w:right="0"/>
            </w:pPr>
            <w:r>
              <w:t>Submission dossier accepted and first round evaluation commenced</w:t>
            </w:r>
          </w:p>
        </w:tc>
        <w:tc>
          <w:tcPr>
            <w:tcW w:w="2403" w:type="dxa"/>
            <w:tcBorders>
              <w:top w:val="single" w:sz="4" w:space="0" w:color="auto"/>
            </w:tcBorders>
          </w:tcPr>
          <w:p w14:paraId="1CAEF7AA" w14:textId="77777777" w:rsidR="00500337" w:rsidRDefault="00A515FE" w:rsidP="00076026">
            <w:pPr>
              <w:keepNext/>
              <w:ind w:left="0" w:right="0"/>
            </w:pPr>
            <w:r>
              <w:t>2 September 2019</w:t>
            </w:r>
          </w:p>
        </w:tc>
      </w:tr>
      <w:tr w:rsidR="00500337" w14:paraId="2CABA780" w14:textId="77777777" w:rsidTr="009B77E2">
        <w:tc>
          <w:tcPr>
            <w:tcW w:w="6091" w:type="dxa"/>
          </w:tcPr>
          <w:p w14:paraId="1E686B72" w14:textId="77777777" w:rsidR="00500337" w:rsidRDefault="00500337" w:rsidP="00500337">
            <w:pPr>
              <w:ind w:left="0" w:right="0"/>
            </w:pPr>
            <w:r>
              <w:t>First round evaluation completed</w:t>
            </w:r>
          </w:p>
        </w:tc>
        <w:tc>
          <w:tcPr>
            <w:tcW w:w="2403" w:type="dxa"/>
          </w:tcPr>
          <w:p w14:paraId="26EEA7E4" w14:textId="77777777" w:rsidR="00500337" w:rsidRDefault="00A515FE" w:rsidP="00500337">
            <w:pPr>
              <w:ind w:left="0" w:right="0"/>
            </w:pPr>
            <w:r>
              <w:t>31 January 2020</w:t>
            </w:r>
          </w:p>
        </w:tc>
      </w:tr>
      <w:tr w:rsidR="00500337" w14:paraId="3D381BD7" w14:textId="77777777" w:rsidTr="009B77E2">
        <w:tc>
          <w:tcPr>
            <w:tcW w:w="6091" w:type="dxa"/>
          </w:tcPr>
          <w:p w14:paraId="5045B2E4" w14:textId="77777777" w:rsidR="00500337" w:rsidRDefault="00500337" w:rsidP="00500337">
            <w:pPr>
              <w:ind w:left="0" w:right="0"/>
            </w:pPr>
            <w:r>
              <w:t>Sponsor provides responses on questions raised in first round evaluation</w:t>
            </w:r>
          </w:p>
        </w:tc>
        <w:tc>
          <w:tcPr>
            <w:tcW w:w="2403" w:type="dxa"/>
          </w:tcPr>
          <w:p w14:paraId="1CECA30E" w14:textId="77777777" w:rsidR="00500337" w:rsidRDefault="00A515FE" w:rsidP="00500337">
            <w:pPr>
              <w:ind w:left="0" w:right="0"/>
            </w:pPr>
            <w:r>
              <w:t>28 February 2020</w:t>
            </w:r>
          </w:p>
        </w:tc>
      </w:tr>
      <w:tr w:rsidR="00500337" w14:paraId="27534F1C" w14:textId="77777777" w:rsidTr="009B77E2">
        <w:tc>
          <w:tcPr>
            <w:tcW w:w="6091" w:type="dxa"/>
          </w:tcPr>
          <w:p w14:paraId="2C90D316" w14:textId="77777777" w:rsidR="00500337" w:rsidRDefault="00500337" w:rsidP="00500337">
            <w:pPr>
              <w:ind w:left="0" w:right="0"/>
            </w:pPr>
            <w:r>
              <w:t>Second round evaluation completed</w:t>
            </w:r>
          </w:p>
        </w:tc>
        <w:tc>
          <w:tcPr>
            <w:tcW w:w="2403" w:type="dxa"/>
          </w:tcPr>
          <w:p w14:paraId="4AFEAD83" w14:textId="77777777" w:rsidR="00500337" w:rsidRDefault="00A515FE" w:rsidP="00500337">
            <w:pPr>
              <w:ind w:left="0" w:right="0"/>
            </w:pPr>
            <w:r>
              <w:t>14 April 2020</w:t>
            </w:r>
          </w:p>
        </w:tc>
      </w:tr>
      <w:tr w:rsidR="00500337" w14:paraId="0943935B" w14:textId="77777777" w:rsidTr="009B77E2">
        <w:tc>
          <w:tcPr>
            <w:tcW w:w="6091" w:type="dxa"/>
          </w:tcPr>
          <w:p w14:paraId="420EBAD1" w14:textId="77777777" w:rsidR="00500337" w:rsidRDefault="00500337" w:rsidP="00500337">
            <w:pPr>
              <w:ind w:left="0" w:right="0"/>
            </w:pPr>
            <w:r>
              <w:t>Delegate’s Overall benefit-risk assessment and request for Advisory Committee advice</w:t>
            </w:r>
          </w:p>
        </w:tc>
        <w:tc>
          <w:tcPr>
            <w:tcW w:w="2403" w:type="dxa"/>
          </w:tcPr>
          <w:p w14:paraId="4A21AF01" w14:textId="77777777" w:rsidR="00500337" w:rsidRDefault="00A515FE" w:rsidP="00500337">
            <w:pPr>
              <w:ind w:left="0" w:right="0"/>
            </w:pPr>
            <w:r>
              <w:t>5 May 2020</w:t>
            </w:r>
          </w:p>
        </w:tc>
      </w:tr>
      <w:tr w:rsidR="00500337" w14:paraId="19F45C06" w14:textId="77777777" w:rsidTr="009B77E2">
        <w:tc>
          <w:tcPr>
            <w:tcW w:w="6091" w:type="dxa"/>
          </w:tcPr>
          <w:p w14:paraId="0078C34F" w14:textId="77777777" w:rsidR="00500337" w:rsidRDefault="00500337" w:rsidP="00500337">
            <w:pPr>
              <w:ind w:left="0" w:right="0"/>
            </w:pPr>
            <w:r>
              <w:t>Sponsor’s pre-Advisory Committee response</w:t>
            </w:r>
          </w:p>
        </w:tc>
        <w:tc>
          <w:tcPr>
            <w:tcW w:w="2403" w:type="dxa"/>
          </w:tcPr>
          <w:p w14:paraId="33E9587C" w14:textId="386557A0" w:rsidR="00500337" w:rsidRDefault="00671AF1" w:rsidP="00500337">
            <w:pPr>
              <w:ind w:left="0" w:right="0"/>
            </w:pPr>
            <w:r>
              <w:t>18 May 2020</w:t>
            </w:r>
          </w:p>
        </w:tc>
      </w:tr>
      <w:tr w:rsidR="00500337" w14:paraId="7A6CA6CF" w14:textId="77777777" w:rsidTr="009B77E2">
        <w:tc>
          <w:tcPr>
            <w:tcW w:w="6091" w:type="dxa"/>
          </w:tcPr>
          <w:p w14:paraId="4E7B2264" w14:textId="77777777" w:rsidR="00500337" w:rsidRDefault="00500337" w:rsidP="00500337">
            <w:pPr>
              <w:ind w:left="0" w:right="0"/>
            </w:pPr>
            <w:r>
              <w:t>Advisory Committee meeting</w:t>
            </w:r>
          </w:p>
        </w:tc>
        <w:tc>
          <w:tcPr>
            <w:tcW w:w="2403" w:type="dxa"/>
          </w:tcPr>
          <w:p w14:paraId="64E32E1B" w14:textId="77777777" w:rsidR="00500337" w:rsidRDefault="00A515FE" w:rsidP="00500337">
            <w:pPr>
              <w:ind w:left="0" w:right="0"/>
            </w:pPr>
            <w:r>
              <w:t>3 June 2020</w:t>
            </w:r>
          </w:p>
        </w:tc>
      </w:tr>
      <w:tr w:rsidR="00500337" w14:paraId="112583EE" w14:textId="77777777" w:rsidTr="009B77E2">
        <w:tc>
          <w:tcPr>
            <w:tcW w:w="6091" w:type="dxa"/>
          </w:tcPr>
          <w:p w14:paraId="35484DB5" w14:textId="77777777" w:rsidR="00500337" w:rsidRDefault="00500337" w:rsidP="00500337">
            <w:pPr>
              <w:ind w:left="0" w:right="0"/>
            </w:pPr>
            <w:r>
              <w:t>Registration decision (Outcome)</w:t>
            </w:r>
          </w:p>
        </w:tc>
        <w:tc>
          <w:tcPr>
            <w:tcW w:w="2403" w:type="dxa"/>
          </w:tcPr>
          <w:p w14:paraId="31D9F1FF" w14:textId="77777777" w:rsidR="00500337" w:rsidRDefault="00A515FE" w:rsidP="00500337">
            <w:pPr>
              <w:ind w:left="0" w:right="0"/>
            </w:pPr>
            <w:r>
              <w:t>30 July 2020</w:t>
            </w:r>
          </w:p>
        </w:tc>
      </w:tr>
      <w:tr w:rsidR="00500337" w14:paraId="2DD7C9D7" w14:textId="77777777" w:rsidTr="009B77E2">
        <w:tc>
          <w:tcPr>
            <w:tcW w:w="6091" w:type="dxa"/>
          </w:tcPr>
          <w:p w14:paraId="6742EF17" w14:textId="77777777" w:rsidR="00500337" w:rsidRDefault="00500337" w:rsidP="00500337">
            <w:pPr>
              <w:ind w:left="0" w:right="0"/>
            </w:pPr>
            <w:r>
              <w:t xml:space="preserve">Completion of administrative activities and registration on </w:t>
            </w:r>
            <w:r w:rsidR="00006FAB">
              <w:t xml:space="preserve">the </w:t>
            </w:r>
            <w:r>
              <w:t>ARTG</w:t>
            </w:r>
          </w:p>
        </w:tc>
        <w:tc>
          <w:tcPr>
            <w:tcW w:w="2403" w:type="dxa"/>
          </w:tcPr>
          <w:p w14:paraId="0DDB36F3" w14:textId="77777777" w:rsidR="00500337" w:rsidRDefault="00A515FE" w:rsidP="00500337">
            <w:pPr>
              <w:ind w:left="0" w:right="0"/>
            </w:pPr>
            <w:r>
              <w:t>31 July 2020</w:t>
            </w:r>
          </w:p>
        </w:tc>
      </w:tr>
      <w:tr w:rsidR="00500337" w14:paraId="7E30947C" w14:textId="77777777" w:rsidTr="009B77E2">
        <w:tc>
          <w:tcPr>
            <w:tcW w:w="6091" w:type="dxa"/>
          </w:tcPr>
          <w:p w14:paraId="4A671479" w14:textId="77777777" w:rsidR="00500337" w:rsidRDefault="00500337" w:rsidP="00500337">
            <w:pPr>
              <w:ind w:left="0" w:right="0"/>
            </w:pPr>
            <w:r>
              <w:t>Number of working days from submission dossier acceptance to registration decision*</w:t>
            </w:r>
          </w:p>
        </w:tc>
        <w:tc>
          <w:tcPr>
            <w:tcW w:w="2403" w:type="dxa"/>
          </w:tcPr>
          <w:p w14:paraId="6F8937DA" w14:textId="77777777" w:rsidR="00500337" w:rsidRDefault="00A515FE" w:rsidP="00500337">
            <w:pPr>
              <w:ind w:left="0" w:right="0"/>
            </w:pPr>
            <w:r>
              <w:t>204 days</w:t>
            </w:r>
          </w:p>
        </w:tc>
      </w:tr>
    </w:tbl>
    <w:p w14:paraId="28BD67A3"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053DA52C" w14:textId="77777777" w:rsidR="008E7846" w:rsidRPr="00792A32" w:rsidRDefault="00456765" w:rsidP="008E7846">
      <w:pPr>
        <w:pStyle w:val="Heading2"/>
      </w:pPr>
      <w:bookmarkStart w:id="28" w:name="_Toc196046504"/>
      <w:bookmarkStart w:id="29" w:name="_Toc247691527"/>
      <w:bookmarkStart w:id="30" w:name="_Toc314842510"/>
      <w:bookmarkStart w:id="31" w:name="_Toc57824917"/>
      <w:bookmarkStart w:id="32" w:name="_Toc163441390"/>
      <w:bookmarkEnd w:id="24"/>
      <w:bookmarkEnd w:id="25"/>
      <w:bookmarkEnd w:id="2"/>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1"/>
    </w:p>
    <w:p w14:paraId="28F62B01" w14:textId="77777777" w:rsidR="00006FAB" w:rsidRDefault="00006FAB" w:rsidP="00006FAB">
      <w:bookmarkStart w:id="33" w:name="_Toc247691528"/>
      <w:r>
        <w:t>The submission was summarised in the following Delegate’s overview and recommendations.</w:t>
      </w:r>
    </w:p>
    <w:p w14:paraId="06DC8AAD" w14:textId="77777777" w:rsidR="008E7846" w:rsidRDefault="008E7846" w:rsidP="008E7846">
      <w:pPr>
        <w:pStyle w:val="Heading3"/>
      </w:pPr>
      <w:bookmarkStart w:id="34" w:name="_Toc314842511"/>
      <w:bookmarkStart w:id="35" w:name="_Toc57824918"/>
      <w:r>
        <w:t>Quality</w:t>
      </w:r>
      <w:bookmarkEnd w:id="33"/>
      <w:bookmarkEnd w:id="34"/>
      <w:bookmarkEnd w:id="35"/>
    </w:p>
    <w:p w14:paraId="55C0C2FF" w14:textId="1912FD64" w:rsidR="00086CD4" w:rsidRDefault="00086CD4" w:rsidP="00086CD4">
      <w:r>
        <w:t>The quality s</w:t>
      </w:r>
      <w:r w:rsidRPr="007B3D7C">
        <w:t>ummary</w:t>
      </w:r>
      <w:r w:rsidRPr="002E2820">
        <w:t xml:space="preserve"> </w:t>
      </w:r>
      <w:r>
        <w:t xml:space="preserve">identified </w:t>
      </w:r>
      <w:r w:rsidRPr="007B3D7C">
        <w:t xml:space="preserve">no </w:t>
      </w:r>
      <w:r>
        <w:t>quality i</w:t>
      </w:r>
      <w:r w:rsidRPr="007B3D7C">
        <w:t xml:space="preserve">ssues </w:t>
      </w:r>
      <w:r>
        <w:t xml:space="preserve">that would preclude the registration of </w:t>
      </w:r>
      <w:r w:rsidRPr="007B3D7C">
        <w:rPr>
          <w:rFonts w:eastAsiaTheme="minorHAnsi" w:cs="Helv"/>
          <w:color w:val="000000"/>
        </w:rPr>
        <w:t>Fluzone High-Dose Quadrivalent, inactivated quadrivalent influenza vaccine (split virion)</w:t>
      </w:r>
      <w:r>
        <w:rPr>
          <w:rFonts w:eastAsiaTheme="minorHAnsi" w:cs="Helv"/>
          <w:color w:val="000000"/>
        </w:rPr>
        <w:t>.</w:t>
      </w:r>
      <w:r w:rsidR="009B1224" w:rsidRPr="009B1224">
        <w:t xml:space="preserve"> Sufficient evidence has been provided to demonstrate that the risks related to the adventitious presence of infectious enveloped viruses, prion and mycoplasma agents in </w:t>
      </w:r>
      <w:r w:rsidR="009B1224" w:rsidRPr="009B1224">
        <w:lastRenderedPageBreak/>
        <w:t>the manufacturing of Fluzone Quadrivalent High Dose (HD) are controlled to an acceptable level to minimise infect</w:t>
      </w:r>
      <w:r w:rsidR="00777E34">
        <w:t>ious disease risks to patients.</w:t>
      </w:r>
    </w:p>
    <w:p w14:paraId="088F9DE7" w14:textId="68B35ED4" w:rsidR="00777E34" w:rsidRPr="00777E34" w:rsidRDefault="00777E34" w:rsidP="00777E34">
      <w:pPr>
        <w:rPr>
          <w:lang w:eastAsia="en-AU"/>
        </w:rPr>
      </w:pPr>
      <w:r w:rsidRPr="008A1DAD">
        <w:rPr>
          <w:lang w:eastAsia="en-AU"/>
        </w:rPr>
        <w:t xml:space="preserve">Product will be registered in Australia in </w:t>
      </w:r>
      <w:r>
        <w:rPr>
          <w:lang w:eastAsia="en-AU"/>
        </w:rPr>
        <w:t xml:space="preserve">both </w:t>
      </w:r>
      <w:r w:rsidRPr="008A1DAD">
        <w:rPr>
          <w:lang w:eastAsia="en-AU"/>
        </w:rPr>
        <w:t xml:space="preserve">a needle free presentation </w:t>
      </w:r>
      <w:r>
        <w:rPr>
          <w:lang w:eastAsia="en-AU"/>
        </w:rPr>
        <w:t xml:space="preserve">with and </w:t>
      </w:r>
      <w:r w:rsidRPr="008A1DAD">
        <w:rPr>
          <w:lang w:eastAsia="en-AU"/>
        </w:rPr>
        <w:t>without needle supplied. Doses are presented in 5 or 10 dose cartons however these either of these pack sizes may not be marketed. The proposed indication for the product is for persons aged 65 years of age and older.</w:t>
      </w:r>
    </w:p>
    <w:p w14:paraId="3445EA7B" w14:textId="4EBC6C76" w:rsidR="00A2144F" w:rsidRDefault="00A2144F" w:rsidP="00A2144F">
      <w:bookmarkStart w:id="36" w:name="_Toc314842512"/>
      <w:r>
        <w:t>In conclusion, the product is recommended for approval. However, please note that there are post-approval commitments that should be met by the sponsor, prior to the lodgement of the Annual Strain Update for 2021, Southern Hemisphere Influenza Season. Refer to specific conditions of registration.</w:t>
      </w:r>
    </w:p>
    <w:p w14:paraId="3C7D9B4B" w14:textId="2827AD87" w:rsidR="008E7846" w:rsidRDefault="008E7846" w:rsidP="008E7846">
      <w:pPr>
        <w:pStyle w:val="Heading3"/>
      </w:pPr>
      <w:bookmarkStart w:id="37" w:name="_Toc57824919"/>
      <w:r>
        <w:t>Nonclinical</w:t>
      </w:r>
      <w:bookmarkEnd w:id="36"/>
      <w:bookmarkEnd w:id="37"/>
    </w:p>
    <w:p w14:paraId="39BB5EE5" w14:textId="77777777" w:rsidR="005E4FAF" w:rsidRDefault="005E4FAF" w:rsidP="005E4FAF">
      <w:r>
        <w:t xml:space="preserve">Two nonclinical studies were provided in this submission; one repeat-dose toxicity study and one local tolerance study. Both studies were conducted in rabbits with the proposed </w:t>
      </w:r>
      <w:r w:rsidR="005B649A">
        <w:t>QIV-HD</w:t>
      </w:r>
      <w:r>
        <w:t>.</w:t>
      </w:r>
    </w:p>
    <w:p w14:paraId="64343814" w14:textId="77777777" w:rsidR="005E4FAF" w:rsidRDefault="005E4FAF" w:rsidP="005E4FAF">
      <w:r>
        <w:t>Immunogenicity of QIV-HD against all 4 strains was demonstrated in rabbits in the toxicity study.</w:t>
      </w:r>
    </w:p>
    <w:p w14:paraId="42583CA5" w14:textId="77777777" w:rsidR="005E4FAF" w:rsidRDefault="005E4FAF" w:rsidP="005E4FAF">
      <w:r>
        <w:t>There was no systemic toxicity in rabbits admini</w:t>
      </w:r>
      <w:r w:rsidR="00465356">
        <w:t xml:space="preserve">stered 3 doses of QIV-HD with 2 </w:t>
      </w:r>
      <w:r>
        <w:t>week</w:t>
      </w:r>
      <w:r w:rsidR="00465356">
        <w:t>ly</w:t>
      </w:r>
      <w:r>
        <w:t xml:space="preserve"> dosing intervals</w:t>
      </w:r>
      <w:r w:rsidR="00465356">
        <w:t xml:space="preserve"> (16 times the human dose on a µg/kg basis</w:t>
      </w:r>
      <w:r>
        <w:t>). The number of germinal centres of spleen was increased, probably associated with the pharmacological action of the vaccine. Minor inflammation was observed at injection sites.</w:t>
      </w:r>
    </w:p>
    <w:p w14:paraId="4E1B5690" w14:textId="77777777" w:rsidR="005E4FAF" w:rsidRDefault="005E4FAF" w:rsidP="005E4FAF">
      <w:r>
        <w:t>Local tolerance reactions consisted of slight haematoma an</w:t>
      </w:r>
      <w:r w:rsidR="00465356">
        <w:t>d inflammation after a single subcutaneous</w:t>
      </w:r>
      <w:r>
        <w:t xml:space="preserve"> injection, and slight haematoma, very slight erythema and oedema, and slight to moderate muscle inflammation and necrosis following IM injections in rabbits.</w:t>
      </w:r>
    </w:p>
    <w:p w14:paraId="09D4BD3D" w14:textId="642AD3D5" w:rsidR="005E4FAF" w:rsidRPr="005E4FAF" w:rsidRDefault="005E4FAF" w:rsidP="005E4FAF">
      <w:r>
        <w:t>Although the number of submitted nonclinical studies</w:t>
      </w:r>
      <w:r w:rsidR="0073328E">
        <w:t xml:space="preserve"> with</w:t>
      </w:r>
      <w:r>
        <w:t xml:space="preserve"> QIV-HD is limited, the evaluated data raises no nonclinical objections to the registration </w:t>
      </w:r>
      <w:r w:rsidR="00465356">
        <w:t>of Fluzone Quadrivanlent High-Dose</w:t>
      </w:r>
      <w:r>
        <w:t>. Evaluation of safety and efficacy will largely rely on clinical data.</w:t>
      </w:r>
    </w:p>
    <w:p w14:paraId="416C885B" w14:textId="77777777" w:rsidR="008E7846" w:rsidRDefault="008E7846" w:rsidP="00E06248">
      <w:pPr>
        <w:pStyle w:val="Heading3"/>
      </w:pPr>
      <w:bookmarkStart w:id="38" w:name="_Toc247691530"/>
      <w:bookmarkStart w:id="39" w:name="_Toc314842513"/>
      <w:bookmarkStart w:id="40" w:name="_Toc57824920"/>
      <w:r>
        <w:t>Clinical</w:t>
      </w:r>
      <w:bookmarkEnd w:id="38"/>
      <w:bookmarkEnd w:id="39"/>
      <w:bookmarkEnd w:id="40"/>
    </w:p>
    <w:p w14:paraId="7BB7D190" w14:textId="77777777" w:rsidR="00E06248" w:rsidRPr="00E06248" w:rsidRDefault="00E06248" w:rsidP="00E06248">
      <w:pPr>
        <w:pStyle w:val="Heading4"/>
      </w:pPr>
      <w:r>
        <w:t>Content of the clinical dossier</w:t>
      </w:r>
    </w:p>
    <w:p w14:paraId="55EF7E97" w14:textId="77777777" w:rsidR="00465356" w:rsidRDefault="00E06248" w:rsidP="00E06248">
      <w:r w:rsidRPr="00DA0A20">
        <w:t>Th</w:t>
      </w:r>
      <w:r>
        <w:t xml:space="preserve">e </w:t>
      </w:r>
      <w:r w:rsidRPr="00E06248">
        <w:t>Australian</w:t>
      </w:r>
      <w:r>
        <w:t xml:space="preserve"> clinical submission </w:t>
      </w:r>
      <w:r w:rsidRPr="00DA0A20">
        <w:t>is based on the dossi</w:t>
      </w:r>
      <w:r w:rsidR="00465356">
        <w:t>er submitted in the EU in April 2019.</w:t>
      </w:r>
    </w:p>
    <w:p w14:paraId="5FD85BAB" w14:textId="77777777" w:rsidR="00465356" w:rsidRDefault="00465356" w:rsidP="00E06248">
      <w:r>
        <w:t>The clinical dossier includes:</w:t>
      </w:r>
    </w:p>
    <w:p w14:paraId="0A418FC8" w14:textId="77777777" w:rsidR="00465356" w:rsidRDefault="00465356" w:rsidP="00844094">
      <w:pPr>
        <w:pStyle w:val="ListBullet"/>
      </w:pPr>
      <w:r>
        <w:t>4 TIV-HD clinical studies</w:t>
      </w:r>
    </w:p>
    <w:p w14:paraId="1035AB46" w14:textId="77777777" w:rsidR="00465356" w:rsidRDefault="00465356" w:rsidP="00465356">
      <w:pPr>
        <w:pStyle w:val="ListBullet2"/>
      </w:pPr>
      <w:r>
        <w:t>Study FIM01 (</w:t>
      </w:r>
      <w:r w:rsidR="00980DE7">
        <w:t xml:space="preserve">US </w:t>
      </w:r>
      <w:r>
        <w:t>National Institute</w:t>
      </w:r>
      <w:r w:rsidR="005B649A">
        <w:t>s</w:t>
      </w:r>
      <w:r>
        <w:t xml:space="preserve"> of Health (NIH) Study 04-100);</w:t>
      </w:r>
    </w:p>
    <w:p w14:paraId="75F85812" w14:textId="77777777" w:rsidR="00465356" w:rsidRDefault="00465356" w:rsidP="00465356">
      <w:pPr>
        <w:pStyle w:val="ListBullet2"/>
      </w:pPr>
      <w:r>
        <w:t>Study FIM05;</w:t>
      </w:r>
    </w:p>
    <w:p w14:paraId="53579ADB" w14:textId="77777777" w:rsidR="00465356" w:rsidRDefault="00465356" w:rsidP="00465356">
      <w:pPr>
        <w:pStyle w:val="ListBullet2"/>
      </w:pPr>
      <w:r>
        <w:t xml:space="preserve">Study </w:t>
      </w:r>
      <w:r w:rsidR="00E06248" w:rsidRPr="00DA0A20">
        <w:t>FIM12</w:t>
      </w:r>
      <w:r>
        <w:t xml:space="preserve">; </w:t>
      </w:r>
      <w:r w:rsidR="00E06248">
        <w:t>and</w:t>
      </w:r>
    </w:p>
    <w:p w14:paraId="62DCA82F" w14:textId="77777777" w:rsidR="00465356" w:rsidRDefault="00465356" w:rsidP="00465356">
      <w:pPr>
        <w:pStyle w:val="ListBullet2"/>
      </w:pPr>
      <w:r>
        <w:t>Study FIM07</w:t>
      </w:r>
    </w:p>
    <w:p w14:paraId="462D111B" w14:textId="77777777" w:rsidR="00465356" w:rsidRDefault="00980DE7" w:rsidP="00465356">
      <w:pPr>
        <w:ind w:firstLine="360"/>
      </w:pPr>
      <w:r>
        <w:t>(Note: t</w:t>
      </w:r>
      <w:r w:rsidR="00465356">
        <w:t>he TIV-HD studies</w:t>
      </w:r>
      <w:r w:rsidR="0019176C">
        <w:t xml:space="preserve"> above</w:t>
      </w:r>
      <w:r w:rsidR="00465356">
        <w:t xml:space="preserve"> have been </w:t>
      </w:r>
      <w:r w:rsidR="00E06248">
        <w:t>previously evaluated by</w:t>
      </w:r>
      <w:r>
        <w:t xml:space="preserve"> the</w:t>
      </w:r>
      <w:r w:rsidR="00E06248">
        <w:t xml:space="preserve"> TGA</w:t>
      </w:r>
      <w:r>
        <w:t>).</w:t>
      </w:r>
    </w:p>
    <w:p w14:paraId="49F60037" w14:textId="77777777" w:rsidR="00465356" w:rsidRDefault="00465356" w:rsidP="00844094">
      <w:pPr>
        <w:pStyle w:val="ListBullet"/>
      </w:pPr>
      <w:r>
        <w:t xml:space="preserve">2 </w:t>
      </w:r>
      <w:r w:rsidR="00E06248" w:rsidRPr="00DA0A20">
        <w:t>QIV-HD cl</w:t>
      </w:r>
      <w:r>
        <w:t>inical studies</w:t>
      </w:r>
    </w:p>
    <w:p w14:paraId="7D731BCA" w14:textId="77777777" w:rsidR="00465356" w:rsidRDefault="00465356" w:rsidP="00465356">
      <w:pPr>
        <w:pStyle w:val="ListBullet2"/>
      </w:pPr>
      <w:r>
        <w:t>Study QHD00008</w:t>
      </w:r>
    </w:p>
    <w:p w14:paraId="43FDFE1B" w14:textId="77777777" w:rsidR="00465356" w:rsidRDefault="00465356" w:rsidP="00465356">
      <w:pPr>
        <w:pStyle w:val="ListBullet3"/>
      </w:pPr>
      <w:r>
        <w:lastRenderedPageBreak/>
        <w:t xml:space="preserve">Study </w:t>
      </w:r>
      <w:r w:rsidRPr="003A052A">
        <w:t>QHD0008</w:t>
      </w:r>
      <w:r>
        <w:t xml:space="preserve"> was a Phase I/II safety and i</w:t>
      </w:r>
      <w:r w:rsidRPr="003A052A">
        <w:t xml:space="preserve">mmunogenicity </w:t>
      </w:r>
      <w:r>
        <w:t xml:space="preserve">study </w:t>
      </w:r>
      <w:r w:rsidR="0019176C">
        <w:t>of QIV-HD</w:t>
      </w:r>
      <w:r w:rsidR="005B649A">
        <w:t xml:space="preserve"> (SP0178) a</w:t>
      </w:r>
      <w:r w:rsidRPr="003A052A">
        <w:t xml:space="preserve">dministered by </w:t>
      </w:r>
      <w:r w:rsidR="0019176C" w:rsidRPr="003A052A">
        <w:t>intramuscular or subcutaneous route in subjects aged 65 years and older in</w:t>
      </w:r>
      <w:r w:rsidRPr="003A052A">
        <w:t xml:space="preserve"> Japan.</w:t>
      </w:r>
    </w:p>
    <w:p w14:paraId="020A370A" w14:textId="77777777" w:rsidR="00E06248" w:rsidRDefault="00465356" w:rsidP="00465356">
      <w:pPr>
        <w:pStyle w:val="ListBullet2"/>
      </w:pPr>
      <w:r>
        <w:t>Study QHD00013</w:t>
      </w:r>
    </w:p>
    <w:p w14:paraId="5CEE3D51" w14:textId="77777777" w:rsidR="00465356" w:rsidRPr="00465356" w:rsidRDefault="00465356" w:rsidP="00465356">
      <w:pPr>
        <w:pStyle w:val="ListBullet3"/>
        <w:rPr>
          <w:b/>
          <w:bCs/>
        </w:rPr>
      </w:pPr>
      <w:r w:rsidRPr="003A052A">
        <w:rPr>
          <w:bCs/>
        </w:rPr>
        <w:t>Study QHD00013</w:t>
      </w:r>
      <w:r>
        <w:rPr>
          <w:b/>
          <w:bCs/>
        </w:rPr>
        <w:t xml:space="preserve"> </w:t>
      </w:r>
      <w:r w:rsidRPr="003A052A">
        <w:rPr>
          <w:bCs/>
        </w:rPr>
        <w:t>was a</w:t>
      </w:r>
      <w:r>
        <w:rPr>
          <w:b/>
          <w:bCs/>
        </w:rPr>
        <w:t xml:space="preserve"> </w:t>
      </w:r>
      <w:r w:rsidRPr="003A052A">
        <w:rPr>
          <w:bCs/>
        </w:rPr>
        <w:t>Phase III</w:t>
      </w:r>
      <w:r>
        <w:rPr>
          <w:bCs/>
        </w:rPr>
        <w:t xml:space="preserve"> s</w:t>
      </w:r>
      <w:r>
        <w:t>afety and i</w:t>
      </w:r>
      <w:r w:rsidRPr="003A052A">
        <w:t>mmunogenicity</w:t>
      </w:r>
      <w:r>
        <w:t xml:space="preserve"> study </w:t>
      </w:r>
      <w:r w:rsidRPr="003A052A">
        <w:t xml:space="preserve">of </w:t>
      </w:r>
      <w:r w:rsidR="0019176C">
        <w:t>QIV-HD a</w:t>
      </w:r>
      <w:r w:rsidRPr="003A052A">
        <w:t>dministered by intramuscular route in subjects aged 65 years and older</w:t>
      </w:r>
      <w:r>
        <w:t xml:space="preserve"> compared to TIV-HD</w:t>
      </w:r>
      <w:r w:rsidRPr="003A052A">
        <w:t>.</w:t>
      </w:r>
      <w:r>
        <w:t xml:space="preserve"> This is the pivotal study is this submission.</w:t>
      </w:r>
    </w:p>
    <w:p w14:paraId="3AB33F98" w14:textId="77777777" w:rsidR="00E06248" w:rsidRPr="00E06248" w:rsidRDefault="00465356" w:rsidP="00844094">
      <w:pPr>
        <w:pStyle w:val="ListBullet"/>
      </w:pPr>
      <w:r>
        <w:t xml:space="preserve">A </w:t>
      </w:r>
      <w:r w:rsidR="00E06248">
        <w:t xml:space="preserve">supplementary analysis of data from Study FIM12 reported on observational and exploratory effectiveness analyses as did </w:t>
      </w:r>
      <w:r w:rsidR="00E06248" w:rsidRPr="002C236F">
        <w:t xml:space="preserve">2 cluster-randomised controlled clinical trials </w:t>
      </w:r>
      <w:r w:rsidR="00E06248">
        <w:t xml:space="preserve">published </w:t>
      </w:r>
      <w:r w:rsidR="00E06248" w:rsidRPr="002C236F">
        <w:t>conducted by Gravenstein et al</w:t>
      </w:r>
      <w:r w:rsidR="00D2422E">
        <w:t>. (201</w:t>
      </w:r>
      <w:r w:rsidR="000D733D">
        <w:t>8);</w:t>
      </w:r>
      <w:bookmarkStart w:id="41" w:name="_Ref55016951"/>
      <w:r w:rsidR="000D733D">
        <w:rPr>
          <w:rStyle w:val="FootnoteReference"/>
        </w:rPr>
        <w:footnoteReference w:id="10"/>
      </w:r>
      <w:bookmarkEnd w:id="41"/>
      <w:r w:rsidR="00E06248">
        <w:t xml:space="preserve"> and other </w:t>
      </w:r>
      <w:r w:rsidR="0019176C" w:rsidRPr="00DA0A20">
        <w:t>r</w:t>
      </w:r>
      <w:r w:rsidR="0019176C">
        <w:t xml:space="preserve">eal </w:t>
      </w:r>
      <w:r w:rsidR="0019176C" w:rsidRPr="00DA0A20">
        <w:t>w</w:t>
      </w:r>
      <w:r w:rsidR="0019176C">
        <w:t xml:space="preserve">orld </w:t>
      </w:r>
      <w:r w:rsidR="0019176C" w:rsidRPr="00DA0A20">
        <w:t>e</w:t>
      </w:r>
      <w:r w:rsidR="0019176C">
        <w:t xml:space="preserve">ffectiveness </w:t>
      </w:r>
      <w:r w:rsidR="00E06248" w:rsidRPr="00DA0A20">
        <w:t>st</w:t>
      </w:r>
      <w:r w:rsidR="0019176C">
        <w:t>udies (these evaluated TIV-HD versus TIV-standard dose</w:t>
      </w:r>
      <w:r w:rsidR="00E06248" w:rsidRPr="00DA0A20">
        <w:t xml:space="preserve"> </w:t>
      </w:r>
      <w:r w:rsidR="0019176C">
        <w:t>(</w:t>
      </w:r>
      <w:r w:rsidR="00E06248" w:rsidRPr="00DA0A20">
        <w:t>TIV-SD</w:t>
      </w:r>
      <w:r w:rsidR="0019176C">
        <w:t>)</w:t>
      </w:r>
      <w:r w:rsidR="0019305A">
        <w:t>) including Young</w:t>
      </w:r>
      <w:r w:rsidR="0019305A">
        <w:noBreakHyphen/>
        <w:t>Xu et al. (2018).</w:t>
      </w:r>
      <w:bookmarkStart w:id="42" w:name="_Ref55018014"/>
      <w:r w:rsidR="00D2422E">
        <w:rPr>
          <w:rStyle w:val="FootnoteReference"/>
        </w:rPr>
        <w:footnoteReference w:id="11"/>
      </w:r>
      <w:bookmarkEnd w:id="42"/>
    </w:p>
    <w:p w14:paraId="099B7BAB" w14:textId="77777777" w:rsidR="00E06248" w:rsidRDefault="00E06248" w:rsidP="00E06248">
      <w:pPr>
        <w:pStyle w:val="Heading4"/>
      </w:pPr>
      <w:r w:rsidRPr="00FD44F4">
        <w:t>Immunogenicity</w:t>
      </w:r>
    </w:p>
    <w:p w14:paraId="2CE4139B" w14:textId="77777777" w:rsidR="00E06248" w:rsidRPr="00FD44F4" w:rsidRDefault="00E06248" w:rsidP="00E06248">
      <w:pPr>
        <w:pStyle w:val="Heading5"/>
      </w:pPr>
      <w:r>
        <w:t>Study QHD00013</w:t>
      </w:r>
    </w:p>
    <w:p w14:paraId="44D0FBE6" w14:textId="77777777" w:rsidR="0019176C" w:rsidRDefault="00E06248" w:rsidP="00E06248">
      <w:pPr>
        <w:autoSpaceDE w:val="0"/>
        <w:autoSpaceDN w:val="0"/>
        <w:spacing w:before="0" w:line="240" w:lineRule="auto"/>
      </w:pPr>
      <w:bookmarkStart w:id="43" w:name="_Ref243301615"/>
      <w:bookmarkStart w:id="44" w:name="_Ref271040927"/>
      <w:bookmarkStart w:id="45" w:name="_Ref271040932"/>
      <w:bookmarkStart w:id="46" w:name="_Toc272414653"/>
      <w:bookmarkStart w:id="47" w:name="_Toc290888501"/>
      <w:bookmarkStart w:id="48" w:name="_Toc416353717"/>
      <w:r w:rsidRPr="0019176C">
        <w:t xml:space="preserve">Study </w:t>
      </w:r>
      <w:bookmarkEnd w:id="43"/>
      <w:bookmarkEnd w:id="44"/>
      <w:bookmarkEnd w:id="45"/>
      <w:bookmarkEnd w:id="46"/>
      <w:bookmarkEnd w:id="47"/>
      <w:bookmarkEnd w:id="48"/>
      <w:r w:rsidRPr="0019176C">
        <w:t>QHD00013</w:t>
      </w:r>
      <w:r w:rsidRPr="003534CC">
        <w:t xml:space="preserve"> was a randomised, modified double-blind</w:t>
      </w:r>
      <w:r w:rsidR="0019176C">
        <w:t>, active-controlled, multi</w:t>
      </w:r>
      <w:r w:rsidRPr="003534CC">
        <w:t>centre study conducted in 2670 healthy subjects aged 65 years and older. High-dose quadrivalent influenza vaccine (QIV-HD) was compared to one of the high-dose triva</w:t>
      </w:r>
      <w:r w:rsidR="0019176C">
        <w:t>lent influenza vaccines (TIV-HD</w:t>
      </w:r>
      <w:r w:rsidRPr="003534CC">
        <w:t xml:space="preserve">) containing either the B strain from the primary lineage (TIV-HD1, </w:t>
      </w:r>
      <w:r w:rsidR="0019176C">
        <w:t>which was the licensed vaccine (Fluzone High-Dose)</w:t>
      </w:r>
      <w:r w:rsidRPr="003534CC">
        <w:t xml:space="preserve"> for the 201</w:t>
      </w:r>
      <w:r w:rsidR="0019176C">
        <w:t>7</w:t>
      </w:r>
      <w:r w:rsidR="0019176C">
        <w:noBreakHyphen/>
        <w:t>2018 Northern Hemisphere (NH)</w:t>
      </w:r>
      <w:r w:rsidRPr="003534CC">
        <w:t xml:space="preserve"> influenza season) or the B strain from the alternate lineage (TIV-HD2, which was an investigational TIV-HD cont</w:t>
      </w:r>
      <w:r w:rsidR="0019176C">
        <w:t>aining an alternate B strain).</w:t>
      </w:r>
    </w:p>
    <w:p w14:paraId="205C712F" w14:textId="459BD54F" w:rsidR="00BC44C5" w:rsidRDefault="00E06248" w:rsidP="00E06248">
      <w:pPr>
        <w:autoSpaceDE w:val="0"/>
        <w:autoSpaceDN w:val="0"/>
        <w:spacing w:before="0" w:line="240" w:lineRule="auto"/>
        <w:rPr>
          <w:rFonts w:eastAsiaTheme="minorHAnsi" w:cs="TimesNewRomanPSMT"/>
        </w:rPr>
      </w:pPr>
      <w:r w:rsidRPr="003534CC">
        <w:t>The primary objective was to demonstrate that QIV-HD induces an immune response (</w:t>
      </w:r>
      <w:r w:rsidR="0019176C">
        <w:t>as </w:t>
      </w:r>
      <w:r w:rsidRPr="003534CC">
        <w:t xml:space="preserve">assessed by </w:t>
      </w:r>
      <w:r w:rsidR="0019176C">
        <w:t>HAI GMT;</w:t>
      </w:r>
      <w:r w:rsidR="0019176C">
        <w:rPr>
          <w:rStyle w:val="FootnoteReference"/>
        </w:rPr>
        <w:footnoteReference w:id="12"/>
      </w:r>
      <w:r w:rsidRPr="003534CC">
        <w:t xml:space="preserve"> and seroconversion rates) that is non-inferior to responses induced by the TIV-HD1 and TIV-HD2 for the 4 virus strains at 28 days post</w:t>
      </w:r>
      <w:r w:rsidR="00C90608">
        <w:t>-</w:t>
      </w:r>
      <w:r w:rsidRPr="003534CC">
        <w:t>vaccination in all subjects.</w:t>
      </w:r>
    </w:p>
    <w:p w14:paraId="156EEE9F" w14:textId="77777777" w:rsidR="00BC44C5" w:rsidRDefault="00E06248" w:rsidP="00E06248">
      <w:pPr>
        <w:autoSpaceDE w:val="0"/>
        <w:autoSpaceDN w:val="0"/>
        <w:spacing w:before="0" w:line="240" w:lineRule="auto"/>
        <w:rPr>
          <w:rFonts w:eastAsiaTheme="minorHAnsi" w:cs="TimesNewRomanPSMT"/>
        </w:rPr>
      </w:pPr>
      <w:r w:rsidRPr="00DA0A20">
        <w:rPr>
          <w:rFonts w:eastAsiaTheme="minorHAnsi" w:cs="TimesNewRomanPSMT"/>
        </w:rPr>
        <w:t>The</w:t>
      </w:r>
      <w:r w:rsidR="00BC44C5">
        <w:rPr>
          <w:rFonts w:eastAsiaTheme="minorHAnsi" w:cs="TimesNewRomanPSMT"/>
        </w:rPr>
        <w:t xml:space="preserve"> secondary objectives were:</w:t>
      </w:r>
    </w:p>
    <w:p w14:paraId="5BC4F55E" w14:textId="77777777" w:rsidR="00BC44C5" w:rsidRDefault="00E06248" w:rsidP="00844094">
      <w:pPr>
        <w:pStyle w:val="ListBullet"/>
      </w:pPr>
      <w:r w:rsidRPr="00DA0A20">
        <w:t>to demonstrate that each B strain in QIV-HD induces an immune response (as assessed by HAI GMTs and seroconversion rates) that is superior to the response induced by the TIV-HD that does not contain the corresponding B strain in all subject</w:t>
      </w:r>
      <w:r>
        <w:t>s</w:t>
      </w:r>
      <w:r w:rsidR="00BC44C5">
        <w:t>;</w:t>
      </w:r>
    </w:p>
    <w:p w14:paraId="2E060C6A" w14:textId="77777777" w:rsidR="00BC44C5" w:rsidRDefault="00BC44C5" w:rsidP="00844094">
      <w:pPr>
        <w:pStyle w:val="ListBullet"/>
      </w:pPr>
      <w:r>
        <w:t>t</w:t>
      </w:r>
      <w:r w:rsidR="00E06248" w:rsidRPr="00DA0A20">
        <w:t>o describe the immune response induced by QIV-HD, TIV-HD1</w:t>
      </w:r>
      <w:r w:rsidR="00E06248">
        <w:t xml:space="preserve"> and</w:t>
      </w:r>
      <w:r w:rsidR="00E06248" w:rsidRPr="00DA0A20">
        <w:t xml:space="preserve"> TIV-HD2 by HAI measurem</w:t>
      </w:r>
      <w:r>
        <w:t>ent method in all subjects;</w:t>
      </w:r>
    </w:p>
    <w:p w14:paraId="3916FC40" w14:textId="77777777" w:rsidR="00BC44C5" w:rsidRDefault="00BC44C5" w:rsidP="00844094">
      <w:pPr>
        <w:pStyle w:val="ListBullet"/>
      </w:pPr>
      <w:r>
        <w:t>t</w:t>
      </w:r>
      <w:r w:rsidR="00E06248" w:rsidRPr="00DA0A20">
        <w:t xml:space="preserve">o describe the immune response 28 days after vaccination by virus </w:t>
      </w:r>
      <w:r w:rsidR="00FE75EC">
        <w:t>seroneutralisation</w:t>
      </w:r>
      <w:r w:rsidR="00E06248" w:rsidRPr="00DA0A20">
        <w:t xml:space="preserve"> measurement method</w:t>
      </w:r>
      <w:r w:rsidR="00FE75EC">
        <w:t>;</w:t>
      </w:r>
      <w:r w:rsidR="00FE75EC">
        <w:rPr>
          <w:rStyle w:val="FootnoteReference"/>
        </w:rPr>
        <w:footnoteReference w:id="13"/>
      </w:r>
      <w:r w:rsidR="00E06248" w:rsidRPr="00DA0A20">
        <w:t xml:space="preserve"> in a random</w:t>
      </w:r>
      <w:r w:rsidR="00E06248">
        <w:t>is</w:t>
      </w:r>
      <w:r w:rsidR="00E06248" w:rsidRPr="00DA0A20">
        <w:t>ed subset of sub</w:t>
      </w:r>
      <w:r>
        <w:t>jects from each study group; and</w:t>
      </w:r>
    </w:p>
    <w:p w14:paraId="41D7F080" w14:textId="77777777" w:rsidR="00E06248" w:rsidRDefault="00BC44C5" w:rsidP="00844094">
      <w:pPr>
        <w:pStyle w:val="ListBullet"/>
      </w:pPr>
      <w:r>
        <w:t>to assess safety.</w:t>
      </w:r>
    </w:p>
    <w:p w14:paraId="143242C2" w14:textId="77777777" w:rsidR="00E06248" w:rsidRPr="00DA0A20" w:rsidRDefault="00E06248" w:rsidP="00E06248">
      <w:pPr>
        <w:autoSpaceDE w:val="0"/>
        <w:autoSpaceDN w:val="0"/>
        <w:spacing w:before="0" w:line="240" w:lineRule="auto"/>
      </w:pPr>
      <w:r w:rsidRPr="00DA0A20">
        <w:t xml:space="preserve">This study was conducted </w:t>
      </w:r>
      <w:r>
        <w:t>between</w:t>
      </w:r>
      <w:r w:rsidRPr="00DA0A20">
        <w:t xml:space="preserve"> Sept</w:t>
      </w:r>
      <w:r w:rsidR="00BC44C5">
        <w:t>ember</w:t>
      </w:r>
      <w:r w:rsidRPr="00DA0A20">
        <w:t xml:space="preserve"> 2017 to A</w:t>
      </w:r>
      <w:r w:rsidR="00BC44C5">
        <w:t>pril 2018 at 35 centres in</w:t>
      </w:r>
      <w:r w:rsidR="00EA7C6B">
        <w:t xml:space="preserve"> the</w:t>
      </w:r>
      <w:r w:rsidR="00BC44C5">
        <w:t xml:space="preserve"> US.</w:t>
      </w:r>
    </w:p>
    <w:p w14:paraId="6737C14D" w14:textId="77777777" w:rsidR="00E06248" w:rsidRPr="00DA0A20" w:rsidRDefault="00E06248" w:rsidP="00E06248">
      <w:pPr>
        <w:spacing w:before="0" w:line="240" w:lineRule="auto"/>
        <w:rPr>
          <w:rFonts w:eastAsiaTheme="minorHAnsi" w:cs="TimesNewRomanPSMT"/>
        </w:rPr>
      </w:pPr>
      <w:r>
        <w:rPr>
          <w:rFonts w:eastAsiaTheme="minorHAnsi" w:cs="TimesNewRomanPSMT"/>
        </w:rPr>
        <w:lastRenderedPageBreak/>
        <w:t>The study treatments were:</w:t>
      </w:r>
    </w:p>
    <w:p w14:paraId="60FF82FC" w14:textId="05D2BC03" w:rsidR="00BC44C5" w:rsidRPr="00BC44C5" w:rsidRDefault="00E06248" w:rsidP="00844094">
      <w:pPr>
        <w:pStyle w:val="ListBullet"/>
      </w:pPr>
      <w:r w:rsidRPr="00BF78EB">
        <w:t>High-Dose Influenza Vaccine Quadrivalent, (Zo</w:t>
      </w:r>
      <w:r w:rsidR="00C90608">
        <w:t xml:space="preserve">nal Purified, Split Virus) 2017 to </w:t>
      </w:r>
      <w:r w:rsidRPr="00BF78EB">
        <w:t xml:space="preserve">2018 Strains (QIV-HD). Each 0.7 mL dose of QIV-HD contained: </w:t>
      </w:r>
      <w:r w:rsidRPr="00BC44C5">
        <w:rPr>
          <w:rFonts w:cs="TimesNewRomanPS-ItalicMT"/>
          <w:iCs/>
        </w:rPr>
        <w:t>Strains were based on World Health Organization (WHO) / Vaccines and Related Biological Products Advisory Committee (VRBPAC) recommendations for the</w:t>
      </w:r>
      <w:r w:rsidR="00C90608">
        <w:rPr>
          <w:rFonts w:cs="TimesNewRomanPS-ItalicMT"/>
          <w:iCs/>
        </w:rPr>
        <w:t xml:space="preserve"> 2017 to </w:t>
      </w:r>
      <w:r w:rsidR="00FE75EC">
        <w:rPr>
          <w:rFonts w:cs="TimesNewRomanPS-ItalicMT"/>
          <w:iCs/>
        </w:rPr>
        <w:t>2018 Northern Hemisphere</w:t>
      </w:r>
      <w:r w:rsidR="00BC44C5">
        <w:rPr>
          <w:rFonts w:cs="TimesNewRomanPS-ItalicMT"/>
          <w:iCs/>
        </w:rPr>
        <w:t xml:space="preserve"> influenza season.</w:t>
      </w:r>
    </w:p>
    <w:p w14:paraId="4550D97C" w14:textId="77777777" w:rsidR="00BC44C5" w:rsidRPr="00BC44C5" w:rsidRDefault="00BC44C5" w:rsidP="00C90608">
      <w:pPr>
        <w:pStyle w:val="ListBullet2"/>
      </w:pPr>
      <w:r>
        <w:t>Active substances:</w:t>
      </w:r>
    </w:p>
    <w:p w14:paraId="49B43F04" w14:textId="77777777" w:rsidR="00BC44C5" w:rsidRDefault="00E06248" w:rsidP="00C90608">
      <w:pPr>
        <w:pStyle w:val="ListBullet3"/>
      </w:pPr>
      <w:r w:rsidRPr="00BF78EB">
        <w:t>A/Michigan/45/20</w:t>
      </w:r>
      <w:r w:rsidR="00BC44C5">
        <w:t xml:space="preserve">15 X-275 (H1N1) strain 60 </w:t>
      </w:r>
      <w:r w:rsidR="00E445D3">
        <w:t>µg</w:t>
      </w:r>
      <w:r w:rsidR="00BC44C5">
        <w:t xml:space="preserve"> HA</w:t>
      </w:r>
    </w:p>
    <w:p w14:paraId="22E2558C" w14:textId="77777777" w:rsidR="00BC44C5" w:rsidRDefault="00E06248" w:rsidP="00C90608">
      <w:pPr>
        <w:pStyle w:val="ListBullet3"/>
      </w:pPr>
      <w:r w:rsidRPr="00BF78EB">
        <w:t>A/Hong Kong/4801/2014 (NYMC</w:t>
      </w:r>
      <w:r w:rsidR="00BC44C5">
        <w:t xml:space="preserve"> X-263B) (H3N2) strain 60 </w:t>
      </w:r>
      <w:r w:rsidR="00E445D3">
        <w:t>µg</w:t>
      </w:r>
      <w:r w:rsidR="00BC44C5">
        <w:t xml:space="preserve"> HA</w:t>
      </w:r>
    </w:p>
    <w:p w14:paraId="5FF88E36" w14:textId="77777777" w:rsidR="00BC44C5" w:rsidRDefault="00E06248" w:rsidP="00C90608">
      <w:pPr>
        <w:pStyle w:val="ListBullet3"/>
      </w:pPr>
      <w:r w:rsidRPr="00BF78EB">
        <w:t>B/B</w:t>
      </w:r>
      <w:r w:rsidR="00BC44C5">
        <w:t xml:space="preserve">risbane/60/2008 strain 60 </w:t>
      </w:r>
      <w:r w:rsidR="00E445D3">
        <w:t>µg</w:t>
      </w:r>
      <w:r w:rsidR="00BC44C5">
        <w:t xml:space="preserve"> HA</w:t>
      </w:r>
    </w:p>
    <w:p w14:paraId="5D7489DA" w14:textId="77777777" w:rsidR="00E06248" w:rsidRPr="00BF78EB" w:rsidRDefault="00E06248" w:rsidP="00C90608">
      <w:pPr>
        <w:pStyle w:val="ListBullet3"/>
      </w:pPr>
      <w:r w:rsidRPr="00BF78EB">
        <w:t xml:space="preserve">B/Phuket/3073/2013 strain 60 </w:t>
      </w:r>
      <w:r w:rsidR="00E445D3">
        <w:t>µg</w:t>
      </w:r>
      <w:r w:rsidRPr="00BF78EB">
        <w:t xml:space="preserve"> HA</w:t>
      </w:r>
    </w:p>
    <w:p w14:paraId="5AD96109" w14:textId="77777777" w:rsidR="00BC44C5" w:rsidRPr="00BC44C5" w:rsidRDefault="00E06248" w:rsidP="00844094">
      <w:pPr>
        <w:pStyle w:val="ListBullet"/>
      </w:pPr>
      <w:r w:rsidRPr="00256316">
        <w:t>High-dose trivalent inactivated infl</w:t>
      </w:r>
      <w:r w:rsidR="00BC44C5">
        <w:t>uenza vaccine (licensed Fluzone</w:t>
      </w:r>
      <w:r w:rsidRPr="00256316">
        <w:t xml:space="preserve"> High-Dose, TIV</w:t>
      </w:r>
      <w:r w:rsidR="00BC44C5">
        <w:noBreakHyphen/>
      </w:r>
      <w:r w:rsidRPr="00256316">
        <w:t>HD1)</w:t>
      </w:r>
      <w:r w:rsidR="00BC44C5">
        <w:t>.</w:t>
      </w:r>
      <w:r w:rsidRPr="00256316">
        <w:rPr>
          <w:rFonts w:cs="TimesNewRomanPS-BoldItalicMT"/>
          <w:b/>
          <w:bCs/>
          <w:iCs/>
        </w:rPr>
        <w:t xml:space="preserve"> </w:t>
      </w:r>
      <w:r w:rsidRPr="00256316">
        <w:t xml:space="preserve">Each 0.5 mL dose of TIV-HD1 contained: </w:t>
      </w:r>
      <w:r w:rsidRPr="00256316">
        <w:rPr>
          <w:rFonts w:cs="TimesNewRomanPS-ItalicMT"/>
          <w:iCs/>
        </w:rPr>
        <w:t>Strains were based on WHO/ VRBPAC recommendations for the</w:t>
      </w:r>
      <w:r w:rsidR="00D87DCE">
        <w:rPr>
          <w:rFonts w:cs="TimesNewRomanPS-ItalicMT"/>
          <w:iCs/>
        </w:rPr>
        <w:t xml:space="preserve"> 2017-2018 Northern Hemisphere</w:t>
      </w:r>
      <w:r w:rsidR="00BC44C5">
        <w:rPr>
          <w:rFonts w:cs="TimesNewRomanPS-ItalicMT"/>
          <w:iCs/>
        </w:rPr>
        <w:t xml:space="preserve"> influenza season.</w:t>
      </w:r>
    </w:p>
    <w:p w14:paraId="606C853D" w14:textId="77777777" w:rsidR="00BC44C5" w:rsidRPr="00BC44C5" w:rsidRDefault="00BC44C5" w:rsidP="00C90608">
      <w:pPr>
        <w:pStyle w:val="ListBullet2"/>
      </w:pPr>
      <w:r>
        <w:t>Active s</w:t>
      </w:r>
      <w:r w:rsidR="00E06248" w:rsidRPr="00256316">
        <w:t>ubstances:</w:t>
      </w:r>
    </w:p>
    <w:p w14:paraId="3E404F60" w14:textId="77777777" w:rsidR="00BC44C5" w:rsidRDefault="00E06248" w:rsidP="00C90608">
      <w:pPr>
        <w:pStyle w:val="ListBullet3"/>
      </w:pPr>
      <w:r w:rsidRPr="00256316">
        <w:t>A/Michigan/45/20</w:t>
      </w:r>
      <w:r w:rsidR="00BC44C5">
        <w:t xml:space="preserve">15 X-275 (H1N1) strain 60 </w:t>
      </w:r>
      <w:r w:rsidR="00E445D3">
        <w:t>µg</w:t>
      </w:r>
      <w:r w:rsidR="00BC44C5">
        <w:t xml:space="preserve"> HA</w:t>
      </w:r>
    </w:p>
    <w:p w14:paraId="4431E406" w14:textId="77777777" w:rsidR="00BC44C5" w:rsidRDefault="00E06248" w:rsidP="00C90608">
      <w:pPr>
        <w:pStyle w:val="ListBullet3"/>
      </w:pPr>
      <w:r w:rsidRPr="00256316">
        <w:t>A/Hong Kong/4801/2014 (NYMC</w:t>
      </w:r>
      <w:r w:rsidR="00BC44C5">
        <w:t xml:space="preserve"> X-263B) (H3N2) strain 60 </w:t>
      </w:r>
      <w:r w:rsidR="00E445D3">
        <w:t>µg</w:t>
      </w:r>
      <w:r w:rsidR="00BC44C5">
        <w:t xml:space="preserve"> HA</w:t>
      </w:r>
    </w:p>
    <w:p w14:paraId="4905A554" w14:textId="77777777" w:rsidR="00E06248" w:rsidRPr="00256316" w:rsidRDefault="00E06248" w:rsidP="00C90608">
      <w:pPr>
        <w:pStyle w:val="ListBullet3"/>
      </w:pPr>
      <w:r w:rsidRPr="00256316">
        <w:t>B/Br</w:t>
      </w:r>
      <w:r w:rsidR="00BC44C5">
        <w:t xml:space="preserve">isbane/60/2008 strain 60 </w:t>
      </w:r>
      <w:r w:rsidR="00E445D3">
        <w:t>µg</w:t>
      </w:r>
      <w:r w:rsidR="00BC44C5">
        <w:t xml:space="preserve"> HA.</w:t>
      </w:r>
    </w:p>
    <w:p w14:paraId="78A4579C" w14:textId="082E5CED" w:rsidR="00BC44C5" w:rsidRPr="00BC44C5" w:rsidRDefault="00E06248" w:rsidP="00844094">
      <w:pPr>
        <w:pStyle w:val="ListBullet"/>
      </w:pPr>
      <w:r w:rsidRPr="00BF78EB">
        <w:t xml:space="preserve">High-dose trivalent </w:t>
      </w:r>
      <w:r w:rsidR="00BC44C5">
        <w:t>inactivated influenza vaccine (i</w:t>
      </w:r>
      <w:r w:rsidRPr="00BF78EB">
        <w:t>nvestigational TIV-</w:t>
      </w:r>
      <w:r w:rsidR="00BC44C5">
        <w:t xml:space="preserve">HD </w:t>
      </w:r>
      <w:r w:rsidRPr="00BF78EB">
        <w:t xml:space="preserve">with </w:t>
      </w:r>
      <w:r w:rsidR="00BC44C5">
        <w:t xml:space="preserve">an </w:t>
      </w:r>
      <w:r w:rsidRPr="00BF78EB">
        <w:t xml:space="preserve">alternate B strain, TIV-HD2). Each 0.5 mL dose of TIV-HD2 contained: </w:t>
      </w:r>
      <w:r w:rsidRPr="00BF78EB">
        <w:rPr>
          <w:rFonts w:cs="TimesNewRomanPS-ItalicMT"/>
          <w:iCs/>
        </w:rPr>
        <w:t>Strains were based on WHO / VRBPAC recommendations for the</w:t>
      </w:r>
      <w:r w:rsidR="00C90608">
        <w:rPr>
          <w:rFonts w:cs="TimesNewRomanPS-ItalicMT"/>
          <w:iCs/>
        </w:rPr>
        <w:t xml:space="preserve"> 2017 to </w:t>
      </w:r>
      <w:r w:rsidR="00D87DCE">
        <w:rPr>
          <w:rFonts w:cs="TimesNewRomanPS-ItalicMT"/>
          <w:iCs/>
        </w:rPr>
        <w:t>2018 Northern Hemisphere</w:t>
      </w:r>
      <w:r w:rsidR="00BC44C5">
        <w:rPr>
          <w:rFonts w:cs="TimesNewRomanPS-ItalicMT"/>
          <w:iCs/>
        </w:rPr>
        <w:t xml:space="preserve"> influenza season.</w:t>
      </w:r>
    </w:p>
    <w:p w14:paraId="53C2028B" w14:textId="77777777" w:rsidR="00BC44C5" w:rsidRPr="00BC44C5" w:rsidRDefault="00BC44C5" w:rsidP="009B77E2">
      <w:pPr>
        <w:pStyle w:val="ListBullet2"/>
      </w:pPr>
      <w:r>
        <w:t>Active substances:</w:t>
      </w:r>
    </w:p>
    <w:p w14:paraId="54E86689" w14:textId="77777777" w:rsidR="00BC44C5" w:rsidRDefault="00E06248" w:rsidP="009B77E2">
      <w:pPr>
        <w:pStyle w:val="ListBullet3"/>
      </w:pPr>
      <w:r w:rsidRPr="00BF78EB">
        <w:t>A/Michigan/45/20</w:t>
      </w:r>
      <w:r w:rsidR="00BC44C5">
        <w:t xml:space="preserve">15 X-275 (H1N1) strain 60 </w:t>
      </w:r>
      <w:r w:rsidR="00E445D3">
        <w:t>µg</w:t>
      </w:r>
      <w:r w:rsidR="00BC44C5">
        <w:t xml:space="preserve"> HA</w:t>
      </w:r>
    </w:p>
    <w:p w14:paraId="72B28004" w14:textId="77777777" w:rsidR="00BC44C5" w:rsidRDefault="00E06248" w:rsidP="00C90608">
      <w:pPr>
        <w:pStyle w:val="ListBullet3"/>
      </w:pPr>
      <w:r w:rsidRPr="00BF78EB">
        <w:t xml:space="preserve">A/Hong Kong/4801/2014 (NYMC X-263B) (H3N2) strain 60 </w:t>
      </w:r>
      <w:r w:rsidR="00E445D3">
        <w:t>µg</w:t>
      </w:r>
      <w:r w:rsidR="00BC44C5">
        <w:t xml:space="preserve"> HA</w:t>
      </w:r>
    </w:p>
    <w:p w14:paraId="44E60905" w14:textId="77777777" w:rsidR="00E06248" w:rsidRDefault="00E06248" w:rsidP="00C90608">
      <w:pPr>
        <w:pStyle w:val="ListBullet3"/>
      </w:pPr>
      <w:r w:rsidRPr="00BF78EB">
        <w:t xml:space="preserve">B/Phuket/3073/2013 strain 60 </w:t>
      </w:r>
      <w:r w:rsidR="00E445D3">
        <w:t>µg</w:t>
      </w:r>
      <w:r w:rsidRPr="00BF78EB">
        <w:t xml:space="preserve"> HA.</w:t>
      </w:r>
    </w:p>
    <w:p w14:paraId="47F4F07D" w14:textId="77777777" w:rsidR="00E06248" w:rsidRDefault="003A7873" w:rsidP="00E06248">
      <w:pPr>
        <w:rPr>
          <w:rFonts w:cs="TimesNewRomanPS-BoldItalicMT"/>
          <w:iCs/>
        </w:rPr>
      </w:pPr>
      <w:r>
        <w:rPr>
          <w:rFonts w:cs="TimesNewRomanPS-BoldItalicMT"/>
          <w:iCs/>
        </w:rPr>
        <w:t>The primary endpoint was i</w:t>
      </w:r>
      <w:r w:rsidR="00E06248" w:rsidRPr="00640165">
        <w:rPr>
          <w:rFonts w:cs="TimesNewRomanPS-BoldItalicMT"/>
          <w:iCs/>
        </w:rPr>
        <w:t>mmunogenicity assessed by the following:</w:t>
      </w:r>
    </w:p>
    <w:p w14:paraId="1ABAC5ED" w14:textId="77777777" w:rsidR="00E06248" w:rsidRPr="00E06248" w:rsidRDefault="00E06248" w:rsidP="00844094">
      <w:pPr>
        <w:pStyle w:val="ListBullet"/>
        <w:rPr>
          <w:rFonts w:cs="TimesNewRomanPS-BoldItalicMT"/>
          <w:iCs/>
        </w:rPr>
      </w:pPr>
      <w:r w:rsidRPr="00640165">
        <w:t>HAI antibody (Ab) titres obtained on D</w:t>
      </w:r>
      <w:r w:rsidR="003A7873">
        <w:t xml:space="preserve">ay </w:t>
      </w:r>
      <w:r w:rsidRPr="00640165">
        <w:t xml:space="preserve">28: expressed as GMTs (with 95% </w:t>
      </w:r>
      <w:r w:rsidR="003A7873">
        <w:t>confidence intervals (CI)</w:t>
      </w:r>
      <w:r w:rsidRPr="00640165">
        <w:t>) and pre/p</w:t>
      </w:r>
      <w:r>
        <w:t>ost vaccination ratios (</w:t>
      </w:r>
      <w:r w:rsidR="003A7873">
        <w:t>geometric mean ratios (GMR</w:t>
      </w:r>
      <w:r>
        <w:t>)</w:t>
      </w:r>
      <w:r w:rsidR="003A7873">
        <w:t>)</w:t>
      </w:r>
    </w:p>
    <w:p w14:paraId="0A47D8C3" w14:textId="77777777" w:rsidR="00E06248" w:rsidRPr="00E06248" w:rsidRDefault="00E06248" w:rsidP="00844094">
      <w:pPr>
        <w:pStyle w:val="ListBullet"/>
        <w:rPr>
          <w:rFonts w:cs="TimesNewRomanPS-BoldItalicMT"/>
          <w:iCs/>
        </w:rPr>
      </w:pPr>
      <w:r w:rsidRPr="00640165">
        <w:t>Seroconversion (t</w:t>
      </w:r>
      <w:r w:rsidR="003A7873">
        <w:t>itre &lt; 10 (1/dil)</w:t>
      </w:r>
      <w:r w:rsidRPr="00640165">
        <w:t xml:space="preserve"> at D</w:t>
      </w:r>
      <w:r w:rsidR="003A7873">
        <w:t xml:space="preserve">ay </w:t>
      </w:r>
      <w:r w:rsidRPr="00640165">
        <w:t xml:space="preserve">0 and post-injection titre </w:t>
      </w:r>
      <w:r w:rsidRPr="00640165">
        <w:rPr>
          <w:rFonts w:eastAsia="SymbolMT" w:cs="SymbolMT"/>
        </w:rPr>
        <w:t xml:space="preserve">≥ </w:t>
      </w:r>
      <w:r w:rsidR="003A7873">
        <w:t>40 (1/dil)</w:t>
      </w:r>
      <w:r w:rsidRPr="00640165">
        <w:t xml:space="preserve"> at D</w:t>
      </w:r>
      <w:r w:rsidR="003A7873">
        <w:t>ay </w:t>
      </w:r>
      <w:r w:rsidRPr="00640165">
        <w:t xml:space="preserve">28, or titre </w:t>
      </w:r>
      <w:r w:rsidRPr="00640165">
        <w:rPr>
          <w:rFonts w:eastAsia="SymbolMT" w:cs="SymbolMT"/>
        </w:rPr>
        <w:t xml:space="preserve">≥ </w:t>
      </w:r>
      <w:r w:rsidR="003A7873">
        <w:t>10 (1/dil)</w:t>
      </w:r>
      <w:r w:rsidRPr="00640165">
        <w:t xml:space="preserve"> at D</w:t>
      </w:r>
      <w:r w:rsidR="003A7873">
        <w:t xml:space="preserve">ay </w:t>
      </w:r>
      <w:r w:rsidR="007426F7">
        <w:t>0 and a ≥ 4-fold rise in titre (1/dil)</w:t>
      </w:r>
      <w:r w:rsidRPr="00640165">
        <w:t xml:space="preserve"> at D</w:t>
      </w:r>
      <w:r w:rsidR="003A7873">
        <w:t xml:space="preserve">ay </w:t>
      </w:r>
      <w:r w:rsidRPr="00640165">
        <w:t>28).</w:t>
      </w:r>
    </w:p>
    <w:p w14:paraId="01536525" w14:textId="77777777" w:rsidR="00E06248" w:rsidRPr="00E06248" w:rsidRDefault="00E06248" w:rsidP="00E06248">
      <w:r w:rsidRPr="00E06248">
        <w:t>A sample size of 2616 was determined based on an overall power of 90% for demonstrating non-inferiority for both the HAI GMTs and seroconversion rates comparing QIV-HD v</w:t>
      </w:r>
      <w:r w:rsidR="003A7873">
        <w:t>ersu</w:t>
      </w:r>
      <w:r w:rsidRPr="00E06248">
        <w:t>s TIV-HD1 and / or TIV-HD2 for all 4 virus strains. The non-inferiority margins were defined as 1.5 for GMTs and 10% for seroconversion rates.</w:t>
      </w:r>
    </w:p>
    <w:p w14:paraId="775BE7AC" w14:textId="77777777" w:rsidR="00E06248" w:rsidRDefault="00E06248" w:rsidP="00E06248">
      <w:r w:rsidRPr="00DA0A20">
        <w:rPr>
          <w:color w:val="000000"/>
        </w:rPr>
        <w:t>A total of 2670 subjects were enrolled in the study and random</w:t>
      </w:r>
      <w:r>
        <w:rPr>
          <w:color w:val="000000"/>
        </w:rPr>
        <w:t>is</w:t>
      </w:r>
      <w:r w:rsidRPr="00DA0A20">
        <w:rPr>
          <w:color w:val="000000"/>
        </w:rPr>
        <w:t>ed to one of the 3 groups</w:t>
      </w:r>
      <w:r>
        <w:rPr>
          <w:color w:val="000000"/>
        </w:rPr>
        <w:t>.</w:t>
      </w:r>
      <w:r w:rsidRPr="00640165">
        <w:t xml:space="preserve"> </w:t>
      </w:r>
      <w:r w:rsidRPr="00DA0A20">
        <w:t>All subjects were vaccinated and received the correct vaccine according to the group</w:t>
      </w:r>
      <w:r>
        <w:t xml:space="preserve"> to</w:t>
      </w:r>
      <w:r w:rsidRPr="00DA0A20">
        <w:t xml:space="preserve"> which they were random</w:t>
      </w:r>
      <w:r>
        <w:t>is</w:t>
      </w:r>
      <w:r w:rsidRPr="00DA0A20">
        <w:t>ed. Of the 2670 random</w:t>
      </w:r>
      <w:r>
        <w:t>is</w:t>
      </w:r>
      <w:r w:rsidRPr="00DA0A20">
        <w:t>ed subjects, 16 (0.6%) subjects did not complete the study: 10 (0.6%), 3 (0.7%) and 3 (0.7%) subjects in the QIV-HD, TIV-HD1 and TIV-HD2 groups, respectively</w:t>
      </w:r>
      <w:r>
        <w:t>.</w:t>
      </w:r>
    </w:p>
    <w:p w14:paraId="1BD3AA46" w14:textId="77777777" w:rsidR="00E06248" w:rsidRDefault="00E06248" w:rsidP="00E06248">
      <w:r w:rsidRPr="00DA0A20">
        <w:t>A total of 137 (5.1%) subjects had at least 1 protocol deviation with similar incidence across treatment groups</w:t>
      </w:r>
      <w:r>
        <w:t>.</w:t>
      </w:r>
    </w:p>
    <w:p w14:paraId="2237F6F4" w14:textId="77777777" w:rsidR="00E06248" w:rsidRDefault="00E06248" w:rsidP="00E06248">
      <w:pPr>
        <w:rPr>
          <w:rFonts w:eastAsiaTheme="minorHAnsi" w:cs="TimesNewRomanPSMT"/>
        </w:rPr>
      </w:pPr>
      <w:r>
        <w:lastRenderedPageBreak/>
        <w:t>The m</w:t>
      </w:r>
      <w:r w:rsidRPr="00DA0A20">
        <w:t>ajority of subjects wer</w:t>
      </w:r>
      <w:r w:rsidR="007426F7">
        <w:t xml:space="preserve">e female (58%), aged between 65 to </w:t>
      </w:r>
      <w:r w:rsidRPr="00DA0A20">
        <w:t>75 years (64.5%), Caucasian (91%) and obese (with 41% having</w:t>
      </w:r>
      <w:r w:rsidR="007426F7">
        <w:t xml:space="preserve"> a body mass index</w:t>
      </w:r>
      <w:r w:rsidRPr="00DA0A20">
        <w:t xml:space="preserve"> </w:t>
      </w:r>
      <w:r w:rsidR="007426F7">
        <w:t>(</w:t>
      </w:r>
      <w:r w:rsidRPr="00DA0A20">
        <w:t>BMI</w:t>
      </w:r>
      <w:r w:rsidR="007426F7">
        <w:t xml:space="preserve">) </w:t>
      </w:r>
      <w:r w:rsidRPr="00DA0A20">
        <w:t>&gt;</w:t>
      </w:r>
      <w:r w:rsidR="007426F7">
        <w:t xml:space="preserve"> </w:t>
      </w:r>
      <w:r w:rsidRPr="00DA0A20">
        <w:t>30)</w:t>
      </w:r>
      <w:r>
        <w:t>.</w:t>
      </w:r>
      <w:r w:rsidRPr="006D38ED">
        <w:t xml:space="preserve"> </w:t>
      </w:r>
      <w:r w:rsidRPr="00DA0A20">
        <w:t>Baseline demographics was similar across treatment groups</w:t>
      </w:r>
      <w:r>
        <w:t>.</w:t>
      </w:r>
      <w:r w:rsidRPr="006D38ED">
        <w:t xml:space="preserve"> </w:t>
      </w:r>
      <w:r w:rsidRPr="00DA0A20">
        <w:t xml:space="preserve">Overall, </w:t>
      </w:r>
      <w:r w:rsidRPr="00DA0A20">
        <w:rPr>
          <w:rFonts w:eastAsiaTheme="minorHAnsi" w:cs="TimesNewRomanPSMT"/>
        </w:rPr>
        <w:t>1470 (55.1%) of all random</w:t>
      </w:r>
      <w:r>
        <w:rPr>
          <w:rFonts w:eastAsiaTheme="minorHAnsi" w:cs="TimesNewRomanPSMT"/>
        </w:rPr>
        <w:t>is</w:t>
      </w:r>
      <w:r w:rsidRPr="00DA0A20">
        <w:rPr>
          <w:rFonts w:eastAsiaTheme="minorHAnsi" w:cs="TimesNewRomanPSMT"/>
        </w:rPr>
        <w:t>ed subjects had at least one pre-specified medical history reported</w:t>
      </w:r>
      <w:r>
        <w:rPr>
          <w:rFonts w:eastAsiaTheme="minorHAnsi" w:cs="TimesNewRomanPSMT"/>
        </w:rPr>
        <w:t>.</w:t>
      </w:r>
      <w:r w:rsidRPr="006D38ED">
        <w:rPr>
          <w:rFonts w:eastAsiaTheme="minorHAnsi" w:cs="TimesNewRomanPSMT"/>
        </w:rPr>
        <w:t xml:space="preserve"> </w:t>
      </w:r>
      <w:r w:rsidRPr="00DA0A20">
        <w:rPr>
          <w:rFonts w:eastAsiaTheme="minorHAnsi" w:cs="TimesNewRomanPSMT"/>
        </w:rPr>
        <w:t xml:space="preserve">Medical history data were similar across all study groups. Overall, approximately 74% of subjects received influenza vaccination in the previous year in the </w:t>
      </w:r>
      <w:r w:rsidR="007426F7">
        <w:rPr>
          <w:rFonts w:eastAsiaTheme="minorHAnsi" w:cs="TimesNewRomanPSMT"/>
        </w:rPr>
        <w:t>full analysis</w:t>
      </w:r>
      <w:r w:rsidR="00CD605A">
        <w:rPr>
          <w:rFonts w:eastAsiaTheme="minorHAnsi" w:cs="TimesNewRomanPSMT"/>
        </w:rPr>
        <w:t xml:space="preserve"> set</w:t>
      </w:r>
      <w:r w:rsidR="007426F7">
        <w:rPr>
          <w:rFonts w:eastAsiaTheme="minorHAnsi" w:cs="TimesNewRomanPSMT"/>
        </w:rPr>
        <w:t xml:space="preserve"> (</w:t>
      </w:r>
      <w:r w:rsidRPr="00DA0A20">
        <w:rPr>
          <w:rFonts w:eastAsiaTheme="minorHAnsi" w:cs="TimesNewRomanPSMT"/>
        </w:rPr>
        <w:t>FAS</w:t>
      </w:r>
      <w:r w:rsidR="007426F7">
        <w:rPr>
          <w:rFonts w:eastAsiaTheme="minorHAnsi" w:cs="TimesNewRomanPSMT"/>
        </w:rPr>
        <w:t>)</w:t>
      </w:r>
      <w:r w:rsidRPr="00DA0A20">
        <w:rPr>
          <w:rFonts w:eastAsiaTheme="minorHAnsi" w:cs="TimesNewRomanPSMT"/>
        </w:rPr>
        <w:t xml:space="preserve"> and </w:t>
      </w:r>
      <w:r w:rsidR="00CD605A">
        <w:rPr>
          <w:rFonts w:eastAsiaTheme="minorHAnsi" w:cs="TimesNewRomanPSMT"/>
        </w:rPr>
        <w:t>per protocol analysis set (</w:t>
      </w:r>
      <w:r w:rsidRPr="00DA0A20">
        <w:rPr>
          <w:rFonts w:eastAsiaTheme="minorHAnsi" w:cs="TimesNewRomanPSMT"/>
        </w:rPr>
        <w:t>PPAS</w:t>
      </w:r>
      <w:r w:rsidR="00CD605A">
        <w:rPr>
          <w:rFonts w:eastAsiaTheme="minorHAnsi" w:cs="TimesNewRomanPSMT"/>
        </w:rPr>
        <w:t>)</w:t>
      </w:r>
      <w:r w:rsidRPr="00DA0A20">
        <w:rPr>
          <w:rFonts w:eastAsiaTheme="minorHAnsi" w:cs="TimesNewRomanPSMT"/>
        </w:rPr>
        <w:t xml:space="preserve"> populations.</w:t>
      </w:r>
    </w:p>
    <w:p w14:paraId="5809B8F8" w14:textId="77777777" w:rsidR="00E06248" w:rsidRDefault="00E06248" w:rsidP="00E06248">
      <w:r w:rsidRPr="00DA0A20">
        <w:t>The primary objective of non-inferiority of QIV-HD to TIV-HD as assessed by GMTs and</w:t>
      </w:r>
      <w:r>
        <w:t xml:space="preserve"> </w:t>
      </w:r>
      <w:r w:rsidRPr="00DA0A20">
        <w:t xml:space="preserve">seroconversion rates were met as the lower limit of the 95% CI was above 0.667 for the ratio of GMTs </w:t>
      </w:r>
      <w:r w:rsidR="00504B61">
        <w:t xml:space="preserve">(see Table 2, below) </w:t>
      </w:r>
      <w:r w:rsidRPr="00DA0A20">
        <w:t>and above -10% for the difference</w:t>
      </w:r>
      <w:r>
        <w:t xml:space="preserve"> in</w:t>
      </w:r>
      <w:r w:rsidR="00504B61">
        <w:t xml:space="preserve"> seroconversion rates (see Table 3, below) </w:t>
      </w:r>
      <w:r w:rsidRPr="00DA0A20">
        <w:t>for all influenza strains</w:t>
      </w:r>
      <w:r>
        <w:t xml:space="preserve">, in the </w:t>
      </w:r>
      <w:r w:rsidR="00CD605A">
        <w:t>PPAS.</w:t>
      </w:r>
    </w:p>
    <w:p w14:paraId="0809E321" w14:textId="6AB97DE8" w:rsidR="00144D37" w:rsidRDefault="00144D37" w:rsidP="00144D37">
      <w:pPr>
        <w:pStyle w:val="TableTitle"/>
      </w:pPr>
      <w:r>
        <w:t xml:space="preserve">Table </w:t>
      </w:r>
      <w:r w:rsidR="0034766A">
        <w:fldChar w:fldCharType="begin"/>
      </w:r>
      <w:r w:rsidR="0034766A">
        <w:instrText xml:space="preserve"> SEQ Table \* ARABIC </w:instrText>
      </w:r>
      <w:r w:rsidR="0034766A">
        <w:fldChar w:fldCharType="separate"/>
      </w:r>
      <w:r w:rsidR="00DA143A">
        <w:rPr>
          <w:noProof/>
        </w:rPr>
        <w:t>2</w:t>
      </w:r>
      <w:r w:rsidR="0034766A">
        <w:rPr>
          <w:noProof/>
        </w:rPr>
        <w:fldChar w:fldCharType="end"/>
      </w:r>
      <w:r>
        <w:t xml:space="preserve">: </w:t>
      </w:r>
      <w:r w:rsidRPr="0019176C">
        <w:t>Study QHD00013</w:t>
      </w:r>
      <w:r>
        <w:t xml:space="preserve"> N</w:t>
      </w:r>
      <w:r w:rsidRPr="00DE1B57">
        <w:t>on-inferiority of QIV-HD compared t</w:t>
      </w:r>
      <w:r>
        <w:t>o TIV-HD1 and/or TIV-HD2 using geometric mean titres</w:t>
      </w:r>
      <w:r w:rsidRPr="00DE1B57">
        <w:t xml:space="preserve"> at </w:t>
      </w:r>
      <w:r>
        <w:t>Day 28 after vaccination (per-protocol analysis s</w:t>
      </w:r>
      <w:r w:rsidRPr="00DE1B57">
        <w:t>et</w:t>
      </w:r>
    </w:p>
    <w:p w14:paraId="7E5B2514" w14:textId="77777777" w:rsidR="00144D37" w:rsidRDefault="00144D37" w:rsidP="00504B61">
      <w:pPr>
        <w:autoSpaceDE w:val="0"/>
        <w:autoSpaceDN w:val="0"/>
        <w:adjustRightInd w:val="0"/>
        <w:spacing w:before="0" w:line="240" w:lineRule="auto"/>
        <w:rPr>
          <w:rFonts w:eastAsiaTheme="minorHAnsi" w:cs="TimesNewRomanPSMT"/>
        </w:rPr>
      </w:pPr>
      <w:r w:rsidRPr="00DA0A20">
        <w:rPr>
          <w:rFonts w:eastAsiaTheme="minorHAnsi" w:cs="TimesNewRomanPSMT"/>
          <w:noProof/>
          <w:lang w:eastAsia="en-AU"/>
        </w:rPr>
        <w:drawing>
          <wp:inline distT="0" distB="0" distL="0" distR="0" wp14:anchorId="007AEDF1" wp14:editId="2D4DBEE8">
            <wp:extent cx="5610225" cy="2842390"/>
            <wp:effectExtent l="0" t="0" r="0" b="0"/>
            <wp:docPr id="4" name="Picture 4" descr="Study QHD00013 Non-inferiority of QIV-HD compared to TIV-HD1 and/or TIV-HD2 using geometric mean titres at Day 28 after vaccination (per-protoco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lum contrast="20000"/>
                      <a:extLst>
                        <a:ext uri="{28A0092B-C50C-407E-A947-70E740481C1C}">
                          <a14:useLocalDpi xmlns:a14="http://schemas.microsoft.com/office/drawing/2010/main" val="0"/>
                        </a:ext>
                      </a:extLst>
                    </a:blip>
                    <a:srcRect/>
                    <a:stretch>
                      <a:fillRect/>
                    </a:stretch>
                  </pic:blipFill>
                  <pic:spPr bwMode="auto">
                    <a:xfrm>
                      <a:off x="0" y="0"/>
                      <a:ext cx="5607740" cy="2841131"/>
                    </a:xfrm>
                    <a:prstGeom prst="rect">
                      <a:avLst/>
                    </a:prstGeom>
                    <a:noFill/>
                    <a:ln>
                      <a:noFill/>
                    </a:ln>
                  </pic:spPr>
                </pic:pic>
              </a:graphicData>
            </a:graphic>
          </wp:inline>
        </w:drawing>
      </w:r>
    </w:p>
    <w:p w14:paraId="09AA6409" w14:textId="37D2D66F" w:rsidR="00504B61" w:rsidRPr="00504B61" w:rsidRDefault="00504B61" w:rsidP="00504B61">
      <w:pPr>
        <w:pStyle w:val="TableTitle"/>
      </w:pPr>
      <w:r>
        <w:t xml:space="preserve">Table </w:t>
      </w:r>
      <w:r w:rsidR="0034766A">
        <w:fldChar w:fldCharType="begin"/>
      </w:r>
      <w:r w:rsidR="0034766A">
        <w:instrText xml:space="preserve"> SEQ Table \* ARABIC </w:instrText>
      </w:r>
      <w:r w:rsidR="0034766A">
        <w:fldChar w:fldCharType="separate"/>
      </w:r>
      <w:r w:rsidR="00DA143A">
        <w:rPr>
          <w:noProof/>
        </w:rPr>
        <w:t>3</w:t>
      </w:r>
      <w:r w:rsidR="0034766A">
        <w:rPr>
          <w:noProof/>
        </w:rPr>
        <w:fldChar w:fldCharType="end"/>
      </w:r>
      <w:r>
        <w:t xml:space="preserve">: </w:t>
      </w:r>
      <w:r w:rsidRPr="0019176C">
        <w:t>Study QHD00013</w:t>
      </w:r>
      <w:r>
        <w:t xml:space="preserve"> N</w:t>
      </w:r>
      <w:r w:rsidRPr="00DE1B57">
        <w:t>on-inferiority of QIV-HD compared t</w:t>
      </w:r>
      <w:r>
        <w:t xml:space="preserve">o TIV-HD1 and/or TIV-HD2 using seroconversion rates </w:t>
      </w:r>
      <w:r w:rsidRPr="00DE1B57">
        <w:t xml:space="preserve">at </w:t>
      </w:r>
      <w:r>
        <w:t>Day 28 after vaccination (per-protocol analysis s</w:t>
      </w:r>
      <w:r w:rsidRPr="00DE1B57">
        <w:t>et</w:t>
      </w:r>
    </w:p>
    <w:p w14:paraId="68CC52CE" w14:textId="77777777" w:rsidR="00504B61" w:rsidRDefault="00504B61" w:rsidP="00144D37">
      <w:r w:rsidRPr="00D65FDD">
        <w:rPr>
          <w:rFonts w:eastAsiaTheme="minorHAnsi" w:cs="TimesNewRomanPS-BoldMT"/>
          <w:bCs/>
          <w:noProof/>
          <w:color w:val="FF0000"/>
          <w:lang w:eastAsia="en-AU"/>
        </w:rPr>
        <w:drawing>
          <wp:inline distT="0" distB="0" distL="0" distR="0" wp14:anchorId="2CCBDD0F" wp14:editId="0608DA1E">
            <wp:extent cx="5400040" cy="2740861"/>
            <wp:effectExtent l="0" t="0" r="0" b="2540"/>
            <wp:docPr id="3" name="Picture 3" descr="Study QHD00013 Non-inferiority of QIV-HD compared to TIV-HD1 and/or TIV-HD2 using seroconversion rates at Day 28 after vaccination (per-protoco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0" y="0"/>
                      <a:ext cx="5400040" cy="2740861"/>
                    </a:xfrm>
                    <a:prstGeom prst="rect">
                      <a:avLst/>
                    </a:prstGeom>
                    <a:noFill/>
                    <a:ln>
                      <a:noFill/>
                    </a:ln>
                  </pic:spPr>
                </pic:pic>
              </a:graphicData>
            </a:graphic>
          </wp:inline>
        </w:drawing>
      </w:r>
    </w:p>
    <w:p w14:paraId="0191A91E" w14:textId="77777777" w:rsidR="00E06248" w:rsidRDefault="00E06248" w:rsidP="00E06248">
      <w:pPr>
        <w:spacing w:before="0" w:after="0" w:line="240" w:lineRule="auto"/>
        <w:rPr>
          <w:rFonts w:eastAsiaTheme="minorHAnsi" w:cs="TimesNewRomanPSMT"/>
        </w:rPr>
      </w:pPr>
      <w:r w:rsidRPr="00DA0A20">
        <w:rPr>
          <w:rFonts w:eastAsiaTheme="minorHAnsi" w:cs="TimesNewRomanPSMT"/>
          <w:color w:val="000000"/>
        </w:rPr>
        <w:lastRenderedPageBreak/>
        <w:t>Non-inferiority between QIV-HD and TIV-HD (pooled) was shown for the A/H1N1 and the A</w:t>
      </w:r>
      <w:r w:rsidR="00CD605A">
        <w:rPr>
          <w:rFonts w:eastAsiaTheme="minorHAnsi" w:cs="TimesNewRomanPSMT"/>
          <w:color w:val="000000"/>
        </w:rPr>
        <w:t>/</w:t>
      </w:r>
      <w:r w:rsidRPr="00DA0A20">
        <w:rPr>
          <w:rFonts w:eastAsiaTheme="minorHAnsi" w:cs="TimesNewRomanPSMT"/>
          <w:color w:val="000000"/>
        </w:rPr>
        <w:t>H3N2 strains in terms of both GMTs and seroconversion rates.</w:t>
      </w:r>
    </w:p>
    <w:p w14:paraId="4C11962D" w14:textId="77777777" w:rsidR="00E06248" w:rsidRPr="00E06248" w:rsidRDefault="00E06248" w:rsidP="00E06248">
      <w:r w:rsidRPr="00DF1DEB">
        <w:t>For the B/Brisbane/60/2008 strain, non-inferiority w</w:t>
      </w:r>
      <w:r w:rsidR="00CD605A">
        <w:t>as shown between QIV-HD and TIV</w:t>
      </w:r>
      <w:r w:rsidR="00CD605A">
        <w:noBreakHyphen/>
      </w:r>
      <w:r w:rsidRPr="00DF1DEB">
        <w:t>HD1 in terms of both GMT and seroconversion rates. Non-inferiority was also shown between QIV-HD and TIV-HD2 for the B/Phuket/3073/2013 strain in terms of both GMT and seroconversion rates</w:t>
      </w:r>
      <w:r>
        <w:t>.</w:t>
      </w:r>
    </w:p>
    <w:p w14:paraId="59BB119E" w14:textId="77777777" w:rsidR="004432D0" w:rsidRPr="00DA0A20" w:rsidRDefault="00E06248" w:rsidP="0058524A">
      <w:pPr>
        <w:autoSpaceDE w:val="0"/>
        <w:autoSpaceDN w:val="0"/>
        <w:spacing w:before="0" w:line="240" w:lineRule="auto"/>
        <w:rPr>
          <w:rFonts w:eastAsiaTheme="minorHAnsi" w:cs="TimesNewRomanPSMT"/>
        </w:rPr>
      </w:pPr>
      <w:r w:rsidRPr="00DA0A20">
        <w:rPr>
          <w:rFonts w:eastAsiaTheme="minorHAnsi" w:cs="TimesNewRomanPSMT"/>
        </w:rPr>
        <w:t xml:space="preserve">The secondary objective </w:t>
      </w:r>
      <w:r>
        <w:rPr>
          <w:rFonts w:eastAsiaTheme="minorHAnsi" w:cs="TimesNewRomanPSMT"/>
        </w:rPr>
        <w:t xml:space="preserve">was also met: </w:t>
      </w:r>
      <w:r w:rsidRPr="00DA0A20">
        <w:rPr>
          <w:rFonts w:eastAsiaTheme="minorHAnsi" w:cs="TimesNewRomanPSMT"/>
        </w:rPr>
        <w:t>each B strain in QIV-HD induce</w:t>
      </w:r>
      <w:r>
        <w:rPr>
          <w:rFonts w:eastAsiaTheme="minorHAnsi" w:cs="TimesNewRomanPSMT"/>
        </w:rPr>
        <w:t>d</w:t>
      </w:r>
      <w:r w:rsidRPr="00DA0A20">
        <w:rPr>
          <w:rFonts w:eastAsiaTheme="minorHAnsi" w:cs="TimesNewRomanPSMT"/>
        </w:rPr>
        <w:t xml:space="preserve"> an immune response (as assessed by HAI GMTs </w:t>
      </w:r>
      <w:r>
        <w:rPr>
          <w:rFonts w:eastAsiaTheme="minorHAnsi" w:cs="TimesNewRomanPSMT"/>
        </w:rPr>
        <w:t>and seroconversion rates) that wa</w:t>
      </w:r>
      <w:r w:rsidRPr="00DA0A20">
        <w:rPr>
          <w:rFonts w:eastAsiaTheme="minorHAnsi" w:cs="TimesNewRomanPSMT"/>
        </w:rPr>
        <w:t>s superior to the response</w:t>
      </w:r>
      <w:r>
        <w:rPr>
          <w:rFonts w:eastAsiaTheme="minorHAnsi" w:cs="TimesNewRomanPSMT"/>
        </w:rPr>
        <w:t xml:space="preserve"> </w:t>
      </w:r>
      <w:r w:rsidRPr="00DA0A20">
        <w:rPr>
          <w:rFonts w:eastAsiaTheme="minorHAnsi" w:cs="TimesNewRomanPSMT"/>
        </w:rPr>
        <w:t>induced by the TIV-HD that does not contain the corresponding B strain in all subjects</w:t>
      </w:r>
      <w:r>
        <w:rPr>
          <w:rFonts w:eastAsiaTheme="minorHAnsi" w:cs="TimesNewRomanPSMT"/>
        </w:rPr>
        <w:t>;</w:t>
      </w:r>
      <w:r w:rsidRPr="00DF1DEB">
        <w:rPr>
          <w:rFonts w:eastAsiaTheme="minorHAnsi" w:cs="TimesNewRomanPSMT"/>
        </w:rPr>
        <w:t xml:space="preserve"> </w:t>
      </w:r>
      <w:r w:rsidRPr="00DA0A20">
        <w:rPr>
          <w:rFonts w:eastAsiaTheme="minorHAnsi" w:cs="TimesNewRomanPSMT"/>
        </w:rPr>
        <w:t>the lower limit of the 95% CI was above 1.5 for the ratios of GMTs and above 10% for the seroconversion rat</w:t>
      </w:r>
      <w:r w:rsidR="0058524A">
        <w:rPr>
          <w:rFonts w:eastAsiaTheme="minorHAnsi" w:cs="TimesNewRomanPSMT"/>
        </w:rPr>
        <w:t>es for both B influenza strains as shown in Tables 4 and 5 (below).</w:t>
      </w:r>
    </w:p>
    <w:p w14:paraId="789FB476" w14:textId="09B15A2F" w:rsidR="0058524A" w:rsidRDefault="0058524A" w:rsidP="0058524A">
      <w:pPr>
        <w:pStyle w:val="TableTitle"/>
      </w:pPr>
      <w:r>
        <w:t xml:space="preserve">Table </w:t>
      </w:r>
      <w:r w:rsidR="0034766A">
        <w:fldChar w:fldCharType="begin"/>
      </w:r>
      <w:r w:rsidR="0034766A">
        <w:instrText xml:space="preserve"> SEQ Table \* ARABIC </w:instrText>
      </w:r>
      <w:r w:rsidR="0034766A">
        <w:fldChar w:fldCharType="separate"/>
      </w:r>
      <w:r w:rsidR="00DA143A">
        <w:rPr>
          <w:noProof/>
        </w:rPr>
        <w:t>4</w:t>
      </w:r>
      <w:r w:rsidR="0034766A">
        <w:rPr>
          <w:noProof/>
        </w:rPr>
        <w:fldChar w:fldCharType="end"/>
      </w:r>
      <w:r>
        <w:t xml:space="preserve">: </w:t>
      </w:r>
      <w:r w:rsidRPr="00E55ED0">
        <w:t>Superiority of B strains in QIV-HD compared to either TIV-HD1 or TIV-HD2 using geometric mean titres at Day 28 post-vaccination (full analysis set)</w:t>
      </w:r>
    </w:p>
    <w:p w14:paraId="21DAF972" w14:textId="77777777" w:rsidR="0058524A" w:rsidRDefault="004432D0" w:rsidP="004432D0">
      <w:pPr>
        <w:spacing w:before="0" w:line="240" w:lineRule="auto"/>
        <w:rPr>
          <w:rFonts w:eastAsiaTheme="minorHAnsi" w:cs="TimesNewRomanPSMT"/>
        </w:rPr>
      </w:pPr>
      <w:r w:rsidRPr="00DA0A20">
        <w:rPr>
          <w:rFonts w:eastAsiaTheme="minorHAnsi" w:cs="TimesNewRomanPSMT"/>
          <w:noProof/>
          <w:lang w:eastAsia="en-AU"/>
        </w:rPr>
        <w:drawing>
          <wp:inline distT="0" distB="0" distL="0" distR="0" wp14:anchorId="3A29A4AB" wp14:editId="64F7C6FD">
            <wp:extent cx="5332793" cy="949988"/>
            <wp:effectExtent l="0" t="0" r="1270" b="2540"/>
            <wp:docPr id="5" name="Picture 5" descr="Superiority of B strains in QIV-HD compared to either TIV-HD1 or TIV-HD2 using geometric mean titres at Day 28 post-vaccination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t="36203"/>
                    <a:stretch/>
                  </pic:blipFill>
                  <pic:spPr bwMode="auto">
                    <a:xfrm>
                      <a:off x="0" y="0"/>
                      <a:ext cx="5335218" cy="950420"/>
                    </a:xfrm>
                    <a:prstGeom prst="rect">
                      <a:avLst/>
                    </a:prstGeom>
                    <a:noFill/>
                    <a:ln>
                      <a:noFill/>
                    </a:ln>
                    <a:extLst>
                      <a:ext uri="{53640926-AAD7-44D8-BBD7-CCE9431645EC}">
                        <a14:shadowObscured xmlns:a14="http://schemas.microsoft.com/office/drawing/2010/main"/>
                      </a:ext>
                    </a:extLst>
                  </pic:spPr>
                </pic:pic>
              </a:graphicData>
            </a:graphic>
          </wp:inline>
        </w:drawing>
      </w:r>
    </w:p>
    <w:p w14:paraId="68A05783" w14:textId="42AC59EE" w:rsidR="0058524A" w:rsidRDefault="0058524A" w:rsidP="0058524A">
      <w:pPr>
        <w:pStyle w:val="TableTitle"/>
      </w:pPr>
      <w:r>
        <w:t xml:space="preserve">Table </w:t>
      </w:r>
      <w:r w:rsidR="0034766A">
        <w:fldChar w:fldCharType="begin"/>
      </w:r>
      <w:r w:rsidR="0034766A">
        <w:instrText xml:space="preserve"> SEQ Table \* ARABIC </w:instrText>
      </w:r>
      <w:r w:rsidR="0034766A">
        <w:fldChar w:fldCharType="separate"/>
      </w:r>
      <w:r w:rsidR="00DA143A">
        <w:rPr>
          <w:noProof/>
        </w:rPr>
        <w:t>5</w:t>
      </w:r>
      <w:r w:rsidR="0034766A">
        <w:rPr>
          <w:noProof/>
        </w:rPr>
        <w:fldChar w:fldCharType="end"/>
      </w:r>
      <w:r>
        <w:t xml:space="preserve">: </w:t>
      </w:r>
      <w:r w:rsidRPr="00EB13FE">
        <w:t xml:space="preserve">Superiority of B strains in QIV-HD compared to either TIV-HD1 or TIV-HD2 using seroconversion </w:t>
      </w:r>
      <w:r>
        <w:t xml:space="preserve">rates </w:t>
      </w:r>
      <w:r w:rsidRPr="00EB13FE">
        <w:t>at Day 28 post-vaccination (full analysis set)</w:t>
      </w:r>
    </w:p>
    <w:p w14:paraId="6A4A3945" w14:textId="77777777" w:rsidR="004432D0" w:rsidRPr="00DA0A20" w:rsidRDefault="004432D0" w:rsidP="004432D0">
      <w:pPr>
        <w:spacing w:before="0" w:line="240" w:lineRule="auto"/>
        <w:rPr>
          <w:rFonts w:eastAsiaTheme="minorHAnsi" w:cs="TimesNewRomanPSMT"/>
        </w:rPr>
      </w:pPr>
      <w:r w:rsidRPr="00DA0A20">
        <w:rPr>
          <w:rFonts w:eastAsiaTheme="minorHAnsi" w:cs="TimesNewRomanPSMT"/>
          <w:noProof/>
          <w:lang w:eastAsia="en-AU"/>
        </w:rPr>
        <w:drawing>
          <wp:inline distT="0" distB="0" distL="0" distR="0" wp14:anchorId="738F906F" wp14:editId="322A2B67">
            <wp:extent cx="5264224" cy="2198569"/>
            <wp:effectExtent l="0" t="0" r="0" b="0"/>
            <wp:docPr id="6" name="Picture 6" descr="Superiority of B strains in QIV-HD compared to either TIV-HD1 or TIV-HD2 using seroconversion rates at Day 28 post-vaccination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t="20680"/>
                    <a:stretch/>
                  </pic:blipFill>
                  <pic:spPr bwMode="auto">
                    <a:xfrm>
                      <a:off x="0" y="0"/>
                      <a:ext cx="5266630" cy="2199574"/>
                    </a:xfrm>
                    <a:prstGeom prst="rect">
                      <a:avLst/>
                    </a:prstGeom>
                    <a:noFill/>
                    <a:ln>
                      <a:noFill/>
                    </a:ln>
                    <a:extLst>
                      <a:ext uri="{53640926-AAD7-44D8-BBD7-CCE9431645EC}">
                        <a14:shadowObscured xmlns:a14="http://schemas.microsoft.com/office/drawing/2010/main"/>
                      </a:ext>
                    </a:extLst>
                  </pic:spPr>
                </pic:pic>
              </a:graphicData>
            </a:graphic>
          </wp:inline>
        </w:drawing>
      </w:r>
    </w:p>
    <w:p w14:paraId="3C83EF7F" w14:textId="77777777" w:rsidR="00E06248" w:rsidRDefault="00E06248" w:rsidP="00E06248">
      <w:pPr>
        <w:autoSpaceDE w:val="0"/>
        <w:autoSpaceDN w:val="0"/>
        <w:spacing w:before="0" w:line="240" w:lineRule="auto"/>
        <w:rPr>
          <w:u w:val="single"/>
        </w:rPr>
      </w:pPr>
      <w:r>
        <w:rPr>
          <w:rFonts w:eastAsiaTheme="minorHAnsi" w:cs="TimesNewRomanPSMT"/>
        </w:rPr>
        <w:t xml:space="preserve">Results for other immunogenicity endpoints included results in the </w:t>
      </w:r>
      <w:r w:rsidR="00CD605A">
        <w:rPr>
          <w:rFonts w:eastAsiaTheme="minorHAnsi" w:cs="TimesNewRomanPSMT"/>
        </w:rPr>
        <w:t>FAS which were similar to the PPAS.</w:t>
      </w:r>
    </w:p>
    <w:p w14:paraId="2C87B667" w14:textId="77777777" w:rsidR="00E06248" w:rsidRDefault="00E06248" w:rsidP="00E06248">
      <w:pPr>
        <w:autoSpaceDE w:val="0"/>
        <w:autoSpaceDN w:val="0"/>
        <w:spacing w:before="0" w:line="240" w:lineRule="auto"/>
        <w:rPr>
          <w:rFonts w:eastAsiaTheme="minorHAnsi" w:cs="TimesNewRomanPS-BoldMT"/>
          <w:bCs/>
        </w:rPr>
      </w:pPr>
      <w:r w:rsidRPr="00DA0A20">
        <w:rPr>
          <w:rFonts w:eastAsiaTheme="minorHAnsi" w:cs="TimesNewRomanPSMT"/>
        </w:rPr>
        <w:t>Immunogenicity data (GMTs, seroconversion rates</w:t>
      </w:r>
      <w:r>
        <w:rPr>
          <w:rFonts w:eastAsiaTheme="minorHAnsi" w:cs="TimesNewRomanPSMT"/>
        </w:rPr>
        <w:t xml:space="preserve"> and</w:t>
      </w:r>
      <w:r w:rsidRPr="00DA0A20">
        <w:rPr>
          <w:rFonts w:eastAsiaTheme="minorHAnsi" w:cs="TimesNewRomanPSMT"/>
        </w:rPr>
        <w:t xml:space="preserve"> seroprotection rates) were assessed by various covariate factors</w:t>
      </w:r>
      <w:r>
        <w:rPr>
          <w:rFonts w:eastAsiaTheme="minorHAnsi" w:cs="TimesNewRomanPSMT"/>
        </w:rPr>
        <w:t xml:space="preserve">. </w:t>
      </w:r>
      <w:r w:rsidR="00CD605A">
        <w:rPr>
          <w:rFonts w:eastAsiaTheme="minorHAnsi" w:cs="TimesNewRomanPSMT"/>
        </w:rPr>
        <w:t>The</w:t>
      </w:r>
      <w:r w:rsidRPr="007A2616">
        <w:rPr>
          <w:rFonts w:eastAsiaTheme="minorHAnsi" w:cs="TimesNewRomanPS-BoldMT"/>
          <w:bCs/>
        </w:rPr>
        <w:t xml:space="preserve"> subgroup analysis showed trends suggesting GMTs and seroconversion rates were lower in adults aged &gt; 75 years, males and those with history of prior influen</w:t>
      </w:r>
      <w:r>
        <w:rPr>
          <w:rFonts w:eastAsiaTheme="minorHAnsi" w:cs="TimesNewRomanPS-BoldMT"/>
          <w:bCs/>
        </w:rPr>
        <w:t>za vaccination in previous year.</w:t>
      </w:r>
    </w:p>
    <w:p w14:paraId="6D6D4A08" w14:textId="77777777" w:rsidR="00E06248" w:rsidRPr="00DA0A20" w:rsidRDefault="0058524A" w:rsidP="00E06248">
      <w:pPr>
        <w:autoSpaceDE w:val="0"/>
        <w:autoSpaceDN w:val="0"/>
        <w:spacing w:before="0" w:line="240" w:lineRule="auto"/>
        <w:rPr>
          <w:rFonts w:eastAsiaTheme="minorHAnsi" w:cs="TimesNewRomanPSMT"/>
        </w:rPr>
      </w:pPr>
      <w:r>
        <w:rPr>
          <w:rFonts w:eastAsiaTheme="minorHAnsi" w:cs="TimesNewRomanPSMT"/>
        </w:rPr>
        <w:t>As measured by the seroneutralisation</w:t>
      </w:r>
      <w:r w:rsidR="00E06248" w:rsidRPr="00DA0A20">
        <w:rPr>
          <w:rFonts w:eastAsiaTheme="minorHAnsi" w:cs="TimesNewRomanPSMT"/>
        </w:rPr>
        <w:t xml:space="preserve"> assay, the GMTs </w:t>
      </w:r>
      <w:r w:rsidR="00CD605A">
        <w:rPr>
          <w:rFonts w:eastAsiaTheme="minorHAnsi" w:cs="TimesNewRomanPSMT"/>
        </w:rPr>
        <w:t xml:space="preserve">(pre- and post-vaccination), </w:t>
      </w:r>
      <w:r>
        <w:rPr>
          <w:rFonts w:eastAsiaTheme="minorHAnsi" w:cs="TimesNewRomanPSMT"/>
        </w:rPr>
        <w:t>geometric mean rations (</w:t>
      </w:r>
      <w:r w:rsidR="00CD605A">
        <w:rPr>
          <w:rFonts w:eastAsiaTheme="minorHAnsi" w:cs="TimesNewRomanPSMT"/>
        </w:rPr>
        <w:t>GM</w:t>
      </w:r>
      <w:r>
        <w:rPr>
          <w:rFonts w:eastAsiaTheme="minorHAnsi" w:cs="TimesNewRomanPSMT"/>
        </w:rPr>
        <w:t>R)</w:t>
      </w:r>
      <w:r w:rsidR="00E06248">
        <w:rPr>
          <w:rFonts w:eastAsiaTheme="minorHAnsi" w:cs="TimesNewRomanPSMT"/>
        </w:rPr>
        <w:t xml:space="preserve"> and</w:t>
      </w:r>
      <w:r w:rsidR="00CD605A">
        <w:rPr>
          <w:rFonts w:eastAsiaTheme="minorHAnsi" w:cs="TimesNewRomanPSMT"/>
        </w:rPr>
        <w:t xml:space="preserve"> fold rise (2- </w:t>
      </w:r>
      <w:r w:rsidR="00E06248" w:rsidRPr="00DA0A20">
        <w:rPr>
          <w:rFonts w:eastAsiaTheme="minorHAnsi" w:cs="TimesNewRomanPSMT"/>
        </w:rPr>
        <w:t>and 4-fold) were similar among all study groups for both influenza A strains and for each of the B strains when QIV-HD is compared with the corresponding TIV-HD which contains the same B strain.</w:t>
      </w:r>
    </w:p>
    <w:p w14:paraId="14BE1317" w14:textId="77777777" w:rsidR="00E06248" w:rsidRPr="00CD605A" w:rsidRDefault="00E06248" w:rsidP="00CD605A">
      <w:pPr>
        <w:spacing w:before="0" w:after="0" w:line="240" w:lineRule="auto"/>
        <w:rPr>
          <w:rFonts w:eastAsiaTheme="minorHAnsi" w:cs="TimesNewRomanPSMT"/>
        </w:rPr>
      </w:pPr>
      <w:r w:rsidRPr="001E3346">
        <w:rPr>
          <w:rFonts w:eastAsiaTheme="minorHAnsi" w:cs="TimesNewRomanPSMT"/>
        </w:rPr>
        <w:lastRenderedPageBreak/>
        <w:t>Results of this study met the criteria provided by the</w:t>
      </w:r>
      <w:r w:rsidR="00CD605A">
        <w:rPr>
          <w:rFonts w:eastAsiaTheme="minorHAnsi" w:cs="TimesNewRomanPSMT"/>
        </w:rPr>
        <w:t xml:space="preserve"> TGA-adopted guidance</w:t>
      </w:r>
      <w:r w:rsidRPr="001E3346">
        <w:rPr>
          <w:rFonts w:eastAsiaTheme="minorHAnsi" w:cs="TimesNewRomanPSMT"/>
        </w:rPr>
        <w:t>.</w:t>
      </w:r>
      <w:r w:rsidR="00CD605A">
        <w:rPr>
          <w:rStyle w:val="FootnoteReference"/>
          <w:rFonts w:eastAsiaTheme="minorHAnsi" w:cs="TimesNewRomanPSMT"/>
        </w:rPr>
        <w:footnoteReference w:id="14"/>
      </w:r>
      <w:r w:rsidRPr="001E3346">
        <w:t xml:space="preserve"> </w:t>
      </w:r>
      <w:r>
        <w:t>S</w:t>
      </w:r>
      <w:r w:rsidR="00CD605A">
        <w:rPr>
          <w:rFonts w:eastAsiaTheme="minorHAnsi" w:cs="TimesNewRomanPSMT"/>
        </w:rPr>
        <w:t xml:space="preserve">eroprotection rates were 95 to </w:t>
      </w:r>
      <w:r w:rsidRPr="001E3346">
        <w:rPr>
          <w:rFonts w:eastAsiaTheme="minorHAnsi" w:cs="TimesNewRomanPSMT"/>
        </w:rPr>
        <w:t>99%; the mean GM</w:t>
      </w:r>
      <w:r w:rsidR="00CD605A">
        <w:rPr>
          <w:rFonts w:eastAsiaTheme="minorHAnsi" w:cs="TimesNewRomanPSMT"/>
        </w:rPr>
        <w:t>T increase between pre and post</w:t>
      </w:r>
      <w:r w:rsidR="00CD605A">
        <w:rPr>
          <w:rFonts w:eastAsiaTheme="minorHAnsi" w:cs="TimesNewRomanPSMT"/>
        </w:rPr>
        <w:noBreakHyphen/>
        <w:t xml:space="preserve">vaccination was &gt; 2-fold in 41 to </w:t>
      </w:r>
      <w:r w:rsidRPr="001E3346">
        <w:rPr>
          <w:rFonts w:eastAsiaTheme="minorHAnsi" w:cs="TimesNewRomanPSMT"/>
        </w:rPr>
        <w:t>50% of the subjec</w:t>
      </w:r>
      <w:r w:rsidR="00CD605A">
        <w:rPr>
          <w:rFonts w:eastAsiaTheme="minorHAnsi" w:cs="TimesNewRomanPSMT"/>
        </w:rPr>
        <w:t xml:space="preserve">ts (for A strains) and 23 to </w:t>
      </w:r>
      <w:r w:rsidRPr="001E3346">
        <w:rPr>
          <w:rFonts w:eastAsiaTheme="minorHAnsi" w:cs="TimesNewRomanPSMT"/>
        </w:rPr>
        <w:t>26% of subjects (for B strains) with similar rates across all treatment groups</w:t>
      </w:r>
      <w:r>
        <w:rPr>
          <w:rFonts w:eastAsiaTheme="minorHAnsi" w:cs="TimesNewRomanPSMT"/>
        </w:rPr>
        <w:t>.</w:t>
      </w:r>
      <w:r w:rsidRPr="001E3346">
        <w:rPr>
          <w:rFonts w:eastAsiaTheme="minorHAnsi" w:cs="TimesNewRomanPS-BoldMT"/>
          <w:bCs/>
        </w:rPr>
        <w:t xml:space="preserve"> </w:t>
      </w:r>
      <w:r>
        <w:rPr>
          <w:rFonts w:eastAsiaTheme="minorHAnsi" w:cs="TimesNewRomanPS-BoldMT"/>
          <w:bCs/>
        </w:rPr>
        <w:t>S</w:t>
      </w:r>
      <w:r w:rsidRPr="00A5107A">
        <w:rPr>
          <w:rFonts w:eastAsiaTheme="minorHAnsi" w:cs="TimesNewRomanPS-BoldMT"/>
          <w:bCs/>
        </w:rPr>
        <w:t>eroconversion rates were &gt; 30% against all s</w:t>
      </w:r>
      <w:r w:rsidR="00CD605A">
        <w:rPr>
          <w:rFonts w:eastAsiaTheme="minorHAnsi" w:cs="TimesNewRomanPS-BoldMT"/>
          <w:bCs/>
        </w:rPr>
        <w:t>trains included in the vaccine (</w:t>
      </w:r>
      <w:r w:rsidRPr="00A5107A">
        <w:rPr>
          <w:rFonts w:eastAsiaTheme="minorHAnsi" w:cs="TimesNewRomanPS-BoldMT"/>
          <w:bCs/>
        </w:rPr>
        <w:t>for A/H1N1: 50.4%, 56.2% and 51.3% with QIV-HD, TIV-HD1 and TIV-HD2, respectively; H3N2: 49.8%, 52.9% and 48.1%, respectively; for B1: 36.5%, 39% and 15.2%, respectively; for B2: 46.6%</w:t>
      </w:r>
      <w:r w:rsidR="00CD605A">
        <w:rPr>
          <w:rFonts w:eastAsiaTheme="minorHAnsi" w:cs="TimesNewRomanPS-BoldMT"/>
          <w:bCs/>
        </w:rPr>
        <w:t>, 17.6% and 48.4%, respectively)</w:t>
      </w:r>
      <w:r w:rsidRPr="00A5107A">
        <w:rPr>
          <w:rFonts w:eastAsiaTheme="minorHAnsi" w:cs="TimesNewRomanPS-BoldMT"/>
          <w:bCs/>
        </w:rPr>
        <w:t>.</w:t>
      </w:r>
    </w:p>
    <w:p w14:paraId="5AEF0856" w14:textId="77777777" w:rsidR="00E06248" w:rsidRDefault="00E06248" w:rsidP="00CD605A">
      <w:r w:rsidRPr="007A2616">
        <w:t xml:space="preserve">Overall, this study provided immunological evidence to support </w:t>
      </w:r>
      <w:r>
        <w:t>the proposed QIV-HD.</w:t>
      </w:r>
    </w:p>
    <w:p w14:paraId="1F1FA0D0" w14:textId="77777777" w:rsidR="00E06248" w:rsidRPr="00E06248" w:rsidRDefault="00E06248" w:rsidP="00E06248">
      <w:pPr>
        <w:pStyle w:val="Heading5"/>
        <w:rPr>
          <w:rFonts w:eastAsiaTheme="minorHAnsi"/>
        </w:rPr>
      </w:pPr>
      <w:r>
        <w:t>Study QHD00008</w:t>
      </w:r>
    </w:p>
    <w:p w14:paraId="1B690FAD" w14:textId="77777777" w:rsidR="00E06248" w:rsidRPr="00DA0A20" w:rsidRDefault="00E06248" w:rsidP="00E06248">
      <w:pPr>
        <w:autoSpaceDE w:val="0"/>
        <w:autoSpaceDN w:val="0"/>
        <w:spacing w:before="0" w:line="240" w:lineRule="auto"/>
      </w:pPr>
      <w:bookmarkStart w:id="49" w:name="_Toc290888504"/>
      <w:bookmarkStart w:id="50" w:name="_Toc416353720"/>
      <w:r w:rsidRPr="00CD605A">
        <w:t>Study</w:t>
      </w:r>
      <w:bookmarkEnd w:id="49"/>
      <w:r w:rsidRPr="00CD605A">
        <w:t xml:space="preserve"> </w:t>
      </w:r>
      <w:bookmarkEnd w:id="50"/>
      <w:r w:rsidRPr="00CD605A">
        <w:t>QHD00008</w:t>
      </w:r>
      <w:r>
        <w:t xml:space="preserve"> </w:t>
      </w:r>
      <w:r w:rsidRPr="007E2DAC">
        <w:t>was a Phase I/II, randomise</w:t>
      </w:r>
      <w:r w:rsidR="00CD605A">
        <w:t>d, modified double-blind, multi</w:t>
      </w:r>
      <w:r w:rsidRPr="007E2DAC">
        <w:t xml:space="preserve">centre study conducted in 175 healthy adults aged 65 years and older to assess the safety and immunogenicity of the high-dose quadrivalent influenza vaccine (QIV-HD) administered by intramuscular (IM) method and QIV-HD administered by subcutaneous (SC) method. </w:t>
      </w:r>
      <w:r w:rsidRPr="00DA0A20">
        <w:t>Th</w:t>
      </w:r>
      <w:r w:rsidR="00CD605A">
        <w:t xml:space="preserve">e study was conducted from September </w:t>
      </w:r>
      <w:r w:rsidRPr="00DA0A20">
        <w:t>t</w:t>
      </w:r>
      <w:r>
        <w:t>o Nov</w:t>
      </w:r>
      <w:r w:rsidR="00CD605A">
        <w:t>ember</w:t>
      </w:r>
      <w:r>
        <w:t xml:space="preserve"> 2017 at 2 sites in Japan.</w:t>
      </w:r>
    </w:p>
    <w:p w14:paraId="288B1799" w14:textId="77777777" w:rsidR="00E06248" w:rsidRDefault="00E06248" w:rsidP="00E06248">
      <w:pPr>
        <w:autoSpaceDE w:val="0"/>
        <w:autoSpaceDN w:val="0"/>
        <w:spacing w:before="0" w:line="240" w:lineRule="auto"/>
      </w:pPr>
      <w:r>
        <w:rPr>
          <w:rFonts w:eastAsia="ArialNarrow" w:cs="ArialNarrow"/>
        </w:rPr>
        <w:t>T</w:t>
      </w:r>
      <w:r w:rsidRPr="00DA0A20">
        <w:rPr>
          <w:rFonts w:eastAsia="ArialNarrow" w:cs="ArialNarrow"/>
        </w:rPr>
        <w:t>he first 10 subjects enrolled were random</w:t>
      </w:r>
      <w:r>
        <w:rPr>
          <w:rFonts w:eastAsia="ArialNarrow" w:cs="ArialNarrow"/>
        </w:rPr>
        <w:t>is</w:t>
      </w:r>
      <w:r w:rsidRPr="00DA0A20">
        <w:rPr>
          <w:rFonts w:eastAsia="ArialNarrow" w:cs="ArialNarrow"/>
        </w:rPr>
        <w:t>ed 1:1 to receive either</w:t>
      </w:r>
      <w:r>
        <w:rPr>
          <w:rFonts w:eastAsia="ArialNarrow" w:cs="ArialNarrow"/>
        </w:rPr>
        <w:t xml:space="preserve"> </w:t>
      </w:r>
      <w:r w:rsidRPr="00DA0A20">
        <w:rPr>
          <w:rFonts w:eastAsia="ArialNarrow" w:cs="ArialNarrow"/>
        </w:rPr>
        <w:t>QIV-HD by IM route or QIV-HD by SC route (Cohort 1). After review of the local and systemic</w:t>
      </w:r>
      <w:r>
        <w:rPr>
          <w:rFonts w:eastAsia="ArialNarrow" w:cs="ArialNarrow"/>
        </w:rPr>
        <w:t xml:space="preserve"> </w:t>
      </w:r>
      <w:r w:rsidR="00B10FED">
        <w:rPr>
          <w:rFonts w:eastAsia="ArialNarrow" w:cs="ArialNarrow"/>
        </w:rPr>
        <w:t>adverse events (AE</w:t>
      </w:r>
      <w:r w:rsidRPr="00DA0A20">
        <w:rPr>
          <w:rFonts w:eastAsia="ArialNarrow" w:cs="ArialNarrow"/>
        </w:rPr>
        <w:t>) occurring for 7</w:t>
      </w:r>
      <w:r w:rsidR="00B10FED">
        <w:rPr>
          <w:rFonts w:eastAsia="ArialNarrow" w:cs="ArialNarrow"/>
        </w:rPr>
        <w:t xml:space="preserve"> days post-vaccination (Day </w:t>
      </w:r>
      <w:r w:rsidRPr="00DA0A20">
        <w:rPr>
          <w:rFonts w:eastAsia="ArialNarrow" w:cs="ArialNarrow"/>
        </w:rPr>
        <w:t>0 to D</w:t>
      </w:r>
      <w:r w:rsidR="00B10FED">
        <w:rPr>
          <w:rFonts w:eastAsia="ArialNarrow" w:cs="ArialNarrow"/>
        </w:rPr>
        <w:t xml:space="preserve">ay </w:t>
      </w:r>
      <w:r w:rsidRPr="00DA0A20">
        <w:rPr>
          <w:rFonts w:eastAsia="ArialNarrow" w:cs="ArialNarrow"/>
        </w:rPr>
        <w:t>7) in Cohort 1,</w:t>
      </w:r>
      <w:r>
        <w:rPr>
          <w:rFonts w:eastAsia="ArialNarrow" w:cs="ArialNarrow"/>
        </w:rPr>
        <w:t xml:space="preserve"> </w:t>
      </w:r>
      <w:r w:rsidR="00B10FED">
        <w:rPr>
          <w:rFonts w:eastAsia="ArialNarrow" w:cs="ArialNarrow"/>
        </w:rPr>
        <w:t>the remaining 165 </w:t>
      </w:r>
      <w:r w:rsidRPr="00DA0A20">
        <w:rPr>
          <w:rFonts w:eastAsia="ArialNarrow" w:cs="ArialNarrow"/>
        </w:rPr>
        <w:t>subjects were random</w:t>
      </w:r>
      <w:r>
        <w:rPr>
          <w:rFonts w:eastAsia="ArialNarrow" w:cs="ArialNarrow"/>
        </w:rPr>
        <w:t>is</w:t>
      </w:r>
      <w:r w:rsidRPr="00DA0A20">
        <w:rPr>
          <w:rFonts w:eastAsia="ArialNarrow" w:cs="ArialNarrow"/>
        </w:rPr>
        <w:t>ed 1:1:1 to receive QIV-HD by IM route, QIV-HD by SC route, or QIV-SD by SC route (Cohort 2).</w:t>
      </w:r>
    </w:p>
    <w:p w14:paraId="7B150173" w14:textId="77777777" w:rsidR="00E06248" w:rsidRDefault="00E06248" w:rsidP="00E06248">
      <w:pPr>
        <w:autoSpaceDE w:val="0"/>
        <w:autoSpaceDN w:val="0"/>
        <w:spacing w:before="0" w:line="240" w:lineRule="auto"/>
      </w:pPr>
      <w:r>
        <w:t>The study treatments were:</w:t>
      </w:r>
    </w:p>
    <w:p w14:paraId="6FE593CF" w14:textId="690142B7" w:rsidR="00B10FED" w:rsidRDefault="00E06248" w:rsidP="00844094">
      <w:pPr>
        <w:pStyle w:val="ListBullet"/>
      </w:pPr>
      <w:r w:rsidRPr="00BF78EB">
        <w:t>High-Dose Influenza Vaccine Quadrivalent, (Zonal Purified, Split Virus) 2017-2018 Strains (QIV-HD) provided in a pre-filled single-dose syringe</w:t>
      </w:r>
      <w:r w:rsidR="00B10FED">
        <w:t>.</w:t>
      </w:r>
      <w:r w:rsidRPr="00DA0A20">
        <w:t xml:space="preserve"> </w:t>
      </w:r>
      <w:r w:rsidRPr="00BF78EB">
        <w:t>Each 0.7 mL dose of QIV</w:t>
      </w:r>
      <w:r w:rsidR="0073328E">
        <w:noBreakHyphen/>
      </w:r>
      <w:r w:rsidRPr="00BF78EB">
        <w:t>HD contains:</w:t>
      </w:r>
      <w:r w:rsidR="00B10FED">
        <w:t xml:space="preserve"> </w:t>
      </w:r>
      <w:r w:rsidRPr="00BF78EB">
        <w:t>Strains determined based on World Health Organization (WHO) / Vaccines and Related Biological Products Advisory Committee (VRBPAC) recommendations for the 2017-2018 Northern He</w:t>
      </w:r>
      <w:r w:rsidR="0058524A">
        <w:t>misphere</w:t>
      </w:r>
      <w:r w:rsidR="00B10FED">
        <w:t xml:space="preserve"> influenza season.</w:t>
      </w:r>
    </w:p>
    <w:p w14:paraId="55644FEE" w14:textId="77777777" w:rsidR="00B10FED" w:rsidRPr="00B10FED" w:rsidRDefault="00B10FED" w:rsidP="00ED0175">
      <w:pPr>
        <w:pStyle w:val="ListBullet2"/>
      </w:pPr>
      <w:r>
        <w:t>Active substances:</w:t>
      </w:r>
    </w:p>
    <w:p w14:paraId="045B2E50" w14:textId="77777777" w:rsidR="00B10FED" w:rsidRDefault="00E06248" w:rsidP="00ED0175">
      <w:pPr>
        <w:pStyle w:val="ListBullet3"/>
      </w:pPr>
      <w:r w:rsidRPr="00BF78EB">
        <w:t>A/Michigan/45/2015 (NYMC X-275) (H1N1) s</w:t>
      </w:r>
      <w:r w:rsidR="00B10FED">
        <w:t xml:space="preserve">train 60 </w:t>
      </w:r>
      <w:r w:rsidR="00E445D3">
        <w:t>µg</w:t>
      </w:r>
      <w:r w:rsidR="00B10FED">
        <w:t xml:space="preserve"> haemagglutinin (HA)</w:t>
      </w:r>
    </w:p>
    <w:p w14:paraId="390C662A" w14:textId="77777777" w:rsidR="00B10FED" w:rsidRDefault="00E06248" w:rsidP="00ED0175">
      <w:pPr>
        <w:pStyle w:val="ListBullet3"/>
      </w:pPr>
      <w:r w:rsidRPr="00BF78EB">
        <w:t>A/Hong Kong/4801/2014 (NYMC</w:t>
      </w:r>
      <w:r w:rsidR="00B10FED">
        <w:t xml:space="preserve"> X-263B) (H3N2) strain 60 </w:t>
      </w:r>
      <w:r w:rsidR="00E445D3">
        <w:t>µg</w:t>
      </w:r>
      <w:r w:rsidR="00B10FED">
        <w:t xml:space="preserve"> HA</w:t>
      </w:r>
    </w:p>
    <w:p w14:paraId="2BB82E74" w14:textId="77777777" w:rsidR="00B10FED" w:rsidRDefault="00E06248" w:rsidP="00ED0175">
      <w:pPr>
        <w:pStyle w:val="ListBullet3"/>
      </w:pPr>
      <w:r w:rsidRPr="00BF78EB">
        <w:t>B/P</w:t>
      </w:r>
      <w:r w:rsidR="00B10FED">
        <w:t xml:space="preserve">huket/3073/2013 strain 60 </w:t>
      </w:r>
      <w:r w:rsidR="00E445D3">
        <w:t>µg</w:t>
      </w:r>
      <w:r w:rsidR="00B10FED">
        <w:t xml:space="preserve"> HA</w:t>
      </w:r>
    </w:p>
    <w:p w14:paraId="53DADFC5" w14:textId="77777777" w:rsidR="00E06248" w:rsidRDefault="00E06248" w:rsidP="00ED0175">
      <w:pPr>
        <w:pStyle w:val="ListBullet3"/>
      </w:pPr>
      <w:r w:rsidRPr="00BF78EB">
        <w:t xml:space="preserve">B/Brisbane/60/2008 strain 60 </w:t>
      </w:r>
      <w:r w:rsidR="00E445D3">
        <w:t>µg</w:t>
      </w:r>
      <w:r w:rsidRPr="00BF78EB">
        <w:t xml:space="preserve"> HA</w:t>
      </w:r>
    </w:p>
    <w:p w14:paraId="0EC77B49" w14:textId="38F788F4" w:rsidR="00B10FED" w:rsidRDefault="00F1637E" w:rsidP="00844094">
      <w:pPr>
        <w:pStyle w:val="ListBullet"/>
      </w:pPr>
      <w:r>
        <w:t xml:space="preserve">[Information </w:t>
      </w:r>
      <w:r w:rsidRPr="00F1637E">
        <w:t>redacted</w:t>
      </w:r>
      <w:r>
        <w:t xml:space="preserve">] </w:t>
      </w:r>
      <w:r w:rsidR="00134401">
        <w:t>Japanese licenced standard-dose influenza vaccine</w:t>
      </w:r>
      <w:r w:rsidR="00E06248" w:rsidRPr="00982E0B">
        <w:t>:</w:t>
      </w:r>
      <w:r w:rsidR="00E06248">
        <w:t xml:space="preserve"> </w:t>
      </w:r>
      <w:r w:rsidR="00E06248" w:rsidRPr="00DA0A20">
        <w:t xml:space="preserve">Local </w:t>
      </w:r>
      <w:r w:rsidR="00B10FED" w:rsidRPr="00DA0A20">
        <w:t>standard-dose inactivated influenza vaccine quadrivalent</w:t>
      </w:r>
      <w:r w:rsidR="00B10FED">
        <w:t>, 2017-2018 s</w:t>
      </w:r>
      <w:r w:rsidR="00E06248" w:rsidRPr="00DA0A20">
        <w:t>trains (QIV-SD),</w:t>
      </w:r>
      <w:r w:rsidR="00E06248">
        <w:t xml:space="preserve"> </w:t>
      </w:r>
      <w:r w:rsidR="00E06248" w:rsidRPr="00DA0A20">
        <w:t>provided in a pre-filled single-dose syringe.</w:t>
      </w:r>
      <w:r w:rsidR="00E06248">
        <w:t xml:space="preserve"> </w:t>
      </w:r>
      <w:r w:rsidR="00E06248" w:rsidRPr="00DA0A20">
        <w:t>Each 0.5 mL dose of QIV-SD contains:</w:t>
      </w:r>
      <w:r w:rsidR="00E06248">
        <w:t xml:space="preserve"> </w:t>
      </w:r>
      <w:r w:rsidR="00E06248" w:rsidRPr="00DA0A20">
        <w:t xml:space="preserve">Strains determined based on </w:t>
      </w:r>
      <w:r w:rsidR="0058524A">
        <w:t>the</w:t>
      </w:r>
      <w:r w:rsidR="00E06248" w:rsidRPr="00DA0A20">
        <w:t xml:space="preserve"> National Institute of Infectious Diseases (NIID)</w:t>
      </w:r>
      <w:r w:rsidR="00E06248">
        <w:t xml:space="preserve"> </w:t>
      </w:r>
      <w:r w:rsidR="0058524A">
        <w:t xml:space="preserve">of Japan </w:t>
      </w:r>
      <w:r w:rsidR="00E06248" w:rsidRPr="00DA0A20">
        <w:t>reco</w:t>
      </w:r>
      <w:r w:rsidR="0058524A">
        <w:t>mmendations for the 2017-2018</w:t>
      </w:r>
      <w:r w:rsidR="0058524A" w:rsidRPr="0058524A">
        <w:t xml:space="preserve"> </w:t>
      </w:r>
      <w:r w:rsidR="0058524A" w:rsidRPr="00BF78EB">
        <w:t>Northern He</w:t>
      </w:r>
      <w:r w:rsidR="0058524A">
        <w:t>misphere</w:t>
      </w:r>
      <w:r w:rsidR="00E06248" w:rsidRPr="00DA0A20">
        <w:t xml:space="preserve"> influenza season.</w:t>
      </w:r>
    </w:p>
    <w:p w14:paraId="15D15685" w14:textId="77777777" w:rsidR="00B10FED" w:rsidRDefault="00B10FED" w:rsidP="00ED0175">
      <w:pPr>
        <w:pStyle w:val="ListBullet2"/>
      </w:pPr>
      <w:r>
        <w:t>Active substances:</w:t>
      </w:r>
    </w:p>
    <w:p w14:paraId="1AF0EC3C" w14:textId="77777777" w:rsidR="00B10FED" w:rsidRDefault="00E06248" w:rsidP="00ED0175">
      <w:pPr>
        <w:pStyle w:val="ListBullet3"/>
      </w:pPr>
      <w:r w:rsidRPr="00DA0A20">
        <w:t xml:space="preserve">A/Singapore/GP1908/2015 (IVR-180) (H1N1) pdm09 strain 15 </w:t>
      </w:r>
      <w:r w:rsidR="00E445D3">
        <w:t>µg</w:t>
      </w:r>
      <w:r w:rsidRPr="00DA0A20">
        <w:t xml:space="preserve"> HA</w:t>
      </w:r>
    </w:p>
    <w:p w14:paraId="27A36AF4" w14:textId="77777777" w:rsidR="00B10FED" w:rsidRDefault="00E06248" w:rsidP="00ED0175">
      <w:pPr>
        <w:pStyle w:val="ListBullet3"/>
      </w:pPr>
      <w:r w:rsidRPr="00DA0A20">
        <w:t xml:space="preserve">A/Hong Kong/4801/2014 (NYMC X-263) (H3N2) strain 15 </w:t>
      </w:r>
      <w:r w:rsidR="00E445D3">
        <w:t>µg</w:t>
      </w:r>
      <w:r w:rsidRPr="00DA0A20">
        <w:t xml:space="preserve"> HA</w:t>
      </w:r>
    </w:p>
    <w:p w14:paraId="434ACC1C" w14:textId="77777777" w:rsidR="00B10FED" w:rsidRDefault="00E06248" w:rsidP="00ED0175">
      <w:pPr>
        <w:pStyle w:val="ListBullet3"/>
      </w:pPr>
      <w:r w:rsidRPr="00DA0A20">
        <w:t xml:space="preserve">B/Phuket/3073/2013 strain 15 </w:t>
      </w:r>
      <w:r w:rsidR="00E445D3">
        <w:t>µg</w:t>
      </w:r>
      <w:r w:rsidRPr="00DA0A20">
        <w:t xml:space="preserve"> HA</w:t>
      </w:r>
    </w:p>
    <w:p w14:paraId="2785343A" w14:textId="77777777" w:rsidR="00E06248" w:rsidRDefault="00E06248" w:rsidP="00ED0175">
      <w:pPr>
        <w:pStyle w:val="ListBullet3"/>
      </w:pPr>
      <w:r w:rsidRPr="00DA0A20">
        <w:t xml:space="preserve">B/Texas/2/2013 strain 15 </w:t>
      </w:r>
      <w:r w:rsidR="00E445D3">
        <w:t>µg</w:t>
      </w:r>
      <w:r w:rsidRPr="00DA0A20">
        <w:t xml:space="preserve"> HA.</w:t>
      </w:r>
    </w:p>
    <w:p w14:paraId="3C3157AF" w14:textId="77777777" w:rsidR="00B10FED" w:rsidRDefault="00E06248" w:rsidP="00E06248">
      <w:pPr>
        <w:autoSpaceDE w:val="0"/>
        <w:autoSpaceDN w:val="0"/>
        <w:spacing w:before="0" w:line="240" w:lineRule="auto"/>
        <w:rPr>
          <w:rFonts w:eastAsiaTheme="minorHAnsi" w:cs="ArialNarrow,Bold"/>
          <w:bCs/>
        </w:rPr>
      </w:pPr>
      <w:r w:rsidRPr="00DA0A20">
        <w:rPr>
          <w:rFonts w:eastAsiaTheme="minorHAnsi" w:cs="ArialNarrow,Bold"/>
          <w:bCs/>
        </w:rPr>
        <w:t>Imm</w:t>
      </w:r>
      <w:r w:rsidR="00B10FED">
        <w:rPr>
          <w:rFonts w:eastAsiaTheme="minorHAnsi" w:cs="ArialNarrow,Bold"/>
          <w:bCs/>
        </w:rPr>
        <w:t>unogenicity was evaluated by:</w:t>
      </w:r>
    </w:p>
    <w:p w14:paraId="4BFD9A68" w14:textId="77777777" w:rsidR="00B10FED" w:rsidRDefault="00E06248" w:rsidP="00844094">
      <w:pPr>
        <w:pStyle w:val="ListBullet"/>
      </w:pPr>
      <w:r w:rsidRPr="00DA0A20">
        <w:rPr>
          <w:rFonts w:eastAsiaTheme="minorHAnsi" w:cs="Symbol"/>
        </w:rPr>
        <w:lastRenderedPageBreak/>
        <w:t>HAI</w:t>
      </w:r>
      <w:r w:rsidRPr="00DA0A20">
        <w:t xml:space="preserve"> antibody titres obtained on D</w:t>
      </w:r>
      <w:r w:rsidR="00B10FED">
        <w:t xml:space="preserve">ay </w:t>
      </w:r>
      <w:r w:rsidRPr="00DA0A20">
        <w:t>0 and D</w:t>
      </w:r>
      <w:r w:rsidR="00B10FED">
        <w:t>ay 28;</w:t>
      </w:r>
    </w:p>
    <w:p w14:paraId="5B196CB5" w14:textId="77777777" w:rsidR="00B10FED" w:rsidRDefault="00B10FED" w:rsidP="00844094">
      <w:pPr>
        <w:pStyle w:val="ListBullet"/>
      </w:pPr>
      <w:r>
        <w:rPr>
          <w:rFonts w:eastAsiaTheme="minorHAnsi" w:cs="Symbol"/>
        </w:rPr>
        <w:t>i</w:t>
      </w:r>
      <w:r w:rsidR="00E06248" w:rsidRPr="00DA0A20">
        <w:t xml:space="preserve">ndividual </w:t>
      </w:r>
      <w:r w:rsidR="00E06248">
        <w:t>titre</w:t>
      </w:r>
      <w:r w:rsidR="00E06248" w:rsidRPr="00DA0A20">
        <w:t xml:space="preserve"> ratios of HAI at D</w:t>
      </w:r>
      <w:r>
        <w:t xml:space="preserve">ay </w:t>
      </w:r>
      <w:r w:rsidR="00E06248" w:rsidRPr="00DA0A20">
        <w:t>28/D</w:t>
      </w:r>
      <w:r>
        <w:t>ay 0;</w:t>
      </w:r>
    </w:p>
    <w:p w14:paraId="796C4F4A" w14:textId="77777777" w:rsidR="00B10FED" w:rsidRDefault="00B10FED" w:rsidP="00844094">
      <w:pPr>
        <w:pStyle w:val="ListBullet"/>
      </w:pPr>
      <w:r>
        <w:t>seroconversion:</w:t>
      </w:r>
    </w:p>
    <w:p w14:paraId="4B2ACD88" w14:textId="40E73D8D" w:rsidR="00B10FED" w:rsidRDefault="00E06248" w:rsidP="00B10FED">
      <w:pPr>
        <w:pStyle w:val="ListBullet2"/>
      </w:pPr>
      <w:r>
        <w:t>titre</w:t>
      </w:r>
      <w:r w:rsidR="00B10FED">
        <w:t xml:space="preserve"> &lt;10 (1/dil)</w:t>
      </w:r>
      <w:r w:rsidRPr="00DA0A20">
        <w:t xml:space="preserve"> at D</w:t>
      </w:r>
      <w:r w:rsidR="00B10FED">
        <w:t xml:space="preserve">ay </w:t>
      </w:r>
      <w:r w:rsidRPr="00DA0A20">
        <w:t xml:space="preserve">0 and post-injection </w:t>
      </w:r>
      <w:r>
        <w:t>titre</w:t>
      </w:r>
      <w:r w:rsidR="00B10FED">
        <w:t xml:space="preserve"> ≥</w:t>
      </w:r>
      <w:r w:rsidR="00ED0175">
        <w:t xml:space="preserve"> </w:t>
      </w:r>
      <w:r w:rsidR="00B10FED">
        <w:t>40 (1/dil)</w:t>
      </w:r>
      <w:r w:rsidRPr="00DA0A20">
        <w:t xml:space="preserve"> at D</w:t>
      </w:r>
      <w:r w:rsidR="00B10FED">
        <w:t>ay 28; or</w:t>
      </w:r>
    </w:p>
    <w:p w14:paraId="441BB9CA" w14:textId="77777777" w:rsidR="00B10FED" w:rsidRDefault="00E06248" w:rsidP="00B10FED">
      <w:pPr>
        <w:pStyle w:val="ListBullet2"/>
      </w:pPr>
      <w:r>
        <w:t>titre</w:t>
      </w:r>
      <w:r w:rsidR="00460B02">
        <w:t xml:space="preserve"> ≥10 (1/dil)</w:t>
      </w:r>
      <w:r w:rsidRPr="00DA0A20">
        <w:t xml:space="preserve"> at D</w:t>
      </w:r>
      <w:r w:rsidR="00460B02">
        <w:t xml:space="preserve">ay </w:t>
      </w:r>
      <w:r w:rsidRPr="00DA0A20">
        <w:t>0 and a ≥</w:t>
      </w:r>
      <w:r w:rsidR="00460B02">
        <w:t xml:space="preserve"> </w:t>
      </w:r>
      <w:r w:rsidRPr="00DA0A20">
        <w:t xml:space="preserve">4-fold increase in </w:t>
      </w:r>
      <w:r>
        <w:t>titre</w:t>
      </w:r>
      <w:r w:rsidR="00460B02">
        <w:t xml:space="preserve"> (1/dil)</w:t>
      </w:r>
      <w:r w:rsidR="00B10FED">
        <w:t xml:space="preserve"> at D</w:t>
      </w:r>
      <w:r w:rsidR="00460B02">
        <w:t xml:space="preserve">ay </w:t>
      </w:r>
      <w:r w:rsidR="00B10FED">
        <w:t>28;</w:t>
      </w:r>
    </w:p>
    <w:p w14:paraId="76B35CFC" w14:textId="77777777" w:rsidR="00E06248" w:rsidRDefault="00B10FED" w:rsidP="00844094">
      <w:pPr>
        <w:pStyle w:val="ListBullet"/>
      </w:pPr>
      <w:r>
        <w:t>seroprotection, titre ≥40 (</w:t>
      </w:r>
      <w:r w:rsidR="00E06248">
        <w:t>1/di</w:t>
      </w:r>
      <w:r>
        <w:t>l)</w:t>
      </w:r>
      <w:r w:rsidR="00E06248">
        <w:t xml:space="preserve"> at D</w:t>
      </w:r>
      <w:r>
        <w:t xml:space="preserve">ay </w:t>
      </w:r>
      <w:r w:rsidR="00E06248">
        <w:t>0 and D</w:t>
      </w:r>
      <w:r>
        <w:t xml:space="preserve">ay </w:t>
      </w:r>
      <w:r w:rsidR="00E06248">
        <w:t>28.</w:t>
      </w:r>
    </w:p>
    <w:p w14:paraId="5A03313F" w14:textId="77777777" w:rsidR="00E06248" w:rsidRDefault="00E06248" w:rsidP="00E06248">
      <w:pPr>
        <w:rPr>
          <w:b/>
        </w:rPr>
      </w:pPr>
      <w:r w:rsidRPr="00045F6B">
        <w:t>The FAS included all randomised subjects who received at least one dose of the study vaccine and had a post-vaccination blood sample HAI result for at least one strain.</w:t>
      </w:r>
    </w:p>
    <w:p w14:paraId="478527E9" w14:textId="77777777" w:rsidR="00E06248" w:rsidRDefault="00E06248" w:rsidP="00E06248">
      <w:r w:rsidRPr="00DA0A20">
        <w:rPr>
          <w:rFonts w:eastAsia="ArialNarrow" w:cs="ArialNarrow"/>
        </w:rPr>
        <w:t xml:space="preserve">Majority of subjects were males (54.3%) with mean age </w:t>
      </w:r>
      <w:r w:rsidR="00460B02">
        <w:rPr>
          <w:rFonts w:eastAsia="ArialNarrow" w:cs="ArialNarrow"/>
        </w:rPr>
        <w:t>of 70 years (28/175, 16% aged &gt; </w:t>
      </w:r>
      <w:r w:rsidRPr="00DA0A20">
        <w:rPr>
          <w:rFonts w:eastAsia="ArialNarrow" w:cs="ArialNarrow"/>
        </w:rPr>
        <w:t>75 years) and mean BMI of 24kg/m</w:t>
      </w:r>
      <w:r w:rsidRPr="00DA0A20">
        <w:rPr>
          <w:rFonts w:eastAsia="ArialNarrow" w:cs="ArialNarrow"/>
          <w:vertAlign w:val="superscript"/>
        </w:rPr>
        <w:t>2</w:t>
      </w:r>
      <w:r w:rsidRPr="00045F6B">
        <w:rPr>
          <w:rFonts w:eastAsia="ArialNarrow" w:cs="ArialNarrow"/>
        </w:rPr>
        <w:t>.</w:t>
      </w:r>
      <w:r>
        <w:rPr>
          <w:rFonts w:eastAsia="ArialNarrow" w:cs="ArialNarrow"/>
        </w:rPr>
        <w:t xml:space="preserve"> </w:t>
      </w:r>
      <w:r w:rsidRPr="00045F6B">
        <w:rPr>
          <w:rFonts w:eastAsia="ArialNarrow" w:cs="ArialNarrow"/>
        </w:rPr>
        <w:t>Almost all of the subjects</w:t>
      </w:r>
      <w:r>
        <w:rPr>
          <w:rFonts w:eastAsia="ArialNarrow" w:cs="ArialNarrow"/>
        </w:rPr>
        <w:t xml:space="preserve"> had at least one ongoing significant </w:t>
      </w:r>
      <w:r w:rsidR="006308C8">
        <w:rPr>
          <w:rFonts w:eastAsia="ArialNarrow" w:cs="ArialNarrow"/>
        </w:rPr>
        <w:t xml:space="preserve">diagnosis in the </w:t>
      </w:r>
      <w:r>
        <w:rPr>
          <w:rFonts w:eastAsia="ArialNarrow" w:cs="ArialNarrow"/>
        </w:rPr>
        <w:t>medical history.</w:t>
      </w:r>
      <w:r w:rsidRPr="00045F6B">
        <w:rPr>
          <w:rFonts w:eastAsia="ArialNarrow" w:cs="ArialNarrow"/>
        </w:rPr>
        <w:t xml:space="preserve"> </w:t>
      </w:r>
      <w:r w:rsidRPr="00DA0A20">
        <w:rPr>
          <w:rFonts w:eastAsia="ArialNarrow" w:cs="ArialNarrow"/>
        </w:rPr>
        <w:t>Baseline demographics and medical history was similar across treatment groups. The percentages of subjects who had received an influenza vaccination in the previous year (2016/2017 influenza season) were similar between the QIV-HD SC and QIV-SD SC groups (31.7% and 30.9%, respectively), but lower in the QIV-HD IM group (16.7%)</w:t>
      </w:r>
    </w:p>
    <w:p w14:paraId="5A58F04E" w14:textId="77777777" w:rsidR="00E06248" w:rsidRDefault="00E06248" w:rsidP="00E06248">
      <w:r>
        <w:rPr>
          <w:rFonts w:eastAsia="ArialNarrow" w:cs="ArialNarrow"/>
        </w:rPr>
        <w:t>Post-vaccination, th</w:t>
      </w:r>
      <w:r w:rsidRPr="00DA0A20">
        <w:rPr>
          <w:rFonts w:eastAsia="ArialNarrow" w:cs="ArialNarrow"/>
        </w:rPr>
        <w:t>e seroconversion rate for both the QIV-HD IM and QIV-HD SC groups were higher than the QIV-SD SC group for all strains regardless of testing the subjects’ sera with either the QIV-HD strains or QIV-SD strains</w:t>
      </w:r>
      <w:r>
        <w:rPr>
          <w:rFonts w:eastAsia="ArialNarrow" w:cs="ArialNarrow"/>
        </w:rPr>
        <w:t>. Th</w:t>
      </w:r>
      <w:r w:rsidRPr="00DA0A20">
        <w:rPr>
          <w:rFonts w:eastAsia="ArialNarrow" w:cs="ArialNarrow"/>
        </w:rPr>
        <w:t>e difference (QIV-HD − QIV-SD) rang</w:t>
      </w:r>
      <w:r>
        <w:rPr>
          <w:rFonts w:eastAsia="ArialNarrow" w:cs="ArialNarrow"/>
        </w:rPr>
        <w:t xml:space="preserve">ed </w:t>
      </w:r>
      <w:r w:rsidRPr="00DA0A20">
        <w:rPr>
          <w:rFonts w:eastAsia="ArialNarrow" w:cs="ArialNarrow"/>
        </w:rPr>
        <w:t>from 17.9 to 42.9 or the QIV-HD IM group, and from 10.2</w:t>
      </w:r>
      <w:r>
        <w:rPr>
          <w:rFonts w:eastAsia="ArialNarrow" w:cs="ArialNarrow"/>
        </w:rPr>
        <w:t xml:space="preserve"> </w:t>
      </w:r>
      <w:r w:rsidRPr="00DA0A20">
        <w:rPr>
          <w:rFonts w:eastAsia="ArialNarrow" w:cs="ArialNarrow"/>
        </w:rPr>
        <w:t>to 30.3 for the QIV-HD SC group. The seroconversion rates for the QIV-HD IM group were higher than the QIV-HD SC group for all strains, with the difference (QIV-HD IM − Q</w:t>
      </w:r>
      <w:r w:rsidR="006308C8">
        <w:rPr>
          <w:rFonts w:eastAsia="ArialNarrow" w:cs="ArialNarrow"/>
        </w:rPr>
        <w:t>IV-HD SC) ranging from 1.8 (95% </w:t>
      </w:r>
      <w:r w:rsidRPr="00DA0A20">
        <w:rPr>
          <w:rFonts w:eastAsia="ArialNarrow" w:cs="ArialNarrow"/>
        </w:rPr>
        <w:t>CI: −15.6; 19.1) to 21.8 (95% CI: 5.5; 36.8)</w:t>
      </w:r>
      <w:r w:rsidR="0058524A">
        <w:rPr>
          <w:rFonts w:eastAsia="ArialNarrow" w:cs="ArialNarrow"/>
        </w:rPr>
        <w:t>.</w:t>
      </w:r>
    </w:p>
    <w:p w14:paraId="2107D84C" w14:textId="77777777" w:rsidR="00E06248" w:rsidRDefault="00E06248" w:rsidP="00E06248">
      <w:pPr>
        <w:rPr>
          <w:rFonts w:eastAsia="ArialNarrow" w:cs="ArialNarrow"/>
        </w:rPr>
      </w:pPr>
      <w:r>
        <w:rPr>
          <w:rFonts w:eastAsia="ArialNarrow" w:cs="ArialNarrow"/>
        </w:rPr>
        <w:t xml:space="preserve">Post-vaccination, </w:t>
      </w:r>
      <w:r w:rsidRPr="00DA0A20">
        <w:rPr>
          <w:rFonts w:eastAsia="ArialNarrow" w:cs="ArialNarrow"/>
        </w:rPr>
        <w:t>high seroprotection rates (nearly100%) were achieved for all strains in the QIV-HD IM and QIV-HD SC groups. In the QIV-SD SC group, seroprotection rates were over 90% for all strains</w:t>
      </w:r>
      <w:r>
        <w:rPr>
          <w:rFonts w:eastAsia="ArialNarrow" w:cs="ArialNarrow"/>
        </w:rPr>
        <w:t>.</w:t>
      </w:r>
    </w:p>
    <w:p w14:paraId="4501AE08" w14:textId="77777777" w:rsidR="00E06248" w:rsidRPr="00045F6B" w:rsidRDefault="00E06248" w:rsidP="00E06248">
      <w:r>
        <w:rPr>
          <w:rFonts w:eastAsia="ArialNarrow" w:cs="ArialNarrow"/>
        </w:rPr>
        <w:t xml:space="preserve">Post-vaccination, </w:t>
      </w:r>
      <w:r w:rsidRPr="00DA0A20">
        <w:rPr>
          <w:rFonts w:eastAsia="ArialNarrow" w:cs="ArialNarrow"/>
        </w:rPr>
        <w:t>the GMTRs (V</w:t>
      </w:r>
      <w:r w:rsidR="006308C8">
        <w:rPr>
          <w:rFonts w:eastAsia="ArialNarrow" w:cs="ArialNarrow"/>
        </w:rPr>
        <w:t xml:space="preserve">isit </w:t>
      </w:r>
      <w:r w:rsidRPr="00DA0A20">
        <w:rPr>
          <w:rFonts w:eastAsia="ArialNarrow" w:cs="ArialNarrow"/>
        </w:rPr>
        <w:t>3</w:t>
      </w:r>
      <w:r w:rsidR="006308C8">
        <w:rPr>
          <w:rFonts w:eastAsia="ArialNarrow" w:cs="ArialNarrow"/>
        </w:rPr>
        <w:t xml:space="preserve"> </w:t>
      </w:r>
      <w:r w:rsidRPr="00DA0A20">
        <w:rPr>
          <w:rFonts w:eastAsia="ArialNarrow" w:cs="ArialNarrow"/>
        </w:rPr>
        <w:t>/</w:t>
      </w:r>
      <w:r w:rsidR="006308C8">
        <w:rPr>
          <w:rFonts w:eastAsia="ArialNarrow" w:cs="ArialNarrow"/>
        </w:rPr>
        <w:t xml:space="preserve"> </w:t>
      </w:r>
      <w:r w:rsidRPr="00DA0A20">
        <w:rPr>
          <w:rFonts w:eastAsia="ArialNarrow" w:cs="ArialNarrow"/>
        </w:rPr>
        <w:t>V</w:t>
      </w:r>
      <w:r w:rsidR="006308C8">
        <w:rPr>
          <w:rFonts w:eastAsia="ArialNarrow" w:cs="ArialNarrow"/>
        </w:rPr>
        <w:t xml:space="preserve">isit </w:t>
      </w:r>
      <w:r w:rsidRPr="00DA0A20">
        <w:rPr>
          <w:rFonts w:eastAsia="ArialNarrow" w:cs="ArialNarrow"/>
        </w:rPr>
        <w:t>1), and the s</w:t>
      </w:r>
      <w:r w:rsidR="006308C8">
        <w:rPr>
          <w:rFonts w:eastAsia="ArialNarrow" w:cs="ArialNarrow"/>
        </w:rPr>
        <w:t>eroconversion rates for the QIV</w:t>
      </w:r>
      <w:r w:rsidR="006308C8">
        <w:rPr>
          <w:rFonts w:eastAsia="ArialNarrow" w:cs="ArialNarrow"/>
        </w:rPr>
        <w:noBreakHyphen/>
      </w:r>
      <w:r w:rsidRPr="00DA0A20">
        <w:rPr>
          <w:rFonts w:eastAsia="ArialNarrow" w:cs="ArialNarrow"/>
        </w:rPr>
        <w:t>HD IM and QIV-HD SC groups were higher than the QIV-SD SC group for all strains regardless of whether sera was tested against the QIV-HD or QIV-SD strains</w:t>
      </w:r>
      <w:r>
        <w:rPr>
          <w:rFonts w:eastAsia="ArialNarrow" w:cs="ArialNarrow"/>
        </w:rPr>
        <w:t>.</w:t>
      </w:r>
    </w:p>
    <w:p w14:paraId="6C7E3B40" w14:textId="4DE92543" w:rsidR="00E06248" w:rsidRPr="00E06248" w:rsidRDefault="00E06248" w:rsidP="00E06248">
      <w:r>
        <w:t>It</w:t>
      </w:r>
      <w:r w:rsidRPr="00DA0A20">
        <w:t xml:space="preserve"> was observed that the GMTs at V</w:t>
      </w:r>
      <w:r w:rsidR="006308C8">
        <w:t xml:space="preserve">isit </w:t>
      </w:r>
      <w:r w:rsidRPr="00DA0A20">
        <w:t xml:space="preserve">3 (post-vaccination), </w:t>
      </w:r>
      <w:r w:rsidR="00D6385C">
        <w:t>geometric mean titre rations (GMTR)</w:t>
      </w:r>
      <w:r>
        <w:t xml:space="preserve"> </w:t>
      </w:r>
      <w:r w:rsidRPr="00DA0A20">
        <w:t>(V</w:t>
      </w:r>
      <w:r w:rsidR="006308C8">
        <w:t xml:space="preserve">isit </w:t>
      </w:r>
      <w:r w:rsidRPr="00DA0A20">
        <w:t>3</w:t>
      </w:r>
      <w:r w:rsidR="006308C8">
        <w:t xml:space="preserve"> </w:t>
      </w:r>
      <w:r w:rsidRPr="00DA0A20">
        <w:t>/</w:t>
      </w:r>
      <w:r w:rsidR="006308C8">
        <w:t xml:space="preserve"> </w:t>
      </w:r>
      <w:r w:rsidRPr="00DA0A20">
        <w:t>V</w:t>
      </w:r>
      <w:r w:rsidR="006308C8">
        <w:t xml:space="preserve">isit </w:t>
      </w:r>
      <w:r w:rsidRPr="00DA0A20">
        <w:t xml:space="preserve">1), and seroconversion rates of subjects </w:t>
      </w:r>
      <w:r w:rsidRPr="00982E0B">
        <w:rPr>
          <w:u w:val="single"/>
        </w:rPr>
        <w:t>&gt;</w:t>
      </w:r>
      <w:r w:rsidR="00ED0175">
        <w:rPr>
          <w:u w:val="single"/>
        </w:rPr>
        <w:t xml:space="preserve"> </w:t>
      </w:r>
      <w:r w:rsidRPr="00DA0A20">
        <w:t>75 years in the QIV-HD IM group</w:t>
      </w:r>
      <w:r>
        <w:t xml:space="preserve"> </w:t>
      </w:r>
      <w:r w:rsidRPr="00DA0A20">
        <w:t xml:space="preserve">were lower compared with subjects </w:t>
      </w:r>
      <w:r>
        <w:t>&lt;</w:t>
      </w:r>
      <w:r w:rsidR="006308C8">
        <w:t xml:space="preserve"> </w:t>
      </w:r>
      <w:r w:rsidRPr="00DA0A20">
        <w:t>75 years for any strain</w:t>
      </w:r>
      <w:r>
        <w:t xml:space="preserve">; however, there were limited </w:t>
      </w:r>
      <w:r w:rsidRPr="00DA0A20">
        <w:t>number</w:t>
      </w:r>
      <w:r>
        <w:t>s</w:t>
      </w:r>
      <w:r w:rsidRPr="00DA0A20">
        <w:t xml:space="preserve"> of subjects </w:t>
      </w:r>
      <w:r>
        <w:t xml:space="preserve">aged </w:t>
      </w:r>
      <w:r w:rsidRPr="00982E0B">
        <w:rPr>
          <w:u w:val="single"/>
        </w:rPr>
        <w:t>&gt;</w:t>
      </w:r>
      <w:r w:rsidR="00ED0175">
        <w:rPr>
          <w:u w:val="single"/>
        </w:rPr>
        <w:t xml:space="preserve"> </w:t>
      </w:r>
      <w:r w:rsidRPr="00DA0A20">
        <w:t>75 years</w:t>
      </w:r>
      <w:r>
        <w:t>.</w:t>
      </w:r>
    </w:p>
    <w:p w14:paraId="41B3F7FE" w14:textId="77777777" w:rsidR="00E06248" w:rsidRPr="006308C8" w:rsidRDefault="00E06248" w:rsidP="006308C8">
      <w:pPr>
        <w:pStyle w:val="Heading4"/>
      </w:pPr>
      <w:r w:rsidRPr="00072D13">
        <w:t>Efficacy</w:t>
      </w:r>
    </w:p>
    <w:p w14:paraId="303D9AEC" w14:textId="77777777" w:rsidR="00E06248" w:rsidRDefault="00E06248" w:rsidP="006308C8">
      <w:r>
        <w:t xml:space="preserve">In this submission, </w:t>
      </w:r>
      <w:r w:rsidRPr="006308C8">
        <w:t>the</w:t>
      </w:r>
      <w:r>
        <w:t xml:space="preserve"> sponsors state that evidence for efficacy of TIV-HD (compared to TIV-SD) in preventing </w:t>
      </w:r>
      <w:r w:rsidRPr="00466300">
        <w:rPr>
          <w:i/>
        </w:rPr>
        <w:t xml:space="preserve">‘associated complication of pneumonia-related hospitalisation’ </w:t>
      </w:r>
      <w:r>
        <w:t>was provided by the following 3 studies</w:t>
      </w:r>
      <w:r w:rsidR="006308C8">
        <w:t>:</w:t>
      </w:r>
    </w:p>
    <w:p w14:paraId="466D2CCC" w14:textId="77777777" w:rsidR="00E06248" w:rsidRPr="006308C8" w:rsidRDefault="006308C8" w:rsidP="00844094">
      <w:pPr>
        <w:pStyle w:val="ListBullet"/>
      </w:pPr>
      <w:r>
        <w:t>s</w:t>
      </w:r>
      <w:r w:rsidR="00E06248" w:rsidRPr="006308C8">
        <w:t>upplementary analys</w:t>
      </w:r>
      <w:r>
        <w:t>es of data from pivotal TIV-HD S</w:t>
      </w:r>
      <w:r w:rsidR="00E06248" w:rsidRPr="006308C8">
        <w:t>tudy FIM12</w:t>
      </w:r>
      <w:r>
        <w:t>;</w:t>
      </w:r>
    </w:p>
    <w:p w14:paraId="655C5883" w14:textId="2E03A8E3" w:rsidR="00E06248" w:rsidRPr="006308C8" w:rsidRDefault="006308C8" w:rsidP="00844094">
      <w:pPr>
        <w:pStyle w:val="ListBullet"/>
      </w:pPr>
      <w:r>
        <w:t>t</w:t>
      </w:r>
      <w:r w:rsidR="00E06248" w:rsidRPr="006308C8">
        <w:t>he cluster</w:t>
      </w:r>
      <w:r>
        <w:t xml:space="preserve"> randomised control trial (</w:t>
      </w:r>
      <w:r w:rsidR="00E06248" w:rsidRPr="006308C8">
        <w:t>RCT</w:t>
      </w:r>
      <w:r>
        <w:t>)</w:t>
      </w:r>
      <w:r w:rsidR="00E06248" w:rsidRPr="006308C8">
        <w:t xml:space="preserve"> published by Gravenstein </w:t>
      </w:r>
      <w:r w:rsidR="00D6385C">
        <w:t>et al.</w:t>
      </w:r>
      <w:r>
        <w:t xml:space="preserve"> (</w:t>
      </w:r>
      <w:r w:rsidR="00E06248" w:rsidRPr="006308C8">
        <w:t>2018</w:t>
      </w:r>
      <w:r>
        <w:t>);</w:t>
      </w:r>
      <w:r w:rsidR="00D6385C" w:rsidRPr="00D6385C">
        <w:rPr>
          <w:vertAlign w:val="superscript"/>
        </w:rPr>
        <w:fldChar w:fldCharType="begin"/>
      </w:r>
      <w:r w:rsidR="00D6385C" w:rsidRPr="00D6385C">
        <w:rPr>
          <w:vertAlign w:val="superscript"/>
        </w:rPr>
        <w:instrText xml:space="preserve"> NOTEREF _Ref55016951 \h </w:instrText>
      </w:r>
      <w:r w:rsidR="00D6385C">
        <w:rPr>
          <w:vertAlign w:val="superscript"/>
        </w:rPr>
        <w:instrText xml:space="preserve"> \* MERGEFORMAT </w:instrText>
      </w:r>
      <w:r w:rsidR="00D6385C" w:rsidRPr="00D6385C">
        <w:rPr>
          <w:vertAlign w:val="superscript"/>
        </w:rPr>
      </w:r>
      <w:r w:rsidR="00D6385C" w:rsidRPr="00D6385C">
        <w:rPr>
          <w:vertAlign w:val="superscript"/>
        </w:rPr>
        <w:fldChar w:fldCharType="separate"/>
      </w:r>
      <w:r w:rsidR="00DA143A">
        <w:rPr>
          <w:vertAlign w:val="superscript"/>
        </w:rPr>
        <w:t>10</w:t>
      </w:r>
      <w:r w:rsidR="00D6385C" w:rsidRPr="00D6385C">
        <w:rPr>
          <w:vertAlign w:val="superscript"/>
        </w:rPr>
        <w:fldChar w:fldCharType="end"/>
      </w:r>
      <w:r>
        <w:t xml:space="preserve"> and</w:t>
      </w:r>
    </w:p>
    <w:p w14:paraId="22BC8198" w14:textId="19596E46" w:rsidR="00E06248" w:rsidRPr="006308C8" w:rsidRDefault="006308C8" w:rsidP="00844094">
      <w:pPr>
        <w:pStyle w:val="ListBullet"/>
      </w:pPr>
      <w:r>
        <w:t>t</w:t>
      </w:r>
      <w:r w:rsidR="00E06248" w:rsidRPr="006308C8">
        <w:t xml:space="preserve">he retrospective </w:t>
      </w:r>
      <w:r w:rsidR="00D6385C">
        <w:t>cohort study published by Young-</w:t>
      </w:r>
      <w:r w:rsidR="00E06248" w:rsidRPr="006308C8">
        <w:t xml:space="preserve">Xu </w:t>
      </w:r>
      <w:r w:rsidR="00D6385C">
        <w:t>et al.</w:t>
      </w:r>
      <w:r>
        <w:t xml:space="preserve"> (</w:t>
      </w:r>
      <w:r w:rsidR="00E06248" w:rsidRPr="006308C8">
        <w:t>2018</w:t>
      </w:r>
      <w:r>
        <w:t>).</w:t>
      </w:r>
      <w:r w:rsidR="00D6385C" w:rsidRPr="00D6385C">
        <w:rPr>
          <w:vertAlign w:val="superscript"/>
        </w:rPr>
        <w:fldChar w:fldCharType="begin"/>
      </w:r>
      <w:r w:rsidR="00D6385C" w:rsidRPr="00D6385C">
        <w:rPr>
          <w:vertAlign w:val="superscript"/>
        </w:rPr>
        <w:instrText xml:space="preserve"> NOTEREF _Ref55018014 \h </w:instrText>
      </w:r>
      <w:r w:rsidR="00D6385C">
        <w:rPr>
          <w:vertAlign w:val="superscript"/>
        </w:rPr>
        <w:instrText xml:space="preserve"> \* MERGEFORMAT </w:instrText>
      </w:r>
      <w:r w:rsidR="00D6385C" w:rsidRPr="00D6385C">
        <w:rPr>
          <w:vertAlign w:val="superscript"/>
        </w:rPr>
      </w:r>
      <w:r w:rsidR="00D6385C" w:rsidRPr="00D6385C">
        <w:rPr>
          <w:vertAlign w:val="superscript"/>
        </w:rPr>
        <w:fldChar w:fldCharType="separate"/>
      </w:r>
      <w:r w:rsidR="00DA143A">
        <w:rPr>
          <w:vertAlign w:val="superscript"/>
        </w:rPr>
        <w:t>11</w:t>
      </w:r>
      <w:r w:rsidR="00D6385C" w:rsidRPr="00D6385C">
        <w:rPr>
          <w:vertAlign w:val="superscript"/>
        </w:rPr>
        <w:fldChar w:fldCharType="end"/>
      </w:r>
    </w:p>
    <w:p w14:paraId="34C45C31" w14:textId="77777777" w:rsidR="006308C8" w:rsidRPr="006308C8" w:rsidRDefault="006308C8" w:rsidP="006308C8">
      <w:pPr>
        <w:pStyle w:val="Heading5"/>
        <w:rPr>
          <w:rFonts w:eastAsiaTheme="minorHAnsi"/>
        </w:rPr>
      </w:pPr>
      <w:r>
        <w:t>Study FIM12</w:t>
      </w:r>
    </w:p>
    <w:p w14:paraId="6C119193" w14:textId="79AABC74" w:rsidR="006308C8" w:rsidRDefault="00E06248" w:rsidP="006308C8">
      <w:r>
        <w:t xml:space="preserve">Study FIM12 was </w:t>
      </w:r>
      <w:r w:rsidR="006308C8">
        <w:t>a P</w:t>
      </w:r>
      <w:r w:rsidRPr="00DA0A20">
        <w:t>hase IIIb/IV study which compared the clinical efficacy of Fluzone H</w:t>
      </w:r>
      <w:r w:rsidR="006308C8">
        <w:t>igh</w:t>
      </w:r>
      <w:r w:rsidR="006308C8">
        <w:noBreakHyphen/>
      </w:r>
      <w:r w:rsidRPr="00DA0A20">
        <w:t>D</w:t>
      </w:r>
      <w:r w:rsidR="006308C8">
        <w:t>ose and Fluzone Standard</w:t>
      </w:r>
      <w:r w:rsidR="006308C8">
        <w:noBreakHyphen/>
        <w:t>Dose</w:t>
      </w:r>
      <w:r w:rsidRPr="00DA0A20">
        <w:t xml:space="preserve"> in preventing influenza in patients </w:t>
      </w:r>
      <w:r w:rsidRPr="00A10AAB">
        <w:rPr>
          <w:u w:val="single"/>
        </w:rPr>
        <w:t>&gt;</w:t>
      </w:r>
      <w:r w:rsidR="0073328E">
        <w:rPr>
          <w:u w:val="single"/>
        </w:rPr>
        <w:t xml:space="preserve"> </w:t>
      </w:r>
      <w:r w:rsidRPr="00DA0A20">
        <w:t>65 years of ag</w:t>
      </w:r>
      <w:r w:rsidR="006308C8">
        <w:t>e over two consecutive seasons.</w:t>
      </w:r>
    </w:p>
    <w:p w14:paraId="790AA311" w14:textId="3DC6E131" w:rsidR="00E06248" w:rsidRDefault="00E06248" w:rsidP="00A7562E">
      <w:pPr>
        <w:rPr>
          <w:rFonts w:eastAsiaTheme="minorHAnsi" w:cs="TimesNewRomanPSMT"/>
        </w:rPr>
      </w:pPr>
      <w:r w:rsidRPr="00DA0A20">
        <w:lastRenderedPageBreak/>
        <w:t xml:space="preserve">14,500 and 17,500 subjects were randomised 1:1 to receive either Fluzone </w:t>
      </w:r>
      <w:r w:rsidR="006308C8">
        <w:t>High-Dose</w:t>
      </w:r>
      <w:r w:rsidRPr="00DA0A20">
        <w:t xml:space="preserve"> or Fluzone</w:t>
      </w:r>
      <w:r w:rsidR="00ED0175">
        <w:t xml:space="preserve"> (standard</w:t>
      </w:r>
      <w:r w:rsidR="00ED0175">
        <w:noBreakHyphen/>
        <w:t>d</w:t>
      </w:r>
      <w:r w:rsidR="006308C8">
        <w:t>ose)</w:t>
      </w:r>
      <w:r w:rsidRPr="00DA0A20">
        <w:t xml:space="preserve"> in the first and second study years respect</w:t>
      </w:r>
      <w:r w:rsidR="006308C8">
        <w:t>ively. The primary endpoint of S</w:t>
      </w:r>
      <w:r w:rsidRPr="00DA0A20">
        <w:t xml:space="preserve">tudy FIM12 was the occurrence of culture or </w:t>
      </w:r>
      <w:r w:rsidR="006308C8">
        <w:t>polymerase chain reaction (</w:t>
      </w:r>
      <w:r w:rsidRPr="00DA0A20">
        <w:t>PCR</w:t>
      </w:r>
      <w:r w:rsidR="006308C8">
        <w:t>)</w:t>
      </w:r>
      <w:r w:rsidRPr="00DA0A20">
        <w:t xml:space="preserve"> confirmed influenza in subjects &gt;14 days after</w:t>
      </w:r>
      <w:r w:rsidR="005A2126">
        <w:t xml:space="preserve"> vaccination who had a protocol</w:t>
      </w:r>
      <w:r w:rsidR="005A2126">
        <w:noBreakHyphen/>
      </w:r>
      <w:r w:rsidRPr="00DA0A20">
        <w:t xml:space="preserve">defined </w:t>
      </w:r>
      <w:r w:rsidR="00A7562E">
        <w:t>influenza</w:t>
      </w:r>
      <w:r w:rsidR="00A7562E">
        <w:noBreakHyphen/>
        <w:t>like illness (</w:t>
      </w:r>
      <w:r w:rsidRPr="00DA0A20">
        <w:t>ILI</w:t>
      </w:r>
      <w:r w:rsidR="00A7562E">
        <w:t>)</w:t>
      </w:r>
      <w:r>
        <w:t xml:space="preserve">. </w:t>
      </w:r>
      <w:r w:rsidRPr="00DA0A20">
        <w:t>The number of cases of pneumonia or onset/exacerbation of pre-existing cardio-respiratory conditions</w:t>
      </w:r>
      <w:r w:rsidRPr="00DA0A20">
        <w:rPr>
          <w:rFonts w:eastAsia="TimesNewRoman" w:cs="TimesNewRoman"/>
        </w:rPr>
        <w:t>, hospital</w:t>
      </w:r>
      <w:r>
        <w:rPr>
          <w:rFonts w:eastAsia="TimesNewRoman" w:cs="TimesNewRoman"/>
        </w:rPr>
        <w:t>is</w:t>
      </w:r>
      <w:r w:rsidRPr="00DA0A20">
        <w:rPr>
          <w:rFonts w:eastAsia="TimesNewRoman" w:cs="TimesNewRoman"/>
        </w:rPr>
        <w:t>ations, overall medication use, antipyretic/analgesic/</w:t>
      </w:r>
      <w:r w:rsidR="00D6385C">
        <w:rPr>
          <w:rFonts w:eastAsia="TimesNewRoman" w:cs="TimesNewRoman"/>
        </w:rPr>
        <w:t>non-steroidal anti-inflammatory drug (</w:t>
      </w:r>
      <w:r w:rsidRPr="00DA0A20">
        <w:rPr>
          <w:rFonts w:eastAsia="TimesNewRoman" w:cs="TimesNewRoman"/>
        </w:rPr>
        <w:t>NSAID</w:t>
      </w:r>
      <w:r w:rsidR="00D6385C">
        <w:rPr>
          <w:rFonts w:eastAsia="TimesNewRoman" w:cs="TimesNewRoman"/>
        </w:rPr>
        <w:t>)</w:t>
      </w:r>
      <w:r w:rsidRPr="00DA0A20">
        <w:rPr>
          <w:rFonts w:eastAsia="TimesNewRoman" w:cs="TimesNewRoman"/>
        </w:rPr>
        <w:t xml:space="preserve"> use, and antiviral use</w:t>
      </w:r>
      <w:r w:rsidRPr="00DA0A20">
        <w:t xml:space="preserve"> was lower in the Fluzone </w:t>
      </w:r>
      <w:r w:rsidR="00A7562E">
        <w:t>High</w:t>
      </w:r>
      <w:r w:rsidR="00A7562E">
        <w:noBreakHyphen/>
        <w:t>Dose</w:t>
      </w:r>
      <w:r w:rsidRPr="00DA0A20">
        <w:t xml:space="preserve"> than the Fluzone </w:t>
      </w:r>
      <w:r>
        <w:t>S</w:t>
      </w:r>
      <w:r w:rsidR="00A7562E">
        <w:t>tandard</w:t>
      </w:r>
      <w:r w:rsidR="00A7562E">
        <w:noBreakHyphen/>
      </w:r>
      <w:r>
        <w:t>D</w:t>
      </w:r>
      <w:r w:rsidR="00A7562E">
        <w:t>ose</w:t>
      </w:r>
      <w:r>
        <w:t xml:space="preserve"> </w:t>
      </w:r>
      <w:r w:rsidR="00A7562E">
        <w:t>treated group for Y</w:t>
      </w:r>
      <w:r w:rsidRPr="00DA0A20">
        <w:t>ears 1 and 2 combined (in patients with confirmed diagnosis of influenza) although difference was not statistically significant with wide C</w:t>
      </w:r>
      <w:r w:rsidR="00A7562E">
        <w:t>Is</w:t>
      </w:r>
      <w:r w:rsidRPr="00DA0A20">
        <w:t>.</w:t>
      </w:r>
      <w:r w:rsidR="00A7562E">
        <w:t xml:space="preserve"> </w:t>
      </w:r>
      <w:r>
        <w:t xml:space="preserve">Results of Study FIM12 have previously been evaluated by </w:t>
      </w:r>
      <w:r w:rsidR="00D6385C">
        <w:t xml:space="preserve">the </w:t>
      </w:r>
      <w:r>
        <w:t>TGA.</w:t>
      </w:r>
    </w:p>
    <w:p w14:paraId="281ECE52" w14:textId="77777777" w:rsidR="00E06248" w:rsidRDefault="00E06248" w:rsidP="00A7562E">
      <w:pPr>
        <w:rPr>
          <w:rFonts w:eastAsiaTheme="minorHAnsi" w:cs="TimesNewRomanPSMT"/>
        </w:rPr>
      </w:pPr>
      <w:r w:rsidRPr="003167BD">
        <w:rPr>
          <w:rFonts w:eastAsiaTheme="minorHAnsi" w:cs="TimesNewRomanPSMT"/>
        </w:rPr>
        <w:t xml:space="preserve">Supplementary </w:t>
      </w:r>
      <w:r w:rsidRPr="00A7562E">
        <w:t>analyses</w:t>
      </w:r>
      <w:r w:rsidRPr="003167BD">
        <w:rPr>
          <w:rFonts w:eastAsiaTheme="minorHAnsi" w:cs="TimesNewRomanPSMT"/>
        </w:rPr>
        <w:t xml:space="preserve"> of data from </w:t>
      </w:r>
      <w:r w:rsidR="00D6385C">
        <w:rPr>
          <w:rFonts w:eastAsiaTheme="minorHAnsi" w:cs="TimesNewRomanPSMT"/>
        </w:rPr>
        <w:t>the pivotal TIV-HD S</w:t>
      </w:r>
      <w:r w:rsidRPr="003167BD">
        <w:rPr>
          <w:rFonts w:eastAsiaTheme="minorHAnsi" w:cs="TimesNewRomanPSMT"/>
        </w:rPr>
        <w:t>tudy FIM12</w:t>
      </w:r>
      <w:r>
        <w:rPr>
          <w:rFonts w:eastAsiaTheme="minorHAnsi" w:cs="TimesNewRomanPSMT"/>
        </w:rPr>
        <w:t xml:space="preserve"> has not previously been evaluated by </w:t>
      </w:r>
      <w:r w:rsidR="00D6385C">
        <w:rPr>
          <w:rFonts w:eastAsiaTheme="minorHAnsi" w:cs="TimesNewRomanPSMT"/>
        </w:rPr>
        <w:t xml:space="preserve">the </w:t>
      </w:r>
      <w:r>
        <w:rPr>
          <w:rFonts w:eastAsiaTheme="minorHAnsi" w:cs="TimesNewRomanPSMT"/>
        </w:rPr>
        <w:t xml:space="preserve">TGA. </w:t>
      </w:r>
      <w:r>
        <w:t>For the supplementary analysis, selected serious cardiorespiratory events reported in Study FIM12 were grouped into 7 pre-specified categories and represented the following endpoints: pneumonia events, asthma/chronic obstructive pulmonary disease (COPD)/bronchial events, influ</w:t>
      </w:r>
      <w:r w:rsidR="00A7562E">
        <w:t>enza events (serious laboratory</w:t>
      </w:r>
      <w:r w:rsidR="00A7562E">
        <w:noBreakHyphen/>
      </w:r>
      <w:r>
        <w:t>confirmed influenza diagnosed outside study procedures by a subject’s health-care provider), other respiratory events, coronary artery events, congestive heart failure events and cerebrovascular events.</w:t>
      </w:r>
    </w:p>
    <w:p w14:paraId="40DDDF1B" w14:textId="0D4FF7F4" w:rsidR="00E06248" w:rsidRPr="005207E3" w:rsidRDefault="00E06248" w:rsidP="00B97DD5">
      <w:r w:rsidRPr="00BC4F70">
        <w:t>A total of 3173 hospital</w:t>
      </w:r>
      <w:r>
        <w:t>is</w:t>
      </w:r>
      <w:r w:rsidRPr="00BC4F70">
        <w:t xml:space="preserve">ation </w:t>
      </w:r>
      <w:r w:rsidRPr="00A7562E">
        <w:t>events</w:t>
      </w:r>
      <w:r w:rsidRPr="00BC4F70">
        <w:t xml:space="preserve"> (all-cause) (1590 in Year 1 and 1583 in Year 2) were</w:t>
      </w:r>
      <w:r>
        <w:t xml:space="preserve"> </w:t>
      </w:r>
      <w:r w:rsidRPr="00BC4F70">
        <w:t xml:space="preserve">reported during the entire surveillance period. Rates (events per 1000 subject-seasons) of all-cause hospitalisation did </w:t>
      </w:r>
      <w:r w:rsidRPr="00DA0A20">
        <w:t>not differ</w:t>
      </w:r>
      <w:r w:rsidR="00A7562E">
        <w:t xml:space="preserve"> between the Fluzone High</w:t>
      </w:r>
      <w:r w:rsidR="00A7562E">
        <w:noBreakHyphen/>
        <w:t xml:space="preserve"> and Standard</w:t>
      </w:r>
      <w:r w:rsidR="00A7562E">
        <w:noBreakHyphen/>
        <w:t>Dose</w:t>
      </w:r>
      <w:r w:rsidRPr="00DA0A20">
        <w:t xml:space="preserve"> vaccine groups in Year 1 (109.89 </w:t>
      </w:r>
      <w:r w:rsidR="00A7562E">
        <w:t>(797 events among 7253 subjects)</w:t>
      </w:r>
      <w:r>
        <w:t xml:space="preserve"> </w:t>
      </w:r>
      <w:r w:rsidR="00A7562E">
        <w:t>versus</w:t>
      </w:r>
      <w:r w:rsidRPr="00DA0A20">
        <w:t xml:space="preserve"> 109.47 </w:t>
      </w:r>
      <w:r w:rsidR="00A7562E">
        <w:t>(793 events among 7244 subjects)</w:t>
      </w:r>
      <w:r>
        <w:t xml:space="preserve"> </w:t>
      </w:r>
      <w:r w:rsidR="00A7562E">
        <w:t>per 1000 subject-seasons (</w:t>
      </w:r>
      <w:r w:rsidR="004447BF">
        <w:t>relative risk</w:t>
      </w:r>
      <w:r w:rsidR="00A7562E">
        <w:t xml:space="preserve"> (RR) 1.00; 95% CI: 0.91, 1.10)</w:t>
      </w:r>
      <w:r w:rsidRPr="00DA0A20">
        <w:t>), whereas they were significantly lower for the Fluzone H</w:t>
      </w:r>
      <w:r w:rsidR="00A7562E">
        <w:t>igh</w:t>
      </w:r>
      <w:r w:rsidR="00A7562E">
        <w:noBreakHyphen/>
      </w:r>
      <w:r w:rsidRPr="00DA0A20">
        <w:t>D</w:t>
      </w:r>
      <w:r w:rsidR="00A7562E">
        <w:t>ose</w:t>
      </w:r>
      <w:r w:rsidRPr="00DA0A20">
        <w:t xml:space="preserve"> vaccine group in Year 2 (83.90 </w:t>
      </w:r>
      <w:r w:rsidR="00A7562E">
        <w:t>(733 events in 8737 subjects) versus</w:t>
      </w:r>
      <w:r w:rsidRPr="00DA0A20">
        <w:t xml:space="preserve"> 97.15 </w:t>
      </w:r>
      <w:r w:rsidR="00A7562E">
        <w:t>(850 events among 8749 subjects)</w:t>
      </w:r>
      <w:r>
        <w:t xml:space="preserve"> </w:t>
      </w:r>
      <w:r w:rsidR="00A7562E">
        <w:t>per 1000 subject-seasons (RR, 0.86; 95% CI: 0.79, 0.95)</w:t>
      </w:r>
      <w:r w:rsidRPr="00DA0A20">
        <w:t xml:space="preserve">) and for both study years combined (95.68 </w:t>
      </w:r>
      <w:r w:rsidR="00A7562E">
        <w:t>(</w:t>
      </w:r>
      <w:r>
        <w:t>1</w:t>
      </w:r>
      <w:r w:rsidR="00A7562E">
        <w:t>530 events among 15</w:t>
      </w:r>
      <w:r w:rsidR="0073328E">
        <w:t>,</w:t>
      </w:r>
      <w:r w:rsidR="00A7562E">
        <w:t>990 subjects)</w:t>
      </w:r>
      <w:r>
        <w:t xml:space="preserve"> </w:t>
      </w:r>
      <w:r w:rsidRPr="00DA0A20">
        <w:t>v</w:t>
      </w:r>
      <w:r w:rsidR="00A7562E">
        <w:t>ersu</w:t>
      </w:r>
      <w:r w:rsidRPr="00DA0A20">
        <w:t xml:space="preserve">s 102.73 </w:t>
      </w:r>
      <w:r w:rsidR="00A7562E">
        <w:t>(</w:t>
      </w:r>
      <w:r>
        <w:t>1643 event</w:t>
      </w:r>
      <w:r w:rsidR="004447BF">
        <w:t>s among 15</w:t>
      </w:r>
      <w:r w:rsidR="0073328E">
        <w:t>,</w:t>
      </w:r>
      <w:r w:rsidR="004447BF">
        <w:t>993 subjects)</w:t>
      </w:r>
      <w:r>
        <w:t xml:space="preserve"> </w:t>
      </w:r>
      <w:r w:rsidR="004447BF">
        <w:t xml:space="preserve">per 1000 subject-seasons (RR, 0.931; 95% CI: 0.872, </w:t>
      </w:r>
      <w:r w:rsidR="009A36A7">
        <w:t>0.995).</w:t>
      </w:r>
    </w:p>
    <w:p w14:paraId="1AC4D4F2" w14:textId="77777777" w:rsidR="00E06248" w:rsidRDefault="00E06248" w:rsidP="00E06248">
      <w:pPr>
        <w:autoSpaceDE w:val="0"/>
        <w:autoSpaceDN w:val="0"/>
        <w:spacing w:before="0" w:line="240" w:lineRule="auto"/>
        <w:rPr>
          <w:rFonts w:eastAsiaTheme="minorHAnsi" w:cs="TimesNewRomanPSMT"/>
        </w:rPr>
      </w:pPr>
      <w:r w:rsidRPr="00AA76B1">
        <w:rPr>
          <w:rFonts w:eastAsiaTheme="minorHAnsi" w:cs="TimesNewRomanPSMT"/>
        </w:rPr>
        <w:t>For the 2 study years combined, the aggregate rates of any selected serious cardiorespiratory events possibly related to influenza (overall) were lower in the Fluzone High-Dose vaccine group compared to the Fluzone</w:t>
      </w:r>
      <w:r w:rsidR="004447BF">
        <w:rPr>
          <w:rFonts w:eastAsiaTheme="minorHAnsi" w:cs="TimesNewRomanPSMT"/>
        </w:rPr>
        <w:t xml:space="preserve"> Standard</w:t>
      </w:r>
      <w:r w:rsidR="004447BF">
        <w:rPr>
          <w:rFonts w:eastAsiaTheme="minorHAnsi" w:cs="TimesNewRomanPSMT"/>
        </w:rPr>
        <w:noBreakHyphen/>
        <w:t>Dose</w:t>
      </w:r>
      <w:r w:rsidRPr="00AA76B1">
        <w:rPr>
          <w:rFonts w:eastAsiaTheme="minorHAnsi" w:cs="TimesNewRomanPSMT"/>
        </w:rPr>
        <w:t xml:space="preserve"> vaccine group</w:t>
      </w:r>
      <w:r w:rsidR="00430AE4">
        <w:rPr>
          <w:rFonts w:eastAsiaTheme="minorHAnsi" w:cs="TimesNewRomanPSMT"/>
        </w:rPr>
        <w:t xml:space="preserve">. </w:t>
      </w:r>
      <w:r w:rsidRPr="00DA0A20">
        <w:rPr>
          <w:rFonts w:eastAsiaTheme="minorHAnsi" w:cs="TimesNewRomanPSMT"/>
        </w:rPr>
        <w:t>For both years combined, there was a significant reduction in the total number of serious cardio</w:t>
      </w:r>
      <w:r w:rsidR="004447BF">
        <w:rPr>
          <w:rFonts w:eastAsiaTheme="minorHAnsi" w:cs="TimesNewRomanPSMT"/>
        </w:rPr>
        <w:t>respiratory events (</w:t>
      </w:r>
      <w:r w:rsidR="003860D4" w:rsidRPr="00DA0A20">
        <w:t>relative vaccine effectiveness</w:t>
      </w:r>
      <w:r w:rsidR="004447BF">
        <w:rPr>
          <w:rFonts w:eastAsiaTheme="minorHAnsi" w:cs="TimesNewRomanPSMT"/>
        </w:rPr>
        <w:t>, 17.7% (95% CI: 6.6%, 27.4%)</w:t>
      </w:r>
      <w:r w:rsidRPr="00DA0A20">
        <w:rPr>
          <w:rFonts w:eastAsiaTheme="minorHAnsi" w:cs="TimesNewRomanPSMT"/>
        </w:rPr>
        <w:t>) among Fluzone H</w:t>
      </w:r>
      <w:r w:rsidR="004447BF">
        <w:rPr>
          <w:rFonts w:eastAsiaTheme="minorHAnsi" w:cs="TimesNewRomanPSMT"/>
        </w:rPr>
        <w:t>igh</w:t>
      </w:r>
      <w:r w:rsidR="004447BF">
        <w:rPr>
          <w:rFonts w:eastAsiaTheme="minorHAnsi" w:cs="TimesNewRomanPSMT"/>
        </w:rPr>
        <w:noBreakHyphen/>
        <w:t>Dose</w:t>
      </w:r>
      <w:r w:rsidRPr="00DA0A20">
        <w:rPr>
          <w:rFonts w:eastAsiaTheme="minorHAnsi" w:cs="TimesNewRomanPSMT"/>
        </w:rPr>
        <w:t xml:space="preserve"> vaccine recipients compared to Fluzone vaccine recipients, including a significant reduction in serious pneumoni</w:t>
      </w:r>
      <w:r w:rsidR="004447BF">
        <w:rPr>
          <w:rFonts w:eastAsiaTheme="minorHAnsi" w:cs="TimesNewRomanPSMT"/>
        </w:rPr>
        <w:t>a events (</w:t>
      </w:r>
      <w:r w:rsidR="003860D4" w:rsidRPr="00DA0A20">
        <w:t>relative vaccine effectiveness</w:t>
      </w:r>
      <w:r w:rsidR="004447BF">
        <w:rPr>
          <w:rFonts w:eastAsiaTheme="minorHAnsi" w:cs="TimesNewRomanPSMT"/>
        </w:rPr>
        <w:t xml:space="preserve">, 39.8% (95% CI: 19.3%, </w:t>
      </w:r>
      <w:r w:rsidRPr="00DA0A20">
        <w:rPr>
          <w:rFonts w:eastAsiaTheme="minorHAnsi" w:cs="TimesNewRomanPSMT"/>
        </w:rPr>
        <w:t>55.1%]). In addition, a borderline significant reduction in all-cause hospital</w:t>
      </w:r>
      <w:r>
        <w:rPr>
          <w:rFonts w:eastAsiaTheme="minorHAnsi" w:cs="TimesNewRomanPSMT"/>
        </w:rPr>
        <w:t>is</w:t>
      </w:r>
      <w:r w:rsidR="004447BF">
        <w:rPr>
          <w:rFonts w:eastAsiaTheme="minorHAnsi" w:cs="TimesNewRomanPSMT"/>
        </w:rPr>
        <w:t>ation (</w:t>
      </w:r>
      <w:r w:rsidR="003860D4" w:rsidRPr="00DA0A20">
        <w:t>relative vaccine effectiveness</w:t>
      </w:r>
      <w:r w:rsidR="004447BF">
        <w:rPr>
          <w:rFonts w:eastAsiaTheme="minorHAnsi" w:cs="TimesNewRomanPSMT"/>
        </w:rPr>
        <w:t xml:space="preserve">, 6.9%; 95% CI: 0.5%, </w:t>
      </w:r>
      <w:r w:rsidRPr="00DA0A20">
        <w:rPr>
          <w:rFonts w:eastAsiaTheme="minorHAnsi" w:cs="TimesNewRomanPSMT"/>
        </w:rPr>
        <w:t xml:space="preserve">12.8%) was </w:t>
      </w:r>
      <w:r>
        <w:rPr>
          <w:rFonts w:eastAsiaTheme="minorHAnsi" w:cs="TimesNewRomanPSMT"/>
        </w:rPr>
        <w:t>observed.</w:t>
      </w:r>
    </w:p>
    <w:p w14:paraId="0C29FBFE" w14:textId="6B674B1B" w:rsidR="006D522F" w:rsidRDefault="006D522F" w:rsidP="006D522F">
      <w:pPr>
        <w:pStyle w:val="FigureTitle"/>
      </w:pPr>
      <w:r>
        <w:lastRenderedPageBreak/>
        <w:t xml:space="preserve">Figure </w:t>
      </w:r>
      <w:r w:rsidR="0034766A">
        <w:fldChar w:fldCharType="begin"/>
      </w:r>
      <w:r w:rsidR="0034766A">
        <w:instrText xml:space="preserve"> SEQ Figure \* ARABIC </w:instrText>
      </w:r>
      <w:r w:rsidR="0034766A">
        <w:fldChar w:fldCharType="separate"/>
      </w:r>
      <w:r w:rsidR="00DA143A">
        <w:rPr>
          <w:noProof/>
        </w:rPr>
        <w:t>1</w:t>
      </w:r>
      <w:r w:rsidR="0034766A">
        <w:rPr>
          <w:noProof/>
        </w:rPr>
        <w:fldChar w:fldCharType="end"/>
      </w:r>
      <w:r>
        <w:t>: Study FIM12 (further analyses) Effectiveness of Fluzone High-Dose vaccine relative to F</w:t>
      </w:r>
      <w:r w:rsidRPr="007002F1">
        <w:t>luzone</w:t>
      </w:r>
      <w:r>
        <w:t xml:space="preserve"> (standard dose)</w:t>
      </w:r>
      <w:r w:rsidRPr="007002F1">
        <w:t xml:space="preserve"> vaccine against all-cause hospitalisation and specific serious cardiorespiratory events </w:t>
      </w:r>
      <w:r>
        <w:t>possibly related to influenza (Y</w:t>
      </w:r>
      <w:r w:rsidRPr="007002F1">
        <w:t>ears 1 and 2 combined</w:t>
      </w:r>
      <w:r>
        <w:t>; full analysis set)</w:t>
      </w:r>
    </w:p>
    <w:p w14:paraId="41B4FBF7" w14:textId="77777777" w:rsidR="006D522F" w:rsidRDefault="006D522F" w:rsidP="006D522F">
      <w:pPr>
        <w:autoSpaceDE w:val="0"/>
        <w:autoSpaceDN w:val="0"/>
        <w:spacing w:before="0" w:line="240" w:lineRule="auto"/>
        <w:rPr>
          <w:rFonts w:eastAsiaTheme="minorHAnsi" w:cs="TimesNewRomanPSMT"/>
        </w:rPr>
      </w:pPr>
      <w:r>
        <w:rPr>
          <w:noProof/>
          <w:sz w:val="20"/>
          <w:szCs w:val="20"/>
          <w:lang w:eastAsia="en-AU"/>
        </w:rPr>
        <w:drawing>
          <wp:inline distT="0" distB="0" distL="0" distR="0" wp14:anchorId="01BFD066" wp14:editId="4957528A">
            <wp:extent cx="5325466" cy="3735436"/>
            <wp:effectExtent l="0" t="0" r="8890" b="0"/>
            <wp:docPr id="26" name="Picture 26" descr="Study FIM12 (further analyses) Effectiveness of Fluzone High-Dose vaccine relative to Fluzone (standard dose) vaccine against all-cause hospitalisation and specific serious cardiorespiratory events possibly related to influenza (Years 1 and 2 combined;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2117" cy="3733087"/>
                    </a:xfrm>
                    <a:prstGeom prst="rect">
                      <a:avLst/>
                    </a:prstGeom>
                    <a:noFill/>
                    <a:ln>
                      <a:noFill/>
                    </a:ln>
                  </pic:spPr>
                </pic:pic>
              </a:graphicData>
            </a:graphic>
          </wp:inline>
        </w:drawing>
      </w:r>
      <w:r w:rsidRPr="00C22A25">
        <w:rPr>
          <w:sz w:val="20"/>
          <w:szCs w:val="20"/>
          <w:lang w:val="en-US"/>
        </w:rPr>
        <w:t xml:space="preserve"> </w:t>
      </w:r>
      <w:r>
        <w:rPr>
          <w:noProof/>
          <w:sz w:val="20"/>
          <w:szCs w:val="20"/>
          <w:lang w:eastAsia="en-AU"/>
        </w:rPr>
        <w:drawing>
          <wp:inline distT="0" distB="0" distL="0" distR="0" wp14:anchorId="4A64D1FB" wp14:editId="18D8740F">
            <wp:extent cx="5731510" cy="556916"/>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556916"/>
                    </a:xfrm>
                    <a:prstGeom prst="rect">
                      <a:avLst/>
                    </a:prstGeom>
                    <a:noFill/>
                    <a:ln>
                      <a:noFill/>
                    </a:ln>
                  </pic:spPr>
                </pic:pic>
              </a:graphicData>
            </a:graphic>
          </wp:inline>
        </w:drawing>
      </w:r>
    </w:p>
    <w:p w14:paraId="57331183" w14:textId="77777777" w:rsidR="005207E3" w:rsidRDefault="005207E3" w:rsidP="005207E3">
      <w:pPr>
        <w:pStyle w:val="Heading5"/>
        <w:rPr>
          <w:rFonts w:eastAsiaTheme="minorHAnsi" w:cs="TimesNewRomanPSMT"/>
        </w:rPr>
      </w:pPr>
      <w:r w:rsidRPr="00FE2DAA">
        <w:t xml:space="preserve">Gravenstein </w:t>
      </w:r>
      <w:r>
        <w:t>et al. (2016;</w:t>
      </w:r>
      <w:r w:rsidRPr="00FE2DAA">
        <w:t xml:space="preserve"> 2018</w:t>
      </w:r>
      <w:r>
        <w:t>)</w:t>
      </w:r>
    </w:p>
    <w:p w14:paraId="5D33C62D" w14:textId="021B13E1" w:rsidR="00E06248" w:rsidRPr="005207E3" w:rsidRDefault="00E06248" w:rsidP="005207E3">
      <w:r w:rsidRPr="005207E3">
        <w:t>This study evaluate</w:t>
      </w:r>
      <w:r w:rsidR="004447BF">
        <w:t xml:space="preserve">d feasibility of comparison of </w:t>
      </w:r>
      <w:r w:rsidRPr="005207E3">
        <w:t xml:space="preserve">TIV-HD or TIV-SD in a cluster-randomised trial in </w:t>
      </w:r>
      <w:r w:rsidR="004B0ED5">
        <w:t xml:space="preserve">US </w:t>
      </w:r>
      <w:r w:rsidRPr="005207E3">
        <w:t>Medica</w:t>
      </w:r>
      <w:r w:rsidR="004447BF">
        <w:t>re certified nursing homes</w:t>
      </w:r>
      <w:r w:rsidRPr="005207E3">
        <w:t>.</w:t>
      </w:r>
      <w:r w:rsidR="004B0ED5" w:rsidRPr="004B0ED5">
        <w:rPr>
          <w:vertAlign w:val="superscript"/>
        </w:rPr>
        <w:fldChar w:fldCharType="begin"/>
      </w:r>
      <w:r w:rsidR="004B0ED5" w:rsidRPr="004B0ED5">
        <w:rPr>
          <w:vertAlign w:val="superscript"/>
        </w:rPr>
        <w:instrText xml:space="preserve"> NOTEREF _Ref55016951 \h </w:instrText>
      </w:r>
      <w:r w:rsidR="004B0ED5">
        <w:rPr>
          <w:vertAlign w:val="superscript"/>
        </w:rPr>
        <w:instrText xml:space="preserve"> \* MERGEFORMAT </w:instrText>
      </w:r>
      <w:r w:rsidR="004B0ED5" w:rsidRPr="004B0ED5">
        <w:rPr>
          <w:vertAlign w:val="superscript"/>
        </w:rPr>
      </w:r>
      <w:r w:rsidR="004B0ED5" w:rsidRPr="004B0ED5">
        <w:rPr>
          <w:vertAlign w:val="superscript"/>
        </w:rPr>
        <w:fldChar w:fldCharType="separate"/>
      </w:r>
      <w:r w:rsidR="00DA143A">
        <w:rPr>
          <w:vertAlign w:val="superscript"/>
        </w:rPr>
        <w:t>10</w:t>
      </w:r>
      <w:r w:rsidR="004B0ED5" w:rsidRPr="004B0ED5">
        <w:rPr>
          <w:vertAlign w:val="superscript"/>
        </w:rPr>
        <w:fldChar w:fldCharType="end"/>
      </w:r>
    </w:p>
    <w:p w14:paraId="2646824B" w14:textId="77777777" w:rsidR="00E06248" w:rsidRPr="005207E3" w:rsidRDefault="00E06248" w:rsidP="005207E3">
      <w:r w:rsidRPr="005207E3">
        <w:t xml:space="preserve">Overall 39 </w:t>
      </w:r>
      <w:r w:rsidR="004447BF">
        <w:t>nursing homes</w:t>
      </w:r>
      <w:r w:rsidR="004B0ED5">
        <w:t xml:space="preserve"> were randomised (19 TIV-SD</w:t>
      </w:r>
      <w:r w:rsidRPr="005207E3">
        <w:t xml:space="preserve"> and 20 </w:t>
      </w:r>
      <w:r w:rsidR="004B0ED5">
        <w:t>TIV-</w:t>
      </w:r>
      <w:r w:rsidRPr="005207E3">
        <w:t xml:space="preserve">HD), coordinated vaccine delivery, implemented web-based data collection, and accessed </w:t>
      </w:r>
      <w:r w:rsidR="00AD41B1">
        <w:t xml:space="preserve">Minimum Data Set (MDS) </w:t>
      </w:r>
      <w:r w:rsidRPr="005207E3">
        <w:t>data.</w:t>
      </w:r>
      <w:r w:rsidR="00AD41B1">
        <w:rPr>
          <w:rStyle w:val="FootnoteReference"/>
        </w:rPr>
        <w:footnoteReference w:id="15"/>
      </w:r>
      <w:r w:rsidRPr="005207E3">
        <w:t xml:space="preserve"> There were 2,957 eligible residents (</w:t>
      </w:r>
      <w:r w:rsidR="004B0ED5">
        <w:t>TIV-</w:t>
      </w:r>
      <w:r w:rsidRPr="005207E3">
        <w:t xml:space="preserve">SD 1496; </w:t>
      </w:r>
      <w:r w:rsidR="004B0ED5">
        <w:t>TIV-</w:t>
      </w:r>
      <w:r w:rsidRPr="005207E3">
        <w:t>HD 1461) with similar c</w:t>
      </w:r>
      <w:r w:rsidR="005207E3" w:rsidRPr="005207E3">
        <w:t>haracteristics between groups.</w:t>
      </w:r>
    </w:p>
    <w:p w14:paraId="7A0137D5" w14:textId="3DABC8A6" w:rsidR="00E06248" w:rsidRDefault="00E06248" w:rsidP="00E06248">
      <w:pPr>
        <w:autoSpaceDE w:val="0"/>
        <w:autoSpaceDN w:val="0"/>
        <w:spacing w:before="0" w:line="240" w:lineRule="auto"/>
        <w:rPr>
          <w:rFonts w:eastAsiaTheme="minorHAnsi" w:cs="TimesNewRomanPSMT"/>
        </w:rPr>
      </w:pPr>
      <w:r w:rsidRPr="00FE2DAA">
        <w:rPr>
          <w:rFonts w:eastAsiaTheme="minorHAnsi" w:cs="TimesNewRomanPSMT"/>
        </w:rPr>
        <w:t xml:space="preserve">The adjusted </w:t>
      </w:r>
      <w:r w:rsidR="004447BF">
        <w:rPr>
          <w:rFonts w:eastAsiaTheme="minorHAnsi" w:cs="TimesNewRomanPSMT"/>
        </w:rPr>
        <w:t>RR</w:t>
      </w:r>
      <w:r w:rsidRPr="00FE2DAA">
        <w:rPr>
          <w:rFonts w:eastAsiaTheme="minorHAnsi" w:cs="TimesNewRomanPSMT"/>
        </w:rPr>
        <w:t xml:space="preserve"> for residents receiving </w:t>
      </w:r>
      <w:r w:rsidR="00AD41B1">
        <w:rPr>
          <w:rFonts w:eastAsiaTheme="minorHAnsi" w:cs="TimesNewRomanPSMT"/>
        </w:rPr>
        <w:t>TIV-</w:t>
      </w:r>
      <w:r w:rsidRPr="00FE2DAA">
        <w:rPr>
          <w:rFonts w:eastAsiaTheme="minorHAnsi" w:cs="TimesNewRomanPSMT"/>
        </w:rPr>
        <w:t xml:space="preserve">HD compared to </w:t>
      </w:r>
      <w:r w:rsidR="00AD41B1">
        <w:rPr>
          <w:rFonts w:eastAsiaTheme="minorHAnsi" w:cs="TimesNewRomanPSMT"/>
        </w:rPr>
        <w:t>TIV-SD vaccine was 0.68 (CI: </w:t>
      </w:r>
      <w:r w:rsidRPr="00FE2DAA">
        <w:rPr>
          <w:rFonts w:eastAsiaTheme="minorHAnsi" w:cs="TimesNewRomanPSMT"/>
        </w:rPr>
        <w:t>0.54, 0.86, p</w:t>
      </w:r>
      <w:r w:rsidR="009A36A7">
        <w:rPr>
          <w:rFonts w:eastAsiaTheme="minorHAnsi" w:cs="TimesNewRomanPSMT"/>
        </w:rPr>
        <w:t> </w:t>
      </w:r>
      <w:r w:rsidRPr="00FE2DAA">
        <w:rPr>
          <w:rFonts w:eastAsiaTheme="minorHAnsi" w:cs="TimesNewRomanPSMT"/>
        </w:rPr>
        <w:t>&lt; 0.001) for any hospitalisation during inf</w:t>
      </w:r>
      <w:r w:rsidR="00AD41B1">
        <w:rPr>
          <w:rFonts w:eastAsiaTheme="minorHAnsi" w:cs="TimesNewRomanPSMT"/>
        </w:rPr>
        <w:t>luenza season and was 0.83 (CI: </w:t>
      </w:r>
      <w:r w:rsidRPr="00FE2DAA">
        <w:rPr>
          <w:rFonts w:eastAsiaTheme="minorHAnsi" w:cs="TimesNewRomanPSMT"/>
        </w:rPr>
        <w:t>0.68, 1.03, p</w:t>
      </w:r>
      <w:r w:rsidR="009A36A7">
        <w:rPr>
          <w:rFonts w:eastAsiaTheme="minorHAnsi" w:cs="TimesNewRomanPSMT"/>
        </w:rPr>
        <w:t> </w:t>
      </w:r>
      <w:r w:rsidRPr="00FE2DAA">
        <w:rPr>
          <w:rFonts w:eastAsiaTheme="minorHAnsi" w:cs="TimesNewRomanPSMT"/>
        </w:rPr>
        <w:t xml:space="preserve">= 0.087) for mortality. Functional decline outcomes were not different, based on average </w:t>
      </w:r>
      <w:r w:rsidR="004447BF">
        <w:rPr>
          <w:rFonts w:eastAsiaTheme="minorHAnsi" w:cs="TimesNewRomanPSMT"/>
        </w:rPr>
        <w:t xml:space="preserve">Activity of Daily Living </w:t>
      </w:r>
      <w:r w:rsidR="004447BF" w:rsidRPr="00AD41B1">
        <w:rPr>
          <w:rFonts w:eastAsiaTheme="minorHAnsi" w:cs="TimesNewRomanPSMT"/>
        </w:rPr>
        <w:t>(</w:t>
      </w:r>
      <w:r w:rsidRPr="00AD41B1">
        <w:rPr>
          <w:rFonts w:eastAsiaTheme="minorHAnsi" w:cs="TimesNewRomanPSMT"/>
        </w:rPr>
        <w:t>ADL</w:t>
      </w:r>
      <w:r w:rsidR="004447BF" w:rsidRPr="00AD41B1">
        <w:rPr>
          <w:rFonts w:eastAsiaTheme="minorHAnsi" w:cs="TimesNewRomanPSMT"/>
        </w:rPr>
        <w:t>)</w:t>
      </w:r>
      <w:r w:rsidRPr="00FE2DAA">
        <w:rPr>
          <w:rFonts w:eastAsiaTheme="minorHAnsi" w:cs="TimesNewRomanPSMT"/>
        </w:rPr>
        <w:t xml:space="preserve"> scores before and after, or by threshold worsening of a clinically mea</w:t>
      </w:r>
      <w:r w:rsidR="004447BF">
        <w:rPr>
          <w:rFonts w:eastAsiaTheme="minorHAnsi" w:cs="TimesNewRomanPSMT"/>
        </w:rPr>
        <w:t>ningful 4 points or more (13.4% </w:t>
      </w:r>
      <w:r w:rsidR="00AD41B1">
        <w:rPr>
          <w:rFonts w:eastAsiaTheme="minorHAnsi" w:cs="TimesNewRomanPSMT"/>
        </w:rPr>
        <w:t>TIV-</w:t>
      </w:r>
      <w:r w:rsidRPr="00FE2DAA">
        <w:rPr>
          <w:rFonts w:eastAsiaTheme="minorHAnsi" w:cs="TimesNewRomanPSMT"/>
        </w:rPr>
        <w:t xml:space="preserve">HD, 13.8% </w:t>
      </w:r>
      <w:r w:rsidR="00AD41B1">
        <w:rPr>
          <w:rFonts w:eastAsiaTheme="minorHAnsi" w:cs="TimesNewRomanPSMT"/>
        </w:rPr>
        <w:t>TIV-</w:t>
      </w:r>
      <w:r w:rsidRPr="00FE2DAA">
        <w:rPr>
          <w:rFonts w:eastAsiaTheme="minorHAnsi" w:cs="TimesNewRomanPSMT"/>
        </w:rPr>
        <w:t>SD, p</w:t>
      </w:r>
      <w:r w:rsidR="00AD41B1">
        <w:rPr>
          <w:rFonts w:eastAsiaTheme="minorHAnsi" w:cs="TimesNewRomanPSMT"/>
        </w:rPr>
        <w:t> = </w:t>
      </w:r>
      <w:r w:rsidR="004447BF">
        <w:rPr>
          <w:rFonts w:eastAsiaTheme="minorHAnsi" w:cs="TimesNewRomanPSMT"/>
        </w:rPr>
        <w:t xml:space="preserve">0.74) (adjusted </w:t>
      </w:r>
      <w:r w:rsidRPr="00FE2DAA">
        <w:rPr>
          <w:rFonts w:eastAsiaTheme="minorHAnsi" w:cs="TimesNewRomanPSMT"/>
        </w:rPr>
        <w:t>RR 0.99, CI: 0.77, 1.28, p</w:t>
      </w:r>
      <w:r w:rsidR="004447BF">
        <w:rPr>
          <w:rFonts w:eastAsiaTheme="minorHAnsi" w:cs="TimesNewRomanPSMT"/>
        </w:rPr>
        <w:t> </w:t>
      </w:r>
      <w:r w:rsidRPr="00FE2DAA">
        <w:rPr>
          <w:rFonts w:eastAsiaTheme="minorHAnsi" w:cs="TimesNewRomanPSMT"/>
        </w:rPr>
        <w:t>= 0.964</w:t>
      </w:r>
      <w:r w:rsidR="004447BF">
        <w:rPr>
          <w:rFonts w:eastAsiaTheme="minorHAnsi" w:cs="TimesNewRomanPSMT"/>
        </w:rPr>
        <w:t>.)</w:t>
      </w:r>
    </w:p>
    <w:p w14:paraId="1BC7D640" w14:textId="77777777" w:rsidR="005207E3" w:rsidRPr="005207E3" w:rsidRDefault="004447BF" w:rsidP="005207E3">
      <w:pPr>
        <w:pStyle w:val="Heading5"/>
        <w:rPr>
          <w:rFonts w:eastAsiaTheme="minorHAnsi"/>
        </w:rPr>
      </w:pPr>
      <w:r>
        <w:rPr>
          <w:rFonts w:eastAsiaTheme="minorHAnsi"/>
        </w:rPr>
        <w:lastRenderedPageBreak/>
        <w:t xml:space="preserve">Study </w:t>
      </w:r>
      <w:r w:rsidR="005207E3">
        <w:rPr>
          <w:rFonts w:eastAsiaTheme="minorHAnsi"/>
        </w:rPr>
        <w:t>GRC75-EXT</w:t>
      </w:r>
    </w:p>
    <w:p w14:paraId="5C731011" w14:textId="77777777" w:rsidR="00E06248" w:rsidRPr="00205B31" w:rsidRDefault="00E06248" w:rsidP="005207E3">
      <w:pPr>
        <w:rPr>
          <w:rFonts w:eastAsiaTheme="minorHAnsi" w:cs="TimesNewRomanPSMT"/>
          <w:b/>
        </w:rPr>
      </w:pPr>
      <w:r w:rsidRPr="00205B31">
        <w:t xml:space="preserve">This was a Phase IV, multi-facility, nationally representative, single-blind, 2 </w:t>
      </w:r>
      <w:r w:rsidR="004447BF">
        <w:t>x</w:t>
      </w:r>
      <w:r w:rsidRPr="00205B31">
        <w:t xml:space="preserve"> 2 factorial cluster-randomised controlled study of the effect of high-dose influenza vaccine versus standard-dose vaccine in preventing influenza hospitalisation, mortality and functional decline rates of long-stay nursing home residents.</w:t>
      </w:r>
    </w:p>
    <w:p w14:paraId="453C4C91" w14:textId="77777777" w:rsidR="00E06248" w:rsidRDefault="004447BF" w:rsidP="00E06248">
      <w:pPr>
        <w:autoSpaceDE w:val="0"/>
        <w:autoSpaceDN w:val="0"/>
        <w:spacing w:before="0" w:line="240" w:lineRule="auto"/>
        <w:rPr>
          <w:rFonts w:eastAsiaTheme="minorHAnsi" w:cstheme="majorHAnsi"/>
        </w:rPr>
      </w:pPr>
      <w:r>
        <w:rPr>
          <w:rFonts w:eastAsiaTheme="minorHAnsi" w:cs="TimesNewRomanPSMT"/>
        </w:rPr>
        <w:t xml:space="preserve">Of the 989 </w:t>
      </w:r>
      <w:r w:rsidR="0077248C">
        <w:rPr>
          <w:rFonts w:eastAsiaTheme="minorHAnsi" w:cs="TimesNewRomanPSMT"/>
        </w:rPr>
        <w:t xml:space="preserve">American </w:t>
      </w:r>
      <w:r>
        <w:t>nursing homes</w:t>
      </w:r>
      <w:r w:rsidR="00E06248" w:rsidRPr="00DA0A20">
        <w:rPr>
          <w:rFonts w:eastAsiaTheme="minorHAnsi" w:cs="TimesNewRomanPSMT"/>
        </w:rPr>
        <w:t xml:space="preserve"> screened, 823 were recru</w:t>
      </w:r>
      <w:r>
        <w:rPr>
          <w:rFonts w:eastAsiaTheme="minorHAnsi" w:cs="TimesNewRomanPSMT"/>
        </w:rPr>
        <w:t>ited to the study, of which 409 </w:t>
      </w:r>
      <w:r w:rsidR="00E06248" w:rsidRPr="00DA0A20">
        <w:rPr>
          <w:rFonts w:eastAsiaTheme="minorHAnsi" w:cs="TimesNewRomanPSMT"/>
        </w:rPr>
        <w:t>facilities were random</w:t>
      </w:r>
      <w:r w:rsidR="00E06248">
        <w:rPr>
          <w:rFonts w:eastAsiaTheme="minorHAnsi" w:cs="TimesNewRomanPSMT"/>
        </w:rPr>
        <w:t>is</w:t>
      </w:r>
      <w:r w:rsidR="00E06248" w:rsidRPr="00DA0A20">
        <w:rPr>
          <w:rFonts w:eastAsiaTheme="minorHAnsi" w:cs="TimesNewRomanPSMT"/>
        </w:rPr>
        <w:t xml:space="preserve">ed for residents to receive Fluzone High-Dose vaccine, and 414 facilities for residents to receive Fluzone vaccine. </w:t>
      </w:r>
      <w:r w:rsidR="00CB5287">
        <w:rPr>
          <w:rFonts w:eastAsiaTheme="minorHAnsi" w:cstheme="majorHAnsi"/>
        </w:rPr>
        <w:t>The facilities housed 92,269 </w:t>
      </w:r>
      <w:r w:rsidR="00E06248" w:rsidRPr="00DA0A20">
        <w:rPr>
          <w:rFonts w:eastAsiaTheme="minorHAnsi" w:cstheme="majorHAnsi"/>
        </w:rPr>
        <w:t xml:space="preserve">residents, of whom 75,917 were aged </w:t>
      </w:r>
      <w:r w:rsidR="00E06248" w:rsidRPr="00DA0A20">
        <w:rPr>
          <w:rFonts w:eastAsiaTheme="minorHAnsi" w:cstheme="majorHAnsi"/>
          <w:u w:val="single"/>
        </w:rPr>
        <w:t>&gt;</w:t>
      </w:r>
      <w:r w:rsidR="00E06248" w:rsidRPr="00DA0A20">
        <w:rPr>
          <w:rFonts w:eastAsiaTheme="minorHAnsi" w:cstheme="majorHAnsi"/>
        </w:rPr>
        <w:t xml:space="preserve"> 65 years and 53,008 were also long-stay residents</w:t>
      </w:r>
      <w:r w:rsidR="00E06248">
        <w:rPr>
          <w:rFonts w:eastAsiaTheme="minorHAnsi" w:cstheme="majorHAnsi"/>
        </w:rPr>
        <w:t>.</w:t>
      </w:r>
    </w:p>
    <w:p w14:paraId="35524233" w14:textId="77777777" w:rsidR="00E06248" w:rsidRDefault="00E06248" w:rsidP="00E06248">
      <w:pPr>
        <w:autoSpaceDE w:val="0"/>
        <w:autoSpaceDN w:val="0"/>
        <w:spacing w:before="0" w:line="240" w:lineRule="auto"/>
        <w:rPr>
          <w:rFonts w:eastAsiaTheme="minorHAnsi" w:cs="TimesNewRomanPSMT"/>
        </w:rPr>
      </w:pPr>
      <w:r w:rsidRPr="00DA0A20">
        <w:t xml:space="preserve">Based on Medicare </w:t>
      </w:r>
      <w:r w:rsidR="0077248C">
        <w:t>Fee-for-Service</w:t>
      </w:r>
      <w:r w:rsidRPr="00DA0A20">
        <w:t xml:space="preserve"> claims, the 6-month incidence of respiratory-related hospital</w:t>
      </w:r>
      <w:r>
        <w:t>is</w:t>
      </w:r>
      <w:r w:rsidRPr="00DA0A20">
        <w:t>ation in the 2013–2014 influenza season was lower in the Fluzone High-Dose vaccine than Fluzone vaccine facilities</w:t>
      </w:r>
      <w:r>
        <w:t xml:space="preserve"> but difference was not statistically significant</w:t>
      </w:r>
      <w:r w:rsidRPr="00DA0A20">
        <w:t xml:space="preserve"> (3.4% </w:t>
      </w:r>
      <w:r w:rsidR="00CB5287">
        <w:t>versus</w:t>
      </w:r>
      <w:r>
        <w:t xml:space="preserve"> 3.9%; </w:t>
      </w:r>
      <w:r w:rsidRPr="00DA0A20">
        <w:t xml:space="preserve">0.185 </w:t>
      </w:r>
      <w:r w:rsidR="00CB5287">
        <w:t>versus</w:t>
      </w:r>
      <w:r>
        <w:t xml:space="preserve"> </w:t>
      </w:r>
      <w:r w:rsidRPr="00DA0A20">
        <w:t>0.211 hospital admissions per 1000 resident days; unadjusted risk ratio</w:t>
      </w:r>
      <w:r w:rsidR="00CB5287">
        <w:t> </w:t>
      </w:r>
      <w:r w:rsidRPr="00DA0A20">
        <w:t>=</w:t>
      </w:r>
      <w:r w:rsidR="00CB5287">
        <w:t xml:space="preserve"> 0.888; 95% CI: 0.785, </w:t>
      </w:r>
      <w:r w:rsidRPr="00DA0A20">
        <w:t>1.005, p</w:t>
      </w:r>
      <w:r w:rsidR="00CB5287">
        <w:t xml:space="preserve"> </w:t>
      </w:r>
      <w:r w:rsidRPr="00DA0A20">
        <w:t>=</w:t>
      </w:r>
      <w:r w:rsidR="00CB5287">
        <w:t xml:space="preserve"> </w:t>
      </w:r>
      <w:r w:rsidRPr="00DA0A20">
        <w:t>0.061)</w:t>
      </w:r>
      <w:r>
        <w:t>.</w:t>
      </w:r>
      <w:r w:rsidRPr="00205B31">
        <w:t xml:space="preserve"> </w:t>
      </w:r>
      <w:r w:rsidRPr="00DA0A20">
        <w:t xml:space="preserve">When adjusting for the pre-specified patient and facility characteristics related to overall hospital admission rates, </w:t>
      </w:r>
      <w:r>
        <w:t>a 20.9% reduction in incidence of hospitalisation due to pneumonia was observed in the</w:t>
      </w:r>
      <w:r w:rsidR="00CB5287">
        <w:t xml:space="preserve"> Fluzone High-Dose facilities (adjusted relative risk </w:t>
      </w:r>
      <w:r>
        <w:t>=</w:t>
      </w:r>
      <w:r w:rsidR="00CB5287">
        <w:t xml:space="preserve"> 0.791;</w:t>
      </w:r>
      <w:r>
        <w:t xml:space="preserve"> 95% CI: 0.267, 0.953, p</w:t>
      </w:r>
      <w:r w:rsidR="00CB5287">
        <w:t xml:space="preserve"> </w:t>
      </w:r>
      <w:r>
        <w:t>=</w:t>
      </w:r>
      <w:r w:rsidR="00CB5287">
        <w:t xml:space="preserve"> </w:t>
      </w:r>
      <w:r>
        <w:t xml:space="preserve">0.013); </w:t>
      </w:r>
      <w:r w:rsidRPr="00DA0A20">
        <w:t>a 12.7% relative reduction was observed in the incidence of hospital admissions f</w:t>
      </w:r>
      <w:r w:rsidR="0077248C">
        <w:t>or respiratory illness among Fee-for-Servi</w:t>
      </w:r>
      <w:r w:rsidR="005C0A97">
        <w:t>c</w:t>
      </w:r>
      <w:r w:rsidR="0077248C">
        <w:t>e</w:t>
      </w:r>
      <w:r w:rsidRPr="00DA0A20">
        <w:t xml:space="preserve"> Medicare benefi</w:t>
      </w:r>
      <w:r w:rsidR="0077248C">
        <w:t>ciaries living in Fluzone High</w:t>
      </w:r>
      <w:r w:rsidR="0077248C">
        <w:noBreakHyphen/>
      </w:r>
      <w:r w:rsidRPr="00DA0A20">
        <w:t>Dose vaccine facilities (</w:t>
      </w:r>
      <w:r w:rsidR="00CB5287">
        <w:t xml:space="preserve">absolute risk reduction </w:t>
      </w:r>
      <w:r w:rsidRPr="00DA0A20">
        <w:t>=</w:t>
      </w:r>
      <w:r w:rsidR="00CB5287">
        <w:t xml:space="preserve"> 0.873; 95% CI: 0.776, </w:t>
      </w:r>
      <w:r w:rsidRPr="00DA0A20">
        <w:t>0.982, p</w:t>
      </w:r>
      <w:r w:rsidR="0077248C">
        <w:t> </w:t>
      </w:r>
      <w:r w:rsidRPr="00DA0A20">
        <w:t>=</w:t>
      </w:r>
      <w:r w:rsidR="0077248C">
        <w:t> </w:t>
      </w:r>
      <w:r w:rsidRPr="00DA0A20">
        <w:t>0.023). The incidence of all-cause hospital admissions for the F</w:t>
      </w:r>
      <w:r w:rsidR="005C0A97">
        <w:t>ee</w:t>
      </w:r>
      <w:r w:rsidR="005C0A97">
        <w:noBreakHyphen/>
        <w:t>for</w:t>
      </w:r>
      <w:r w:rsidR="005C0A97">
        <w:noBreakHyphen/>
        <w:t>Service</w:t>
      </w:r>
      <w:r w:rsidRPr="00DA0A20">
        <w:t xml:space="preserve"> group matched to Medicare ho</w:t>
      </w:r>
      <w:r w:rsidR="00CB5287">
        <w:t>spital claims was lower in the High-D</w:t>
      </w:r>
      <w:r w:rsidRPr="00DA0A20">
        <w:t>ose vacci</w:t>
      </w:r>
      <w:r w:rsidR="00CB5287">
        <w:t>ne group than in the S</w:t>
      </w:r>
      <w:r w:rsidRPr="00DA0A20">
        <w:t>tanda</w:t>
      </w:r>
      <w:r w:rsidR="00CB5287">
        <w:t xml:space="preserve">rd-Dose vaccine group (1.021 versus 1.113 per 1000 resident days, absolute risk reduction </w:t>
      </w:r>
      <w:r w:rsidRPr="00DA0A20">
        <w:t>=</w:t>
      </w:r>
      <w:r w:rsidR="00CB5287">
        <w:t xml:space="preserve"> 0.915; 95% CI: 0.863, </w:t>
      </w:r>
      <w:r w:rsidRPr="00DA0A20">
        <w:t>0.970, p</w:t>
      </w:r>
      <w:r w:rsidR="00CB5287">
        <w:t> </w:t>
      </w:r>
      <w:r w:rsidRPr="00DA0A20">
        <w:t>=</w:t>
      </w:r>
      <w:r w:rsidR="00CB5287">
        <w:t> </w:t>
      </w:r>
      <w:r w:rsidRPr="00DA0A20">
        <w:t>0.0028)</w:t>
      </w:r>
      <w:r>
        <w:t>.</w:t>
      </w:r>
    </w:p>
    <w:p w14:paraId="2FC26B1B" w14:textId="77777777" w:rsidR="005207E3" w:rsidRDefault="00F61769" w:rsidP="005207E3">
      <w:pPr>
        <w:pStyle w:val="Heading5"/>
        <w:rPr>
          <w:rFonts w:eastAsiaTheme="minorHAnsi"/>
        </w:rPr>
      </w:pPr>
      <w:r>
        <w:rPr>
          <w:rFonts w:eastAsiaTheme="minorHAnsi"/>
        </w:rPr>
        <w:t>Young-</w:t>
      </w:r>
      <w:r w:rsidR="00E06248" w:rsidRPr="00FE2DAA">
        <w:rPr>
          <w:rFonts w:eastAsiaTheme="minorHAnsi"/>
        </w:rPr>
        <w:t>Xu</w:t>
      </w:r>
      <w:r>
        <w:rPr>
          <w:rFonts w:eastAsiaTheme="minorHAnsi"/>
        </w:rPr>
        <w:t xml:space="preserve"> et al.</w:t>
      </w:r>
      <w:r w:rsidR="00E06248" w:rsidRPr="00FE2DAA">
        <w:rPr>
          <w:rFonts w:eastAsiaTheme="minorHAnsi"/>
        </w:rPr>
        <w:t xml:space="preserve"> </w:t>
      </w:r>
      <w:r w:rsidR="005207E3">
        <w:rPr>
          <w:rFonts w:eastAsiaTheme="minorHAnsi"/>
        </w:rPr>
        <w:t>(</w:t>
      </w:r>
      <w:r w:rsidR="00E06248" w:rsidRPr="00FE2DAA">
        <w:rPr>
          <w:rFonts w:eastAsiaTheme="minorHAnsi"/>
        </w:rPr>
        <w:t>2018</w:t>
      </w:r>
      <w:r w:rsidR="005207E3">
        <w:rPr>
          <w:rFonts w:eastAsiaTheme="minorHAnsi"/>
        </w:rPr>
        <w:t>)</w:t>
      </w:r>
    </w:p>
    <w:p w14:paraId="5093B6B6" w14:textId="2D317B48" w:rsidR="00E06248" w:rsidRPr="005207E3" w:rsidRDefault="00E06248" w:rsidP="005207E3">
      <w:r w:rsidRPr="00DA0A20">
        <w:t>This study</w:t>
      </w:r>
      <w:r w:rsidR="0077248C">
        <w:t>;</w:t>
      </w:r>
      <w:r w:rsidR="0077248C" w:rsidRPr="0077248C">
        <w:rPr>
          <w:vertAlign w:val="superscript"/>
        </w:rPr>
        <w:fldChar w:fldCharType="begin"/>
      </w:r>
      <w:r w:rsidR="0077248C" w:rsidRPr="0077248C">
        <w:rPr>
          <w:vertAlign w:val="superscript"/>
        </w:rPr>
        <w:instrText xml:space="preserve"> NOTEREF _Ref55018014 \h </w:instrText>
      </w:r>
      <w:r w:rsidR="0077248C">
        <w:rPr>
          <w:vertAlign w:val="superscript"/>
        </w:rPr>
        <w:instrText xml:space="preserve"> \* MERGEFORMAT </w:instrText>
      </w:r>
      <w:r w:rsidR="0077248C" w:rsidRPr="0077248C">
        <w:rPr>
          <w:vertAlign w:val="superscript"/>
        </w:rPr>
      </w:r>
      <w:r w:rsidR="0077248C" w:rsidRPr="0077248C">
        <w:rPr>
          <w:vertAlign w:val="superscript"/>
        </w:rPr>
        <w:fldChar w:fldCharType="separate"/>
      </w:r>
      <w:r w:rsidR="00DA143A">
        <w:rPr>
          <w:vertAlign w:val="superscript"/>
        </w:rPr>
        <w:t>11</w:t>
      </w:r>
      <w:r w:rsidR="0077248C" w:rsidRPr="0077248C">
        <w:rPr>
          <w:vertAlign w:val="superscript"/>
        </w:rPr>
        <w:fldChar w:fldCharType="end"/>
      </w:r>
      <w:r w:rsidRPr="00DA0A20">
        <w:t xml:space="preserve"> estimated the </w:t>
      </w:r>
      <w:r w:rsidR="003860D4">
        <w:t xml:space="preserve">relative vaccine effectiveness </w:t>
      </w:r>
      <w:r w:rsidRPr="00DA0A20">
        <w:t xml:space="preserve">of high dose versus standard dose </w:t>
      </w:r>
      <w:r w:rsidR="005C0A97">
        <w:t xml:space="preserve">vaccines </w:t>
      </w:r>
      <w:r w:rsidRPr="00DA0A20">
        <w:t xml:space="preserve">using a retrospective cohort of </w:t>
      </w:r>
      <w:r w:rsidR="003860D4">
        <w:t>Veterens Health Administration (</w:t>
      </w:r>
      <w:r w:rsidR="003860D4" w:rsidRPr="00DA0A20">
        <w:t>VHA</w:t>
      </w:r>
      <w:r w:rsidR="003860D4">
        <w:t>);</w:t>
      </w:r>
      <w:r w:rsidR="003860D4">
        <w:rPr>
          <w:rStyle w:val="FootnoteReference"/>
        </w:rPr>
        <w:footnoteReference w:id="16"/>
      </w:r>
      <w:r w:rsidR="003860D4" w:rsidRPr="00DA0A20">
        <w:t xml:space="preserve"> </w:t>
      </w:r>
      <w:r w:rsidRPr="00DA0A20">
        <w:t xml:space="preserve">patients </w:t>
      </w:r>
      <w:r>
        <w:t xml:space="preserve">aged </w:t>
      </w:r>
      <w:r w:rsidRPr="00176CCF">
        <w:rPr>
          <w:u w:val="single"/>
        </w:rPr>
        <w:t>&gt;</w:t>
      </w:r>
      <w:r w:rsidRPr="00DA0A20">
        <w:t>65 years in the 20</w:t>
      </w:r>
      <w:r w:rsidR="00ED0175">
        <w:t xml:space="preserve">15 to </w:t>
      </w:r>
      <w:r w:rsidRPr="00DA0A20">
        <w:t xml:space="preserve">2016 influenza season. The study population included all </w:t>
      </w:r>
      <w:r w:rsidR="003860D4">
        <w:t xml:space="preserve">VHA </w:t>
      </w:r>
      <w:r w:rsidRPr="00DA0A20">
        <w:t>patients</w:t>
      </w:r>
      <w:r w:rsidRPr="00130C33">
        <w:t xml:space="preserve"> </w:t>
      </w:r>
      <w:r>
        <w:t xml:space="preserve">aged </w:t>
      </w:r>
      <w:r w:rsidRPr="00176CCF">
        <w:rPr>
          <w:u w:val="single"/>
        </w:rPr>
        <w:t>&gt;</w:t>
      </w:r>
      <w:r w:rsidR="003860D4">
        <w:rPr>
          <w:u w:val="single"/>
        </w:rPr>
        <w:t xml:space="preserve"> </w:t>
      </w:r>
      <w:r w:rsidR="003860D4">
        <w:t>65 years with at least 1 </w:t>
      </w:r>
      <w:r w:rsidRPr="00DA0A20">
        <w:t>inpatient or outpatient encounter in p</w:t>
      </w:r>
      <w:r w:rsidR="00ED0175">
        <w:t xml:space="preserve">rior respiratory season of 2014 to </w:t>
      </w:r>
      <w:r w:rsidRPr="00DA0A20">
        <w:t>2015.</w:t>
      </w:r>
    </w:p>
    <w:p w14:paraId="4DD53E08" w14:textId="77777777" w:rsidR="003860D4" w:rsidRDefault="00E06248" w:rsidP="003860D4">
      <w:pPr>
        <w:spacing w:before="0" w:after="0" w:line="240" w:lineRule="auto"/>
        <w:rPr>
          <w:rFonts w:eastAsiaTheme="minorHAnsi" w:cs="TimesNewRomanPSMT"/>
        </w:rPr>
      </w:pPr>
      <w:r w:rsidRPr="00DA0A20">
        <w:rPr>
          <w:rFonts w:eastAsiaTheme="minorHAnsi" w:cs="MinionPro-Regular"/>
        </w:rPr>
        <w:t>The primary outcome of the study was any hospital</w:t>
      </w:r>
      <w:r>
        <w:rPr>
          <w:rFonts w:eastAsiaTheme="minorHAnsi" w:cs="MinionPro-Regular"/>
        </w:rPr>
        <w:t>is</w:t>
      </w:r>
      <w:r w:rsidRPr="00DA0A20">
        <w:rPr>
          <w:rFonts w:eastAsiaTheme="minorHAnsi" w:cs="MinionPro-Regular"/>
        </w:rPr>
        <w:t>ation in which the patient record indicated either pneumonia or influenza (ICD-9: 480–488)</w:t>
      </w:r>
      <w:r w:rsidR="003860D4">
        <w:rPr>
          <w:rFonts w:eastAsiaTheme="minorHAnsi" w:cs="MinionPro-Regular"/>
        </w:rPr>
        <w:t>;</w:t>
      </w:r>
      <w:r w:rsidR="003860D4">
        <w:rPr>
          <w:rStyle w:val="FootnoteReference"/>
          <w:rFonts w:eastAsiaTheme="minorHAnsi" w:cs="MinionPro-Regular"/>
        </w:rPr>
        <w:footnoteReference w:id="17"/>
      </w:r>
      <w:r w:rsidR="00B44470">
        <w:rPr>
          <w:rFonts w:eastAsiaTheme="minorHAnsi" w:cs="MinionPro-Regular"/>
          <w:vertAlign w:val="superscript"/>
        </w:rPr>
        <w:t>,</w:t>
      </w:r>
      <w:bookmarkStart w:id="51" w:name="_Ref55368786"/>
      <w:r w:rsidR="00B44470">
        <w:rPr>
          <w:rStyle w:val="FootnoteReference"/>
          <w:rFonts w:eastAsiaTheme="minorHAnsi" w:cs="MinionPro-Regular"/>
        </w:rPr>
        <w:footnoteReference w:id="18"/>
      </w:r>
      <w:bookmarkEnd w:id="51"/>
      <w:r w:rsidRPr="00DA0A20">
        <w:rPr>
          <w:rFonts w:eastAsiaTheme="minorHAnsi" w:cs="MinionPro-Regular"/>
        </w:rPr>
        <w:t xml:space="preserve"> as a principal or secondary diagnosis. </w:t>
      </w:r>
      <w:r>
        <w:rPr>
          <w:rFonts w:eastAsiaTheme="minorHAnsi" w:cs="MinionPro-Regular"/>
        </w:rPr>
        <w:t>A</w:t>
      </w:r>
      <w:r w:rsidRPr="00DA0A20">
        <w:rPr>
          <w:rFonts w:eastAsiaTheme="minorHAnsi" w:cs="MinionPro-Regular"/>
        </w:rPr>
        <w:t>dditional outcomes were explored</w:t>
      </w:r>
      <w:r>
        <w:rPr>
          <w:rFonts w:eastAsiaTheme="minorHAnsi" w:cs="MinionPro-Regular"/>
        </w:rPr>
        <w:t>.</w:t>
      </w:r>
    </w:p>
    <w:p w14:paraId="08B9918D" w14:textId="77777777" w:rsidR="00E06248" w:rsidRPr="003860D4" w:rsidRDefault="00E06248" w:rsidP="003860D4">
      <w:pPr>
        <w:rPr>
          <w:rFonts w:cs="TimesNewRomanPSMT"/>
        </w:rPr>
      </w:pPr>
      <w:r w:rsidRPr="00DA0A20">
        <w:lastRenderedPageBreak/>
        <w:t>The study evaluated 104</w:t>
      </w:r>
      <w:r w:rsidR="003860D4">
        <w:t>,</w:t>
      </w:r>
      <w:r w:rsidRPr="00DA0A20">
        <w:t>965 standard-dose and 125</w:t>
      </w:r>
      <w:r w:rsidR="003860D4">
        <w:t>,</w:t>
      </w:r>
      <w:r>
        <w:t>776 high-dose recipients.</w:t>
      </w:r>
      <w:r w:rsidRPr="00BC4DEC">
        <w:t xml:space="preserve"> </w:t>
      </w:r>
      <w:r w:rsidRPr="00DA0A20">
        <w:t>During the baseline period, a higher rate of hospital</w:t>
      </w:r>
      <w:r>
        <w:t>is</w:t>
      </w:r>
      <w:r w:rsidRPr="00DA0A20">
        <w:t>ation was observed where influenza or pneumonia was present in</w:t>
      </w:r>
      <w:r w:rsidRPr="00DA0A20">
        <w:rPr>
          <w:color w:val="000000"/>
        </w:rPr>
        <w:t xml:space="preserve"> the patient record for those eventually receiving </w:t>
      </w:r>
      <w:r w:rsidR="003860D4">
        <w:rPr>
          <w:color w:val="000000"/>
        </w:rPr>
        <w:t>high</w:t>
      </w:r>
      <w:r w:rsidR="003860D4">
        <w:rPr>
          <w:color w:val="000000"/>
        </w:rPr>
        <w:noBreakHyphen/>
        <w:t>dose</w:t>
      </w:r>
      <w:r w:rsidRPr="00DA0A20">
        <w:rPr>
          <w:color w:val="000000"/>
        </w:rPr>
        <w:t xml:space="preserve"> than for those eventually receiving </w:t>
      </w:r>
      <w:r w:rsidR="003860D4">
        <w:rPr>
          <w:color w:val="000000"/>
        </w:rPr>
        <w:t xml:space="preserve">standard dose (relative risk of 1.29; </w:t>
      </w:r>
      <w:r w:rsidRPr="00DA0A20">
        <w:rPr>
          <w:color w:val="000000"/>
        </w:rPr>
        <w:t>95% CI</w:t>
      </w:r>
      <w:r>
        <w:rPr>
          <w:color w:val="000000"/>
        </w:rPr>
        <w:t>:</w:t>
      </w:r>
      <w:r w:rsidR="003860D4">
        <w:rPr>
          <w:color w:val="000000"/>
        </w:rPr>
        <w:t xml:space="preserve"> 1.12, 1.48)</w:t>
      </w:r>
      <w:r w:rsidRPr="00DA0A20">
        <w:rPr>
          <w:color w:val="000000"/>
        </w:rPr>
        <w:t>. However, during the observation</w:t>
      </w:r>
      <w:r>
        <w:rPr>
          <w:color w:val="000000"/>
        </w:rPr>
        <w:t xml:space="preserve"> </w:t>
      </w:r>
      <w:r w:rsidRPr="00DA0A20">
        <w:rPr>
          <w:color w:val="000000"/>
        </w:rPr>
        <w:t>period, rates of hospital</w:t>
      </w:r>
      <w:r>
        <w:rPr>
          <w:color w:val="000000"/>
        </w:rPr>
        <w:t>is</w:t>
      </w:r>
      <w:r w:rsidRPr="00DA0A20">
        <w:rPr>
          <w:color w:val="000000"/>
        </w:rPr>
        <w:t xml:space="preserve">ation for influenza or pneumonia were nearly identical between the 2 groups, resulting in a </w:t>
      </w:r>
      <w:r w:rsidR="003860D4">
        <w:rPr>
          <w:color w:val="000000"/>
        </w:rPr>
        <w:t>relative risk</w:t>
      </w:r>
      <w:r w:rsidRPr="00DA0A20">
        <w:rPr>
          <w:color w:val="000000"/>
        </w:rPr>
        <w:t xml:space="preserve"> of 0.99 (95% CI</w:t>
      </w:r>
      <w:r>
        <w:rPr>
          <w:color w:val="000000"/>
        </w:rPr>
        <w:t>:</w:t>
      </w:r>
      <w:r w:rsidR="003860D4">
        <w:rPr>
          <w:color w:val="000000"/>
        </w:rPr>
        <w:t xml:space="preserve"> 0.95, 1.03). The </w:t>
      </w:r>
      <w:r w:rsidR="003860D4" w:rsidRPr="005C0A97">
        <w:rPr>
          <w:color w:val="000000"/>
        </w:rPr>
        <w:t>PERR-adjusted</w:t>
      </w:r>
      <w:r w:rsidR="003860D4">
        <w:rPr>
          <w:color w:val="000000"/>
        </w:rPr>
        <w:t xml:space="preserve"> relative vaccine effectiveness estimate of high</w:t>
      </w:r>
      <w:r w:rsidR="003860D4">
        <w:rPr>
          <w:color w:val="000000"/>
        </w:rPr>
        <w:noBreakHyphen/>
        <w:t>dose</w:t>
      </w:r>
      <w:r w:rsidRPr="00DA0A20">
        <w:rPr>
          <w:color w:val="000000"/>
        </w:rPr>
        <w:t xml:space="preserve"> against influenza- or pneumonia-associated hospital</w:t>
      </w:r>
      <w:r>
        <w:rPr>
          <w:color w:val="000000"/>
        </w:rPr>
        <w:t>is</w:t>
      </w:r>
      <w:r w:rsidRPr="00DA0A20">
        <w:rPr>
          <w:color w:val="000000"/>
        </w:rPr>
        <w:t>ation in the unmatched cohort was 23% (95% CI</w:t>
      </w:r>
      <w:r>
        <w:rPr>
          <w:color w:val="000000"/>
        </w:rPr>
        <w:t>:</w:t>
      </w:r>
      <w:r w:rsidR="003860D4">
        <w:rPr>
          <w:color w:val="000000"/>
        </w:rPr>
        <w:t xml:space="preserve"> 9%, 35%).</w:t>
      </w:r>
    </w:p>
    <w:p w14:paraId="52117D21" w14:textId="77777777" w:rsidR="00E06248" w:rsidRPr="005207E3" w:rsidRDefault="00E06248" w:rsidP="005207E3">
      <w:r w:rsidRPr="00DA0A20">
        <w:t>After matching, the study population comprised 49</w:t>
      </w:r>
      <w:r w:rsidR="003860D4">
        <w:t>,</w:t>
      </w:r>
      <w:r w:rsidRPr="00DA0A20">
        <w:t>091 and 24</w:t>
      </w:r>
      <w:r w:rsidR="003860D4">
        <w:t>,</w:t>
      </w:r>
      <w:r w:rsidRPr="00DA0A20">
        <w:t xml:space="preserve">682 </w:t>
      </w:r>
      <w:r w:rsidR="00130354">
        <w:t>v</w:t>
      </w:r>
      <w:r w:rsidRPr="00DA0A20">
        <w:t xml:space="preserve">eterans for the </w:t>
      </w:r>
      <w:r w:rsidR="003860D4">
        <w:t>standard</w:t>
      </w:r>
      <w:r w:rsidR="003860D4">
        <w:noBreakHyphen/>
        <w:t>dose and high</w:t>
      </w:r>
      <w:r w:rsidR="003860D4">
        <w:noBreakHyphen/>
        <w:t>dose</w:t>
      </w:r>
      <w:r w:rsidRPr="00DA0A20">
        <w:t xml:space="preserve"> cohorts, r</w:t>
      </w:r>
      <w:r>
        <w:t xml:space="preserve">espectively, which </w:t>
      </w:r>
      <w:r w:rsidRPr="00DA0A20">
        <w:t>were more similar to one another than were the unmatched cohorts for the majority of baseline characteristics</w:t>
      </w:r>
      <w:r>
        <w:t xml:space="preserve">. </w:t>
      </w:r>
      <w:r w:rsidRPr="00DA0A20">
        <w:t xml:space="preserve">The matched, </w:t>
      </w:r>
      <w:r w:rsidRPr="00130354">
        <w:t>PERR-</w:t>
      </w:r>
      <w:r>
        <w:t xml:space="preserve">adjusted </w:t>
      </w:r>
      <w:r w:rsidR="003860D4">
        <w:t xml:space="preserve">relative vaccine effectiveness </w:t>
      </w:r>
      <w:r>
        <w:t xml:space="preserve">was 25% (95% </w:t>
      </w:r>
      <w:r w:rsidRPr="00DA0A20">
        <w:t>CI</w:t>
      </w:r>
      <w:r>
        <w:t>:</w:t>
      </w:r>
      <w:r w:rsidR="003860D4">
        <w:t xml:space="preserve"> 2%, </w:t>
      </w:r>
      <w:r w:rsidRPr="00DA0A20">
        <w:t>43%) against influenza- or pneumonia-associated hospital</w:t>
      </w:r>
      <w:r>
        <w:t>is</w:t>
      </w:r>
      <w:r w:rsidR="003860D4">
        <w:t xml:space="preserve">ation, 7% (95% CI: −2%, </w:t>
      </w:r>
      <w:r w:rsidRPr="00DA0A20">
        <w:t>14%) against all-cause hospital</w:t>
      </w:r>
      <w:r>
        <w:t>is</w:t>
      </w:r>
      <w:r w:rsidR="003860D4">
        <w:t xml:space="preserve">ation, 14% (95% CI: −8%, </w:t>
      </w:r>
      <w:r w:rsidRPr="00DA0A20">
        <w:t>32%) against influenza- or pneumonia-associat</w:t>
      </w:r>
      <w:r w:rsidR="003860D4">
        <w:t xml:space="preserve">ed outpatient visit, 5% (95% CI: 2%, </w:t>
      </w:r>
      <w:r w:rsidRPr="00DA0A20">
        <w:t>8%) against all-cause o</w:t>
      </w:r>
      <w:r w:rsidR="003860D4">
        <w:t xml:space="preserve">utpatient visit and 38% (95% CI: −5%, </w:t>
      </w:r>
      <w:r w:rsidR="00130354">
        <w:t xml:space="preserve">65%) against laboratory </w:t>
      </w:r>
      <w:r w:rsidRPr="00DA0A20">
        <w:t>confirmed influenza</w:t>
      </w:r>
      <w:r w:rsidR="005207E3">
        <w:t>.</w:t>
      </w:r>
    </w:p>
    <w:p w14:paraId="03FA2998" w14:textId="77777777" w:rsidR="005207E3" w:rsidRPr="00BC4DEC" w:rsidRDefault="005207E3" w:rsidP="005207E3">
      <w:pPr>
        <w:pStyle w:val="Heading4"/>
        <w:rPr>
          <w:rFonts w:cs="TimesNewRomanPSMT"/>
        </w:rPr>
      </w:pPr>
      <w:r>
        <w:t>Safety</w:t>
      </w:r>
    </w:p>
    <w:p w14:paraId="2F1A4E16" w14:textId="77777777" w:rsidR="005207E3" w:rsidRDefault="005207E3" w:rsidP="005207E3">
      <w:r w:rsidRPr="00DA0A20">
        <w:t xml:space="preserve">The </w:t>
      </w:r>
      <w:r w:rsidRPr="005207E3">
        <w:t>safety</w:t>
      </w:r>
      <w:r w:rsidR="00130354">
        <w:t xml:space="preserve"> of QIV</w:t>
      </w:r>
      <w:r w:rsidR="00130354">
        <w:noBreakHyphen/>
        <w:t xml:space="preserve">HD </w:t>
      </w:r>
      <w:r w:rsidRPr="00DA0A20">
        <w:t>was assessed in 1 pivotal clinical study (</w:t>
      </w:r>
      <w:r w:rsidR="00B8355D">
        <w:t>Study QHD00013) and 1 </w:t>
      </w:r>
      <w:r w:rsidRPr="00DA0A20">
        <w:t>supportive clinical study (</w:t>
      </w:r>
      <w:r w:rsidR="00B8355D">
        <w:t>Study QHD00008).</w:t>
      </w:r>
      <w:r w:rsidRPr="00DA0A20">
        <w:t xml:space="preserve"> </w:t>
      </w:r>
      <w:r>
        <w:t>Supportive evidence of s</w:t>
      </w:r>
      <w:r w:rsidR="00B8355D">
        <w:t>afety wa</w:t>
      </w:r>
      <w:r w:rsidR="00130354">
        <w:t>s provided by the 3 TIV</w:t>
      </w:r>
      <w:r w:rsidR="00130354">
        <w:noBreakHyphen/>
        <w:t xml:space="preserve">HD </w:t>
      </w:r>
      <w:r>
        <w:t>studies and pos</w:t>
      </w:r>
      <w:r w:rsidR="00130354">
        <w:t>t-marketing experience with TIV</w:t>
      </w:r>
      <w:r w:rsidR="00130354">
        <w:noBreakHyphen/>
        <w:t>HD.</w:t>
      </w:r>
    </w:p>
    <w:p w14:paraId="1F327FBB" w14:textId="77777777" w:rsidR="005207E3" w:rsidRPr="00545540" w:rsidRDefault="005207E3" w:rsidP="005207E3">
      <w:pPr>
        <w:pStyle w:val="Heading5"/>
        <w:rPr>
          <w:rFonts w:eastAsiaTheme="minorHAnsi"/>
        </w:rPr>
      </w:pPr>
      <w:r>
        <w:t>Study QHD00013</w:t>
      </w:r>
    </w:p>
    <w:p w14:paraId="6F5AE553" w14:textId="77777777" w:rsidR="005207E3" w:rsidRDefault="005207E3" w:rsidP="005207E3">
      <w:r w:rsidRPr="00DA0A20">
        <w:t xml:space="preserve">In </w:t>
      </w:r>
      <w:r w:rsidR="00B8355D">
        <w:t>the pivotal S</w:t>
      </w:r>
      <w:r w:rsidRPr="00DA0A20">
        <w:t>tudy QHD00013, all 2,670 enrolled subjects were vaccinated and</w:t>
      </w:r>
      <w:r w:rsidR="00B8355D">
        <w:t xml:space="preserve"> they were therefore included in the safety analysis set</w:t>
      </w:r>
      <w:r w:rsidRPr="00DA0A20">
        <w:t>. All subjects received the correct vaccine according to the group to which they were random</w:t>
      </w:r>
      <w:r>
        <w:t>is</w:t>
      </w:r>
      <w:r w:rsidRPr="00DA0A20">
        <w:t xml:space="preserve">ed: 1,777 subjects received </w:t>
      </w:r>
      <w:r w:rsidR="00EA7C6B">
        <w:t>QIV-HD</w:t>
      </w:r>
      <w:r w:rsidR="00A614D4">
        <w:t xml:space="preserve"> </w:t>
      </w:r>
      <w:r w:rsidRPr="00DA0A20">
        <w:t>and 893 subject</w:t>
      </w:r>
      <w:r w:rsidR="00EA7C6B">
        <w:t>s received one of the TIV-HD</w:t>
      </w:r>
      <w:r w:rsidR="00A614D4">
        <w:t xml:space="preserve"> </w:t>
      </w:r>
      <w:r w:rsidR="00B8355D">
        <w:t>vaccines</w:t>
      </w:r>
      <w:r>
        <w:t>.</w:t>
      </w:r>
    </w:p>
    <w:p w14:paraId="0D1C8A6E" w14:textId="77777777" w:rsidR="00C762E7" w:rsidRPr="00C762E7" w:rsidRDefault="00C762E7" w:rsidP="00C762E7">
      <w:pPr>
        <w:rPr>
          <w:rFonts w:asciiTheme="minorHAnsi" w:hAnsiTheme="minorHAnsi"/>
          <w:b/>
        </w:rPr>
      </w:pPr>
      <w:r>
        <w:t>Table 6 (shown below)</w:t>
      </w:r>
      <w:r>
        <w:rPr>
          <w:rFonts w:asciiTheme="minorHAnsi" w:hAnsiTheme="minorHAnsi"/>
          <w:b/>
        </w:rPr>
        <w:t xml:space="preserve"> </w:t>
      </w:r>
      <w:r w:rsidR="005207E3" w:rsidRPr="00C762E7">
        <w:rPr>
          <w:rFonts w:eastAsiaTheme="minorHAnsi" w:cs="TimesNewRomanPSMT"/>
        </w:rPr>
        <w:t>presents a safety overview of Study</w:t>
      </w:r>
      <w:r w:rsidR="005207E3" w:rsidRPr="00C762E7">
        <w:rPr>
          <w:rFonts w:eastAsiaTheme="minorHAnsi" w:cs="TimesNewRomanPSMT"/>
          <w:b/>
        </w:rPr>
        <w:t xml:space="preserve"> </w:t>
      </w:r>
      <w:r w:rsidR="005207E3" w:rsidRPr="00C762E7">
        <w:t>QHD00013</w:t>
      </w:r>
      <w:r w:rsidR="005207E3" w:rsidRPr="00C762E7">
        <w:rPr>
          <w:rFonts w:eastAsiaTheme="minorHAnsi" w:cs="TimesNewRomanPSMT"/>
          <w:b/>
        </w:rPr>
        <w:t>.</w:t>
      </w:r>
    </w:p>
    <w:p w14:paraId="1AF75962" w14:textId="7430B07F" w:rsidR="00C762E7" w:rsidRDefault="00C762E7" w:rsidP="00C762E7">
      <w:pPr>
        <w:pStyle w:val="TableTitle"/>
      </w:pPr>
      <w:r>
        <w:lastRenderedPageBreak/>
        <w:t xml:space="preserve">Table </w:t>
      </w:r>
      <w:r w:rsidR="0034766A">
        <w:fldChar w:fldCharType="begin"/>
      </w:r>
      <w:r w:rsidR="0034766A">
        <w:instrText xml:space="preserve"> SEQ Table \* ARABIC </w:instrText>
      </w:r>
      <w:r w:rsidR="0034766A">
        <w:fldChar w:fldCharType="separate"/>
      </w:r>
      <w:r w:rsidR="00DA143A">
        <w:rPr>
          <w:noProof/>
        </w:rPr>
        <w:t>6</w:t>
      </w:r>
      <w:r w:rsidR="0034766A">
        <w:rPr>
          <w:noProof/>
        </w:rPr>
        <w:fldChar w:fldCharType="end"/>
      </w:r>
      <w:r>
        <w:t>: Study QHD00013</w:t>
      </w:r>
      <w:r w:rsidRPr="006903C2">
        <w:t xml:space="preserve"> Safety overview after vaccine </w:t>
      </w:r>
      <w:r>
        <w:t>injection (safety analysis set</w:t>
      </w:r>
      <w:r>
        <w:rPr>
          <w:noProof/>
        </w:rPr>
        <w:t>)</w:t>
      </w:r>
    </w:p>
    <w:p w14:paraId="1E2CB9A7" w14:textId="77777777" w:rsidR="00C762E7" w:rsidRPr="00C762E7" w:rsidRDefault="00C762E7" w:rsidP="00C762E7">
      <w:pPr>
        <w:rPr>
          <w:lang w:val="en-US"/>
        </w:rPr>
      </w:pPr>
      <w:r>
        <w:rPr>
          <w:noProof/>
          <w:lang w:eastAsia="en-AU"/>
        </w:rPr>
        <w:drawing>
          <wp:inline distT="0" distB="0" distL="0" distR="0" wp14:anchorId="42E9302D" wp14:editId="06EAEF7A">
            <wp:extent cx="6075680" cy="3790696"/>
            <wp:effectExtent l="0" t="0" r="1270" b="635"/>
            <wp:docPr id="114" name="Picture 114" descr="Study QHD00013 Safety overview after vaccine injection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5680" cy="3790696"/>
                    </a:xfrm>
                    <a:prstGeom prst="rect">
                      <a:avLst/>
                    </a:prstGeom>
                    <a:noFill/>
                    <a:ln>
                      <a:noFill/>
                    </a:ln>
                  </pic:spPr>
                </pic:pic>
              </a:graphicData>
            </a:graphic>
          </wp:inline>
        </w:drawing>
      </w:r>
      <w:r>
        <w:rPr>
          <w:noProof/>
          <w:lang w:eastAsia="en-AU"/>
        </w:rPr>
        <w:drawing>
          <wp:inline distT="0" distB="0" distL="0" distR="0" wp14:anchorId="5B48EB1C" wp14:editId="17706A90">
            <wp:extent cx="6039134" cy="1752572"/>
            <wp:effectExtent l="0" t="0" r="0" b="63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8106" cy="1766784"/>
                    </a:xfrm>
                    <a:prstGeom prst="rect">
                      <a:avLst/>
                    </a:prstGeom>
                    <a:noFill/>
                    <a:ln>
                      <a:noFill/>
                    </a:ln>
                  </pic:spPr>
                </pic:pic>
              </a:graphicData>
            </a:graphic>
          </wp:inline>
        </w:drawing>
      </w:r>
    </w:p>
    <w:p w14:paraId="34DB0639" w14:textId="77777777" w:rsidR="005207E3" w:rsidRPr="00DA0A20" w:rsidRDefault="005207E3" w:rsidP="005207E3">
      <w:pPr>
        <w:autoSpaceDE w:val="0"/>
        <w:autoSpaceDN w:val="0"/>
        <w:spacing w:before="0" w:line="240" w:lineRule="auto"/>
        <w:rPr>
          <w:rFonts w:eastAsiaTheme="minorHAnsi" w:cs="TimesNewRomanPS-BoldMT"/>
          <w:b/>
          <w:bCs/>
        </w:rPr>
      </w:pPr>
      <w:r w:rsidRPr="00DA0A20">
        <w:rPr>
          <w:rFonts w:eastAsiaTheme="minorHAnsi" w:cs="TimesNewRomanPSMT"/>
        </w:rPr>
        <w:t>The percentages of subjects who reported at least 1 solicited injection site reaction within 7 days of vaccination was slightly higher in the QIV</w:t>
      </w:r>
      <w:r w:rsidR="00EA7C6B">
        <w:rPr>
          <w:rFonts w:eastAsiaTheme="minorHAnsi" w:cs="TimesNewRomanPSMT"/>
        </w:rPr>
        <w:t>-HD</w:t>
      </w:r>
      <w:r w:rsidRPr="00DA0A20">
        <w:rPr>
          <w:rFonts w:eastAsiaTheme="minorHAnsi" w:cs="TimesNewRomanPSMT"/>
        </w:rPr>
        <w:t xml:space="preserve"> group (44</w:t>
      </w:r>
      <w:r w:rsidR="00A614D4">
        <w:rPr>
          <w:rFonts w:eastAsiaTheme="minorHAnsi" w:cs="TimesNewRomanPSMT"/>
        </w:rPr>
        <w:t xml:space="preserve">.1%) compared to the pooled </w:t>
      </w:r>
      <w:r w:rsidR="00EA7C6B">
        <w:rPr>
          <w:rFonts w:eastAsiaTheme="minorHAnsi" w:cs="TimesNewRomanPSMT"/>
        </w:rPr>
        <w:t>TIV</w:t>
      </w:r>
      <w:r w:rsidR="00EA7C6B">
        <w:rPr>
          <w:rFonts w:eastAsiaTheme="minorHAnsi" w:cs="TimesNewRomanPSMT"/>
        </w:rPr>
        <w:noBreakHyphen/>
        <w:t>HD</w:t>
      </w:r>
      <w:r w:rsidRPr="00DA0A20">
        <w:rPr>
          <w:rFonts w:eastAsiaTheme="minorHAnsi" w:cs="TimesNewRomanPSMT"/>
        </w:rPr>
        <w:t xml:space="preserve"> groups (39.8%). For QIV</w:t>
      </w:r>
      <w:r w:rsidR="00EA7C6B">
        <w:rPr>
          <w:rFonts w:eastAsiaTheme="minorHAnsi" w:cs="TimesNewRomanPSMT"/>
        </w:rPr>
        <w:t>-HD</w:t>
      </w:r>
      <w:r w:rsidR="00EA7C6B" w:rsidRPr="00DA0A20">
        <w:rPr>
          <w:rFonts w:eastAsiaTheme="minorHAnsi" w:cs="TimesNewRomanPSMT"/>
        </w:rPr>
        <w:t xml:space="preserve"> </w:t>
      </w:r>
      <w:r w:rsidRPr="00DA0A20">
        <w:rPr>
          <w:rFonts w:eastAsiaTheme="minorHAnsi" w:cs="TimesNewRomanPSMT"/>
        </w:rPr>
        <w:t>and pooled TIV</w:t>
      </w:r>
      <w:r w:rsidR="00EA7C6B">
        <w:rPr>
          <w:rFonts w:eastAsiaTheme="minorHAnsi" w:cs="TimesNewRomanPSMT"/>
        </w:rPr>
        <w:t>-HD</w:t>
      </w:r>
      <w:r w:rsidR="00EA7C6B" w:rsidRPr="00DA0A20">
        <w:rPr>
          <w:rFonts w:eastAsiaTheme="minorHAnsi" w:cs="TimesNewRomanPSMT"/>
        </w:rPr>
        <w:t xml:space="preserve"> </w:t>
      </w:r>
      <w:r w:rsidRPr="00DA0A20">
        <w:rPr>
          <w:rFonts w:eastAsiaTheme="minorHAnsi" w:cs="TimesNewRomanPSMT"/>
        </w:rPr>
        <w:t>groups, pain at the injection site was the most frequently reported injection site reaction, followed by erythema, swelling, induration</w:t>
      </w:r>
      <w:r>
        <w:rPr>
          <w:rFonts w:eastAsiaTheme="minorHAnsi" w:cs="TimesNewRomanPSMT"/>
        </w:rPr>
        <w:t xml:space="preserve"> and</w:t>
      </w:r>
      <w:r w:rsidRPr="00DA0A20">
        <w:rPr>
          <w:rFonts w:eastAsiaTheme="minorHAnsi" w:cs="TimesNewRomanPSMT"/>
        </w:rPr>
        <w:t xml:space="preserve"> bruising with similar incidence in both groups</w:t>
      </w:r>
      <w:r>
        <w:rPr>
          <w:rFonts w:eastAsiaTheme="minorHAnsi" w:cs="TimesNewRomanPSMT"/>
        </w:rPr>
        <w:t>.</w:t>
      </w:r>
      <w:r w:rsidRPr="004333DD">
        <w:rPr>
          <w:rFonts w:eastAsiaTheme="minorHAnsi" w:cs="TimesNewRomanPSMT"/>
        </w:rPr>
        <w:t xml:space="preserve"> </w:t>
      </w:r>
      <w:r w:rsidR="00A614D4">
        <w:rPr>
          <w:rFonts w:eastAsiaTheme="minorHAnsi" w:cs="TimesNewRomanPSMT"/>
        </w:rPr>
        <w:t>The m</w:t>
      </w:r>
      <w:r w:rsidRPr="00DA0A20">
        <w:rPr>
          <w:rFonts w:eastAsiaTheme="minorHAnsi" w:cs="TimesNewRomanPSMT"/>
        </w:rPr>
        <w:t>ajority of solicited injection site reactions in all groups were of Grade 1 intens</w:t>
      </w:r>
      <w:r w:rsidR="00EA7C6B">
        <w:rPr>
          <w:rFonts w:eastAsiaTheme="minorHAnsi" w:cs="TimesNewRomanPSMT"/>
        </w:rPr>
        <w:t>ity, started within the first 3 </w:t>
      </w:r>
      <w:r w:rsidRPr="00DA0A20">
        <w:rPr>
          <w:rFonts w:eastAsiaTheme="minorHAnsi" w:cs="TimesNewRomanPSMT"/>
        </w:rPr>
        <w:t>days after vaccination, and resolved spontaneously within 7 days of onset.</w:t>
      </w:r>
      <w:r w:rsidRPr="00264BA4">
        <w:rPr>
          <w:rFonts w:eastAsiaTheme="minorHAnsi" w:cs="TimesNewRomanPSMT"/>
        </w:rPr>
        <w:t xml:space="preserve"> </w:t>
      </w:r>
      <w:r w:rsidR="00A614D4">
        <w:rPr>
          <w:rFonts w:eastAsiaTheme="minorHAnsi" w:cs="TimesNewRomanPSMT"/>
        </w:rPr>
        <w:t>The i</w:t>
      </w:r>
      <w:r w:rsidRPr="00DA0A20">
        <w:rPr>
          <w:rFonts w:eastAsiaTheme="minorHAnsi" w:cs="TimesNewRomanPSMT"/>
        </w:rPr>
        <w:t xml:space="preserve">ncidence of </w:t>
      </w:r>
      <w:r w:rsidRPr="00DA0A20">
        <w:rPr>
          <w:rFonts w:eastAsiaTheme="minorHAnsi" w:cs="TimesNewRomanPSMT"/>
          <w:color w:val="000000"/>
        </w:rPr>
        <w:t>Grade 3 solicited injection site reactions was low but numerically higher in the QIV</w:t>
      </w:r>
      <w:r w:rsidR="00EA7C6B">
        <w:rPr>
          <w:rFonts w:eastAsiaTheme="minorHAnsi" w:cs="TimesNewRomanPSMT"/>
        </w:rPr>
        <w:t>-HD</w:t>
      </w:r>
      <w:r w:rsidRPr="00DA0A20">
        <w:rPr>
          <w:rFonts w:eastAsiaTheme="minorHAnsi" w:cs="TimesNewRomanPSMT"/>
          <w:color w:val="000000"/>
        </w:rPr>
        <w:t xml:space="preserve"> compared to the pooled TIV</w:t>
      </w:r>
      <w:r w:rsidR="00EA7C6B">
        <w:rPr>
          <w:rFonts w:eastAsiaTheme="minorHAnsi" w:cs="TimesNewRomanPSMT"/>
        </w:rPr>
        <w:t>-HD</w:t>
      </w:r>
      <w:r w:rsidR="00EA7C6B" w:rsidRPr="00DA0A20">
        <w:rPr>
          <w:rFonts w:eastAsiaTheme="minorHAnsi" w:cs="TimesNewRomanPSMT"/>
          <w:color w:val="000000"/>
        </w:rPr>
        <w:t xml:space="preserve"> </w:t>
      </w:r>
      <w:r w:rsidRPr="00DA0A20">
        <w:rPr>
          <w:rFonts w:eastAsiaTheme="minorHAnsi" w:cs="TimesNewRomanPSMT"/>
          <w:color w:val="000000"/>
        </w:rPr>
        <w:t xml:space="preserve">group (1.5% </w:t>
      </w:r>
      <w:r w:rsidR="00A614D4">
        <w:rPr>
          <w:rFonts w:eastAsiaTheme="minorHAnsi" w:cs="TimesNewRomanPSMT"/>
          <w:color w:val="000000"/>
        </w:rPr>
        <w:t>versus 0.4%).</w:t>
      </w:r>
    </w:p>
    <w:p w14:paraId="518A8848" w14:textId="77777777" w:rsidR="005207E3" w:rsidRPr="005207E3" w:rsidRDefault="005207E3" w:rsidP="005207E3">
      <w:r w:rsidRPr="005207E3">
        <w:t>The percentages of subjects who reported at least 1 solicited systemic reaction were similar in the QIV</w:t>
      </w:r>
      <w:r w:rsidR="00EA7C6B">
        <w:rPr>
          <w:rFonts w:eastAsiaTheme="minorHAnsi" w:cs="TimesNewRomanPSMT"/>
        </w:rPr>
        <w:t>-HD</w:t>
      </w:r>
      <w:r w:rsidR="00EA7C6B" w:rsidRPr="005207E3">
        <w:t xml:space="preserve"> </w:t>
      </w:r>
      <w:r w:rsidRPr="005207E3">
        <w:t>and the pooled TIV</w:t>
      </w:r>
      <w:r w:rsidR="00A614D4">
        <w:t xml:space="preserve"> high dose</w:t>
      </w:r>
      <w:r w:rsidRPr="005207E3">
        <w:t xml:space="preserve"> groups (31% </w:t>
      </w:r>
      <w:r w:rsidR="00A614D4">
        <w:t>versus</w:t>
      </w:r>
      <w:r w:rsidRPr="005207E3">
        <w:t xml:space="preserve"> 29.7%). The most frequently reported systemic reactions were myalgia (22.7% </w:t>
      </w:r>
      <w:r w:rsidR="00A614D4">
        <w:t>versus</w:t>
      </w:r>
      <w:r w:rsidRPr="005207E3">
        <w:t xml:space="preserve"> 18.9%), headache (14.4% </w:t>
      </w:r>
      <w:r w:rsidR="00A614D4">
        <w:t>versus</w:t>
      </w:r>
      <w:r w:rsidRPr="005207E3">
        <w:t xml:space="preserve"> 13.6%), malaise (13.2% </w:t>
      </w:r>
      <w:r w:rsidR="00A614D4">
        <w:t>versus</w:t>
      </w:r>
      <w:r w:rsidRPr="005207E3">
        <w:t xml:space="preserve"> 13.4%), shivering (5.4% </w:t>
      </w:r>
      <w:r w:rsidR="00A614D4">
        <w:t>versus</w:t>
      </w:r>
      <w:r w:rsidRPr="005207E3">
        <w:t xml:space="preserve"> 4.7%) and fever (0.4% </w:t>
      </w:r>
      <w:r w:rsidR="00A614D4">
        <w:t>versus</w:t>
      </w:r>
      <w:r w:rsidRPr="005207E3">
        <w:t xml:space="preserve"> 0.9%)</w:t>
      </w:r>
      <w:r>
        <w:t>.</w:t>
      </w:r>
    </w:p>
    <w:p w14:paraId="4A9B0840" w14:textId="77777777" w:rsidR="005207E3" w:rsidRPr="005207E3" w:rsidRDefault="005207E3" w:rsidP="005207E3">
      <w:r w:rsidRPr="005207E3">
        <w:t xml:space="preserve">The percentages of subjects reporting at least 1 unsolicited </w:t>
      </w:r>
      <w:r w:rsidR="00A614D4">
        <w:t>adverse event (</w:t>
      </w:r>
      <w:r w:rsidRPr="005207E3">
        <w:t>AE</w:t>
      </w:r>
      <w:r w:rsidR="00A614D4">
        <w:t>)</w:t>
      </w:r>
      <w:r w:rsidRPr="005207E3">
        <w:t xml:space="preserve"> were comparable across the study groups.</w:t>
      </w:r>
    </w:p>
    <w:p w14:paraId="38984DC7" w14:textId="77777777" w:rsidR="005207E3" w:rsidRPr="005207E3" w:rsidRDefault="005207E3" w:rsidP="005207E3">
      <w:r w:rsidRPr="005207E3">
        <w:lastRenderedPageBreak/>
        <w:t>A total of 7 subjects reported 10 unsolicited AEs within</w:t>
      </w:r>
      <w:r w:rsidR="00A614D4">
        <w:t xml:space="preserve"> 30 minutes after vaccination. </w:t>
      </w:r>
      <w:r w:rsidRPr="005207E3">
        <w:t>5 of these subjects were in the QIV</w:t>
      </w:r>
      <w:r w:rsidR="00A614D4">
        <w:t xml:space="preserve"> high dose</w:t>
      </w:r>
      <w:r w:rsidRPr="005207E3">
        <w:t xml:space="preserve"> group and reported 7 immediate unsolicited AEs. The immediate unsolicited AEs that were considered related to vaccination by the </w:t>
      </w:r>
      <w:r w:rsidR="00A614D4">
        <w:t>study i</w:t>
      </w:r>
      <w:r w:rsidRPr="005207E3">
        <w:t>nvestigator were vertigo, blurry vision, joint pain, fatigue and dizziness.</w:t>
      </w:r>
    </w:p>
    <w:p w14:paraId="45EC8C8E" w14:textId="77777777" w:rsidR="005207E3" w:rsidRDefault="005207E3" w:rsidP="005207E3">
      <w:r w:rsidRPr="005207E3">
        <w:t xml:space="preserve">During the 6-month follow-up period, a total of 3 </w:t>
      </w:r>
      <w:r w:rsidR="00A614D4">
        <w:t>adverse events of special interest (AESI)</w:t>
      </w:r>
      <w:r w:rsidRPr="005207E3">
        <w:t xml:space="preserve"> were reported, 1 in </w:t>
      </w:r>
      <w:r w:rsidR="00EA7C6B">
        <w:t xml:space="preserve">the </w:t>
      </w:r>
      <w:r w:rsidRPr="005207E3">
        <w:t>QIV</w:t>
      </w:r>
      <w:r w:rsidR="00EA7C6B">
        <w:rPr>
          <w:rFonts w:eastAsiaTheme="minorHAnsi" w:cs="TimesNewRomanPSMT"/>
        </w:rPr>
        <w:t>-HD</w:t>
      </w:r>
      <w:r w:rsidR="00EA7C6B" w:rsidRPr="005207E3">
        <w:t xml:space="preserve"> </w:t>
      </w:r>
      <w:r w:rsidRPr="005207E3">
        <w:t xml:space="preserve">group and 2 in </w:t>
      </w:r>
      <w:r w:rsidR="00EA7C6B">
        <w:t xml:space="preserve">the </w:t>
      </w:r>
      <w:r w:rsidRPr="005207E3">
        <w:t>TIV</w:t>
      </w:r>
      <w:r w:rsidR="00EA7C6B">
        <w:rPr>
          <w:rFonts w:eastAsiaTheme="minorHAnsi" w:cs="TimesNewRomanPSMT"/>
        </w:rPr>
        <w:t>-HD</w:t>
      </w:r>
      <w:r w:rsidR="00A614D4">
        <w:t xml:space="preserve"> (TIV-HD</w:t>
      </w:r>
      <w:r w:rsidRPr="005207E3">
        <w:t>2</w:t>
      </w:r>
      <w:r w:rsidR="00A614D4">
        <w:t>)</w:t>
      </w:r>
      <w:r w:rsidRPr="005207E3">
        <w:t xml:space="preserve"> group. None of these AESIs were assessed as related to the study vaccination by the Investigators.</w:t>
      </w:r>
    </w:p>
    <w:p w14:paraId="1ED90572" w14:textId="77777777" w:rsidR="00030AF1" w:rsidRPr="00030AF1" w:rsidRDefault="00030AF1" w:rsidP="00030AF1">
      <w:r w:rsidRPr="00030AF1">
        <w:t xml:space="preserve">A total of 128 subjects experienced 162 serious adverse events (SAE) during the study. </w:t>
      </w:r>
      <w:r>
        <w:t>In </w:t>
      </w:r>
      <w:r w:rsidRPr="00030AF1">
        <w:t>the QIV-HD group, 1 SAE was considered as related to the vaccine</w:t>
      </w:r>
      <w:r>
        <w:t xml:space="preserve"> by the study i</w:t>
      </w:r>
      <w:r w:rsidRPr="00030AF1">
        <w:t>nvestigator (small fibre inflammatory neuropathy 40 days after vaccination) and 1 SAE led to termination from the study (suffered from post cardiotomy syndrome 39 days after vaccination, was hospitalised and recovered within 4 days).</w:t>
      </w:r>
    </w:p>
    <w:p w14:paraId="06B2A26F" w14:textId="77777777" w:rsidR="00030AF1" w:rsidRPr="00030AF1" w:rsidRDefault="00030AF1" w:rsidP="00030AF1">
      <w:r w:rsidRPr="00030AF1">
        <w:t>Within 28 days after vaccination, there were a total of 3 AEs leading to withdrawal from the study. 1 subject in the QIV-HD group died suddenly of natural causes, 1 subject in the TIV-HD1 group experienced myocardial infarction, and 1 subject in the TIV-HD1 group experienced a rib fracture. All AEs leading to withdrawal from the study were considered SAEs and were assessed as not related to the study vaccination.</w:t>
      </w:r>
    </w:p>
    <w:p w14:paraId="0E0E42C3" w14:textId="77777777" w:rsidR="00030AF1" w:rsidRPr="00030AF1" w:rsidRDefault="00030AF1" w:rsidP="00030AF1">
      <w:r w:rsidRPr="00030AF1">
        <w:t>Age, sex, medical history and history of previous influenza vaccination in prior year did not affect th</w:t>
      </w:r>
      <w:r w:rsidR="00C762E7">
        <w:t>e safety profile of QIV-HD. In S</w:t>
      </w:r>
      <w:r w:rsidRPr="00030AF1">
        <w:t>tudy QHD00013 a total of 5 deaths were reported during the study: 3 subjects in the QIV-HD group and 2 subjects in the TIV-HD1 group. None were assessed as related to vaccination.</w:t>
      </w:r>
    </w:p>
    <w:p w14:paraId="5423DC6D" w14:textId="77777777" w:rsidR="005207E3" w:rsidRPr="005207E3" w:rsidRDefault="005207E3" w:rsidP="005207E3">
      <w:pPr>
        <w:pStyle w:val="Heading5"/>
      </w:pPr>
      <w:r>
        <w:t>Study QHD00008</w:t>
      </w:r>
    </w:p>
    <w:p w14:paraId="7ECC142A" w14:textId="0BB4E6DD" w:rsidR="005207E3" w:rsidRPr="005207E3" w:rsidRDefault="00A614D4" w:rsidP="005207E3">
      <w:r>
        <w:t>In S</w:t>
      </w:r>
      <w:r w:rsidR="005207E3" w:rsidRPr="005207E3">
        <w:t>tudy QHD00008, 175 subjec</w:t>
      </w:r>
      <w:r>
        <w:t xml:space="preserve">ts </w:t>
      </w:r>
      <w:r w:rsidR="00EA7C6B">
        <w:t xml:space="preserve">were randomised with </w:t>
      </w:r>
      <w:r>
        <w:t>60 subjects receiving QIV-HD</w:t>
      </w:r>
      <w:r w:rsidR="00EA7C6B">
        <w:t xml:space="preserve"> (IM)</w:t>
      </w:r>
      <w:r w:rsidR="005207E3" w:rsidRPr="005207E3">
        <w:t xml:space="preserve">, 60 subjects </w:t>
      </w:r>
      <w:r w:rsidR="00EA7C6B">
        <w:t>receiving QIV-HD (SC)</w:t>
      </w:r>
      <w:r w:rsidR="005207E3" w:rsidRPr="005207E3">
        <w:t xml:space="preserve"> and 55 subjects receiving a QIV-SD licensed in Japan by SC route of administration. The percentages of subjects who reported at least one solicited reaction were similar between the QIV-HD IM </w:t>
      </w:r>
      <w:r w:rsidR="00ED0175">
        <w:t xml:space="preserve">and QIV-SD SC groups, 43.3% (26 out of </w:t>
      </w:r>
      <w:r w:rsidR="005207E3" w:rsidRPr="005207E3">
        <w:t>60</w:t>
      </w:r>
      <w:r w:rsidR="00EA7C6B">
        <w:t xml:space="preserve"> subjects</w:t>
      </w:r>
      <w:r w:rsidR="00ED0175">
        <w:t xml:space="preserve">) and 45.5% (25 out of </w:t>
      </w:r>
      <w:r w:rsidR="005207E3" w:rsidRPr="005207E3">
        <w:t>55</w:t>
      </w:r>
      <w:r w:rsidR="00EA7C6B">
        <w:t xml:space="preserve"> subjects</w:t>
      </w:r>
      <w:r w:rsidR="005207E3" w:rsidRPr="005207E3">
        <w:t>), respectively, and were lower than the percentage of subjects who reported at least one solicited reaction</w:t>
      </w:r>
      <w:r w:rsidR="00EA7C6B">
        <w:t xml:space="preserve"> in</w:t>
      </w:r>
      <w:r w:rsidR="00ED0175">
        <w:t xml:space="preserve"> the QIV-HD SC group (70.0%; 42 out of </w:t>
      </w:r>
      <w:r w:rsidR="00EA7C6B">
        <w:t>60 subjects</w:t>
      </w:r>
      <w:r w:rsidR="005207E3" w:rsidRPr="005207E3">
        <w:t>).</w:t>
      </w:r>
    </w:p>
    <w:p w14:paraId="762E95E7" w14:textId="7614807A" w:rsidR="005207E3" w:rsidRDefault="005207E3" w:rsidP="005207E3">
      <w:pPr>
        <w:spacing w:before="0" w:after="0" w:line="240" w:lineRule="auto"/>
        <w:rPr>
          <w:rFonts w:eastAsiaTheme="minorHAnsi" w:cs="TimesNewRomanPSMT"/>
        </w:rPr>
      </w:pPr>
      <w:r>
        <w:rPr>
          <w:rFonts w:eastAsiaTheme="minorHAnsi" w:cs="TimesNewRomanPSMT"/>
        </w:rPr>
        <w:t>T</w:t>
      </w:r>
      <w:r w:rsidRPr="00DA0A20">
        <w:rPr>
          <w:rFonts w:eastAsiaTheme="minorHAnsi" w:cs="TimesNewRomanPSMT"/>
        </w:rPr>
        <w:t>he percentages of subjects who reported at least one solicited injection site reaction was highest</w:t>
      </w:r>
      <w:r w:rsidR="00EA7C6B">
        <w:rPr>
          <w:rFonts w:eastAsiaTheme="minorHAnsi" w:cs="TimesNewRomanPSMT"/>
        </w:rPr>
        <w:t xml:space="preserve"> in the in</w:t>
      </w:r>
      <w:r w:rsidR="00ED0175">
        <w:rPr>
          <w:rFonts w:eastAsiaTheme="minorHAnsi" w:cs="TimesNewRomanPSMT"/>
        </w:rPr>
        <w:t xml:space="preserve"> the QIV-HD SC group (66.7%; 40 out of </w:t>
      </w:r>
      <w:r w:rsidR="00EA7C6B">
        <w:rPr>
          <w:rFonts w:eastAsiaTheme="minorHAnsi" w:cs="TimesNewRomanPSMT"/>
        </w:rPr>
        <w:t xml:space="preserve">60 subjects) </w:t>
      </w:r>
      <w:r w:rsidRPr="00DA0A20">
        <w:rPr>
          <w:rFonts w:eastAsiaTheme="minorHAnsi" w:cs="TimesNewRomanPSMT"/>
        </w:rPr>
        <w:t>and i</w:t>
      </w:r>
      <w:r w:rsidR="00EA7C6B">
        <w:rPr>
          <w:rFonts w:eastAsiaTheme="minorHAnsi" w:cs="TimesNewRomanPSMT"/>
        </w:rPr>
        <w:t>t was similar in the QIV-HD IM (</w:t>
      </w:r>
      <w:r w:rsidR="00ED0175">
        <w:rPr>
          <w:rFonts w:eastAsiaTheme="minorHAnsi" w:cs="TimesNewRomanPSMT"/>
        </w:rPr>
        <w:t xml:space="preserve">41.7%; 25 out of </w:t>
      </w:r>
      <w:r w:rsidR="00030AF1">
        <w:rPr>
          <w:rFonts w:eastAsiaTheme="minorHAnsi" w:cs="TimesNewRomanPSMT"/>
        </w:rPr>
        <w:t xml:space="preserve">60 subjects) and QIV-SD SC (41.8%; </w:t>
      </w:r>
      <w:r w:rsidR="00ED0175">
        <w:rPr>
          <w:rFonts w:eastAsiaTheme="minorHAnsi" w:cs="TimesNewRomanPSMT"/>
        </w:rPr>
        <w:t xml:space="preserve">23 out of </w:t>
      </w:r>
      <w:r w:rsidRPr="00DA0A20">
        <w:rPr>
          <w:rFonts w:eastAsiaTheme="minorHAnsi" w:cs="TimesNewRomanPSMT"/>
        </w:rPr>
        <w:t>55</w:t>
      </w:r>
      <w:r w:rsidR="00030AF1">
        <w:rPr>
          <w:rFonts w:eastAsiaTheme="minorHAnsi" w:cs="TimesNewRomanPSMT"/>
        </w:rPr>
        <w:t xml:space="preserve"> subjects)</w:t>
      </w:r>
      <w:r w:rsidRPr="00DA0A20">
        <w:rPr>
          <w:rFonts w:eastAsiaTheme="minorHAnsi" w:cs="TimesNewRomanPSMT"/>
        </w:rPr>
        <w:t xml:space="preserve"> groups</w:t>
      </w:r>
      <w:r>
        <w:rPr>
          <w:rFonts w:eastAsiaTheme="minorHAnsi" w:cs="TimesNewRomanPSMT"/>
        </w:rPr>
        <w:t>.</w:t>
      </w:r>
    </w:p>
    <w:p w14:paraId="7439A87D" w14:textId="071DE8FC" w:rsidR="005207E3" w:rsidRPr="00030AF1" w:rsidRDefault="005207E3" w:rsidP="00030AF1">
      <w:pPr>
        <w:rPr>
          <w:rFonts w:asciiTheme="minorHAnsi" w:hAnsiTheme="minorHAnsi"/>
          <w:b/>
        </w:rPr>
      </w:pPr>
      <w:r>
        <w:t>T</w:t>
      </w:r>
      <w:r w:rsidRPr="00DA0A20">
        <w:t>he percentage of subjects who reported at least one solicited</w:t>
      </w:r>
      <w:r>
        <w:t xml:space="preserve"> </w:t>
      </w:r>
      <w:r w:rsidRPr="00DA0A20">
        <w:t>systemic reaction was also highest in the QIV-HD SC gr</w:t>
      </w:r>
      <w:r w:rsidR="00030AF1">
        <w:t>oup (</w:t>
      </w:r>
      <w:r w:rsidR="00ED0175">
        <w:t xml:space="preserve">18.3% (11 out of 60), 33.3% (20 out of 60) and 16.4% (9 out of </w:t>
      </w:r>
      <w:r w:rsidRPr="00DA0A20">
        <w:t xml:space="preserve">55) in the QIV-HD IM, QIV-HD SC and </w:t>
      </w:r>
      <w:r w:rsidR="00030AF1">
        <w:t>QIV-SD SC groups, respectively)</w:t>
      </w:r>
      <w:r w:rsidRPr="00DA0A20">
        <w:t>.</w:t>
      </w:r>
      <w:r>
        <w:t xml:space="preserve"> The most frequent </w:t>
      </w:r>
      <w:r w:rsidRPr="00DA0A20">
        <w:t>solicited systemic reaction was myalgia</w:t>
      </w:r>
      <w:r>
        <w:t xml:space="preserve"> followed by headache.</w:t>
      </w:r>
    </w:p>
    <w:p w14:paraId="6301C110" w14:textId="77777777" w:rsidR="005207E3" w:rsidRPr="00DA0A20" w:rsidRDefault="005207E3" w:rsidP="005207E3">
      <w:pPr>
        <w:spacing w:before="0" w:line="240" w:lineRule="auto"/>
      </w:pPr>
      <w:r w:rsidRPr="00722A3D">
        <w:t>In Study QHD00008</w:t>
      </w:r>
      <w:r>
        <w:t>, there were no deaths during the</w:t>
      </w:r>
      <w:r w:rsidRPr="00DA0A20">
        <w:t xml:space="preserve"> study. </w:t>
      </w:r>
      <w:r w:rsidRPr="00DA0A20">
        <w:rPr>
          <w:rFonts w:eastAsia="TimesNewRoman" w:cs="TimesNewRoman"/>
        </w:rPr>
        <w:t>There was one SAE reported by one</w:t>
      </w:r>
      <w:r>
        <w:rPr>
          <w:rFonts w:eastAsia="TimesNewRoman" w:cs="TimesNewRoman"/>
        </w:rPr>
        <w:t xml:space="preserve"> </w:t>
      </w:r>
      <w:r w:rsidRPr="00DA0A20">
        <w:rPr>
          <w:rFonts w:eastAsia="TimesNewRoman" w:cs="TimesNewRoman"/>
        </w:rPr>
        <w:t>subject in the QIV-SD SC group (subject experienced sudden hearing loss 3 days after vaccination, and was hospital</w:t>
      </w:r>
      <w:r>
        <w:rPr>
          <w:rFonts w:eastAsia="TimesNewRoman" w:cs="TimesNewRoman"/>
        </w:rPr>
        <w:t>is</w:t>
      </w:r>
      <w:r w:rsidRPr="00DA0A20">
        <w:rPr>
          <w:rFonts w:eastAsia="TimesNewRoman" w:cs="TimesNewRoman"/>
        </w:rPr>
        <w:t xml:space="preserve">ed; the event was recovering or resolving at </w:t>
      </w:r>
      <w:r w:rsidR="00C762E7">
        <w:rPr>
          <w:rFonts w:eastAsia="TimesNewRoman" w:cs="TimesNewRoman"/>
        </w:rPr>
        <w:t>the third visit</w:t>
      </w:r>
      <w:r w:rsidRPr="00DA0A20">
        <w:rPr>
          <w:rFonts w:eastAsia="TimesNewRoman" w:cs="TimesNewRoman"/>
        </w:rPr>
        <w:t xml:space="preserve"> and assessed as not</w:t>
      </w:r>
      <w:r w:rsidR="00C762E7">
        <w:rPr>
          <w:rFonts w:eastAsia="TimesNewRoman" w:cs="TimesNewRoman"/>
        </w:rPr>
        <w:t xml:space="preserve"> related to vaccination by the i</w:t>
      </w:r>
      <w:r w:rsidRPr="00DA0A20">
        <w:rPr>
          <w:rFonts w:eastAsia="TimesNewRoman" w:cs="TimesNewRoman"/>
        </w:rPr>
        <w:t xml:space="preserve">nvestigator). </w:t>
      </w:r>
      <w:r w:rsidRPr="00DA0A20">
        <w:t>There were no AEs leading to study discontinuation within 28 days after va</w:t>
      </w:r>
      <w:r w:rsidR="00030AF1">
        <w:t>ccination in any of the groups.</w:t>
      </w:r>
    </w:p>
    <w:p w14:paraId="5558742E" w14:textId="77777777" w:rsidR="005207E3" w:rsidRDefault="00C51B25" w:rsidP="00C51B25">
      <w:pPr>
        <w:pStyle w:val="Heading5"/>
      </w:pPr>
      <w:r>
        <w:t>Post-marketing e</w:t>
      </w:r>
      <w:r w:rsidR="005207E3" w:rsidRPr="00D24B41">
        <w:t>xperience</w:t>
      </w:r>
    </w:p>
    <w:p w14:paraId="3D6DDBBB" w14:textId="77777777" w:rsidR="00C51B25" w:rsidRDefault="00030AF1" w:rsidP="005207E3">
      <w:pPr>
        <w:spacing w:before="0" w:line="240" w:lineRule="auto"/>
      </w:pPr>
      <w:r>
        <w:t>Fluzone High Dose Quadrivalent (</w:t>
      </w:r>
      <w:r w:rsidR="005207E3" w:rsidRPr="00DA0A20">
        <w:t>QIV-HD</w:t>
      </w:r>
      <w:r>
        <w:t>)</w:t>
      </w:r>
      <w:r w:rsidR="005207E3" w:rsidRPr="00DA0A20">
        <w:t xml:space="preserve"> has not yet received mar</w:t>
      </w:r>
      <w:r w:rsidR="00C51B25">
        <w:t>keting approval in any country.</w:t>
      </w:r>
      <w:r w:rsidR="00C762E7">
        <w:rPr>
          <w:rStyle w:val="FootnoteReference"/>
        </w:rPr>
        <w:footnoteReference w:id="19"/>
      </w:r>
    </w:p>
    <w:p w14:paraId="3A9378AA" w14:textId="77777777" w:rsidR="00C762E7" w:rsidRPr="00DA0A20" w:rsidRDefault="00C278AE" w:rsidP="00C762E7">
      <w:pPr>
        <w:spacing w:before="0" w:line="240" w:lineRule="auto"/>
      </w:pPr>
      <w:r>
        <w:lastRenderedPageBreak/>
        <w:t>Fluzone High</w:t>
      </w:r>
      <w:r w:rsidR="00030AF1">
        <w:t xml:space="preserve"> Dose </w:t>
      </w:r>
      <w:r w:rsidR="00C762E7">
        <w:t>as a t</w:t>
      </w:r>
      <w:r w:rsidR="00030AF1">
        <w:t>rivalent</w:t>
      </w:r>
      <w:r w:rsidR="00C762E7">
        <w:t xml:space="preserve"> vaccine</w:t>
      </w:r>
      <w:r w:rsidR="00030AF1">
        <w:t xml:space="preserve"> (</w:t>
      </w:r>
      <w:r w:rsidR="005207E3">
        <w:t>TIV-HD</w:t>
      </w:r>
      <w:r w:rsidR="00030AF1">
        <w:t>)</w:t>
      </w:r>
      <w:r w:rsidR="005207E3">
        <w:t xml:space="preserve"> has had </w:t>
      </w:r>
      <w:r w:rsidR="005207E3" w:rsidRPr="00D24B41">
        <w:t>a total of more than 100 million doses distributed since 2009.</w:t>
      </w:r>
      <w:r w:rsidR="005207E3">
        <w:t xml:space="preserve"> A number of spontaneously reported events were listed which </w:t>
      </w:r>
      <w:r w:rsidR="005207E3" w:rsidRPr="00DA0A20">
        <w:t xml:space="preserve">may occur in people </w:t>
      </w:r>
      <w:r w:rsidR="005207E3">
        <w:t xml:space="preserve">who </w:t>
      </w:r>
      <w:r w:rsidR="005207E3" w:rsidRPr="00DA0A20">
        <w:t>receiv</w:t>
      </w:r>
      <w:r w:rsidR="005207E3">
        <w:t xml:space="preserve">e the proposed </w:t>
      </w:r>
      <w:r w:rsidR="00C762E7">
        <w:t>QIV</w:t>
      </w:r>
      <w:r w:rsidR="00C762E7">
        <w:noBreakHyphen/>
      </w:r>
      <w:r w:rsidR="005207E3" w:rsidRPr="00DA0A20">
        <w:t>HD</w:t>
      </w:r>
      <w:r w:rsidR="00C72273">
        <w:t>. Taken from the clinical evaluation report, t</w:t>
      </w:r>
      <w:r w:rsidR="00C762E7" w:rsidRPr="00DA0A20">
        <w:t>he following events have been spontan</w:t>
      </w:r>
      <w:r w:rsidR="00C72273">
        <w:t>eously reported during the post</w:t>
      </w:r>
      <w:r w:rsidR="00C72273">
        <w:noBreakHyphen/>
      </w:r>
      <w:r w:rsidR="00C762E7" w:rsidRPr="00DA0A20">
        <w:t>marketing use of</w:t>
      </w:r>
      <w:r w:rsidR="00C762E7">
        <w:t xml:space="preserve"> </w:t>
      </w:r>
      <w:r w:rsidR="00C762E7" w:rsidRPr="00DA0A20">
        <w:t xml:space="preserve">TIV-HD. These AEs may occur in people receiving </w:t>
      </w:r>
      <w:r w:rsidR="00C762E7">
        <w:t xml:space="preserve">the proposed </w:t>
      </w:r>
      <w:r w:rsidR="00C72273">
        <w:t>QIV</w:t>
      </w:r>
      <w:r w:rsidR="00C72273">
        <w:noBreakHyphen/>
      </w:r>
      <w:r w:rsidR="00C762E7" w:rsidRPr="00DA0A20">
        <w:t>HD:</w:t>
      </w:r>
    </w:p>
    <w:p w14:paraId="4688E288" w14:textId="77777777" w:rsidR="00C762E7" w:rsidRPr="00DA0A20" w:rsidRDefault="00C762E7" w:rsidP="00844094">
      <w:pPr>
        <w:pStyle w:val="ListBullet"/>
      </w:pPr>
      <w:r w:rsidRPr="00DA0A20">
        <w:t>Blood and Lymphatic System Disorders: Thrombocytopenia, lymphadenopathy</w:t>
      </w:r>
    </w:p>
    <w:p w14:paraId="0C674DE8" w14:textId="77777777" w:rsidR="00C762E7" w:rsidRPr="00DA0A20" w:rsidRDefault="00C762E7" w:rsidP="00844094">
      <w:pPr>
        <w:pStyle w:val="ListBullet"/>
      </w:pPr>
      <w:r w:rsidRPr="00DA0A20">
        <w:t>Immune System Disorders: Anaphylaxis, other allergic/hypersensitivity reactions (including</w:t>
      </w:r>
      <w:r>
        <w:t xml:space="preserve"> </w:t>
      </w:r>
      <w:r w:rsidRPr="00DA0A20">
        <w:t>angioedema)</w:t>
      </w:r>
    </w:p>
    <w:p w14:paraId="7224703B" w14:textId="77777777" w:rsidR="00C762E7" w:rsidRPr="00DA0A20" w:rsidRDefault="00C762E7" w:rsidP="00844094">
      <w:pPr>
        <w:pStyle w:val="ListBullet"/>
      </w:pPr>
      <w:r w:rsidRPr="00DA0A20">
        <w:t>Eye Disorders: Ocular hyperaemia</w:t>
      </w:r>
    </w:p>
    <w:p w14:paraId="7AF2750D" w14:textId="77777777" w:rsidR="00C762E7" w:rsidRPr="00DA0A20" w:rsidRDefault="00C72273" w:rsidP="00844094">
      <w:pPr>
        <w:pStyle w:val="ListBullet"/>
      </w:pPr>
      <w:r>
        <w:t>Nervous System Disorders: Guillan-Barré syndrome</w:t>
      </w:r>
      <w:r w:rsidR="00C762E7" w:rsidRPr="00DA0A20">
        <w:t>, convulsions, febrile convulsions, myelitis (including</w:t>
      </w:r>
      <w:r w:rsidR="00C762E7">
        <w:t xml:space="preserve"> </w:t>
      </w:r>
      <w:r w:rsidR="00C762E7" w:rsidRPr="00DA0A20">
        <w:t>encephalomyelitis and transverse myelitis), facial palsy (Bell’s palsy), optic</w:t>
      </w:r>
      <w:r w:rsidR="00C762E7">
        <w:t xml:space="preserve"> </w:t>
      </w:r>
      <w:r w:rsidR="00C762E7" w:rsidRPr="00DA0A20">
        <w:t>neuritis/neuropathy, brachial neuritis, syncope (shortly after vaccination), paraesthesia</w:t>
      </w:r>
    </w:p>
    <w:p w14:paraId="42816A09" w14:textId="77777777" w:rsidR="00C762E7" w:rsidRPr="00DA0A20" w:rsidRDefault="00C762E7" w:rsidP="00844094">
      <w:pPr>
        <w:pStyle w:val="ListBullet"/>
      </w:pPr>
      <w:r w:rsidRPr="00DA0A20">
        <w:t>Vascular Disorders: Vasculitis, vasodilatation</w:t>
      </w:r>
    </w:p>
    <w:p w14:paraId="79CDADEA" w14:textId="77777777" w:rsidR="00C762E7" w:rsidRPr="00DA0A20" w:rsidRDefault="00C762E7" w:rsidP="00844094">
      <w:pPr>
        <w:pStyle w:val="ListBullet"/>
      </w:pPr>
      <w:r w:rsidRPr="00DA0A20">
        <w:t>Respiratory, Thoracic and Mediastinal Disorders: Dyspnoea, wheezing, throat tightness</w:t>
      </w:r>
      <w:r>
        <w:t xml:space="preserve"> </w:t>
      </w:r>
      <w:r w:rsidRPr="00DA0A20">
        <w:t>oropharyngeal pain</w:t>
      </w:r>
      <w:r>
        <w:t xml:space="preserve"> and</w:t>
      </w:r>
      <w:r w:rsidRPr="00DA0A20">
        <w:t xml:space="preserve"> rhinorrhoea</w:t>
      </w:r>
    </w:p>
    <w:p w14:paraId="6295D142" w14:textId="77777777" w:rsidR="00C762E7" w:rsidRPr="00DA0A20" w:rsidRDefault="00C762E7" w:rsidP="00844094">
      <w:pPr>
        <w:pStyle w:val="ListBullet"/>
      </w:pPr>
      <w:r w:rsidRPr="00DA0A20">
        <w:t>General Disorders and Administration Site Conditions: asthenia, chest pain</w:t>
      </w:r>
    </w:p>
    <w:p w14:paraId="2889B682" w14:textId="77777777" w:rsidR="00C762E7" w:rsidRDefault="00C762E7" w:rsidP="00844094">
      <w:pPr>
        <w:pStyle w:val="ListBullet"/>
      </w:pPr>
      <w:r w:rsidRPr="00DA0A20">
        <w:t>Gastrointestinal Disorders: vomiting</w:t>
      </w:r>
      <w:r w:rsidR="00C72273">
        <w:t>.</w:t>
      </w:r>
    </w:p>
    <w:p w14:paraId="462B516C" w14:textId="77777777" w:rsidR="005207E3" w:rsidRDefault="005207E3" w:rsidP="00C51B25">
      <w:pPr>
        <w:pStyle w:val="Heading5"/>
      </w:pPr>
      <w:r>
        <w:t>C</w:t>
      </w:r>
      <w:r w:rsidR="00C51B25">
        <w:t>linical evaluator’s c</w:t>
      </w:r>
      <w:r w:rsidRPr="00946B9A">
        <w:t>onclusions on clinical safety</w:t>
      </w:r>
    </w:p>
    <w:p w14:paraId="06DF7EEB" w14:textId="77777777" w:rsidR="005207E3" w:rsidRPr="00DA0A20" w:rsidRDefault="005207E3" w:rsidP="005207E3">
      <w:pPr>
        <w:autoSpaceDE w:val="0"/>
        <w:autoSpaceDN w:val="0"/>
        <w:spacing w:before="0" w:line="240" w:lineRule="auto"/>
      </w:pPr>
      <w:r>
        <w:t>Safety of the QIV-HD was evaluated in an adequate number of patients representative of the target patient population.</w:t>
      </w:r>
      <w:r w:rsidRPr="00EB00B9">
        <w:t xml:space="preserve"> </w:t>
      </w:r>
      <w:r w:rsidRPr="00DA0A20">
        <w:t>Safety results of the proposed QIV-HD from</w:t>
      </w:r>
      <w:r w:rsidR="00C278AE">
        <w:t xml:space="preserve"> the pivotal Study </w:t>
      </w:r>
      <w:r w:rsidRPr="00DA0A20">
        <w:t>QHD00013</w:t>
      </w:r>
      <w:r>
        <w:t xml:space="preserve"> showed that v</w:t>
      </w:r>
      <w:r w:rsidRPr="00DA0A20">
        <w:t xml:space="preserve">accination with QIV-HD in adults </w:t>
      </w:r>
      <w:r>
        <w:t xml:space="preserve">aged </w:t>
      </w:r>
      <w:r w:rsidRPr="00B84124">
        <w:rPr>
          <w:u w:val="single"/>
        </w:rPr>
        <w:t>&gt;</w:t>
      </w:r>
      <w:r w:rsidR="00C278AE">
        <w:rPr>
          <w:u w:val="single"/>
        </w:rPr>
        <w:t xml:space="preserve"> </w:t>
      </w:r>
      <w:r w:rsidRPr="00DA0A20">
        <w:t>65 years was found to be safe and well tolerated.</w:t>
      </w:r>
      <w:r w:rsidR="00C278AE">
        <w:t xml:space="preserve"> There were no fatal SAEs or AESIs</w:t>
      </w:r>
      <w:r w:rsidRPr="00DA0A20">
        <w:t xml:space="preserve"> which were considered related to the vaccine</w:t>
      </w:r>
      <w:r w:rsidR="00C278AE">
        <w:t>.</w:t>
      </w:r>
    </w:p>
    <w:p w14:paraId="4714B950" w14:textId="77777777" w:rsidR="005E4FAF" w:rsidRPr="00C51B25" w:rsidRDefault="005207E3" w:rsidP="00C51B25">
      <w:pPr>
        <w:spacing w:before="0" w:after="0" w:line="240" w:lineRule="auto"/>
        <w:rPr>
          <w:rFonts w:asciiTheme="minorHAnsi" w:hAnsiTheme="minorHAnsi"/>
        </w:rPr>
      </w:pPr>
      <w:r w:rsidRPr="00EB00B9">
        <w:rPr>
          <w:rFonts w:asciiTheme="minorHAnsi" w:hAnsiTheme="minorHAnsi"/>
        </w:rPr>
        <w:t>The safety profile of QIV-HD was found to be comparable to that of TIV-HD with similar rates of occurrence of unsolicited AEs, AEs leading to study discontinuation, SAEs, fatal SAEs and AESI</w:t>
      </w:r>
      <w:r w:rsidR="00C278AE">
        <w:rPr>
          <w:rFonts w:asciiTheme="minorHAnsi" w:hAnsiTheme="minorHAnsi"/>
        </w:rPr>
        <w:t xml:space="preserve">s between both vaccine groups. </w:t>
      </w:r>
      <w:r w:rsidRPr="00EB00B9">
        <w:rPr>
          <w:rFonts w:asciiTheme="minorHAnsi" w:hAnsiTheme="minorHAnsi"/>
        </w:rPr>
        <w:t>The overal</w:t>
      </w:r>
      <w:r w:rsidR="00C278AE">
        <w:rPr>
          <w:rFonts w:asciiTheme="minorHAnsi" w:hAnsiTheme="minorHAnsi"/>
        </w:rPr>
        <w:t>l reactogenicity profile of QIV</w:t>
      </w:r>
      <w:r w:rsidR="00C278AE">
        <w:rPr>
          <w:rFonts w:asciiTheme="minorHAnsi" w:hAnsiTheme="minorHAnsi"/>
        </w:rPr>
        <w:noBreakHyphen/>
      </w:r>
      <w:r w:rsidRPr="00EB00B9">
        <w:rPr>
          <w:rFonts w:asciiTheme="minorHAnsi" w:hAnsiTheme="minorHAnsi"/>
        </w:rPr>
        <w:t>HD, in terms of the percentage of subjects who reported a solicited reaction was comparable to that of the TIV-HD as demonstrated by similar rates of solicited injection site and systemic reactio</w:t>
      </w:r>
      <w:r w:rsidR="00C278AE">
        <w:rPr>
          <w:rFonts w:asciiTheme="minorHAnsi" w:hAnsiTheme="minorHAnsi"/>
        </w:rPr>
        <w:t>ns between both vaccine groups.</w:t>
      </w:r>
    </w:p>
    <w:p w14:paraId="011617E5" w14:textId="77777777" w:rsidR="007B6132" w:rsidRDefault="007B6132" w:rsidP="00C51B25">
      <w:pPr>
        <w:pStyle w:val="Heading4"/>
      </w:pPr>
      <w:bookmarkStart w:id="52" w:name="_Toc314842514"/>
      <w:r w:rsidRPr="007B6132">
        <w:t xml:space="preserve">Clinical evaluator’s </w:t>
      </w:r>
      <w:r w:rsidRPr="00C51B25">
        <w:t>recommendation</w:t>
      </w:r>
    </w:p>
    <w:p w14:paraId="479F59E6" w14:textId="77777777" w:rsidR="00C51B25" w:rsidRPr="00C51B25" w:rsidRDefault="00C278AE" w:rsidP="00C51B25">
      <w:pPr>
        <w:pStyle w:val="Heading5"/>
      </w:pPr>
      <w:r>
        <w:t>Clinical evaluator’s benefit</w:t>
      </w:r>
      <w:r w:rsidR="00C51B25" w:rsidRPr="00EB00B9">
        <w:t>-risk assessment</w:t>
      </w:r>
      <w:r w:rsidR="006B08C7">
        <w:t xml:space="preserve"> (</w:t>
      </w:r>
      <w:r w:rsidR="00C72273">
        <w:t xml:space="preserve">at the </w:t>
      </w:r>
      <w:r w:rsidR="006B08C7">
        <w:t>first round</w:t>
      </w:r>
      <w:r w:rsidR="00C72273">
        <w:t xml:space="preserve"> of evaluation</w:t>
      </w:r>
      <w:r w:rsidR="006B08C7">
        <w:t>)</w:t>
      </w:r>
    </w:p>
    <w:p w14:paraId="47489EC1" w14:textId="766F4805" w:rsidR="00C51B25" w:rsidRPr="008A7F82" w:rsidRDefault="00C51B25" w:rsidP="00C51B25">
      <w:pPr>
        <w:rPr>
          <w:rFonts w:cs="Arial"/>
          <w:color w:val="333333"/>
        </w:rPr>
      </w:pPr>
      <w:r w:rsidRPr="008A7F82">
        <w:rPr>
          <w:rFonts w:eastAsiaTheme="minorHAnsi" w:cs="TimesNewRomanPSMT"/>
        </w:rPr>
        <w:t xml:space="preserve">The main evidence to support efficacy of proposed QIV-HD was provided by the </w:t>
      </w:r>
      <w:r w:rsidR="00C278AE">
        <w:rPr>
          <w:rFonts w:cs="Arial"/>
          <w:color w:val="333333"/>
        </w:rPr>
        <w:t xml:space="preserve">Phase III </w:t>
      </w:r>
      <w:r w:rsidRPr="008A7F82">
        <w:rPr>
          <w:rFonts w:cs="Arial"/>
          <w:color w:val="333333"/>
        </w:rPr>
        <w:t>immunogenicity and safety study</w:t>
      </w:r>
      <w:r w:rsidR="00C278AE">
        <w:rPr>
          <w:rFonts w:cs="Arial"/>
          <w:color w:val="333333"/>
        </w:rPr>
        <w:t>, Study</w:t>
      </w:r>
      <w:r w:rsidRPr="008A7F82">
        <w:rPr>
          <w:rFonts w:cs="Arial"/>
          <w:color w:val="333333"/>
        </w:rPr>
        <w:t xml:space="preserve"> QHD</w:t>
      </w:r>
      <w:r>
        <w:rPr>
          <w:rFonts w:cs="Arial"/>
          <w:color w:val="333333"/>
        </w:rPr>
        <w:t>0</w:t>
      </w:r>
      <w:r w:rsidRPr="008A7F82">
        <w:rPr>
          <w:rFonts w:cs="Arial"/>
          <w:color w:val="333333"/>
        </w:rPr>
        <w:t>0013</w:t>
      </w:r>
      <w:r w:rsidR="00C278AE">
        <w:rPr>
          <w:rFonts w:cs="Arial"/>
          <w:color w:val="333333"/>
        </w:rPr>
        <w:t>,</w:t>
      </w:r>
      <w:r w:rsidRPr="008A7F82">
        <w:rPr>
          <w:rFonts w:cs="Arial"/>
          <w:color w:val="333333"/>
        </w:rPr>
        <w:t xml:space="preserve"> in 2670 healthy adults aged </w:t>
      </w:r>
      <w:r w:rsidRPr="008A7F82">
        <w:rPr>
          <w:rFonts w:cs="Arial"/>
          <w:color w:val="333333"/>
          <w:u w:val="single"/>
        </w:rPr>
        <w:t>&gt;</w:t>
      </w:r>
      <w:r w:rsidR="00C278AE">
        <w:rPr>
          <w:rFonts w:cs="Arial"/>
          <w:color w:val="333333"/>
        </w:rPr>
        <w:t> 65 </w:t>
      </w:r>
      <w:r w:rsidRPr="008A7F82">
        <w:rPr>
          <w:rFonts w:cs="Arial"/>
          <w:color w:val="333333"/>
        </w:rPr>
        <w:t>years. The proposed Fluzone High-Dose Quadrivalent achieved the primary endpoint of non-inferior immunogenicity compared to two trivale</w:t>
      </w:r>
      <w:r w:rsidR="00C278AE">
        <w:rPr>
          <w:rFonts w:cs="Arial"/>
          <w:color w:val="333333"/>
        </w:rPr>
        <w:t>nt formulations of Fluzone High</w:t>
      </w:r>
      <w:r w:rsidR="00C278AE">
        <w:rPr>
          <w:rFonts w:cs="Arial"/>
          <w:color w:val="333333"/>
        </w:rPr>
        <w:noBreakHyphen/>
      </w:r>
      <w:r w:rsidRPr="008A7F82">
        <w:rPr>
          <w:rFonts w:cs="Arial"/>
          <w:color w:val="333333"/>
        </w:rPr>
        <w:t>Dose, each containing one of the two influenza B strains recommended for inclus</w:t>
      </w:r>
      <w:r w:rsidR="002C2ED4">
        <w:rPr>
          <w:rFonts w:cs="Arial"/>
          <w:color w:val="333333"/>
        </w:rPr>
        <w:t xml:space="preserve">ion in the vaccine for the 2017 to </w:t>
      </w:r>
      <w:r w:rsidRPr="008A7F82">
        <w:rPr>
          <w:rFonts w:cs="Arial"/>
          <w:color w:val="333333"/>
        </w:rPr>
        <w:t>2018 influenza season. In a secondary endpoint of the trial, each B strain in Fluzone High-Dose Quadrivalent induced a superior immune response compared to the trivalent formulation not containing the corresponding B strain. Furthermore, addition of the additional B viru</w:t>
      </w:r>
      <w:r>
        <w:rPr>
          <w:rFonts w:cs="Arial"/>
          <w:color w:val="333333"/>
        </w:rPr>
        <w:t>s</w:t>
      </w:r>
      <w:r w:rsidRPr="008A7F82">
        <w:rPr>
          <w:rFonts w:cs="Arial"/>
          <w:color w:val="333333"/>
        </w:rPr>
        <w:t xml:space="preserve"> strain did not affect the immunogenicity or safety of other strains. </w:t>
      </w:r>
    </w:p>
    <w:p w14:paraId="47FF1B05" w14:textId="77777777" w:rsidR="00C51B25" w:rsidRDefault="00C51B25" w:rsidP="00C51B25">
      <w:pPr>
        <w:rPr>
          <w:rFonts w:cstheme="minorHAnsi"/>
        </w:rPr>
      </w:pPr>
      <w:r w:rsidRPr="008A7F82">
        <w:rPr>
          <w:rFonts w:eastAsiaTheme="minorHAnsi"/>
          <w:color w:val="000000"/>
        </w:rPr>
        <w:t xml:space="preserve">Fluzone Quadrivalent High-Dose </w:t>
      </w:r>
      <w:r w:rsidR="00C1210D">
        <w:rPr>
          <w:rFonts w:eastAsiaTheme="minorHAnsi"/>
          <w:color w:val="000000"/>
        </w:rPr>
        <w:t>(QIV-HD) was as immunogenic as TIV</w:t>
      </w:r>
      <w:r w:rsidR="00C1210D">
        <w:rPr>
          <w:rFonts w:eastAsiaTheme="minorHAnsi"/>
          <w:color w:val="000000"/>
        </w:rPr>
        <w:noBreakHyphen/>
      </w:r>
      <w:r w:rsidRPr="008A7F82">
        <w:rPr>
          <w:rFonts w:eastAsiaTheme="minorHAnsi"/>
          <w:color w:val="000000"/>
        </w:rPr>
        <w:t xml:space="preserve">HD for GMTs and seroconversion rates for the common influenza strains and also induced a superior immune response with respect to the additional B strain than the immune response </w:t>
      </w:r>
      <w:r w:rsidRPr="008A7F82">
        <w:rPr>
          <w:rFonts w:eastAsiaTheme="minorHAnsi"/>
          <w:color w:val="000000"/>
        </w:rPr>
        <w:lastRenderedPageBreak/>
        <w:t xml:space="preserve">induced by TIV-HD that does not contain the corresponding B. </w:t>
      </w:r>
      <w:r w:rsidRPr="008A7F82">
        <w:rPr>
          <w:rFonts w:cstheme="minorHAnsi"/>
        </w:rPr>
        <w:t>Whether the increased immune response (especially with additional B virus strain) translated into superior efficacy in terms of prevention of influenza disease and pneumonia/ hospitalisations was not evaluate</w:t>
      </w:r>
      <w:r w:rsidR="00C1210D">
        <w:rPr>
          <w:rFonts w:cstheme="minorHAnsi"/>
        </w:rPr>
        <w:t>d in any of the QIV-HD studies.</w:t>
      </w:r>
    </w:p>
    <w:p w14:paraId="20BC5E8B" w14:textId="77777777" w:rsidR="00C1210D" w:rsidRPr="00C1210D" w:rsidRDefault="00C51B25" w:rsidP="00C1210D">
      <w:r w:rsidRPr="00A5107A">
        <w:t>Results of this study m</w:t>
      </w:r>
      <w:r w:rsidR="00C1210D">
        <w:t xml:space="preserve">et the criteria provided by the </w:t>
      </w:r>
      <w:r w:rsidRPr="00A5107A">
        <w:t>European Medicines Evaluation Agency</w:t>
      </w:r>
      <w:r w:rsidR="00C1210D">
        <w:t xml:space="preserve"> (EMEA).</w:t>
      </w:r>
      <w:r w:rsidR="00C1210D">
        <w:rPr>
          <w:rStyle w:val="FootnoteReference"/>
        </w:rPr>
        <w:footnoteReference w:id="20"/>
      </w:r>
      <w:r w:rsidR="00E91336">
        <w:rPr>
          <w:vertAlign w:val="superscript"/>
        </w:rPr>
        <w:t>,</w:t>
      </w:r>
      <w:r w:rsidR="00C1210D">
        <w:rPr>
          <w:rStyle w:val="FootnoteReference"/>
        </w:rPr>
        <w:footnoteReference w:id="21"/>
      </w:r>
    </w:p>
    <w:p w14:paraId="7583B829" w14:textId="77777777" w:rsidR="00C51B25" w:rsidRPr="00C51B25" w:rsidRDefault="00C51B25" w:rsidP="00C51B25">
      <w:r>
        <w:t>The support</w:t>
      </w:r>
      <w:r w:rsidR="00C1210D">
        <w:t>ing S</w:t>
      </w:r>
      <w:r>
        <w:t xml:space="preserve">tudy </w:t>
      </w:r>
      <w:r w:rsidRPr="008A7F82">
        <w:t>QHD</w:t>
      </w:r>
      <w:r>
        <w:t>0</w:t>
      </w:r>
      <w:r w:rsidRPr="008A7F82">
        <w:t>00</w:t>
      </w:r>
      <w:r>
        <w:t>08 was considered to be limited r</w:t>
      </w:r>
      <w:r w:rsidRPr="00296675">
        <w:t>elevance for Australian patients due to study being conducted only in Japanese subjects</w:t>
      </w:r>
      <w:r>
        <w:t xml:space="preserve"> and because comparator vaccines were administered by </w:t>
      </w:r>
      <w:r w:rsidR="00C1210D">
        <w:t xml:space="preserve">the </w:t>
      </w:r>
      <w:r>
        <w:t>SC route</w:t>
      </w:r>
      <w:r w:rsidRPr="00296675">
        <w:t xml:space="preserve">. </w:t>
      </w:r>
      <w:r>
        <w:t>I</w:t>
      </w:r>
      <w:r w:rsidRPr="00296675">
        <w:t>n Australia, the approved route of admi</w:t>
      </w:r>
      <w:r w:rsidR="00C1210D">
        <w:t>nistration for the QIV</w:t>
      </w:r>
      <w:r w:rsidR="00C1210D">
        <w:noBreakHyphen/>
      </w:r>
      <w:r w:rsidRPr="00296675">
        <w:t>SD vaccine is IM</w:t>
      </w:r>
      <w:r>
        <w:rPr>
          <w:rFonts w:asciiTheme="minorHAnsi" w:hAnsiTheme="minorHAnsi"/>
        </w:rPr>
        <w:t>.</w:t>
      </w:r>
    </w:p>
    <w:p w14:paraId="593CE98A" w14:textId="77777777" w:rsidR="00C51B25" w:rsidRPr="008A7F82" w:rsidRDefault="00C51B25" w:rsidP="00C51B25">
      <w:pPr>
        <w:spacing w:before="0" w:after="0" w:line="240" w:lineRule="auto"/>
        <w:rPr>
          <w:rFonts w:eastAsiaTheme="minorHAnsi" w:cs="TimesNewRomanPSMT"/>
        </w:rPr>
      </w:pPr>
      <w:r w:rsidRPr="008A7F82">
        <w:rPr>
          <w:rFonts w:eastAsiaTheme="minorHAnsi" w:cs="TimesNewRomanPSMT"/>
        </w:rPr>
        <w:t xml:space="preserve">Evidence for prevention of influenza illness was </w:t>
      </w:r>
      <w:r w:rsidR="00C1210D">
        <w:rPr>
          <w:rFonts w:eastAsiaTheme="minorHAnsi" w:cs="TimesNewRomanPSMT"/>
        </w:rPr>
        <w:t>provided by the pivotal TIV-HD Study </w:t>
      </w:r>
      <w:r w:rsidRPr="008A7F82">
        <w:rPr>
          <w:rFonts w:eastAsiaTheme="minorHAnsi" w:cs="TimesNewRomanPSMT"/>
        </w:rPr>
        <w:t>F</w:t>
      </w:r>
      <w:r>
        <w:rPr>
          <w:rFonts w:eastAsiaTheme="minorHAnsi" w:cs="TimesNewRomanPSMT"/>
        </w:rPr>
        <w:t>I</w:t>
      </w:r>
      <w:r w:rsidRPr="008A7F82">
        <w:rPr>
          <w:rFonts w:eastAsiaTheme="minorHAnsi" w:cs="TimesNewRomanPSMT"/>
        </w:rPr>
        <w:t>M12 which showed 25% reduction in incidence of laboratory confirmed influenza caused by any viral strain and a 35% reduction for viral strains similar to those contained in the vaccine. The initial study report showed a trend towards lower incidence of pneumonia, hospitalisations and other serious cardiorespiratory illness in the TIV-HD group (compare</w:t>
      </w:r>
      <w:r>
        <w:rPr>
          <w:rFonts w:eastAsiaTheme="minorHAnsi" w:cs="TimesNewRomanPSMT"/>
        </w:rPr>
        <w:t>d</w:t>
      </w:r>
      <w:r w:rsidRPr="008A7F82">
        <w:rPr>
          <w:rFonts w:eastAsiaTheme="minorHAnsi" w:cs="TimesNewRomanPSMT"/>
        </w:rPr>
        <w:t xml:space="preserve"> to TIV-SD) although differences were not significant (with </w:t>
      </w:r>
      <w:r w:rsidR="00C1210D">
        <w:rPr>
          <w:rFonts w:eastAsiaTheme="minorHAnsi" w:cs="TimesNewRomanPSMT"/>
        </w:rPr>
        <w:t>wide 95% CIs).</w:t>
      </w:r>
    </w:p>
    <w:p w14:paraId="10D83BA9" w14:textId="77777777" w:rsidR="00C1210D" w:rsidRDefault="00C51B25" w:rsidP="00C51B25">
      <w:pPr>
        <w:rPr>
          <w:rFonts w:eastAsiaTheme="minorHAnsi" w:cs="TimesNewRomanPSMT"/>
        </w:rPr>
      </w:pPr>
      <w:r w:rsidRPr="001C10F9">
        <w:rPr>
          <w:rFonts w:eastAsiaTheme="minorHAnsi" w:cs="TimesNewRomanPSMT"/>
        </w:rPr>
        <w:t xml:space="preserve">In this submission, support for efficacy of TIV-HD (compared to TIV-SD) in preventing </w:t>
      </w:r>
      <w:r w:rsidRPr="001C10F9">
        <w:rPr>
          <w:rFonts w:eastAsiaTheme="minorHAnsi" w:cs="TimesNewRomanPSMT"/>
          <w:i/>
        </w:rPr>
        <w:t xml:space="preserve">‘associated complication of pneumonia-related hospitalisation’ </w:t>
      </w:r>
      <w:r w:rsidRPr="001C10F9">
        <w:rPr>
          <w:rFonts w:eastAsiaTheme="minorHAnsi" w:cs="TimesNewRomanPSMT"/>
        </w:rPr>
        <w:t>was provided by the followi</w:t>
      </w:r>
      <w:r w:rsidR="00C1210D">
        <w:rPr>
          <w:rFonts w:eastAsiaTheme="minorHAnsi" w:cs="TimesNewRomanPSMT"/>
        </w:rPr>
        <w:t>ng 3 studies:</w:t>
      </w:r>
    </w:p>
    <w:p w14:paraId="527584C8" w14:textId="77777777" w:rsidR="00C51B25" w:rsidRPr="001C10F9" w:rsidRDefault="00C51B25" w:rsidP="00844094">
      <w:pPr>
        <w:pStyle w:val="ListBullet"/>
      </w:pPr>
      <w:r w:rsidRPr="001C10F9">
        <w:t>Supplementary analys</w:t>
      </w:r>
      <w:r w:rsidR="00C1210D">
        <w:t>es of data from pivotal TIV-HD S</w:t>
      </w:r>
      <w:r w:rsidRPr="001C10F9">
        <w:t xml:space="preserve">tudy FIM12, which showed a 39% reduction in risk of serious pneumonia events; however, the analysis did not evaluate reduction in pneumonia-related hospitalisation and overall rate of all-cause hospitalisations was only reduced by 8% </w:t>
      </w:r>
      <w:r w:rsidR="00C1210D">
        <w:t>with TIV-HD compared to TIV-SD.</w:t>
      </w:r>
    </w:p>
    <w:p w14:paraId="0173C3F4" w14:textId="2F1D6123" w:rsidR="00C1210D" w:rsidRPr="00C1210D" w:rsidRDefault="009B64DE" w:rsidP="00844094">
      <w:pPr>
        <w:pStyle w:val="ListBullet"/>
        <w:rPr>
          <w:rFonts w:asciiTheme="minorHAnsi" w:hAnsiTheme="minorHAnsi"/>
        </w:rPr>
      </w:pPr>
      <w:r>
        <w:t xml:space="preserve">The cluster-RCT by </w:t>
      </w:r>
      <w:r w:rsidR="00C51B25" w:rsidRPr="001C10F9">
        <w:t>Gravenstein</w:t>
      </w:r>
      <w:r w:rsidR="00C1210D">
        <w:t xml:space="preserve"> et al., (</w:t>
      </w:r>
      <w:r w:rsidR="00C51B25" w:rsidRPr="001C10F9">
        <w:t>2018</w:t>
      </w:r>
      <w:r w:rsidR="00C1210D">
        <w:t>)</w:t>
      </w:r>
      <w:r w:rsidR="00E91336">
        <w:t>;</w:t>
      </w:r>
      <w:r w:rsidR="00E91336" w:rsidRPr="00E91336">
        <w:rPr>
          <w:vertAlign w:val="superscript"/>
        </w:rPr>
        <w:fldChar w:fldCharType="begin"/>
      </w:r>
      <w:r w:rsidR="00E91336" w:rsidRPr="00E91336">
        <w:rPr>
          <w:vertAlign w:val="superscript"/>
        </w:rPr>
        <w:instrText xml:space="preserve"> NOTEREF _Ref55016951 \h </w:instrText>
      </w:r>
      <w:r w:rsidR="00E91336">
        <w:rPr>
          <w:vertAlign w:val="superscript"/>
        </w:rPr>
        <w:instrText xml:space="preserve"> \* MERGEFORMAT </w:instrText>
      </w:r>
      <w:r w:rsidR="00E91336" w:rsidRPr="00E91336">
        <w:rPr>
          <w:vertAlign w:val="superscript"/>
        </w:rPr>
      </w:r>
      <w:r w:rsidR="00E91336" w:rsidRPr="00E91336">
        <w:rPr>
          <w:vertAlign w:val="superscript"/>
        </w:rPr>
        <w:fldChar w:fldCharType="separate"/>
      </w:r>
      <w:r w:rsidR="00DA143A">
        <w:rPr>
          <w:vertAlign w:val="superscript"/>
        </w:rPr>
        <w:t>10</w:t>
      </w:r>
      <w:r w:rsidR="00E91336" w:rsidRPr="00E91336">
        <w:rPr>
          <w:vertAlign w:val="superscript"/>
        </w:rPr>
        <w:fldChar w:fldCharType="end"/>
      </w:r>
      <w:r>
        <w:t xml:space="preserve"> </w:t>
      </w:r>
      <w:r w:rsidR="00C51B25" w:rsidRPr="001C10F9">
        <w:t>including approximately 53,000 nursing homes residents demonstrated a 20.9% reduction in hospital admissions for pneumonia in residents living in TIV-HD vaccine facilities compared to facilities where residents received TIV-SD vaccine (</w:t>
      </w:r>
      <w:r w:rsidR="00C1210D">
        <w:t>absolute risk reduction: 0.791; 95% CI 0.267, 0.953, p</w:t>
      </w:r>
      <w:r>
        <w:t> </w:t>
      </w:r>
      <w:r w:rsidR="00C1210D">
        <w:t>=</w:t>
      </w:r>
      <w:r>
        <w:t> </w:t>
      </w:r>
      <w:r w:rsidR="00C1210D">
        <w:t>0.013).</w:t>
      </w:r>
    </w:p>
    <w:p w14:paraId="51310C34" w14:textId="77777777" w:rsidR="00C51B25" w:rsidRPr="00244238" w:rsidRDefault="00C1210D" w:rsidP="00844094">
      <w:pPr>
        <w:pStyle w:val="ListBullet"/>
        <w:rPr>
          <w:rFonts w:asciiTheme="minorHAnsi" w:hAnsiTheme="minorHAnsi"/>
        </w:rPr>
      </w:pPr>
      <w:r>
        <w:t xml:space="preserve">Study </w:t>
      </w:r>
      <w:r w:rsidR="00C51B25" w:rsidRPr="00DA0A20">
        <w:t>GRC75-EXT was the first random</w:t>
      </w:r>
      <w:r w:rsidR="00C51B25">
        <w:t>is</w:t>
      </w:r>
      <w:r w:rsidR="00C51B25" w:rsidRPr="00DA0A20">
        <w:t>ed, prospective study to show the comparative effectiveness of influenza vaccine in reducing respiratory-related hospital admissions as a primary endpoint in</w:t>
      </w:r>
      <w:r>
        <w:t xml:space="preserve"> an elderly, frail, long-stay nursing home</w:t>
      </w:r>
      <w:r w:rsidR="00C51B25" w:rsidRPr="00DA0A20">
        <w:t xml:space="preserve"> population. </w:t>
      </w:r>
      <w:r w:rsidR="00C51B25">
        <w:t>However, interpretation was limited by l</w:t>
      </w:r>
      <w:r w:rsidR="00C51B25" w:rsidRPr="00DA0A20">
        <w:t>ow event rates</w:t>
      </w:r>
      <w:r w:rsidR="00C51B25">
        <w:t xml:space="preserve">, </w:t>
      </w:r>
      <w:r w:rsidR="00C51B25" w:rsidRPr="00DA0A20">
        <w:t xml:space="preserve">greater than expected variability </w:t>
      </w:r>
      <w:r w:rsidR="00C51B25">
        <w:t xml:space="preserve">and lack of </w:t>
      </w:r>
      <w:r w:rsidR="00C51B25" w:rsidRPr="00244238">
        <w:rPr>
          <w:rFonts w:asciiTheme="minorHAnsi" w:hAnsiTheme="minorHAnsi"/>
        </w:rPr>
        <w:t>laboratory data from the study population to confirm influenza activity.</w:t>
      </w:r>
    </w:p>
    <w:p w14:paraId="61AE194E" w14:textId="29558F6A" w:rsidR="00C51B25" w:rsidRPr="008A7F82" w:rsidRDefault="00C51B25" w:rsidP="00844094">
      <w:pPr>
        <w:pStyle w:val="ListBullet"/>
      </w:pPr>
      <w:r w:rsidRPr="008A7F82">
        <w:rPr>
          <w:rFonts w:cs="TimesNewRomanPSMT"/>
          <w:color w:val="000000"/>
        </w:rPr>
        <w:t>The retr</w:t>
      </w:r>
      <w:r>
        <w:rPr>
          <w:rFonts w:cs="TimesNewRomanPSMT"/>
          <w:color w:val="000000"/>
        </w:rPr>
        <w:t>ospective cohort study by Young-</w:t>
      </w:r>
      <w:r w:rsidRPr="008A7F82">
        <w:rPr>
          <w:rFonts w:cs="TimesNewRomanPSMT"/>
          <w:color w:val="000000"/>
        </w:rPr>
        <w:t>Xu</w:t>
      </w:r>
      <w:r w:rsidR="00C1210D">
        <w:rPr>
          <w:rFonts w:cs="TimesNewRomanPSMT"/>
          <w:color w:val="000000"/>
        </w:rPr>
        <w:t xml:space="preserve"> et al.,</w:t>
      </w:r>
      <w:r w:rsidRPr="008A7F82">
        <w:rPr>
          <w:rFonts w:cs="TimesNewRomanPSMT"/>
          <w:color w:val="000000"/>
        </w:rPr>
        <w:t xml:space="preserve"> </w:t>
      </w:r>
      <w:r w:rsidR="00C1210D">
        <w:rPr>
          <w:rFonts w:cs="TimesNewRomanPSMT"/>
          <w:color w:val="000000"/>
        </w:rPr>
        <w:t>(</w:t>
      </w:r>
      <w:r>
        <w:rPr>
          <w:rFonts w:cs="TimesNewRomanPSMT"/>
          <w:color w:val="000000"/>
        </w:rPr>
        <w:t>2018</w:t>
      </w:r>
      <w:r w:rsidR="009B64DE">
        <w:rPr>
          <w:rFonts w:cs="TimesNewRomanPSMT"/>
          <w:color w:val="000000"/>
        </w:rPr>
        <w:t>)</w:t>
      </w:r>
      <w:r w:rsidR="00E91336">
        <w:rPr>
          <w:rFonts w:cs="TimesNewRomanPSMT"/>
          <w:color w:val="000000"/>
        </w:rPr>
        <w:t>;</w:t>
      </w:r>
      <w:r w:rsidR="00E91336" w:rsidRPr="00E91336">
        <w:rPr>
          <w:rFonts w:cs="TimesNewRomanPSMT"/>
          <w:color w:val="000000"/>
          <w:vertAlign w:val="superscript"/>
        </w:rPr>
        <w:fldChar w:fldCharType="begin"/>
      </w:r>
      <w:r w:rsidR="00E91336" w:rsidRPr="00E91336">
        <w:rPr>
          <w:rFonts w:cs="TimesNewRomanPSMT"/>
          <w:color w:val="000000"/>
          <w:vertAlign w:val="superscript"/>
        </w:rPr>
        <w:instrText xml:space="preserve"> NOTEREF _Ref55018014 \h </w:instrText>
      </w:r>
      <w:r w:rsidR="00E91336">
        <w:rPr>
          <w:rFonts w:cs="TimesNewRomanPSMT"/>
          <w:color w:val="000000"/>
          <w:vertAlign w:val="superscript"/>
        </w:rPr>
        <w:instrText xml:space="preserve"> \* MERGEFORMAT </w:instrText>
      </w:r>
      <w:r w:rsidR="00E91336" w:rsidRPr="00E91336">
        <w:rPr>
          <w:rFonts w:cs="TimesNewRomanPSMT"/>
          <w:color w:val="000000"/>
          <w:vertAlign w:val="superscript"/>
        </w:rPr>
      </w:r>
      <w:r w:rsidR="00E91336" w:rsidRPr="00E91336">
        <w:rPr>
          <w:rFonts w:cs="TimesNewRomanPSMT"/>
          <w:color w:val="000000"/>
          <w:vertAlign w:val="superscript"/>
        </w:rPr>
        <w:fldChar w:fldCharType="separate"/>
      </w:r>
      <w:r w:rsidR="00DA143A">
        <w:rPr>
          <w:rFonts w:cs="TimesNewRomanPSMT"/>
          <w:color w:val="000000"/>
          <w:vertAlign w:val="superscript"/>
        </w:rPr>
        <w:t>11</w:t>
      </w:r>
      <w:r w:rsidR="00E91336" w:rsidRPr="00E91336">
        <w:rPr>
          <w:rFonts w:cs="TimesNewRomanPSMT"/>
          <w:color w:val="000000"/>
          <w:vertAlign w:val="superscript"/>
        </w:rPr>
        <w:fldChar w:fldCharType="end"/>
      </w:r>
      <w:r>
        <w:rPr>
          <w:rFonts w:cs="TimesNewRomanPSMT"/>
          <w:color w:val="000000"/>
        </w:rPr>
        <w:t xml:space="preserve"> </w:t>
      </w:r>
      <w:r w:rsidRPr="008A7F82">
        <w:rPr>
          <w:rFonts w:cs="TimesNewRomanPSMT"/>
          <w:color w:val="000000"/>
        </w:rPr>
        <w:t xml:space="preserve">showed a </w:t>
      </w:r>
      <w:r w:rsidR="009B64DE">
        <w:t>matched, PERR</w:t>
      </w:r>
      <w:r w:rsidR="009B64DE">
        <w:noBreakHyphen/>
      </w:r>
      <w:r w:rsidRPr="008A7F82">
        <w:t xml:space="preserve">adjusted </w:t>
      </w:r>
      <w:r w:rsidR="009B64DE">
        <w:t>relative vaccine effectiveness</w:t>
      </w:r>
      <w:r w:rsidRPr="008A7F82">
        <w:t xml:space="preserve"> (for </w:t>
      </w:r>
      <w:r w:rsidR="009B64DE">
        <w:t>TIV</w:t>
      </w:r>
      <w:r w:rsidR="009B64DE">
        <w:noBreakHyphen/>
      </w:r>
      <w:r w:rsidRPr="008A7F82">
        <w:t xml:space="preserve">HD </w:t>
      </w:r>
      <w:r w:rsidR="00A614D4">
        <w:t>versus</w:t>
      </w:r>
      <w:r w:rsidRPr="008A7F82">
        <w:t xml:space="preserve"> </w:t>
      </w:r>
      <w:r w:rsidR="009B64DE">
        <w:t>TIV</w:t>
      </w:r>
      <w:r w:rsidR="009B64DE">
        <w:noBreakHyphen/>
      </w:r>
      <w:r w:rsidRPr="008A7F82">
        <w:t xml:space="preserve">SD) </w:t>
      </w:r>
      <w:r>
        <w:t xml:space="preserve">of </w:t>
      </w:r>
      <w:r w:rsidR="009B64DE">
        <w:t xml:space="preserve">25% (95% CI: 2%, </w:t>
      </w:r>
      <w:r w:rsidRPr="008A7F82">
        <w:t>43%) against influenza- or pneumo</w:t>
      </w:r>
      <w:r w:rsidR="009B64DE">
        <w:t>nia-associated hospitalisation.</w:t>
      </w:r>
    </w:p>
    <w:p w14:paraId="6F0DB8A6" w14:textId="77777777" w:rsidR="00C51B25" w:rsidRPr="009B64DE" w:rsidRDefault="00C51B25" w:rsidP="009B64DE">
      <w:r>
        <w:t xml:space="preserve">The </w:t>
      </w:r>
      <w:r w:rsidR="009B64DE">
        <w:t>clinical evaluator, in their report,</w:t>
      </w:r>
      <w:r>
        <w:t xml:space="preserve"> considered that a</w:t>
      </w:r>
      <w:r w:rsidRPr="008A7F82">
        <w:t>lthough above studies do provide some evidence to demonstrate efficacy of TIV-HD over TIV-SD in preventing pneumonia-related hospitalisation, interpretation was con</w:t>
      </w:r>
      <w:r>
        <w:t xml:space="preserve">founded by various limitations </w:t>
      </w:r>
      <w:r w:rsidRPr="008A7F82">
        <w:t xml:space="preserve">discussed above and </w:t>
      </w:r>
      <w:r w:rsidRPr="008A7F82">
        <w:rPr>
          <w:rFonts w:eastAsiaTheme="minorHAnsi" w:cs="TimesNewRomanPSMT"/>
          <w:color w:val="000000"/>
        </w:rPr>
        <w:t xml:space="preserve">do not justify </w:t>
      </w:r>
      <w:r>
        <w:rPr>
          <w:rFonts w:eastAsiaTheme="minorHAnsi" w:cs="TimesNewRomanPSMT"/>
          <w:color w:val="000000"/>
        </w:rPr>
        <w:t xml:space="preserve">inclusion </w:t>
      </w:r>
      <w:r w:rsidRPr="009B64DE">
        <w:rPr>
          <w:rFonts w:eastAsiaTheme="minorHAnsi" w:cs="TimesNewRomanPSMT"/>
          <w:color w:val="000000"/>
        </w:rPr>
        <w:t>of</w:t>
      </w:r>
      <w:r w:rsidRPr="009B64DE">
        <w:rPr>
          <w:rFonts w:eastAsiaTheme="minorHAnsi" w:cs="TimesNewRomanPSMT"/>
          <w:i/>
          <w:color w:val="000000"/>
        </w:rPr>
        <w:t xml:space="preserve"> ‘preventing pn</w:t>
      </w:r>
      <w:r w:rsidR="009B64DE" w:rsidRPr="009B64DE">
        <w:rPr>
          <w:rFonts w:eastAsiaTheme="minorHAnsi" w:cs="TimesNewRomanPSMT"/>
          <w:i/>
          <w:color w:val="000000"/>
        </w:rPr>
        <w:t>eumonia-related hospitalisation’</w:t>
      </w:r>
      <w:r>
        <w:rPr>
          <w:rFonts w:eastAsiaTheme="minorHAnsi" w:cs="TimesNewRomanPSMT"/>
          <w:color w:val="000000"/>
        </w:rPr>
        <w:t xml:space="preserve"> in wording of </w:t>
      </w:r>
      <w:r w:rsidRPr="008A7F82">
        <w:rPr>
          <w:rFonts w:eastAsiaTheme="minorHAnsi" w:cs="TimesNewRomanPSMT"/>
          <w:color w:val="000000"/>
        </w:rPr>
        <w:t xml:space="preserve">proposed indications </w:t>
      </w:r>
      <w:r>
        <w:rPr>
          <w:rFonts w:eastAsiaTheme="minorHAnsi" w:cs="TimesNewRomanPSMT"/>
          <w:color w:val="000000"/>
        </w:rPr>
        <w:t xml:space="preserve">for </w:t>
      </w:r>
      <w:r w:rsidRPr="008A7F82">
        <w:rPr>
          <w:rFonts w:eastAsiaTheme="minorHAnsi" w:cs="TimesNewRomanPSMT"/>
          <w:color w:val="000000"/>
        </w:rPr>
        <w:t>QIV-HD</w:t>
      </w:r>
      <w:r>
        <w:rPr>
          <w:rFonts w:eastAsiaTheme="minorHAnsi" w:cs="TimesNewRomanPSMT"/>
          <w:color w:val="000000"/>
        </w:rPr>
        <w:t>.</w:t>
      </w:r>
    </w:p>
    <w:p w14:paraId="7C71A70C" w14:textId="77777777" w:rsidR="00C51B25" w:rsidRDefault="00C51B25" w:rsidP="00C51B25">
      <w:pPr>
        <w:spacing w:before="0" w:after="0" w:line="240" w:lineRule="auto"/>
        <w:rPr>
          <w:rFonts w:asciiTheme="minorHAnsi" w:hAnsiTheme="minorHAnsi"/>
        </w:rPr>
      </w:pPr>
      <w:r w:rsidRPr="008A7F82">
        <w:rPr>
          <w:rFonts w:eastAsiaTheme="minorHAnsi" w:cs="TimesNewRomanPSMT"/>
        </w:rPr>
        <w:t xml:space="preserve">Vaccination with QIV-HD among adults 65 years of age and older was found to be safe, with no new safety concerns identified. The safety profiles of QIV-HD and TIV-HD were </w:t>
      </w:r>
      <w:r w:rsidRPr="008A7F82">
        <w:rPr>
          <w:rFonts w:eastAsiaTheme="minorHAnsi" w:cs="TimesNewRomanPSMT"/>
        </w:rPr>
        <w:lastRenderedPageBreak/>
        <w:t xml:space="preserve">found to be similar. </w:t>
      </w:r>
      <w:r w:rsidRPr="008A7F82">
        <w:rPr>
          <w:rFonts w:cs="Arial"/>
        </w:rPr>
        <w:t>Rates of local and systemic reactions that occurred following immunisation with Fluzone High-Dose Quadrivalent were similar to those induced by trivalent formulations of Fluzone High-Dose</w:t>
      </w:r>
      <w:r>
        <w:rPr>
          <w:rFonts w:cs="Arial"/>
        </w:rPr>
        <w:t>.</w:t>
      </w:r>
    </w:p>
    <w:p w14:paraId="2F22632F" w14:textId="77777777" w:rsidR="00C51B25" w:rsidRPr="001C10F9" w:rsidRDefault="00C51B25" w:rsidP="009B64DE">
      <w:r>
        <w:t xml:space="preserve">The first round </w:t>
      </w:r>
      <w:r w:rsidR="009B64DE">
        <w:t>clinical evaluation report</w:t>
      </w:r>
      <w:r>
        <w:t xml:space="preserve"> recommended registration with </w:t>
      </w:r>
      <w:r w:rsidRPr="001C10F9">
        <w:t>the modified indication:</w:t>
      </w:r>
    </w:p>
    <w:p w14:paraId="5543C43C" w14:textId="77777777" w:rsidR="00C51B25" w:rsidRPr="009B64DE" w:rsidRDefault="009B64DE" w:rsidP="009B64DE">
      <w:pPr>
        <w:ind w:left="720"/>
        <w:rPr>
          <w:i/>
        </w:rPr>
      </w:pPr>
      <w:r w:rsidRPr="009B64DE">
        <w:rPr>
          <w:i/>
        </w:rPr>
        <w:t>‘</w:t>
      </w:r>
      <w:r w:rsidR="00C51B25" w:rsidRPr="009B64DE">
        <w:rPr>
          <w:i/>
        </w:rPr>
        <w:t>Fluzone Quadrivalent High-Dose is indicated for active immunisation for the prevention of influenza disease caused by influenza virus types A and B contained in the vaccine in per</w:t>
      </w:r>
      <w:r w:rsidRPr="009B64DE">
        <w:rPr>
          <w:i/>
        </w:rPr>
        <w:t>sons 65 years of age and older.’</w:t>
      </w:r>
    </w:p>
    <w:p w14:paraId="23CC1A8C" w14:textId="77777777" w:rsidR="00C51B25" w:rsidRDefault="00C51B25" w:rsidP="009B64DE">
      <w:r>
        <w:rPr>
          <w:rFonts w:asciiTheme="minorHAnsi" w:hAnsiTheme="minorHAnsi"/>
        </w:rPr>
        <w:t>In response to Question</w:t>
      </w:r>
      <w:r w:rsidR="009B64DE">
        <w:rPr>
          <w:rFonts w:asciiTheme="minorHAnsi" w:hAnsiTheme="minorHAnsi"/>
        </w:rPr>
        <w:t xml:space="preserve"> </w:t>
      </w:r>
      <w:r>
        <w:rPr>
          <w:rFonts w:asciiTheme="minorHAnsi" w:hAnsiTheme="minorHAnsi"/>
        </w:rPr>
        <w:t>1</w:t>
      </w:r>
      <w:r w:rsidR="009B64DE">
        <w:rPr>
          <w:rFonts w:asciiTheme="minorHAnsi" w:hAnsiTheme="minorHAnsi"/>
        </w:rPr>
        <w:t xml:space="preserve"> (of the report)</w:t>
      </w:r>
      <w:r>
        <w:rPr>
          <w:rFonts w:asciiTheme="minorHAnsi" w:hAnsiTheme="minorHAnsi"/>
        </w:rPr>
        <w:t xml:space="preserve"> the sponsor identified </w:t>
      </w:r>
      <w:r w:rsidRPr="00A26619">
        <w:t>a total of 17 subjects reported being a resident of an assisted-living facility or</w:t>
      </w:r>
      <w:r w:rsidR="009B64DE">
        <w:t xml:space="preserve"> nursing home within the last 6 months in Study QHD00013</w:t>
      </w:r>
      <w:r>
        <w:t>.</w:t>
      </w:r>
    </w:p>
    <w:p w14:paraId="68234426" w14:textId="77777777" w:rsidR="009B64DE" w:rsidRDefault="00C51B25" w:rsidP="009B64DE">
      <w:pPr>
        <w:rPr>
          <w:rFonts w:asciiTheme="minorHAnsi" w:hAnsiTheme="minorHAnsi"/>
        </w:rPr>
      </w:pPr>
      <w:r>
        <w:rPr>
          <w:rFonts w:asciiTheme="minorHAnsi" w:hAnsiTheme="minorHAnsi"/>
        </w:rPr>
        <w:t>In response to Question</w:t>
      </w:r>
      <w:r w:rsidR="009B64DE">
        <w:rPr>
          <w:rFonts w:asciiTheme="minorHAnsi" w:hAnsiTheme="minorHAnsi"/>
        </w:rPr>
        <w:t xml:space="preserve"> </w:t>
      </w:r>
      <w:r>
        <w:rPr>
          <w:rFonts w:asciiTheme="minorHAnsi" w:hAnsiTheme="minorHAnsi"/>
        </w:rPr>
        <w:t>2, the sponsor identified</w:t>
      </w:r>
      <w:r w:rsidRPr="007345F7">
        <w:rPr>
          <w:bCs/>
        </w:rPr>
        <w:t xml:space="preserve"> </w:t>
      </w:r>
      <w:r>
        <w:rPr>
          <w:bCs/>
        </w:rPr>
        <w:t xml:space="preserve">that </w:t>
      </w:r>
      <w:r w:rsidR="009B64DE" w:rsidRPr="00A26619">
        <w:rPr>
          <w:bCs/>
        </w:rPr>
        <w:t xml:space="preserve">Study </w:t>
      </w:r>
      <w:r w:rsidRPr="00A26619">
        <w:rPr>
          <w:bCs/>
        </w:rPr>
        <w:t>QHD0008</w:t>
      </w:r>
      <w:r>
        <w:rPr>
          <w:bCs/>
        </w:rPr>
        <w:t>’s main purpose</w:t>
      </w:r>
      <w:r w:rsidRPr="00A26619">
        <w:t xml:space="preserve"> was to support the safety and immunogenicity of the QIV-HD Japan Clinical Development Program</w:t>
      </w:r>
      <w:r>
        <w:t>.</w:t>
      </w:r>
      <w:r w:rsidRPr="00A26619">
        <w:t xml:space="preserve"> In Japan, influenza vaccines are administered subcutaneously as the standard of care</w:t>
      </w:r>
      <w:r>
        <w:rPr>
          <w:bCs/>
        </w:rPr>
        <w:t>.</w:t>
      </w:r>
    </w:p>
    <w:p w14:paraId="2BFA5719" w14:textId="77777777" w:rsidR="00C51B25" w:rsidRPr="006B08C7" w:rsidRDefault="00C51B25" w:rsidP="006B08C7">
      <w:r w:rsidRPr="007345F7">
        <w:rPr>
          <w:rFonts w:asciiTheme="minorHAnsi" w:hAnsiTheme="minorHAnsi"/>
        </w:rPr>
        <w:t>In response to Question</w:t>
      </w:r>
      <w:r>
        <w:rPr>
          <w:rFonts w:asciiTheme="minorHAnsi" w:hAnsiTheme="minorHAnsi"/>
        </w:rPr>
        <w:t xml:space="preserve"> 3</w:t>
      </w:r>
      <w:r w:rsidRPr="007345F7">
        <w:rPr>
          <w:rFonts w:asciiTheme="minorHAnsi" w:hAnsiTheme="minorHAnsi"/>
        </w:rPr>
        <w:t>, the sponsor</w:t>
      </w:r>
      <w:r>
        <w:rPr>
          <w:rFonts w:asciiTheme="minorHAnsi" w:hAnsiTheme="minorHAnsi"/>
        </w:rPr>
        <w:t xml:space="preserve"> commented that </w:t>
      </w:r>
      <w:r w:rsidRPr="00A26619">
        <w:t xml:space="preserve">the most recent </w:t>
      </w:r>
      <w:r w:rsidR="006B08C7" w:rsidRPr="006B08C7">
        <w:t xml:space="preserve">periodic benefit-risk evaluation report </w:t>
      </w:r>
      <w:r w:rsidR="006B08C7">
        <w:t>(</w:t>
      </w:r>
      <w:r w:rsidRPr="00A26619">
        <w:t>PBRER</w:t>
      </w:r>
      <w:r w:rsidR="006B08C7">
        <w:t>);</w:t>
      </w:r>
      <w:r w:rsidR="006B08C7">
        <w:rPr>
          <w:rStyle w:val="FootnoteReference"/>
        </w:rPr>
        <w:footnoteReference w:id="22"/>
      </w:r>
      <w:r w:rsidRPr="00A26619">
        <w:t xml:space="preserve"> as part of the</w:t>
      </w:r>
      <w:r w:rsidR="00E91336">
        <w:t xml:space="preserve"> pre-Advisory Committee on Vaccines (ACV)</w:t>
      </w:r>
      <w:r w:rsidRPr="00A26619">
        <w:t xml:space="preserve"> response package</w:t>
      </w:r>
      <w:r>
        <w:t>.</w:t>
      </w:r>
    </w:p>
    <w:p w14:paraId="3DEC2622" w14:textId="77777777" w:rsidR="00C51B25" w:rsidRPr="006B08C7" w:rsidRDefault="00C51B25" w:rsidP="006B08C7">
      <w:r>
        <w:rPr>
          <w:rFonts w:asciiTheme="minorHAnsi" w:hAnsiTheme="minorHAnsi"/>
        </w:rPr>
        <w:t xml:space="preserve">In a response to the indications recommended in </w:t>
      </w:r>
      <w:r w:rsidR="006B08C7">
        <w:rPr>
          <w:rFonts w:asciiTheme="minorHAnsi" w:hAnsiTheme="minorHAnsi"/>
        </w:rPr>
        <w:t>by the clinical evaluator (in their report)</w:t>
      </w:r>
      <w:r>
        <w:rPr>
          <w:rFonts w:asciiTheme="minorHAnsi" w:hAnsiTheme="minorHAnsi"/>
        </w:rPr>
        <w:t>, the sponsor states t</w:t>
      </w:r>
      <w:r w:rsidR="006B08C7">
        <w:t xml:space="preserve">he added wording </w:t>
      </w:r>
      <w:r w:rsidR="006B08C7" w:rsidRPr="006B08C7">
        <w:rPr>
          <w:i/>
        </w:rPr>
        <w:t>‘</w:t>
      </w:r>
      <w:r w:rsidRPr="006B08C7">
        <w:rPr>
          <w:i/>
        </w:rPr>
        <w:t>associated complication of pneumonia-related hospitalisation</w:t>
      </w:r>
      <w:r w:rsidR="006B08C7">
        <w:rPr>
          <w:i/>
        </w:rPr>
        <w:t>’</w:t>
      </w:r>
      <w:r w:rsidRPr="00A26619">
        <w:t xml:space="preserve"> to the proposed indication is based on the large body of evidence generated with TIV-HD in RCT and post-licensure effectiveness studies. To date, these data have not been generated by any other influenza vaccines in a consistent manner and over many influenza seasons as TIV-HD has done.</w:t>
      </w:r>
      <w:r w:rsidRPr="00964B4E">
        <w:t xml:space="preserve"> </w:t>
      </w:r>
      <w:r w:rsidRPr="00A26619">
        <w:t>This additio</w:t>
      </w:r>
      <w:r w:rsidR="006B08C7">
        <w:t>nal data generated includes TIV</w:t>
      </w:r>
      <w:r w:rsidR="006B08C7">
        <w:noBreakHyphen/>
      </w:r>
      <w:r w:rsidRPr="00A26619">
        <w:t xml:space="preserve">HD’s improved benefit over </w:t>
      </w:r>
      <w:r w:rsidR="006B08C7">
        <w:t>TIV</w:t>
      </w:r>
      <w:r w:rsidR="006B08C7">
        <w:noBreakHyphen/>
      </w:r>
      <w:r w:rsidRPr="00A26619">
        <w:t>SD influenza vaccines for a variety of important clinical endpoints such as hospitalisations due to ILI, pneumonia, cardio-respiratory events, all-cause deaths. Most of them were not available at the time of the TIV-HD submission in Australia</w:t>
      </w:r>
      <w:r>
        <w:t xml:space="preserve">. The sponsor has commented that </w:t>
      </w:r>
      <w:r w:rsidR="006B08C7">
        <w:t>the A</w:t>
      </w:r>
      <w:r w:rsidR="006B08C7" w:rsidRPr="006B08C7">
        <w:t xml:space="preserve">ustralian Technical Advisory Group on Immunisation </w:t>
      </w:r>
      <w:r w:rsidR="006B08C7">
        <w:t>(</w:t>
      </w:r>
      <w:r>
        <w:t>ATAGI</w:t>
      </w:r>
      <w:r w:rsidR="006B08C7">
        <w:t>);</w:t>
      </w:r>
      <w:r w:rsidR="006B08C7">
        <w:rPr>
          <w:rStyle w:val="FootnoteReference"/>
        </w:rPr>
        <w:footnoteReference w:id="23"/>
      </w:r>
      <w:r>
        <w:t xml:space="preserve"> has evaluated the same data and </w:t>
      </w:r>
      <w:r w:rsidRPr="00A26619">
        <w:t>ATAGI state that there is evidence to support efficacy of TIV-HD against pneumonia</w:t>
      </w:r>
      <w:r w:rsidR="006B08C7">
        <w:t>.</w:t>
      </w:r>
    </w:p>
    <w:p w14:paraId="277FCE34" w14:textId="77777777" w:rsidR="00C51B25" w:rsidRPr="006B08C7" w:rsidRDefault="00C51B25" w:rsidP="006B08C7">
      <w:r w:rsidRPr="006B08C7">
        <w:t>The sponsor also comments that the Fluad Quad PI contains a bro</w:t>
      </w:r>
      <w:r w:rsidR="006B08C7">
        <w:t>ad clinical efficacy statement.</w:t>
      </w:r>
    </w:p>
    <w:p w14:paraId="6D167149" w14:textId="77777777" w:rsidR="00C51B25" w:rsidRPr="006B08C7" w:rsidRDefault="00C51B25" w:rsidP="006B08C7">
      <w:r w:rsidRPr="006B08C7">
        <w:lastRenderedPageBreak/>
        <w:t>In addition, the sponsor d</w:t>
      </w:r>
      <w:r w:rsidR="006B08C7">
        <w:t xml:space="preserve">oes not agree with the wording </w:t>
      </w:r>
      <w:r w:rsidR="006B08C7" w:rsidRPr="006B08C7">
        <w:rPr>
          <w:i/>
        </w:rPr>
        <w:t>‘</w:t>
      </w:r>
      <w:r w:rsidRPr="006B08C7">
        <w:rPr>
          <w:i/>
        </w:rPr>
        <w:t>caused by influenza virus types A and B contained in the vacci</w:t>
      </w:r>
      <w:r w:rsidR="006B08C7" w:rsidRPr="006B08C7">
        <w:rPr>
          <w:i/>
        </w:rPr>
        <w:t>ne’</w:t>
      </w:r>
      <w:r w:rsidRPr="006B08C7">
        <w:t>. Study FIM12 demonstrated superior efficacy of Fluzone High-Dose (TIV-HD) versus standard-dose (</w:t>
      </w:r>
      <w:r w:rsidR="006B08C7">
        <w:t>TIV</w:t>
      </w:r>
      <w:r w:rsidR="006B08C7">
        <w:noBreakHyphen/>
      </w:r>
      <w:r w:rsidRPr="006B08C7">
        <w:t xml:space="preserve">SD) Fluzone against laboratory-confirmed influenza caused by any influenza viral types/subtypes associated with </w:t>
      </w:r>
      <w:r w:rsidR="006B08C7">
        <w:t>ILI</w:t>
      </w:r>
      <w:r w:rsidRPr="006B08C7">
        <w:t>. In addition, it is evident from the data presented that there is a differential clinical efficacy in the two influenza seasons. It is known that the season where the efficacy was lower</w:t>
      </w:r>
      <w:r w:rsidR="006B08C7">
        <w:t xml:space="preserve">, although still superior to </w:t>
      </w:r>
      <w:r w:rsidRPr="006B08C7">
        <w:t>QIV</w:t>
      </w:r>
      <w:r w:rsidR="006B08C7">
        <w:noBreakHyphen/>
        <w:t>SD</w:t>
      </w:r>
      <w:r w:rsidRPr="006B08C7">
        <w:t>, was a mismatch year. This demonstrates that the vaccine is not only effective against other strains of influenza but remains clearly superior to QIV</w:t>
      </w:r>
      <w:r w:rsidR="006B08C7">
        <w:noBreakHyphen/>
        <w:t>SD</w:t>
      </w:r>
      <w:r w:rsidRPr="006B08C7">
        <w:t xml:space="preserve"> even in the face of a mismatch.</w:t>
      </w:r>
    </w:p>
    <w:p w14:paraId="1104F9E7" w14:textId="77777777" w:rsidR="00C51B25" w:rsidRDefault="006B08C7" w:rsidP="00C51B25">
      <w:pPr>
        <w:pStyle w:val="Heading5"/>
      </w:pPr>
      <w:r>
        <w:t xml:space="preserve">Clinical evaluator’s benefit-risk </w:t>
      </w:r>
      <w:r w:rsidR="00C51B25" w:rsidRPr="00CA6B51">
        <w:t>ass</w:t>
      </w:r>
      <w:r>
        <w:t>essment (</w:t>
      </w:r>
      <w:r w:rsidR="00112F85">
        <w:t xml:space="preserve">at the </w:t>
      </w:r>
      <w:r>
        <w:t>second round</w:t>
      </w:r>
      <w:r w:rsidR="00112F85">
        <w:t xml:space="preserve"> of evaluation</w:t>
      </w:r>
      <w:r>
        <w:t>)</w:t>
      </w:r>
    </w:p>
    <w:p w14:paraId="06F3DA7A" w14:textId="77777777" w:rsidR="006B08C7" w:rsidRDefault="00C51B25" w:rsidP="006B08C7">
      <w:r w:rsidRPr="00A26619">
        <w:t>The</w:t>
      </w:r>
      <w:r>
        <w:t xml:space="preserve"> </w:t>
      </w:r>
      <w:r w:rsidR="006B08C7">
        <w:t>clinical evaluator</w:t>
      </w:r>
      <w:r>
        <w:t xml:space="preserve"> concludes the</w:t>
      </w:r>
      <w:r w:rsidRPr="00A26619">
        <w:t xml:space="preserve"> </w:t>
      </w:r>
      <w:r>
        <w:t xml:space="preserve">second </w:t>
      </w:r>
      <w:r w:rsidRPr="00A26619">
        <w:t>benefit</w:t>
      </w:r>
      <w:r>
        <w:t>-</w:t>
      </w:r>
      <w:r w:rsidRPr="00A26619">
        <w:t>risk balance is unchanged from that in</w:t>
      </w:r>
      <w:r>
        <w:t xml:space="preserve"> first round evaluation. Registration is recommended with indications</w:t>
      </w:r>
      <w:r w:rsidR="006B08C7">
        <w:t>:</w:t>
      </w:r>
    </w:p>
    <w:p w14:paraId="54113FB4" w14:textId="77777777" w:rsidR="00456765" w:rsidRPr="006B08C7" w:rsidRDefault="006B08C7" w:rsidP="006B08C7">
      <w:pPr>
        <w:ind w:left="720"/>
        <w:rPr>
          <w:rFonts w:eastAsiaTheme="minorHAnsi"/>
          <w:i/>
        </w:rPr>
      </w:pPr>
      <w:r w:rsidRPr="006B08C7">
        <w:rPr>
          <w:i/>
        </w:rPr>
        <w:t>‘</w:t>
      </w:r>
      <w:r w:rsidR="00C51B25" w:rsidRPr="006B08C7">
        <w:rPr>
          <w:i/>
        </w:rPr>
        <w:t xml:space="preserve">Fluzone High-Dose Quadrivalent is indicated for active immunisation for the prevention of influenza disease in persons 65 years of age and older. </w:t>
      </w:r>
      <w:r w:rsidR="00C51B25" w:rsidRPr="006B08C7">
        <w:rPr>
          <w:rFonts w:eastAsiaTheme="minorHAnsi"/>
          <w:i/>
        </w:rPr>
        <w:t>The use of Fluzone High-Dose Quadrivalent should be based on official recommendations</w:t>
      </w:r>
      <w:r w:rsidRPr="006B08C7">
        <w:rPr>
          <w:rFonts w:eastAsiaTheme="minorHAnsi"/>
          <w:i/>
        </w:rPr>
        <w:t>’.</w:t>
      </w:r>
    </w:p>
    <w:p w14:paraId="34C5BDE0" w14:textId="77777777" w:rsidR="008E7846" w:rsidRDefault="00386150" w:rsidP="007B6132">
      <w:pPr>
        <w:pStyle w:val="Heading3"/>
        <w:rPr>
          <w:lang w:eastAsia="en-AU"/>
        </w:rPr>
      </w:pPr>
      <w:bookmarkStart w:id="53" w:name="_Toc57824921"/>
      <w:r>
        <w:rPr>
          <w:lang w:eastAsia="en-AU"/>
        </w:rPr>
        <w:t>Risk m</w:t>
      </w:r>
      <w:r w:rsidR="008E7846">
        <w:rPr>
          <w:lang w:eastAsia="en-AU"/>
        </w:rPr>
        <w:t xml:space="preserve">anagement </w:t>
      </w:r>
      <w:r>
        <w:rPr>
          <w:lang w:eastAsia="en-AU"/>
        </w:rPr>
        <w:t>p</w:t>
      </w:r>
      <w:r w:rsidR="008E7846">
        <w:rPr>
          <w:lang w:eastAsia="en-AU"/>
        </w:rPr>
        <w:t>lan</w:t>
      </w:r>
      <w:bookmarkEnd w:id="52"/>
      <w:bookmarkEnd w:id="53"/>
    </w:p>
    <w:p w14:paraId="2111F9EB" w14:textId="77777777" w:rsidR="007D53B6" w:rsidRPr="00B53CC2" w:rsidRDefault="00B53CC2" w:rsidP="00B53CC2">
      <w:r>
        <w:t>The sponsor has submitted EU risk management plan (RMP)</w:t>
      </w:r>
      <w:r w:rsidRPr="00B53CC2">
        <w:t xml:space="preserve"> version 1.0 (dated 20 March 2019; </w:t>
      </w:r>
      <w:r>
        <w:t>data lock point (</w:t>
      </w:r>
      <w:r w:rsidRPr="00B53CC2">
        <w:t>DLP</w:t>
      </w:r>
      <w:r>
        <w:t>)</w:t>
      </w:r>
      <w:r w:rsidRPr="00B53CC2">
        <w:t xml:space="preserve"> 15 September 2018) and </w:t>
      </w:r>
      <w:r>
        <w:t>Australia</w:t>
      </w:r>
      <w:r w:rsidR="00112F85">
        <w:t>n</w:t>
      </w:r>
      <w:r>
        <w:t>-specific Annex (</w:t>
      </w:r>
      <w:r w:rsidRPr="00B53CC2">
        <w:t>ASA</w:t>
      </w:r>
      <w:r>
        <w:t>)</w:t>
      </w:r>
      <w:r w:rsidRPr="00B53CC2">
        <w:t xml:space="preserve"> version 1.0 (dated 31 July 2019) in support of this application.</w:t>
      </w:r>
    </w:p>
    <w:p w14:paraId="49AD610C" w14:textId="77777777" w:rsidR="002F1FBE" w:rsidRDefault="007D53B6" w:rsidP="007D53B6">
      <w:r>
        <w:t>The summary of safety concerns and their associated risk monitoring and mitigation strat</w:t>
      </w:r>
      <w:r w:rsidR="002F1FBE">
        <w:t>egies are summarised in Table</w:t>
      </w:r>
      <w:r w:rsidR="00112F85">
        <w:t xml:space="preserve"> 8</w:t>
      </w:r>
      <w:r>
        <w:t>.</w:t>
      </w:r>
      <w:r>
        <w:rPr>
          <w:rStyle w:val="FootnoteReference"/>
        </w:rPr>
        <w:footnoteReference w:id="24"/>
      </w:r>
    </w:p>
    <w:p w14:paraId="1B70D770" w14:textId="172A06EC" w:rsidR="002F1FBE" w:rsidRDefault="002F1FBE" w:rsidP="00156FDA">
      <w:pPr>
        <w:pStyle w:val="TableTitle"/>
      </w:pPr>
      <w:r>
        <w:lastRenderedPageBreak/>
        <w:t xml:space="preserve">Table </w:t>
      </w:r>
      <w:r w:rsidR="0034766A">
        <w:fldChar w:fldCharType="begin"/>
      </w:r>
      <w:r w:rsidR="0034766A">
        <w:instrText xml:space="preserve"> SEQ Table \* ARABIC </w:instrText>
      </w:r>
      <w:r w:rsidR="0034766A">
        <w:fldChar w:fldCharType="separate"/>
      </w:r>
      <w:r w:rsidR="00DA143A">
        <w:rPr>
          <w:noProof/>
        </w:rPr>
        <w:t>7</w:t>
      </w:r>
      <w:r w:rsidR="0034766A">
        <w:rPr>
          <w:noProof/>
        </w:rPr>
        <w:fldChar w:fldCharType="end"/>
      </w:r>
      <w:r>
        <w:t>: Summary of safety concerns</w:t>
      </w:r>
    </w:p>
    <w:tbl>
      <w:tblPr>
        <w:tblStyle w:val="TableTGAblue"/>
        <w:tblW w:w="9018" w:type="dxa"/>
        <w:tblLayout w:type="fixed"/>
        <w:tblLook w:val="04A0" w:firstRow="1" w:lastRow="0" w:firstColumn="1" w:lastColumn="0" w:noHBand="0" w:noVBand="1"/>
      </w:tblPr>
      <w:tblGrid>
        <w:gridCol w:w="1728"/>
        <w:gridCol w:w="2610"/>
        <w:gridCol w:w="1080"/>
        <w:gridCol w:w="1260"/>
        <w:gridCol w:w="1080"/>
        <w:gridCol w:w="1260"/>
      </w:tblGrid>
      <w:tr w:rsidR="002F1FBE" w:rsidRPr="004F1C07" w14:paraId="2A233B67" w14:textId="77777777" w:rsidTr="002A67AC">
        <w:trPr>
          <w:cnfStyle w:val="100000000000" w:firstRow="1" w:lastRow="0" w:firstColumn="0" w:lastColumn="0" w:oddVBand="0" w:evenVBand="0" w:oddHBand="0" w:evenHBand="0" w:firstRowFirstColumn="0" w:firstRowLastColumn="0" w:lastRowFirstColumn="0" w:lastRowLastColumn="0"/>
          <w:trHeight w:val="131"/>
        </w:trPr>
        <w:tc>
          <w:tcPr>
            <w:tcW w:w="4338" w:type="dxa"/>
            <w:gridSpan w:val="2"/>
            <w:vMerge w:val="restart"/>
            <w:tcBorders>
              <w:top w:val="single" w:sz="4" w:space="0" w:color="auto"/>
              <w:left w:val="single" w:sz="4" w:space="0" w:color="auto"/>
              <w:bottom w:val="single" w:sz="4" w:space="0" w:color="auto"/>
              <w:right w:val="single" w:sz="4" w:space="0" w:color="auto"/>
            </w:tcBorders>
          </w:tcPr>
          <w:p w14:paraId="5305A181" w14:textId="77777777" w:rsidR="002F1FBE" w:rsidRPr="004F1C07" w:rsidRDefault="002F1FBE" w:rsidP="00156FDA">
            <w:pPr>
              <w:pStyle w:val="Tabletext"/>
              <w:rPr>
                <w:b w:val="0"/>
              </w:rPr>
            </w:pPr>
            <w:r w:rsidRPr="004F1C07">
              <w:t>Summary of safety concerns</w:t>
            </w:r>
          </w:p>
        </w:tc>
        <w:tc>
          <w:tcPr>
            <w:tcW w:w="2340" w:type="dxa"/>
            <w:gridSpan w:val="2"/>
            <w:tcBorders>
              <w:top w:val="single" w:sz="4" w:space="0" w:color="auto"/>
              <w:left w:val="single" w:sz="4" w:space="0" w:color="auto"/>
              <w:bottom w:val="single" w:sz="4" w:space="0" w:color="auto"/>
              <w:right w:val="single" w:sz="4" w:space="0" w:color="auto"/>
            </w:tcBorders>
          </w:tcPr>
          <w:p w14:paraId="1A11A616" w14:textId="77777777" w:rsidR="002F1FBE" w:rsidRPr="0011726C" w:rsidRDefault="002F1FBE" w:rsidP="00156FDA">
            <w:pPr>
              <w:pStyle w:val="Tabletext"/>
              <w:rPr>
                <w:b w:val="0"/>
                <w:sz w:val="18"/>
              </w:rPr>
            </w:pPr>
            <w:r w:rsidRPr="0011726C">
              <w:rPr>
                <w:sz w:val="18"/>
              </w:rPr>
              <w:t>Pharmacovigilance</w:t>
            </w:r>
          </w:p>
        </w:tc>
        <w:tc>
          <w:tcPr>
            <w:tcW w:w="2340" w:type="dxa"/>
            <w:gridSpan w:val="2"/>
            <w:tcBorders>
              <w:top w:val="single" w:sz="4" w:space="0" w:color="auto"/>
              <w:left w:val="single" w:sz="4" w:space="0" w:color="auto"/>
              <w:bottom w:val="single" w:sz="4" w:space="0" w:color="auto"/>
              <w:right w:val="single" w:sz="4" w:space="0" w:color="auto"/>
            </w:tcBorders>
          </w:tcPr>
          <w:p w14:paraId="321D53C3" w14:textId="77777777" w:rsidR="002F1FBE" w:rsidRPr="0011726C" w:rsidRDefault="002F1FBE" w:rsidP="00156FDA">
            <w:pPr>
              <w:pStyle w:val="Tabletext"/>
              <w:rPr>
                <w:b w:val="0"/>
                <w:sz w:val="18"/>
              </w:rPr>
            </w:pPr>
            <w:r w:rsidRPr="0011726C">
              <w:rPr>
                <w:sz w:val="18"/>
              </w:rPr>
              <w:t>Risk Minimisation</w:t>
            </w:r>
          </w:p>
        </w:tc>
      </w:tr>
      <w:tr w:rsidR="002F1FBE" w:rsidRPr="004F1C07" w14:paraId="16644DCB" w14:textId="77777777" w:rsidTr="002A67AC">
        <w:trPr>
          <w:trHeight w:val="150"/>
        </w:trPr>
        <w:tc>
          <w:tcPr>
            <w:tcW w:w="4338" w:type="dxa"/>
            <w:gridSpan w:val="2"/>
            <w:vMerge/>
            <w:tcBorders>
              <w:top w:val="single" w:sz="4" w:space="0" w:color="auto"/>
              <w:left w:val="single" w:sz="4" w:space="0" w:color="auto"/>
              <w:bottom w:val="single" w:sz="4" w:space="0" w:color="auto"/>
              <w:right w:val="single" w:sz="4" w:space="0" w:color="auto"/>
            </w:tcBorders>
          </w:tcPr>
          <w:p w14:paraId="24AAB6E9" w14:textId="77777777" w:rsidR="002F1FBE" w:rsidRPr="004F1C07" w:rsidRDefault="002F1FBE" w:rsidP="00156FDA">
            <w:pPr>
              <w:pStyle w:val="Tabletext"/>
              <w:keepNext/>
              <w:rPr>
                <w:b/>
              </w:rPr>
            </w:pPr>
          </w:p>
        </w:tc>
        <w:tc>
          <w:tcPr>
            <w:tcW w:w="1080" w:type="dxa"/>
            <w:tcBorders>
              <w:top w:val="single" w:sz="4" w:space="0" w:color="auto"/>
              <w:left w:val="single" w:sz="4" w:space="0" w:color="auto"/>
              <w:bottom w:val="single" w:sz="4" w:space="0" w:color="auto"/>
              <w:right w:val="single" w:sz="4" w:space="0" w:color="auto"/>
            </w:tcBorders>
            <w:shd w:val="clear" w:color="auto" w:fill="006DA7"/>
          </w:tcPr>
          <w:p w14:paraId="4437CFFA" w14:textId="77777777" w:rsidR="002F1FBE" w:rsidRPr="002A67AC" w:rsidRDefault="002F1FBE" w:rsidP="00156FDA">
            <w:pPr>
              <w:pStyle w:val="Tabletext"/>
              <w:keepNext/>
              <w:ind w:left="0"/>
              <w:rPr>
                <w:color w:val="FFFFFF" w:themeColor="background1"/>
                <w:sz w:val="18"/>
              </w:rPr>
            </w:pPr>
            <w:r w:rsidRPr="002A67AC">
              <w:rPr>
                <w:color w:val="FFFFFF" w:themeColor="background1"/>
                <w:sz w:val="18"/>
              </w:rPr>
              <w:t>Routine</w:t>
            </w:r>
          </w:p>
        </w:tc>
        <w:tc>
          <w:tcPr>
            <w:tcW w:w="1260" w:type="dxa"/>
            <w:tcBorders>
              <w:top w:val="single" w:sz="4" w:space="0" w:color="auto"/>
              <w:left w:val="single" w:sz="4" w:space="0" w:color="auto"/>
              <w:bottom w:val="single" w:sz="4" w:space="0" w:color="auto"/>
              <w:right w:val="single" w:sz="4" w:space="0" w:color="auto"/>
            </w:tcBorders>
            <w:shd w:val="clear" w:color="auto" w:fill="006DA7"/>
          </w:tcPr>
          <w:p w14:paraId="2C3280AA" w14:textId="77777777" w:rsidR="002F1FBE" w:rsidRPr="002A67AC" w:rsidRDefault="002F1FBE" w:rsidP="00156FDA">
            <w:pPr>
              <w:pStyle w:val="Tabletext"/>
              <w:keepNext/>
              <w:ind w:left="0"/>
              <w:rPr>
                <w:color w:val="FFFFFF" w:themeColor="background1"/>
                <w:sz w:val="18"/>
              </w:rPr>
            </w:pPr>
            <w:r w:rsidRPr="002A67AC">
              <w:rPr>
                <w:color w:val="FFFFFF" w:themeColor="background1"/>
                <w:sz w:val="18"/>
              </w:rPr>
              <w:t>Additional</w:t>
            </w:r>
          </w:p>
        </w:tc>
        <w:tc>
          <w:tcPr>
            <w:tcW w:w="1080" w:type="dxa"/>
            <w:tcBorders>
              <w:top w:val="single" w:sz="4" w:space="0" w:color="auto"/>
              <w:left w:val="single" w:sz="4" w:space="0" w:color="auto"/>
              <w:bottom w:val="single" w:sz="4" w:space="0" w:color="auto"/>
              <w:right w:val="single" w:sz="4" w:space="0" w:color="auto"/>
            </w:tcBorders>
            <w:shd w:val="clear" w:color="auto" w:fill="006DA7"/>
          </w:tcPr>
          <w:p w14:paraId="287EC13E" w14:textId="77777777" w:rsidR="002F1FBE" w:rsidRPr="002A67AC" w:rsidRDefault="002F1FBE" w:rsidP="00156FDA">
            <w:pPr>
              <w:pStyle w:val="Tabletext"/>
              <w:keepNext/>
              <w:ind w:left="0"/>
              <w:rPr>
                <w:color w:val="FFFFFF" w:themeColor="background1"/>
                <w:sz w:val="18"/>
              </w:rPr>
            </w:pPr>
            <w:r w:rsidRPr="002A67AC">
              <w:rPr>
                <w:color w:val="FFFFFF" w:themeColor="background1"/>
                <w:sz w:val="18"/>
              </w:rPr>
              <w:t>Routine</w:t>
            </w:r>
          </w:p>
        </w:tc>
        <w:tc>
          <w:tcPr>
            <w:tcW w:w="1260" w:type="dxa"/>
            <w:tcBorders>
              <w:top w:val="single" w:sz="4" w:space="0" w:color="auto"/>
              <w:left w:val="single" w:sz="4" w:space="0" w:color="auto"/>
              <w:bottom w:val="single" w:sz="4" w:space="0" w:color="auto"/>
              <w:right w:val="single" w:sz="4" w:space="0" w:color="auto"/>
            </w:tcBorders>
            <w:shd w:val="clear" w:color="auto" w:fill="006DA7"/>
          </w:tcPr>
          <w:p w14:paraId="21C825F1" w14:textId="77777777" w:rsidR="002F1FBE" w:rsidRPr="002A67AC" w:rsidRDefault="002F1FBE" w:rsidP="00156FDA">
            <w:pPr>
              <w:pStyle w:val="Tabletext"/>
              <w:keepNext/>
              <w:ind w:left="0"/>
              <w:rPr>
                <w:color w:val="FFFFFF" w:themeColor="background1"/>
                <w:sz w:val="18"/>
              </w:rPr>
            </w:pPr>
            <w:r w:rsidRPr="002A67AC">
              <w:rPr>
                <w:color w:val="FFFFFF" w:themeColor="background1"/>
                <w:sz w:val="18"/>
              </w:rPr>
              <w:t>Additional</w:t>
            </w:r>
          </w:p>
        </w:tc>
      </w:tr>
      <w:tr w:rsidR="002F1FBE" w:rsidRPr="00251465" w14:paraId="4EF31E1C" w14:textId="77777777" w:rsidTr="002A67AC">
        <w:trPr>
          <w:trHeight w:val="789"/>
        </w:trPr>
        <w:tc>
          <w:tcPr>
            <w:tcW w:w="1728" w:type="dxa"/>
            <w:tcBorders>
              <w:top w:val="single" w:sz="4" w:space="0" w:color="auto"/>
            </w:tcBorders>
          </w:tcPr>
          <w:p w14:paraId="210923EA" w14:textId="77777777" w:rsidR="002F1FBE" w:rsidRPr="00251465" w:rsidRDefault="002F1FBE" w:rsidP="00156FDA">
            <w:pPr>
              <w:pStyle w:val="Tabletext"/>
              <w:keepNext/>
              <w:ind w:left="0"/>
              <w:rPr>
                <w:b/>
              </w:rPr>
            </w:pPr>
            <w:r w:rsidRPr="00251465">
              <w:rPr>
                <w:b/>
              </w:rPr>
              <w:t>Important identified risks</w:t>
            </w:r>
          </w:p>
        </w:tc>
        <w:tc>
          <w:tcPr>
            <w:tcW w:w="2610" w:type="dxa"/>
            <w:tcBorders>
              <w:top w:val="single" w:sz="4" w:space="0" w:color="auto"/>
            </w:tcBorders>
          </w:tcPr>
          <w:p w14:paraId="76B38033" w14:textId="77777777" w:rsidR="002F1FBE" w:rsidRPr="00251465" w:rsidRDefault="002F1FBE" w:rsidP="00156FDA">
            <w:pPr>
              <w:pStyle w:val="Tabletext"/>
              <w:keepNext/>
              <w:ind w:left="0"/>
            </w:pPr>
            <w:r w:rsidRPr="00251465">
              <w:t>Nil</w:t>
            </w:r>
          </w:p>
        </w:tc>
        <w:tc>
          <w:tcPr>
            <w:tcW w:w="1080" w:type="dxa"/>
            <w:tcBorders>
              <w:top w:val="single" w:sz="4" w:space="0" w:color="auto"/>
            </w:tcBorders>
          </w:tcPr>
          <w:p w14:paraId="5F4A2D92" w14:textId="77777777" w:rsidR="002F1FBE" w:rsidRPr="00251465" w:rsidRDefault="002F1FBE" w:rsidP="00156FDA">
            <w:pPr>
              <w:pStyle w:val="Tabletext"/>
              <w:keepNext/>
              <w:jc w:val="center"/>
            </w:pPr>
          </w:p>
        </w:tc>
        <w:tc>
          <w:tcPr>
            <w:tcW w:w="1260" w:type="dxa"/>
            <w:tcBorders>
              <w:top w:val="single" w:sz="4" w:space="0" w:color="auto"/>
            </w:tcBorders>
          </w:tcPr>
          <w:p w14:paraId="3BC31C6C" w14:textId="77777777" w:rsidR="002F1FBE" w:rsidRPr="00251465" w:rsidRDefault="002F1FBE" w:rsidP="00156FDA">
            <w:pPr>
              <w:pStyle w:val="Tabletext"/>
              <w:keepNext/>
              <w:jc w:val="center"/>
            </w:pPr>
          </w:p>
        </w:tc>
        <w:tc>
          <w:tcPr>
            <w:tcW w:w="1080" w:type="dxa"/>
            <w:tcBorders>
              <w:top w:val="single" w:sz="4" w:space="0" w:color="auto"/>
            </w:tcBorders>
          </w:tcPr>
          <w:p w14:paraId="472621AB" w14:textId="77777777" w:rsidR="002F1FBE" w:rsidRPr="00251465" w:rsidRDefault="002F1FBE" w:rsidP="00156FDA">
            <w:pPr>
              <w:pStyle w:val="Tabletext"/>
              <w:keepNext/>
              <w:jc w:val="center"/>
            </w:pPr>
          </w:p>
        </w:tc>
        <w:tc>
          <w:tcPr>
            <w:tcW w:w="1260" w:type="dxa"/>
            <w:tcBorders>
              <w:top w:val="single" w:sz="4" w:space="0" w:color="auto"/>
            </w:tcBorders>
          </w:tcPr>
          <w:p w14:paraId="1CE66D12" w14:textId="77777777" w:rsidR="002F1FBE" w:rsidRPr="00251465" w:rsidRDefault="002F1FBE" w:rsidP="00156FDA">
            <w:pPr>
              <w:pStyle w:val="Tabletext"/>
              <w:keepNext/>
              <w:jc w:val="center"/>
            </w:pPr>
          </w:p>
        </w:tc>
      </w:tr>
      <w:tr w:rsidR="002F1FBE" w:rsidRPr="00251465" w14:paraId="01877B9B" w14:textId="77777777" w:rsidTr="002F1FBE">
        <w:trPr>
          <w:cantSplit/>
          <w:trHeight w:val="159"/>
        </w:trPr>
        <w:tc>
          <w:tcPr>
            <w:tcW w:w="1728" w:type="dxa"/>
            <w:vMerge w:val="restart"/>
          </w:tcPr>
          <w:p w14:paraId="5FD6F874" w14:textId="77777777" w:rsidR="002F1FBE" w:rsidRPr="00251465" w:rsidRDefault="002F1FBE" w:rsidP="00156FDA">
            <w:pPr>
              <w:pStyle w:val="Tabletext"/>
              <w:keepNext/>
              <w:ind w:left="0"/>
              <w:rPr>
                <w:b/>
              </w:rPr>
            </w:pPr>
            <w:r w:rsidRPr="00251465">
              <w:rPr>
                <w:b/>
              </w:rPr>
              <w:t>Important potential risks</w:t>
            </w:r>
          </w:p>
        </w:tc>
        <w:tc>
          <w:tcPr>
            <w:tcW w:w="2610" w:type="dxa"/>
          </w:tcPr>
          <w:p w14:paraId="550663A4" w14:textId="77777777" w:rsidR="002F1FBE" w:rsidRPr="00251465" w:rsidRDefault="002F1FBE" w:rsidP="00156FDA">
            <w:pPr>
              <w:pStyle w:val="Tabletext"/>
              <w:keepNext/>
              <w:ind w:left="0"/>
            </w:pPr>
            <w:r w:rsidRPr="00251465">
              <w:t>Anaphylactic reactions</w:t>
            </w:r>
          </w:p>
        </w:tc>
        <w:tc>
          <w:tcPr>
            <w:tcW w:w="1080" w:type="dxa"/>
          </w:tcPr>
          <w:p w14:paraId="71295AD3" w14:textId="77777777" w:rsidR="002F1FBE" w:rsidRPr="00251465" w:rsidRDefault="002F1FBE" w:rsidP="00156FDA">
            <w:pPr>
              <w:pStyle w:val="Tabletext"/>
              <w:keepNext/>
              <w:jc w:val="center"/>
            </w:pPr>
            <w:r w:rsidRPr="00251465">
              <w:sym w:font="Wingdings" w:char="F0FC"/>
            </w:r>
          </w:p>
        </w:tc>
        <w:tc>
          <w:tcPr>
            <w:tcW w:w="1260" w:type="dxa"/>
          </w:tcPr>
          <w:p w14:paraId="5A8E3F18" w14:textId="77777777" w:rsidR="002F1FBE" w:rsidRPr="00251465" w:rsidRDefault="002F1FBE" w:rsidP="00156FDA">
            <w:pPr>
              <w:pStyle w:val="Tabletext"/>
              <w:keepNext/>
              <w:jc w:val="center"/>
            </w:pPr>
            <w:r w:rsidRPr="00251465">
              <w:t>–</w:t>
            </w:r>
          </w:p>
        </w:tc>
        <w:tc>
          <w:tcPr>
            <w:tcW w:w="1080" w:type="dxa"/>
          </w:tcPr>
          <w:p w14:paraId="1E177208" w14:textId="77777777" w:rsidR="002F1FBE" w:rsidRPr="00251465" w:rsidRDefault="002F1FBE" w:rsidP="00156FDA">
            <w:pPr>
              <w:pStyle w:val="Tabletext"/>
              <w:keepNext/>
              <w:jc w:val="center"/>
            </w:pPr>
            <w:r w:rsidRPr="00251465">
              <w:sym w:font="Wingdings" w:char="F0FC"/>
            </w:r>
          </w:p>
        </w:tc>
        <w:tc>
          <w:tcPr>
            <w:tcW w:w="1260" w:type="dxa"/>
          </w:tcPr>
          <w:p w14:paraId="047E6F7B" w14:textId="77777777" w:rsidR="002F1FBE" w:rsidRPr="00251465" w:rsidRDefault="002F1FBE" w:rsidP="00156FDA">
            <w:pPr>
              <w:pStyle w:val="Tabletext"/>
              <w:keepNext/>
              <w:jc w:val="center"/>
            </w:pPr>
            <w:r w:rsidRPr="00251465">
              <w:t>–</w:t>
            </w:r>
          </w:p>
        </w:tc>
      </w:tr>
      <w:tr w:rsidR="002F1FBE" w:rsidRPr="00251465" w14:paraId="1A193F9D" w14:textId="77777777" w:rsidTr="002F1FBE">
        <w:trPr>
          <w:cantSplit/>
          <w:trHeight w:val="122"/>
        </w:trPr>
        <w:tc>
          <w:tcPr>
            <w:tcW w:w="1728" w:type="dxa"/>
            <w:vMerge/>
          </w:tcPr>
          <w:p w14:paraId="459DAC72" w14:textId="77777777" w:rsidR="002F1FBE" w:rsidRPr="00251465" w:rsidRDefault="002F1FBE" w:rsidP="00156FDA">
            <w:pPr>
              <w:pStyle w:val="Tabletext"/>
              <w:keepNext/>
              <w:rPr>
                <w:b/>
              </w:rPr>
            </w:pPr>
          </w:p>
        </w:tc>
        <w:tc>
          <w:tcPr>
            <w:tcW w:w="2610" w:type="dxa"/>
          </w:tcPr>
          <w:p w14:paraId="4CED61AA" w14:textId="77777777" w:rsidR="002F1FBE" w:rsidRPr="00251465" w:rsidRDefault="002F1FBE" w:rsidP="00156FDA">
            <w:pPr>
              <w:pStyle w:val="Tabletext"/>
              <w:keepNext/>
              <w:ind w:left="0"/>
            </w:pPr>
            <w:r w:rsidRPr="00251465">
              <w:t>Guillain-Barre Syndrome</w:t>
            </w:r>
          </w:p>
        </w:tc>
        <w:tc>
          <w:tcPr>
            <w:tcW w:w="1080" w:type="dxa"/>
          </w:tcPr>
          <w:p w14:paraId="49C88A4D" w14:textId="77777777" w:rsidR="002F1FBE" w:rsidRPr="00251465" w:rsidRDefault="002F1FBE" w:rsidP="00156FDA">
            <w:pPr>
              <w:pStyle w:val="Tabletext"/>
              <w:keepNext/>
              <w:jc w:val="center"/>
            </w:pPr>
            <w:r w:rsidRPr="00251465">
              <w:sym w:font="Wingdings" w:char="F0FC"/>
            </w:r>
          </w:p>
        </w:tc>
        <w:tc>
          <w:tcPr>
            <w:tcW w:w="1260" w:type="dxa"/>
          </w:tcPr>
          <w:p w14:paraId="2D6E9A1E" w14:textId="77777777" w:rsidR="002F1FBE" w:rsidRPr="00251465" w:rsidRDefault="002F1FBE" w:rsidP="00156FDA">
            <w:pPr>
              <w:pStyle w:val="Tabletext"/>
              <w:keepNext/>
              <w:jc w:val="center"/>
            </w:pPr>
            <w:r w:rsidRPr="00251465">
              <w:t>–</w:t>
            </w:r>
          </w:p>
        </w:tc>
        <w:tc>
          <w:tcPr>
            <w:tcW w:w="1080" w:type="dxa"/>
          </w:tcPr>
          <w:p w14:paraId="071B4B31" w14:textId="77777777" w:rsidR="002F1FBE" w:rsidRPr="00251465" w:rsidRDefault="002F1FBE" w:rsidP="00156FDA">
            <w:pPr>
              <w:pStyle w:val="Tabletext"/>
              <w:keepNext/>
              <w:jc w:val="center"/>
            </w:pPr>
            <w:r w:rsidRPr="00251465">
              <w:sym w:font="Wingdings" w:char="F0FC"/>
            </w:r>
          </w:p>
        </w:tc>
        <w:tc>
          <w:tcPr>
            <w:tcW w:w="1260" w:type="dxa"/>
          </w:tcPr>
          <w:p w14:paraId="3D20458E" w14:textId="77777777" w:rsidR="002F1FBE" w:rsidRPr="00251465" w:rsidRDefault="002F1FBE" w:rsidP="00156FDA">
            <w:pPr>
              <w:pStyle w:val="Tabletext"/>
              <w:keepNext/>
              <w:jc w:val="center"/>
            </w:pPr>
            <w:r w:rsidRPr="00251465">
              <w:t>–</w:t>
            </w:r>
          </w:p>
        </w:tc>
      </w:tr>
      <w:tr w:rsidR="002F1FBE" w:rsidRPr="00251465" w14:paraId="791E3FB3" w14:textId="77777777" w:rsidTr="002F1FBE">
        <w:trPr>
          <w:cantSplit/>
          <w:trHeight w:val="122"/>
        </w:trPr>
        <w:tc>
          <w:tcPr>
            <w:tcW w:w="1728" w:type="dxa"/>
            <w:vMerge/>
          </w:tcPr>
          <w:p w14:paraId="55AA3A82" w14:textId="77777777" w:rsidR="002F1FBE" w:rsidRPr="00251465" w:rsidRDefault="002F1FBE" w:rsidP="00156FDA">
            <w:pPr>
              <w:pStyle w:val="Tabletext"/>
              <w:keepNext/>
              <w:rPr>
                <w:b/>
              </w:rPr>
            </w:pPr>
          </w:p>
        </w:tc>
        <w:tc>
          <w:tcPr>
            <w:tcW w:w="2610" w:type="dxa"/>
          </w:tcPr>
          <w:p w14:paraId="7E936A36" w14:textId="77777777" w:rsidR="002F1FBE" w:rsidRPr="00251465" w:rsidRDefault="002F1FBE" w:rsidP="00156FDA">
            <w:pPr>
              <w:pStyle w:val="Tabletext"/>
              <w:keepNext/>
              <w:ind w:left="0"/>
            </w:pPr>
            <w:r w:rsidRPr="00251465">
              <w:t>Neuritis (Bell’s palsy, optic neuritis)</w:t>
            </w:r>
          </w:p>
        </w:tc>
        <w:tc>
          <w:tcPr>
            <w:tcW w:w="1080" w:type="dxa"/>
          </w:tcPr>
          <w:p w14:paraId="785E836A" w14:textId="77777777" w:rsidR="002F1FBE" w:rsidRPr="00251465" w:rsidRDefault="002F1FBE" w:rsidP="00156FDA">
            <w:pPr>
              <w:pStyle w:val="Tabletext"/>
              <w:keepNext/>
              <w:jc w:val="center"/>
            </w:pPr>
            <w:r w:rsidRPr="00251465">
              <w:sym w:font="Wingdings" w:char="F0FC"/>
            </w:r>
          </w:p>
        </w:tc>
        <w:tc>
          <w:tcPr>
            <w:tcW w:w="1260" w:type="dxa"/>
          </w:tcPr>
          <w:p w14:paraId="5CE465A1" w14:textId="77777777" w:rsidR="002F1FBE" w:rsidRPr="00251465" w:rsidRDefault="002F1FBE" w:rsidP="00156FDA">
            <w:pPr>
              <w:pStyle w:val="Tabletext"/>
              <w:keepNext/>
              <w:jc w:val="center"/>
            </w:pPr>
            <w:r w:rsidRPr="00251465">
              <w:t>–</w:t>
            </w:r>
          </w:p>
        </w:tc>
        <w:tc>
          <w:tcPr>
            <w:tcW w:w="1080" w:type="dxa"/>
          </w:tcPr>
          <w:p w14:paraId="411BAF86" w14:textId="77777777" w:rsidR="002F1FBE" w:rsidRPr="00251465" w:rsidRDefault="002F1FBE" w:rsidP="00156FDA">
            <w:pPr>
              <w:pStyle w:val="Tabletext"/>
              <w:keepNext/>
              <w:jc w:val="center"/>
            </w:pPr>
            <w:r w:rsidRPr="00251465">
              <w:sym w:font="Wingdings" w:char="F0FC"/>
            </w:r>
          </w:p>
        </w:tc>
        <w:tc>
          <w:tcPr>
            <w:tcW w:w="1260" w:type="dxa"/>
          </w:tcPr>
          <w:p w14:paraId="5E297FF2" w14:textId="77777777" w:rsidR="002F1FBE" w:rsidRPr="00251465" w:rsidRDefault="002F1FBE" w:rsidP="00156FDA">
            <w:pPr>
              <w:pStyle w:val="Tabletext"/>
              <w:keepNext/>
              <w:jc w:val="center"/>
            </w:pPr>
            <w:r w:rsidRPr="00251465">
              <w:t>–</w:t>
            </w:r>
          </w:p>
        </w:tc>
      </w:tr>
      <w:tr w:rsidR="002F1FBE" w:rsidRPr="00251465" w14:paraId="4E0B9750" w14:textId="77777777" w:rsidTr="002F1FBE">
        <w:trPr>
          <w:trHeight w:val="122"/>
        </w:trPr>
        <w:tc>
          <w:tcPr>
            <w:tcW w:w="1728" w:type="dxa"/>
            <w:vMerge/>
          </w:tcPr>
          <w:p w14:paraId="187EBF99" w14:textId="77777777" w:rsidR="002F1FBE" w:rsidRPr="00251465" w:rsidRDefault="002F1FBE" w:rsidP="00156FDA">
            <w:pPr>
              <w:pStyle w:val="Tabletext"/>
              <w:keepNext/>
              <w:rPr>
                <w:b/>
              </w:rPr>
            </w:pPr>
          </w:p>
        </w:tc>
        <w:tc>
          <w:tcPr>
            <w:tcW w:w="2610" w:type="dxa"/>
          </w:tcPr>
          <w:p w14:paraId="518916F0" w14:textId="77777777" w:rsidR="002F1FBE" w:rsidRPr="00251465" w:rsidRDefault="002F1FBE" w:rsidP="00156FDA">
            <w:pPr>
              <w:pStyle w:val="Tabletext"/>
              <w:keepNext/>
              <w:ind w:left="0"/>
            </w:pPr>
            <w:r w:rsidRPr="00251465">
              <w:t>Convulsions</w:t>
            </w:r>
          </w:p>
        </w:tc>
        <w:tc>
          <w:tcPr>
            <w:tcW w:w="1080" w:type="dxa"/>
          </w:tcPr>
          <w:p w14:paraId="1341E489" w14:textId="77777777" w:rsidR="002F1FBE" w:rsidRPr="00251465" w:rsidRDefault="002F1FBE" w:rsidP="00156FDA">
            <w:pPr>
              <w:pStyle w:val="Tabletext"/>
              <w:keepNext/>
              <w:jc w:val="center"/>
            </w:pPr>
            <w:r w:rsidRPr="00251465">
              <w:sym w:font="Wingdings" w:char="F0FC"/>
            </w:r>
          </w:p>
        </w:tc>
        <w:tc>
          <w:tcPr>
            <w:tcW w:w="1260" w:type="dxa"/>
          </w:tcPr>
          <w:p w14:paraId="61E90C19" w14:textId="77777777" w:rsidR="002F1FBE" w:rsidRPr="00251465" w:rsidRDefault="002F1FBE" w:rsidP="00156FDA">
            <w:pPr>
              <w:pStyle w:val="Tabletext"/>
              <w:keepNext/>
              <w:jc w:val="center"/>
            </w:pPr>
            <w:r w:rsidRPr="00251465">
              <w:t>–</w:t>
            </w:r>
          </w:p>
        </w:tc>
        <w:tc>
          <w:tcPr>
            <w:tcW w:w="1080" w:type="dxa"/>
          </w:tcPr>
          <w:p w14:paraId="4481FAFE" w14:textId="77777777" w:rsidR="002F1FBE" w:rsidRPr="00251465" w:rsidRDefault="002F1FBE" w:rsidP="00156FDA">
            <w:pPr>
              <w:pStyle w:val="Tabletext"/>
              <w:keepNext/>
              <w:jc w:val="center"/>
            </w:pPr>
            <w:r w:rsidRPr="00251465">
              <w:sym w:font="Wingdings" w:char="F0FC"/>
            </w:r>
          </w:p>
        </w:tc>
        <w:tc>
          <w:tcPr>
            <w:tcW w:w="1260" w:type="dxa"/>
          </w:tcPr>
          <w:p w14:paraId="4986A8EE" w14:textId="77777777" w:rsidR="002F1FBE" w:rsidRPr="00251465" w:rsidRDefault="002F1FBE" w:rsidP="00156FDA">
            <w:pPr>
              <w:pStyle w:val="Tabletext"/>
              <w:keepNext/>
              <w:jc w:val="center"/>
            </w:pPr>
            <w:r w:rsidRPr="00251465">
              <w:t>–</w:t>
            </w:r>
          </w:p>
        </w:tc>
      </w:tr>
      <w:tr w:rsidR="002F1FBE" w:rsidRPr="00251465" w14:paraId="66AEBE6B" w14:textId="77777777" w:rsidTr="002F1FBE">
        <w:trPr>
          <w:trHeight w:val="122"/>
        </w:trPr>
        <w:tc>
          <w:tcPr>
            <w:tcW w:w="1728" w:type="dxa"/>
            <w:vMerge/>
          </w:tcPr>
          <w:p w14:paraId="2DB8C4A3" w14:textId="77777777" w:rsidR="002F1FBE" w:rsidRPr="00251465" w:rsidRDefault="002F1FBE" w:rsidP="00156FDA">
            <w:pPr>
              <w:pStyle w:val="Tabletext"/>
              <w:keepNext/>
              <w:rPr>
                <w:b/>
              </w:rPr>
            </w:pPr>
          </w:p>
        </w:tc>
        <w:tc>
          <w:tcPr>
            <w:tcW w:w="2610" w:type="dxa"/>
          </w:tcPr>
          <w:p w14:paraId="245C5C43" w14:textId="77777777" w:rsidR="002F1FBE" w:rsidRPr="00251465" w:rsidRDefault="002F1FBE" w:rsidP="00156FDA">
            <w:pPr>
              <w:pStyle w:val="Tabletext"/>
              <w:keepNext/>
              <w:ind w:left="0"/>
            </w:pPr>
            <w:r w:rsidRPr="00251465">
              <w:t>Encephalomyelitis</w:t>
            </w:r>
            <w:r>
              <w:t xml:space="preserve"> </w:t>
            </w:r>
            <w:r w:rsidRPr="00251465">
              <w:t>/</w:t>
            </w:r>
            <w:r>
              <w:t xml:space="preserve"> </w:t>
            </w:r>
            <w:r w:rsidRPr="00251465">
              <w:t>Transverse myelitis</w:t>
            </w:r>
          </w:p>
        </w:tc>
        <w:tc>
          <w:tcPr>
            <w:tcW w:w="1080" w:type="dxa"/>
          </w:tcPr>
          <w:p w14:paraId="064C2EEA" w14:textId="77777777" w:rsidR="002F1FBE" w:rsidRPr="00251465" w:rsidRDefault="002F1FBE" w:rsidP="00156FDA">
            <w:pPr>
              <w:pStyle w:val="Tabletext"/>
              <w:keepNext/>
              <w:jc w:val="center"/>
            </w:pPr>
            <w:r w:rsidRPr="00251465">
              <w:sym w:font="Wingdings" w:char="F0FC"/>
            </w:r>
          </w:p>
        </w:tc>
        <w:tc>
          <w:tcPr>
            <w:tcW w:w="1260" w:type="dxa"/>
          </w:tcPr>
          <w:p w14:paraId="33B07FCE" w14:textId="77777777" w:rsidR="002F1FBE" w:rsidRPr="00251465" w:rsidRDefault="002F1FBE" w:rsidP="00156FDA">
            <w:pPr>
              <w:pStyle w:val="Tabletext"/>
              <w:keepNext/>
              <w:jc w:val="center"/>
            </w:pPr>
            <w:r w:rsidRPr="00251465">
              <w:t>–</w:t>
            </w:r>
          </w:p>
        </w:tc>
        <w:tc>
          <w:tcPr>
            <w:tcW w:w="1080" w:type="dxa"/>
          </w:tcPr>
          <w:p w14:paraId="1523CF8A" w14:textId="77777777" w:rsidR="002F1FBE" w:rsidRPr="00251465" w:rsidRDefault="002F1FBE" w:rsidP="00156FDA">
            <w:pPr>
              <w:pStyle w:val="Tabletext"/>
              <w:keepNext/>
              <w:jc w:val="center"/>
            </w:pPr>
            <w:r w:rsidRPr="00251465">
              <w:sym w:font="Wingdings" w:char="F0FC"/>
            </w:r>
          </w:p>
        </w:tc>
        <w:tc>
          <w:tcPr>
            <w:tcW w:w="1260" w:type="dxa"/>
          </w:tcPr>
          <w:p w14:paraId="19DDA279" w14:textId="77777777" w:rsidR="002F1FBE" w:rsidRPr="00251465" w:rsidRDefault="002F1FBE" w:rsidP="00156FDA">
            <w:pPr>
              <w:pStyle w:val="Tabletext"/>
              <w:keepNext/>
              <w:jc w:val="center"/>
            </w:pPr>
            <w:r w:rsidRPr="00251465">
              <w:t>–</w:t>
            </w:r>
          </w:p>
        </w:tc>
      </w:tr>
      <w:tr w:rsidR="002F1FBE" w:rsidRPr="00251465" w14:paraId="512CAADF" w14:textId="77777777" w:rsidTr="002F1FBE">
        <w:trPr>
          <w:trHeight w:val="122"/>
        </w:trPr>
        <w:tc>
          <w:tcPr>
            <w:tcW w:w="1728" w:type="dxa"/>
            <w:vMerge/>
          </w:tcPr>
          <w:p w14:paraId="58CBED21" w14:textId="77777777" w:rsidR="002F1FBE" w:rsidRPr="00251465" w:rsidRDefault="002F1FBE" w:rsidP="00DA1E73">
            <w:pPr>
              <w:pStyle w:val="Tabletext"/>
              <w:rPr>
                <w:b/>
              </w:rPr>
            </w:pPr>
          </w:p>
        </w:tc>
        <w:tc>
          <w:tcPr>
            <w:tcW w:w="2610" w:type="dxa"/>
          </w:tcPr>
          <w:p w14:paraId="2254F829" w14:textId="77777777" w:rsidR="002F1FBE" w:rsidRPr="00251465" w:rsidRDefault="002F1FBE" w:rsidP="002F1FBE">
            <w:pPr>
              <w:pStyle w:val="Tabletext"/>
              <w:ind w:left="0"/>
              <w:rPr>
                <w:b/>
              </w:rPr>
            </w:pPr>
            <w:r w:rsidRPr="00251465">
              <w:t>Thrombocytopenia</w:t>
            </w:r>
          </w:p>
        </w:tc>
        <w:tc>
          <w:tcPr>
            <w:tcW w:w="1080" w:type="dxa"/>
          </w:tcPr>
          <w:p w14:paraId="30C10953" w14:textId="77777777" w:rsidR="002F1FBE" w:rsidRPr="00251465" w:rsidRDefault="002F1FBE" w:rsidP="00DA1E73">
            <w:pPr>
              <w:pStyle w:val="Tabletext"/>
              <w:jc w:val="center"/>
            </w:pPr>
            <w:r w:rsidRPr="00251465">
              <w:sym w:font="Wingdings" w:char="F0FC"/>
            </w:r>
          </w:p>
        </w:tc>
        <w:tc>
          <w:tcPr>
            <w:tcW w:w="1260" w:type="dxa"/>
          </w:tcPr>
          <w:p w14:paraId="788F731D" w14:textId="77777777" w:rsidR="002F1FBE" w:rsidRPr="00251465" w:rsidRDefault="002F1FBE" w:rsidP="00DA1E73">
            <w:pPr>
              <w:pStyle w:val="Tabletext"/>
              <w:jc w:val="center"/>
            </w:pPr>
            <w:r w:rsidRPr="00251465">
              <w:t>–</w:t>
            </w:r>
          </w:p>
        </w:tc>
        <w:tc>
          <w:tcPr>
            <w:tcW w:w="1080" w:type="dxa"/>
          </w:tcPr>
          <w:p w14:paraId="3240280E" w14:textId="77777777" w:rsidR="002F1FBE" w:rsidRPr="00251465" w:rsidRDefault="002F1FBE" w:rsidP="00DA1E73">
            <w:pPr>
              <w:pStyle w:val="Tabletext"/>
              <w:jc w:val="center"/>
            </w:pPr>
            <w:r w:rsidRPr="00251465">
              <w:sym w:font="Wingdings" w:char="F0FC"/>
            </w:r>
          </w:p>
        </w:tc>
        <w:tc>
          <w:tcPr>
            <w:tcW w:w="1260" w:type="dxa"/>
          </w:tcPr>
          <w:p w14:paraId="624D7920" w14:textId="77777777" w:rsidR="002F1FBE" w:rsidRPr="00251465" w:rsidRDefault="002F1FBE" w:rsidP="00DA1E73">
            <w:pPr>
              <w:pStyle w:val="Tabletext"/>
              <w:jc w:val="center"/>
            </w:pPr>
            <w:r w:rsidRPr="00251465">
              <w:t>–</w:t>
            </w:r>
          </w:p>
        </w:tc>
      </w:tr>
      <w:tr w:rsidR="002F1FBE" w:rsidRPr="00251465" w14:paraId="23B9541C" w14:textId="77777777" w:rsidTr="002F1FBE">
        <w:trPr>
          <w:trHeight w:val="112"/>
        </w:trPr>
        <w:tc>
          <w:tcPr>
            <w:tcW w:w="1728" w:type="dxa"/>
            <w:vMerge/>
          </w:tcPr>
          <w:p w14:paraId="39A41C95" w14:textId="77777777" w:rsidR="002F1FBE" w:rsidRPr="00251465" w:rsidRDefault="002F1FBE" w:rsidP="00DA1E73">
            <w:pPr>
              <w:pStyle w:val="Tabletext"/>
              <w:rPr>
                <w:b/>
              </w:rPr>
            </w:pPr>
          </w:p>
        </w:tc>
        <w:tc>
          <w:tcPr>
            <w:tcW w:w="2610" w:type="dxa"/>
          </w:tcPr>
          <w:p w14:paraId="67E9455C" w14:textId="77777777" w:rsidR="002F1FBE" w:rsidRPr="00251465" w:rsidRDefault="002F1FBE" w:rsidP="002F1FBE">
            <w:pPr>
              <w:pStyle w:val="Tabletext"/>
              <w:ind w:left="0"/>
            </w:pPr>
            <w:r w:rsidRPr="00251465">
              <w:t>Vasculitis</w:t>
            </w:r>
          </w:p>
        </w:tc>
        <w:tc>
          <w:tcPr>
            <w:tcW w:w="1080" w:type="dxa"/>
          </w:tcPr>
          <w:p w14:paraId="7B16D454" w14:textId="77777777" w:rsidR="002F1FBE" w:rsidRPr="00251465" w:rsidRDefault="002F1FBE" w:rsidP="00DA1E73">
            <w:pPr>
              <w:pStyle w:val="Tabletext"/>
              <w:jc w:val="center"/>
            </w:pPr>
            <w:r w:rsidRPr="00251465">
              <w:sym w:font="Wingdings" w:char="F0FC"/>
            </w:r>
          </w:p>
        </w:tc>
        <w:tc>
          <w:tcPr>
            <w:tcW w:w="1260" w:type="dxa"/>
          </w:tcPr>
          <w:p w14:paraId="35DC88A9" w14:textId="77777777" w:rsidR="002F1FBE" w:rsidRPr="00251465" w:rsidRDefault="002F1FBE" w:rsidP="00DA1E73">
            <w:pPr>
              <w:pStyle w:val="Tabletext"/>
              <w:jc w:val="center"/>
            </w:pPr>
            <w:r w:rsidRPr="00251465">
              <w:t>–</w:t>
            </w:r>
          </w:p>
        </w:tc>
        <w:tc>
          <w:tcPr>
            <w:tcW w:w="1080" w:type="dxa"/>
          </w:tcPr>
          <w:p w14:paraId="687395D5" w14:textId="77777777" w:rsidR="002F1FBE" w:rsidRPr="00251465" w:rsidRDefault="002F1FBE" w:rsidP="00DA1E73">
            <w:pPr>
              <w:pStyle w:val="Tabletext"/>
              <w:jc w:val="center"/>
            </w:pPr>
            <w:r w:rsidRPr="00251465">
              <w:sym w:font="Wingdings" w:char="F0FC"/>
            </w:r>
          </w:p>
        </w:tc>
        <w:tc>
          <w:tcPr>
            <w:tcW w:w="1260" w:type="dxa"/>
          </w:tcPr>
          <w:p w14:paraId="3547EF6F" w14:textId="77777777" w:rsidR="002F1FBE" w:rsidRPr="00251465" w:rsidRDefault="002F1FBE" w:rsidP="00DA1E73">
            <w:pPr>
              <w:pStyle w:val="Tabletext"/>
              <w:jc w:val="center"/>
            </w:pPr>
            <w:r w:rsidRPr="00251465">
              <w:t>–</w:t>
            </w:r>
          </w:p>
        </w:tc>
      </w:tr>
      <w:tr w:rsidR="002F1FBE" w:rsidRPr="00251465" w14:paraId="5F101314" w14:textId="77777777" w:rsidTr="002F1FBE">
        <w:trPr>
          <w:trHeight w:val="592"/>
        </w:trPr>
        <w:tc>
          <w:tcPr>
            <w:tcW w:w="1728" w:type="dxa"/>
          </w:tcPr>
          <w:p w14:paraId="17DC8766" w14:textId="77777777" w:rsidR="002F1FBE" w:rsidRPr="00251465" w:rsidRDefault="002F1FBE" w:rsidP="002F1FBE">
            <w:pPr>
              <w:pStyle w:val="Tabletext"/>
              <w:ind w:left="0"/>
              <w:rPr>
                <w:b/>
              </w:rPr>
            </w:pPr>
            <w:r w:rsidRPr="00251465">
              <w:rPr>
                <w:b/>
              </w:rPr>
              <w:t>Missing information</w:t>
            </w:r>
          </w:p>
        </w:tc>
        <w:tc>
          <w:tcPr>
            <w:tcW w:w="2610" w:type="dxa"/>
          </w:tcPr>
          <w:p w14:paraId="024303A3" w14:textId="77777777" w:rsidR="002F1FBE" w:rsidRPr="00251465" w:rsidRDefault="002F1FBE" w:rsidP="002F1FBE">
            <w:pPr>
              <w:pStyle w:val="Tabletext"/>
              <w:ind w:left="0"/>
            </w:pPr>
            <w:r w:rsidRPr="00251465">
              <w:t>Nil</w:t>
            </w:r>
          </w:p>
        </w:tc>
        <w:tc>
          <w:tcPr>
            <w:tcW w:w="1080" w:type="dxa"/>
          </w:tcPr>
          <w:p w14:paraId="5FEF44CD" w14:textId="77777777" w:rsidR="002F1FBE" w:rsidRPr="00251465" w:rsidRDefault="002F1FBE" w:rsidP="00DA1E73">
            <w:pPr>
              <w:pStyle w:val="Tabletext"/>
              <w:jc w:val="center"/>
            </w:pPr>
          </w:p>
        </w:tc>
        <w:tc>
          <w:tcPr>
            <w:tcW w:w="1260" w:type="dxa"/>
          </w:tcPr>
          <w:p w14:paraId="792F5C57" w14:textId="77777777" w:rsidR="002F1FBE" w:rsidRPr="00251465" w:rsidRDefault="002F1FBE" w:rsidP="00DA1E73">
            <w:pPr>
              <w:pStyle w:val="Tabletext"/>
              <w:jc w:val="center"/>
            </w:pPr>
          </w:p>
        </w:tc>
        <w:tc>
          <w:tcPr>
            <w:tcW w:w="1080" w:type="dxa"/>
          </w:tcPr>
          <w:p w14:paraId="28F66DB8" w14:textId="77777777" w:rsidR="002F1FBE" w:rsidRPr="00251465" w:rsidRDefault="002F1FBE" w:rsidP="00DA1E73">
            <w:pPr>
              <w:pStyle w:val="Tabletext"/>
              <w:jc w:val="center"/>
            </w:pPr>
          </w:p>
        </w:tc>
        <w:tc>
          <w:tcPr>
            <w:tcW w:w="1260" w:type="dxa"/>
          </w:tcPr>
          <w:p w14:paraId="10DBE5EB" w14:textId="77777777" w:rsidR="002F1FBE" w:rsidRPr="00251465" w:rsidRDefault="002F1FBE" w:rsidP="00DA1E73">
            <w:pPr>
              <w:pStyle w:val="Tabletext"/>
              <w:jc w:val="center"/>
            </w:pPr>
          </w:p>
        </w:tc>
      </w:tr>
    </w:tbl>
    <w:p w14:paraId="06B8D4A4" w14:textId="77777777" w:rsidR="00156FDA" w:rsidRPr="00156FDA" w:rsidRDefault="00156FDA" w:rsidP="00844094">
      <w:pPr>
        <w:pStyle w:val="ListBullet"/>
      </w:pPr>
      <w:r w:rsidRPr="00156FDA">
        <w:t>The summary of safety concerns has differences to that of the Fluzone trivalent high dose vaccine, including the level of concern for anaphylactic reactions and omission of gastrointestinal disorders. The summary above is adequate.</w:t>
      </w:r>
    </w:p>
    <w:p w14:paraId="7BC23A0B" w14:textId="77777777" w:rsidR="00156FDA" w:rsidRPr="00156FDA" w:rsidRDefault="00156FDA" w:rsidP="00844094">
      <w:pPr>
        <w:pStyle w:val="ListBullet"/>
      </w:pPr>
      <w:r w:rsidRPr="00156FDA">
        <w:t>Routine pharmacovigilance activities have been proposed to monitor all safety concerns. Enhanced pharmacovigilance (targeted questionnaires) is in place for risks not included in the summary of safety concerns (use in pregnancy; use in patients with chronic diseases). No additional pharmacovigilance activity has been proposed. The sponsor has undertaken to discuss with the TGA an alternative approach for enhanced safety surveillance if and when required (if the vaccine is not included in the AusVaxSafety program).</w:t>
      </w:r>
    </w:p>
    <w:p w14:paraId="6539A71D" w14:textId="77777777" w:rsidR="00156FDA" w:rsidRDefault="00156FDA" w:rsidP="00844094">
      <w:pPr>
        <w:pStyle w:val="ListBullet"/>
      </w:pPr>
      <w:r w:rsidRPr="00156FDA">
        <w:t>Routine risk minimisation activities are proposed. No additional risk minimisation activity is proposed. This approach is consistent with other inactivated influenza vaccines.</w:t>
      </w:r>
    </w:p>
    <w:p w14:paraId="6FCCEBC2" w14:textId="77777777" w:rsidR="00156FDA" w:rsidRPr="00156FDA" w:rsidRDefault="00156FDA" w:rsidP="00844094">
      <w:pPr>
        <w:pStyle w:val="ListBullet"/>
      </w:pPr>
      <w:r>
        <w:t>There are no new or outstanding recommendations at the second round.</w:t>
      </w:r>
    </w:p>
    <w:p w14:paraId="237D64B8" w14:textId="77777777" w:rsidR="00156FDA" w:rsidRDefault="00156FDA" w:rsidP="00156FDA">
      <w:pPr>
        <w:pStyle w:val="Heading4"/>
      </w:pPr>
      <w:r>
        <w:t>Wording for conditions of registration</w:t>
      </w:r>
    </w:p>
    <w:p w14:paraId="1C8DA869" w14:textId="77777777" w:rsidR="00156FDA" w:rsidRDefault="00156FDA" w:rsidP="00156FDA">
      <w:r>
        <w:t xml:space="preserve">Any changes to which the sponsor has agreed should be included in a revised RMP and ASA. However, irrespective of whether or not they are included in the currently available version of the RMP document, the agreed changes become part of the risk management system. </w:t>
      </w:r>
    </w:p>
    <w:p w14:paraId="01827527" w14:textId="77777777" w:rsidR="00156FDA" w:rsidRDefault="00112F85" w:rsidP="00112F85">
      <w:pPr>
        <w:keepNext/>
        <w:keepLines/>
      </w:pPr>
      <w:r>
        <w:lastRenderedPageBreak/>
        <w:t>The suggested wording is:</w:t>
      </w:r>
    </w:p>
    <w:p w14:paraId="04D504B5" w14:textId="77777777" w:rsidR="00156FDA" w:rsidRPr="00156FDA" w:rsidRDefault="00156FDA" w:rsidP="00112F85">
      <w:pPr>
        <w:keepLines/>
        <w:ind w:left="720"/>
        <w:rPr>
          <w:i/>
        </w:rPr>
      </w:pPr>
      <w:r w:rsidRPr="00156FDA">
        <w:rPr>
          <w:i/>
        </w:rPr>
        <w:t>The Fluzone High-Dose Quadrivalent EU-Risk Management Plan (RMP) (version 1.0, dated 20 March 2019, data lock point 15 September 2018), with Australian Specific Annex (version 1.0, dated 31 July 201</w:t>
      </w:r>
      <w:r>
        <w:rPr>
          <w:i/>
        </w:rPr>
        <w:t>9), included with submission PM</w:t>
      </w:r>
      <w:r>
        <w:rPr>
          <w:i/>
        </w:rPr>
        <w:noBreakHyphen/>
        <w:t>2019</w:t>
      </w:r>
      <w:r>
        <w:rPr>
          <w:i/>
        </w:rPr>
        <w:noBreakHyphen/>
        <w:t>03202</w:t>
      </w:r>
      <w:r>
        <w:rPr>
          <w:i/>
        </w:rPr>
        <w:noBreakHyphen/>
        <w:t>1</w:t>
      </w:r>
      <w:r>
        <w:rPr>
          <w:i/>
        </w:rPr>
        <w:noBreakHyphen/>
      </w:r>
      <w:r w:rsidRPr="00156FDA">
        <w:rPr>
          <w:i/>
        </w:rPr>
        <w:t>2, and any subsequent revisions, as agreed with the TGA will be implemented in Australia.</w:t>
      </w:r>
    </w:p>
    <w:p w14:paraId="7B223552" w14:textId="77777777" w:rsidR="00156FDA" w:rsidRDefault="00156FDA" w:rsidP="00112F85">
      <w:pPr>
        <w:keepLines/>
      </w:pPr>
      <w:r>
        <w:t>The following wording is recommended for the PSUR requirement:</w:t>
      </w:r>
    </w:p>
    <w:p w14:paraId="6A647E82" w14:textId="77777777" w:rsidR="00156FDA" w:rsidRPr="00156FDA" w:rsidRDefault="00156FDA" w:rsidP="00156FDA">
      <w:pPr>
        <w:ind w:left="720"/>
        <w:rPr>
          <w:i/>
        </w:rPr>
      </w:pPr>
      <w:r w:rsidRPr="00156FDA">
        <w:rPr>
          <w:i/>
        </w:rPr>
        <w:t>An obligatory component of risk management plans is routine pharmacovigilance. Routine pharmacovigilance includes the submission of periodic safety update reports (PSURs).</w:t>
      </w:r>
    </w:p>
    <w:p w14:paraId="2C563B96" w14:textId="77777777" w:rsidR="00156FDA" w:rsidRPr="00156FDA" w:rsidRDefault="00156FDA" w:rsidP="00156FDA">
      <w:pPr>
        <w:ind w:left="720"/>
        <w:rPr>
          <w:i/>
        </w:rPr>
      </w:pPr>
      <w:r w:rsidRPr="00156FDA">
        <w:rPr>
          <w:i/>
        </w:rP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0338B4B9" w14:textId="77777777" w:rsidR="00156FDA" w:rsidRPr="00156FDA" w:rsidRDefault="00156FDA" w:rsidP="00156FDA">
      <w:pPr>
        <w:ind w:left="720"/>
        <w:rPr>
          <w:i/>
        </w:rPr>
      </w:pPr>
      <w:r w:rsidRPr="00156FDA">
        <w:rPr>
          <w:i/>
        </w:rPr>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this approval letter.</w:t>
      </w:r>
    </w:p>
    <w:p w14:paraId="3179DEC5" w14:textId="77777777" w:rsidR="00156FDA" w:rsidRPr="00156FDA" w:rsidRDefault="00156FDA" w:rsidP="00156FDA">
      <w:pPr>
        <w:ind w:left="720"/>
        <w:rPr>
          <w:i/>
        </w:rPr>
      </w:pPr>
      <w:r w:rsidRPr="00156FDA">
        <w:rPr>
          <w:i/>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2B6402F0" w14:textId="77777777" w:rsidR="00156FDA" w:rsidRDefault="00156FDA" w:rsidP="00156FDA">
      <w:r>
        <w:t>The following wording is recommended for the pharmacovigilance requirement in the absence of inclusion in the AusVaxSafety program:</w:t>
      </w:r>
      <w:r w:rsidR="009637C5">
        <w:rPr>
          <w:rStyle w:val="FootnoteReference"/>
        </w:rPr>
        <w:footnoteReference w:id="25"/>
      </w:r>
    </w:p>
    <w:p w14:paraId="36D173BA" w14:textId="77777777" w:rsidR="007D53B6" w:rsidRPr="00156FDA" w:rsidRDefault="00156FDA" w:rsidP="00156FDA">
      <w:pPr>
        <w:ind w:left="720"/>
        <w:rPr>
          <w:i/>
        </w:rPr>
      </w:pPr>
      <w:r w:rsidRPr="00156FDA">
        <w:rPr>
          <w:i/>
        </w:rPr>
        <w:t>The sponsor must conduct an enhanced safety surveillance study in Australia, if requested by TGA. A protocol for the proposed study will be required to be submitted with the annual strain update variation, if there is inadequate post-market safety data to demonstrate that the reactogenicity of that season’s vaccine has been adequately characterised and the vaccine is not supplied on the National Immunisation Program in that season.</w:t>
      </w:r>
    </w:p>
    <w:p w14:paraId="1C516570" w14:textId="77777777" w:rsidR="00C51B25" w:rsidRPr="009637C5" w:rsidRDefault="00C51B25" w:rsidP="009637C5">
      <w:bookmarkStart w:id="54" w:name="_Toc247691531"/>
      <w:bookmarkStart w:id="55" w:name="_Toc314842515"/>
      <w:bookmarkStart w:id="56" w:name="_Toc196046505"/>
      <w:bookmarkStart w:id="57" w:name="_Toc196046949"/>
      <w:r w:rsidRPr="009637C5">
        <w:t>The sponsor has undertaken to discuss with the TGA an alternative approach for enhanced safety surveillance if and when required (if the vaccine is not included in the AusVaxSafety program</w:t>
      </w:r>
      <w:r w:rsidR="009637C5" w:rsidRPr="009637C5">
        <w:t>).</w:t>
      </w:r>
    </w:p>
    <w:p w14:paraId="79AD3C5F" w14:textId="77777777" w:rsidR="008E7846" w:rsidRDefault="00AA0ED0" w:rsidP="008E7846">
      <w:pPr>
        <w:pStyle w:val="Heading3"/>
      </w:pPr>
      <w:bookmarkStart w:id="58" w:name="_Toc57824922"/>
      <w:r>
        <w:lastRenderedPageBreak/>
        <w:t>Risk-benefit a</w:t>
      </w:r>
      <w:r w:rsidR="008E7846">
        <w:t>nalysis</w:t>
      </w:r>
      <w:bookmarkEnd w:id="54"/>
      <w:bookmarkEnd w:id="55"/>
      <w:bookmarkEnd w:id="58"/>
    </w:p>
    <w:p w14:paraId="05F1FBAE" w14:textId="77777777" w:rsidR="00D23139" w:rsidRDefault="007D53B6" w:rsidP="00D23139">
      <w:pPr>
        <w:pStyle w:val="Heading4"/>
      </w:pPr>
      <w:r>
        <w:t>Delegate’s considerations</w:t>
      </w:r>
    </w:p>
    <w:p w14:paraId="2F50FCBB" w14:textId="77777777" w:rsidR="00C51B25" w:rsidRDefault="00C51B25" w:rsidP="008B0B87">
      <w:r>
        <w:t>T</w:t>
      </w:r>
      <w:r w:rsidR="008B0B87">
        <w:t>he Phase III</w:t>
      </w:r>
      <w:r w:rsidRPr="00884F8E">
        <w:t xml:space="preserve"> </w:t>
      </w:r>
      <w:r w:rsidR="008B0B87">
        <w:t>immunogenicity and safety</w:t>
      </w:r>
      <w:r w:rsidR="00782203">
        <w:t>-based</w:t>
      </w:r>
      <w:r w:rsidR="008B0B87">
        <w:t xml:space="preserve"> Study </w:t>
      </w:r>
      <w:r w:rsidRPr="00884F8E">
        <w:t>QHD00013 in 2670 healthy adults aged &gt; 65 years</w:t>
      </w:r>
      <w:r>
        <w:t xml:space="preserve"> provides adequate support for the registration of F</w:t>
      </w:r>
      <w:r w:rsidR="008B0B87">
        <w:t>luzone High-Dose Quadrivalent.</w:t>
      </w:r>
    </w:p>
    <w:p w14:paraId="50FC6674" w14:textId="77777777" w:rsidR="00C51B25" w:rsidRDefault="00C51B25" w:rsidP="008B0B87">
      <w:r>
        <w:t xml:space="preserve">The </w:t>
      </w:r>
      <w:r w:rsidR="008B0B87">
        <w:t>s</w:t>
      </w:r>
      <w:r w:rsidRPr="008B0B87">
        <w:t>ponsor</w:t>
      </w:r>
      <w:r>
        <w:t xml:space="preserve"> proposes the </w:t>
      </w:r>
      <w:r w:rsidR="008B0B87">
        <w:t xml:space="preserve">added wording </w:t>
      </w:r>
      <w:r w:rsidR="008B0B87" w:rsidRPr="008B0B87">
        <w:rPr>
          <w:i/>
        </w:rPr>
        <w:t>‘</w:t>
      </w:r>
      <w:r w:rsidRPr="008B0B87">
        <w:rPr>
          <w:i/>
        </w:rPr>
        <w:t>associated complication of pn</w:t>
      </w:r>
      <w:r w:rsidR="008B0B87" w:rsidRPr="008B0B87">
        <w:rPr>
          <w:i/>
        </w:rPr>
        <w:t>eumonia-related hospitalisation’</w:t>
      </w:r>
      <w:r w:rsidRPr="008B0B87">
        <w:rPr>
          <w:i/>
        </w:rPr>
        <w:t xml:space="preserve"> </w:t>
      </w:r>
      <w:r w:rsidRPr="00A26619">
        <w:t>to the proposed indication</w:t>
      </w:r>
      <w:r>
        <w:t>s, which has not been a</w:t>
      </w:r>
      <w:r w:rsidR="008B0B87">
        <w:t>ccepted in the second round clinical evaluation report.</w:t>
      </w:r>
    </w:p>
    <w:p w14:paraId="7DF345C8" w14:textId="77777777" w:rsidR="00C51B25" w:rsidRDefault="00C51B25" w:rsidP="00C51B25">
      <w:pPr>
        <w:rPr>
          <w:rFonts w:cs="Arial Narrow"/>
          <w:color w:val="000000"/>
        </w:rPr>
      </w:pPr>
      <w:r>
        <w:rPr>
          <w:rFonts w:cs="Arial Narrow"/>
          <w:color w:val="000000"/>
        </w:rPr>
        <w:t>Effectiveness analyses were based o</w:t>
      </w:r>
      <w:r w:rsidR="00782203">
        <w:rPr>
          <w:rFonts w:cs="Arial Narrow"/>
          <w:color w:val="000000"/>
        </w:rPr>
        <w:t xml:space="preserve">n TIV-HD rather than QIV-HD. </w:t>
      </w:r>
      <w:r w:rsidRPr="00111096">
        <w:rPr>
          <w:rFonts w:cs="Arial Narrow"/>
          <w:color w:val="000000"/>
        </w:rPr>
        <w:t>Supplementary analys</w:t>
      </w:r>
      <w:r w:rsidR="00782203">
        <w:rPr>
          <w:rFonts w:cs="Arial Narrow"/>
          <w:color w:val="000000"/>
        </w:rPr>
        <w:t>es of data from the pivotal TIV-HD S</w:t>
      </w:r>
      <w:r w:rsidRPr="00111096">
        <w:rPr>
          <w:rFonts w:cs="Arial Narrow"/>
          <w:color w:val="000000"/>
        </w:rPr>
        <w:t>tudy FIM12</w:t>
      </w:r>
      <w:r>
        <w:rPr>
          <w:rFonts w:cs="Arial Narrow"/>
          <w:color w:val="000000"/>
        </w:rPr>
        <w:t xml:space="preserve"> </w:t>
      </w:r>
      <w:r w:rsidRPr="00111096">
        <w:rPr>
          <w:rFonts w:cs="Arial Narrow"/>
          <w:color w:val="000000"/>
        </w:rPr>
        <w:t>showed a 39% reduction in risk of serious pneumonia events</w:t>
      </w:r>
      <w:r>
        <w:rPr>
          <w:rFonts w:cs="Arial Narrow"/>
          <w:color w:val="000000"/>
        </w:rPr>
        <w:t xml:space="preserve">. The </w:t>
      </w:r>
      <w:r w:rsidR="00782203">
        <w:rPr>
          <w:rFonts w:cs="Arial Narrow"/>
          <w:color w:val="000000"/>
        </w:rPr>
        <w:t>clinical evaluator commented (in their report)</w:t>
      </w:r>
      <w:r>
        <w:rPr>
          <w:rFonts w:cs="Arial Narrow"/>
          <w:color w:val="000000"/>
        </w:rPr>
        <w:t xml:space="preserve"> </w:t>
      </w:r>
      <w:r w:rsidR="00782203">
        <w:rPr>
          <w:rFonts w:cs="Arial Narrow"/>
          <w:color w:val="000000"/>
        </w:rPr>
        <w:t xml:space="preserve">that </w:t>
      </w:r>
      <w:r w:rsidRPr="00111096">
        <w:rPr>
          <w:rFonts w:cs="Arial Narrow"/>
          <w:color w:val="000000"/>
        </w:rPr>
        <w:t>the analysis did not evaluate reduction in pneumonia-related hospitalisation and overall rate of all-cause hospitalisations was only reduced by 8% with TIV-HD compared to</w:t>
      </w:r>
      <w:r w:rsidRPr="00111096">
        <w:t xml:space="preserve"> </w:t>
      </w:r>
      <w:r w:rsidRPr="00111096">
        <w:rPr>
          <w:rFonts w:cs="Arial Narrow"/>
          <w:color w:val="000000"/>
        </w:rPr>
        <w:t>TIV-SD.</w:t>
      </w:r>
      <w:r>
        <w:rPr>
          <w:rFonts w:cs="Arial Narrow"/>
          <w:color w:val="000000"/>
        </w:rPr>
        <w:t xml:space="preserve"> Interpretation is also limited as </w:t>
      </w:r>
      <w:r w:rsidRPr="00111096">
        <w:rPr>
          <w:rFonts w:cs="Arial Narrow"/>
          <w:color w:val="000000"/>
        </w:rPr>
        <w:t>although study evaluated multiple associated outcomes, there was lack of correction for multiplicity</w:t>
      </w:r>
      <w:r>
        <w:rPr>
          <w:rFonts w:cs="Arial Narrow"/>
          <w:color w:val="000000"/>
        </w:rPr>
        <w:t>;</w:t>
      </w:r>
      <w:r w:rsidRPr="00111096">
        <w:rPr>
          <w:rFonts w:asciiTheme="minorHAnsi" w:eastAsiaTheme="minorHAnsi" w:hAnsiTheme="minorHAnsi" w:cs="TimesNewRomanPSMT"/>
        </w:rPr>
        <w:t xml:space="preserve"> </w:t>
      </w:r>
      <w:r w:rsidRPr="004435CB">
        <w:rPr>
          <w:rFonts w:asciiTheme="minorHAnsi" w:eastAsiaTheme="minorHAnsi" w:hAnsiTheme="minorHAnsi" w:cs="TimesNewRomanPSMT"/>
        </w:rPr>
        <w:t>the initial study was not powered for this supplementary analysis</w:t>
      </w:r>
      <w:r>
        <w:rPr>
          <w:rFonts w:asciiTheme="minorHAnsi" w:eastAsiaTheme="minorHAnsi" w:hAnsiTheme="minorHAnsi" w:cs="TimesNewRomanPSMT"/>
        </w:rPr>
        <w:t xml:space="preserve">; and </w:t>
      </w:r>
      <w:r w:rsidRPr="004435CB">
        <w:rPr>
          <w:rFonts w:asciiTheme="minorHAnsi" w:eastAsiaTheme="minorHAnsi" w:hAnsiTheme="minorHAnsi" w:cs="TimesNewRomanPSMT"/>
        </w:rPr>
        <w:t>outcomes evaluated in the supplementary analysis were not influenza-specific.</w:t>
      </w:r>
    </w:p>
    <w:p w14:paraId="78C8FB18" w14:textId="6BE551DD" w:rsidR="009637C5" w:rsidRDefault="00C51B25" w:rsidP="00C51B25">
      <w:pPr>
        <w:tabs>
          <w:tab w:val="left" w:pos="426"/>
        </w:tabs>
        <w:autoSpaceDE w:val="0"/>
        <w:autoSpaceDN w:val="0"/>
        <w:spacing w:before="0" w:line="240" w:lineRule="auto"/>
        <w:rPr>
          <w:rFonts w:eastAsiaTheme="minorHAnsi"/>
        </w:rPr>
      </w:pPr>
      <w:r w:rsidRPr="00DA0A20">
        <w:rPr>
          <w:rFonts w:eastAsiaTheme="minorHAnsi" w:cs="TimesNewRomanPSMT"/>
          <w:color w:val="000000"/>
        </w:rPr>
        <w:t xml:space="preserve">The cluster-RCT </w:t>
      </w:r>
      <w:r w:rsidR="00782203">
        <w:rPr>
          <w:rFonts w:eastAsiaTheme="minorHAnsi" w:cs="TimesNewRomanPSMT"/>
          <w:color w:val="000000"/>
        </w:rPr>
        <w:t xml:space="preserve">by </w:t>
      </w:r>
      <w:r>
        <w:rPr>
          <w:rFonts w:eastAsiaTheme="minorHAnsi" w:cs="TimesNewRomanPSMT"/>
          <w:color w:val="000000"/>
        </w:rPr>
        <w:t>G</w:t>
      </w:r>
      <w:r w:rsidRPr="00DA0A20">
        <w:rPr>
          <w:rFonts w:eastAsiaTheme="minorHAnsi" w:cs="TimesNewRomanPSMT"/>
          <w:color w:val="000000"/>
        </w:rPr>
        <w:t>ravenstein</w:t>
      </w:r>
      <w:r w:rsidR="00782203">
        <w:rPr>
          <w:rFonts w:eastAsiaTheme="minorHAnsi" w:cs="TimesNewRomanPSMT"/>
          <w:color w:val="000000"/>
        </w:rPr>
        <w:t xml:space="preserve"> et al.,</w:t>
      </w:r>
      <w:r w:rsidRPr="00DA0A20">
        <w:rPr>
          <w:rFonts w:eastAsiaTheme="minorHAnsi" w:cs="TimesNewRomanPSMT"/>
          <w:color w:val="000000"/>
        </w:rPr>
        <w:t xml:space="preserve"> </w:t>
      </w:r>
      <w:r w:rsidR="00782203">
        <w:rPr>
          <w:rFonts w:eastAsiaTheme="minorHAnsi" w:cs="TimesNewRomanPSMT"/>
          <w:color w:val="000000"/>
        </w:rPr>
        <w:t xml:space="preserve">(2016, </w:t>
      </w:r>
      <w:r>
        <w:rPr>
          <w:rFonts w:eastAsiaTheme="minorHAnsi" w:cs="TimesNewRomanPSMT"/>
          <w:color w:val="000000"/>
        </w:rPr>
        <w:t>2018)</w:t>
      </w:r>
      <w:r w:rsidR="009637C5">
        <w:rPr>
          <w:rFonts w:eastAsiaTheme="minorHAnsi" w:cs="TimesNewRomanPSMT"/>
          <w:color w:val="000000"/>
        </w:rPr>
        <w:t>;</w:t>
      </w:r>
      <w:r w:rsidR="009637C5" w:rsidRPr="009637C5">
        <w:rPr>
          <w:rFonts w:eastAsiaTheme="minorHAnsi" w:cs="TimesNewRomanPSMT"/>
          <w:color w:val="000000"/>
          <w:vertAlign w:val="superscript"/>
        </w:rPr>
        <w:fldChar w:fldCharType="begin"/>
      </w:r>
      <w:r w:rsidR="009637C5" w:rsidRPr="009637C5">
        <w:rPr>
          <w:rFonts w:eastAsiaTheme="minorHAnsi" w:cs="TimesNewRomanPSMT"/>
          <w:color w:val="000000"/>
          <w:vertAlign w:val="superscript"/>
        </w:rPr>
        <w:instrText xml:space="preserve"> NOTEREF _Ref55016951 \h </w:instrText>
      </w:r>
      <w:r w:rsidR="009637C5">
        <w:rPr>
          <w:rFonts w:eastAsiaTheme="minorHAnsi" w:cs="TimesNewRomanPSMT"/>
          <w:color w:val="000000"/>
          <w:vertAlign w:val="superscript"/>
        </w:rPr>
        <w:instrText xml:space="preserve"> \* MERGEFORMAT </w:instrText>
      </w:r>
      <w:r w:rsidR="009637C5" w:rsidRPr="009637C5">
        <w:rPr>
          <w:rFonts w:eastAsiaTheme="minorHAnsi" w:cs="TimesNewRomanPSMT"/>
          <w:color w:val="000000"/>
          <w:vertAlign w:val="superscript"/>
        </w:rPr>
      </w:r>
      <w:r w:rsidR="009637C5" w:rsidRPr="009637C5">
        <w:rPr>
          <w:rFonts w:eastAsiaTheme="minorHAnsi" w:cs="TimesNewRomanPSMT"/>
          <w:color w:val="000000"/>
          <w:vertAlign w:val="superscript"/>
        </w:rPr>
        <w:fldChar w:fldCharType="separate"/>
      </w:r>
      <w:r w:rsidR="00DA143A">
        <w:rPr>
          <w:rFonts w:eastAsiaTheme="minorHAnsi" w:cs="TimesNewRomanPSMT"/>
          <w:color w:val="000000"/>
          <w:vertAlign w:val="superscript"/>
        </w:rPr>
        <w:t>10</w:t>
      </w:r>
      <w:r w:rsidR="009637C5" w:rsidRPr="009637C5">
        <w:rPr>
          <w:rFonts w:eastAsiaTheme="minorHAnsi" w:cs="TimesNewRomanPSMT"/>
          <w:color w:val="000000"/>
          <w:vertAlign w:val="superscript"/>
        </w:rPr>
        <w:fldChar w:fldCharType="end"/>
      </w:r>
      <w:r>
        <w:rPr>
          <w:rFonts w:eastAsiaTheme="minorHAnsi" w:cs="TimesNewRomanPSMT"/>
          <w:color w:val="000000"/>
        </w:rPr>
        <w:t xml:space="preserve"> </w:t>
      </w:r>
      <w:r w:rsidRPr="00DA0A20">
        <w:rPr>
          <w:rFonts w:eastAsiaTheme="minorHAnsi" w:cs="TimesNewRomanPSMT"/>
          <w:color w:val="000000"/>
        </w:rPr>
        <w:t>including approximately 53,000 nursing homes residents and confirmed</w:t>
      </w:r>
      <w:r>
        <w:rPr>
          <w:rFonts w:eastAsiaTheme="minorHAnsi" w:cs="TimesNewRomanPSMT"/>
          <w:color w:val="000000"/>
        </w:rPr>
        <w:t xml:space="preserve"> </w:t>
      </w:r>
      <w:r w:rsidRPr="00DA0A20">
        <w:rPr>
          <w:rFonts w:eastAsiaTheme="minorHAnsi" w:cs="TimesNewRomanPSMT"/>
          <w:color w:val="000000"/>
        </w:rPr>
        <w:t>improved prevention of hospital</w:t>
      </w:r>
      <w:r>
        <w:rPr>
          <w:rFonts w:eastAsiaTheme="minorHAnsi" w:cs="TimesNewRomanPSMT"/>
          <w:color w:val="000000"/>
        </w:rPr>
        <w:t>is</w:t>
      </w:r>
      <w:r w:rsidRPr="00DA0A20">
        <w:rPr>
          <w:rFonts w:eastAsiaTheme="minorHAnsi" w:cs="TimesNewRomanPSMT"/>
          <w:color w:val="000000"/>
        </w:rPr>
        <w:t>ations related to respiratory diseases or pneumonia when</w:t>
      </w:r>
      <w:r>
        <w:rPr>
          <w:rFonts w:eastAsiaTheme="minorHAnsi" w:cs="TimesNewRomanPSMT"/>
          <w:color w:val="000000"/>
        </w:rPr>
        <w:t xml:space="preserve"> </w:t>
      </w:r>
      <w:r w:rsidRPr="00DA0A20">
        <w:rPr>
          <w:rFonts w:eastAsiaTheme="minorHAnsi" w:cs="TimesNewRomanPSMT"/>
          <w:color w:val="000000"/>
        </w:rPr>
        <w:t>compared with TIV-SD</w:t>
      </w:r>
      <w:r>
        <w:rPr>
          <w:rFonts w:eastAsiaTheme="minorHAnsi" w:cs="TimesNewRomanPSMT"/>
          <w:color w:val="000000"/>
        </w:rPr>
        <w:t xml:space="preserve"> </w:t>
      </w:r>
      <w:r w:rsidRPr="00DA0A20">
        <w:rPr>
          <w:rFonts w:eastAsiaTheme="minorHAnsi" w:cs="TimesNewRomanPSMT"/>
          <w:color w:val="000000"/>
        </w:rPr>
        <w:t>where hospital</w:t>
      </w:r>
      <w:r>
        <w:rPr>
          <w:rFonts w:eastAsiaTheme="minorHAnsi" w:cs="TimesNewRomanPSMT"/>
          <w:color w:val="000000"/>
        </w:rPr>
        <w:t xml:space="preserve"> </w:t>
      </w:r>
      <w:r w:rsidRPr="00DA0A20">
        <w:rPr>
          <w:rFonts w:eastAsiaTheme="minorHAnsi" w:cs="TimesNewRomanPSMT"/>
          <w:color w:val="000000"/>
        </w:rPr>
        <w:t xml:space="preserve">admission related to and including pneumonia on the basis of ICD-9-coded </w:t>
      </w:r>
      <w:r w:rsidR="009637C5">
        <w:rPr>
          <w:rFonts w:eastAsiaTheme="minorHAnsi" w:cs="TimesNewRomanPSMT"/>
          <w:color w:val="000000"/>
        </w:rPr>
        <w:t xml:space="preserve">US </w:t>
      </w:r>
      <w:r w:rsidRPr="00DA0A20">
        <w:rPr>
          <w:rFonts w:eastAsiaTheme="minorHAnsi" w:cs="TimesNewRomanPSMT"/>
          <w:color w:val="000000"/>
        </w:rPr>
        <w:t>Medicare claims</w:t>
      </w:r>
      <w:r w:rsidR="00782203">
        <w:rPr>
          <w:rFonts w:eastAsiaTheme="minorHAnsi" w:cs="TimesNewRomanPSMT"/>
          <w:color w:val="000000"/>
        </w:rPr>
        <w:t>;</w:t>
      </w:r>
      <w:r w:rsidR="009637C5" w:rsidRPr="009637C5">
        <w:rPr>
          <w:rFonts w:eastAsiaTheme="minorHAnsi" w:cs="TimesNewRomanPSMT"/>
          <w:color w:val="000000"/>
          <w:vertAlign w:val="superscript"/>
        </w:rPr>
        <w:fldChar w:fldCharType="begin"/>
      </w:r>
      <w:r w:rsidR="009637C5" w:rsidRPr="009637C5">
        <w:rPr>
          <w:rFonts w:eastAsiaTheme="minorHAnsi" w:cs="TimesNewRomanPSMT"/>
          <w:color w:val="000000"/>
          <w:vertAlign w:val="superscript"/>
        </w:rPr>
        <w:instrText xml:space="preserve"> NOTEREF _Ref55368786 \h </w:instrText>
      </w:r>
      <w:r w:rsidR="009637C5">
        <w:rPr>
          <w:rFonts w:eastAsiaTheme="minorHAnsi" w:cs="TimesNewRomanPSMT"/>
          <w:color w:val="000000"/>
          <w:vertAlign w:val="superscript"/>
        </w:rPr>
        <w:instrText xml:space="preserve"> \* MERGEFORMAT </w:instrText>
      </w:r>
      <w:r w:rsidR="009637C5" w:rsidRPr="009637C5">
        <w:rPr>
          <w:rFonts w:eastAsiaTheme="minorHAnsi" w:cs="TimesNewRomanPSMT"/>
          <w:color w:val="000000"/>
          <w:vertAlign w:val="superscript"/>
        </w:rPr>
      </w:r>
      <w:r w:rsidR="009637C5" w:rsidRPr="009637C5">
        <w:rPr>
          <w:rFonts w:eastAsiaTheme="minorHAnsi" w:cs="TimesNewRomanPSMT"/>
          <w:color w:val="000000"/>
          <w:vertAlign w:val="superscript"/>
        </w:rPr>
        <w:fldChar w:fldCharType="separate"/>
      </w:r>
      <w:r w:rsidR="00DA143A">
        <w:rPr>
          <w:rFonts w:eastAsiaTheme="minorHAnsi" w:cs="TimesNewRomanPSMT"/>
          <w:color w:val="000000"/>
          <w:vertAlign w:val="superscript"/>
        </w:rPr>
        <w:t>18</w:t>
      </w:r>
      <w:r w:rsidR="009637C5" w:rsidRPr="009637C5">
        <w:rPr>
          <w:rFonts w:eastAsiaTheme="minorHAnsi" w:cs="TimesNewRomanPSMT"/>
          <w:color w:val="000000"/>
          <w:vertAlign w:val="superscript"/>
        </w:rPr>
        <w:fldChar w:fldCharType="end"/>
      </w:r>
      <w:r>
        <w:rPr>
          <w:rFonts w:eastAsiaTheme="minorHAnsi" w:cs="TimesNewRomanPSMT"/>
          <w:color w:val="000000"/>
        </w:rPr>
        <w:t xml:space="preserve"> </w:t>
      </w:r>
      <w:r w:rsidRPr="00DA0A20">
        <w:rPr>
          <w:rFonts w:eastAsiaTheme="minorHAnsi" w:cs="TimesNewRomanPSMT"/>
          <w:color w:val="000000"/>
        </w:rPr>
        <w:t>was a secondary endpoint</w:t>
      </w:r>
      <w:r w:rsidR="00782203">
        <w:rPr>
          <w:rFonts w:eastAsiaTheme="minorHAnsi" w:cs="TimesNewRomanPSMT"/>
          <w:color w:val="000000"/>
        </w:rPr>
        <w:t xml:space="preserve">: there was a </w:t>
      </w:r>
      <w:r w:rsidRPr="00DA0A20">
        <w:rPr>
          <w:rFonts w:eastAsiaTheme="minorHAnsi" w:cs="TimesNewRomanPSMT"/>
          <w:color w:val="000000"/>
        </w:rPr>
        <w:t>20.9% reduction in hospital admissions for pneumonia in residents living in TIV-HD</w:t>
      </w:r>
      <w:r>
        <w:rPr>
          <w:rFonts w:eastAsiaTheme="minorHAnsi" w:cs="TimesNewRomanPSMT"/>
          <w:color w:val="000000"/>
        </w:rPr>
        <w:t xml:space="preserve"> </w:t>
      </w:r>
      <w:r w:rsidRPr="00DA0A20">
        <w:rPr>
          <w:rFonts w:eastAsiaTheme="minorHAnsi" w:cs="TimesNewRomanPSMT"/>
          <w:color w:val="000000"/>
        </w:rPr>
        <w:t>vaccine facilities compared to facilities where residents received TIV-SD vaccine</w:t>
      </w:r>
      <w:r>
        <w:rPr>
          <w:rFonts w:eastAsiaTheme="minorHAnsi" w:cs="TimesNewRomanPSMT"/>
          <w:color w:val="000000"/>
        </w:rPr>
        <w:t xml:space="preserve"> </w:t>
      </w:r>
      <w:r w:rsidR="00782203">
        <w:rPr>
          <w:rFonts w:eastAsiaTheme="minorHAnsi" w:cs="TimesNewRomanPSMT"/>
          <w:color w:val="000000"/>
        </w:rPr>
        <w:t xml:space="preserve">(absolute risk reduction = 0.791; 95% CI 0.267, </w:t>
      </w:r>
      <w:r w:rsidRPr="00DA0A20">
        <w:rPr>
          <w:rFonts w:eastAsiaTheme="minorHAnsi" w:cs="TimesNewRomanPSMT"/>
          <w:color w:val="000000"/>
        </w:rPr>
        <w:t>0.953, p</w:t>
      </w:r>
      <w:r w:rsidR="00782203">
        <w:rPr>
          <w:rFonts w:eastAsiaTheme="minorHAnsi" w:cs="TimesNewRomanPSMT"/>
          <w:color w:val="000000"/>
        </w:rPr>
        <w:t> </w:t>
      </w:r>
      <w:r w:rsidRPr="00DA0A20">
        <w:rPr>
          <w:rFonts w:eastAsiaTheme="minorHAnsi" w:cs="TimesNewRomanPSMT"/>
          <w:color w:val="000000"/>
        </w:rPr>
        <w:t>=</w:t>
      </w:r>
      <w:r w:rsidR="00782203">
        <w:rPr>
          <w:rFonts w:eastAsiaTheme="minorHAnsi" w:cs="TimesNewRomanPSMT"/>
          <w:color w:val="000000"/>
        </w:rPr>
        <w:t> </w:t>
      </w:r>
      <w:r w:rsidRPr="00DA0A20">
        <w:rPr>
          <w:rFonts w:eastAsiaTheme="minorHAnsi" w:cs="TimesNewRomanPSMT"/>
          <w:color w:val="000000"/>
        </w:rPr>
        <w:t>0.013)</w:t>
      </w:r>
      <w:r>
        <w:rPr>
          <w:rFonts w:eastAsiaTheme="minorHAnsi" w:cs="TimesNewRomanPSMT"/>
          <w:color w:val="000000"/>
        </w:rPr>
        <w:t>.</w:t>
      </w:r>
    </w:p>
    <w:p w14:paraId="5155C838" w14:textId="77777777" w:rsidR="00C51B25" w:rsidRPr="00782203" w:rsidRDefault="00782203" w:rsidP="00C51B25">
      <w:pPr>
        <w:tabs>
          <w:tab w:val="left" w:pos="426"/>
        </w:tabs>
        <w:autoSpaceDE w:val="0"/>
        <w:autoSpaceDN w:val="0"/>
        <w:spacing w:before="0" w:line="240" w:lineRule="auto"/>
        <w:rPr>
          <w:rFonts w:eastAsiaTheme="minorHAnsi" w:cs="TimesNewRomanPSMT"/>
          <w:color w:val="000000"/>
        </w:rPr>
      </w:pPr>
      <w:r>
        <w:rPr>
          <w:rFonts w:eastAsiaTheme="minorHAnsi"/>
        </w:rPr>
        <w:t xml:space="preserve">Study </w:t>
      </w:r>
      <w:r w:rsidR="00C51B25" w:rsidRPr="00DA0A20">
        <w:rPr>
          <w:rFonts w:eastAsiaTheme="minorHAnsi"/>
        </w:rPr>
        <w:t>GRC75-EXT was the first random</w:t>
      </w:r>
      <w:r w:rsidR="00C51B25">
        <w:rPr>
          <w:rFonts w:eastAsiaTheme="minorHAnsi"/>
        </w:rPr>
        <w:t>is</w:t>
      </w:r>
      <w:r w:rsidR="00C51B25" w:rsidRPr="00DA0A20">
        <w:rPr>
          <w:rFonts w:eastAsiaTheme="minorHAnsi"/>
        </w:rPr>
        <w:t>ed, prospective study to show the comparative effectiveness of influenza vaccine in reducing respiratory-related hospital admissions as a primary endpoint in</w:t>
      </w:r>
      <w:r>
        <w:rPr>
          <w:rFonts w:eastAsiaTheme="minorHAnsi"/>
        </w:rPr>
        <w:t xml:space="preserve"> an elderly, frail, long-stay nursing home</w:t>
      </w:r>
      <w:r w:rsidR="00C51B25" w:rsidRPr="00DA0A20">
        <w:rPr>
          <w:rFonts w:eastAsiaTheme="minorHAnsi"/>
        </w:rPr>
        <w:t xml:space="preserve"> population. </w:t>
      </w:r>
      <w:r>
        <w:rPr>
          <w:rFonts w:cs="Arial Narrow"/>
          <w:color w:val="000000"/>
        </w:rPr>
        <w:t>The clinical evaluator</w:t>
      </w:r>
      <w:r w:rsidR="00C51B25">
        <w:rPr>
          <w:rFonts w:cs="Arial Narrow"/>
          <w:color w:val="000000"/>
        </w:rPr>
        <w:t xml:space="preserve"> comments that </w:t>
      </w:r>
      <w:r w:rsidR="00C51B25">
        <w:rPr>
          <w:rFonts w:eastAsiaTheme="minorHAnsi"/>
        </w:rPr>
        <w:t>interpretation was limited by l</w:t>
      </w:r>
      <w:r w:rsidR="00C51B25" w:rsidRPr="00DA0A20">
        <w:rPr>
          <w:rFonts w:eastAsiaTheme="minorHAnsi"/>
          <w:color w:val="000000"/>
        </w:rPr>
        <w:t>ow event rates</w:t>
      </w:r>
      <w:r w:rsidR="00C51B25">
        <w:rPr>
          <w:rFonts w:eastAsiaTheme="minorHAnsi"/>
          <w:color w:val="000000"/>
        </w:rPr>
        <w:t xml:space="preserve">, </w:t>
      </w:r>
      <w:r w:rsidR="00C51B25" w:rsidRPr="00DA0A20">
        <w:rPr>
          <w:rFonts w:eastAsiaTheme="minorHAnsi"/>
          <w:color w:val="000000"/>
        </w:rPr>
        <w:t xml:space="preserve">greater than expected variability </w:t>
      </w:r>
      <w:r w:rsidR="00C51B25">
        <w:rPr>
          <w:rFonts w:eastAsiaTheme="minorHAnsi"/>
          <w:color w:val="000000"/>
        </w:rPr>
        <w:t xml:space="preserve">and lack of </w:t>
      </w:r>
      <w:r w:rsidR="00C51B25" w:rsidRPr="00244238">
        <w:rPr>
          <w:rFonts w:asciiTheme="minorHAnsi" w:eastAsiaTheme="minorHAnsi" w:hAnsiTheme="minorHAnsi"/>
          <w:color w:val="000000"/>
        </w:rPr>
        <w:t>laboratory data from the study population to confirm influenza activity.</w:t>
      </w:r>
    </w:p>
    <w:p w14:paraId="62EEF9F6" w14:textId="46678992" w:rsidR="00C51B25" w:rsidRDefault="00C51B25" w:rsidP="00782203">
      <w:pPr>
        <w:rPr>
          <w:rFonts w:cs="Arial Narrow"/>
          <w:color w:val="000000"/>
        </w:rPr>
      </w:pPr>
      <w:r w:rsidRPr="00244238">
        <w:rPr>
          <w:rFonts w:cs="TimesNewRomanPSMT"/>
          <w:color w:val="000000"/>
        </w:rPr>
        <w:t>The retrospective cohort study by Young</w:t>
      </w:r>
      <w:r>
        <w:rPr>
          <w:rFonts w:cs="TimesNewRomanPSMT"/>
          <w:color w:val="000000"/>
        </w:rPr>
        <w:t>-</w:t>
      </w:r>
      <w:r w:rsidRPr="00244238">
        <w:rPr>
          <w:rFonts w:cs="TimesNewRomanPSMT"/>
          <w:color w:val="000000"/>
        </w:rPr>
        <w:t xml:space="preserve">Xu </w:t>
      </w:r>
      <w:r w:rsidR="00782203">
        <w:rPr>
          <w:rFonts w:cs="TimesNewRomanPSMT"/>
          <w:color w:val="000000"/>
        </w:rPr>
        <w:t>et al., (</w:t>
      </w:r>
      <w:r>
        <w:rPr>
          <w:rFonts w:cs="TimesNewRomanPSMT"/>
          <w:color w:val="000000"/>
        </w:rPr>
        <w:t>2018</w:t>
      </w:r>
      <w:r w:rsidR="00782203">
        <w:rPr>
          <w:rFonts w:cs="TimesNewRomanPSMT"/>
          <w:color w:val="000000"/>
        </w:rPr>
        <w:t>)</w:t>
      </w:r>
      <w:r w:rsidR="009637C5">
        <w:rPr>
          <w:rFonts w:cs="TimesNewRomanPSMT"/>
          <w:color w:val="000000"/>
        </w:rPr>
        <w:t>;</w:t>
      </w:r>
      <w:r w:rsidR="009637C5" w:rsidRPr="009637C5">
        <w:rPr>
          <w:rFonts w:cs="TimesNewRomanPSMT"/>
          <w:color w:val="000000"/>
          <w:vertAlign w:val="superscript"/>
        </w:rPr>
        <w:fldChar w:fldCharType="begin"/>
      </w:r>
      <w:r w:rsidR="009637C5" w:rsidRPr="009637C5">
        <w:rPr>
          <w:rFonts w:cs="TimesNewRomanPSMT"/>
          <w:color w:val="000000"/>
          <w:vertAlign w:val="superscript"/>
        </w:rPr>
        <w:instrText xml:space="preserve"> NOTEREF _Ref55018014 \h </w:instrText>
      </w:r>
      <w:r w:rsidR="009637C5">
        <w:rPr>
          <w:rFonts w:cs="TimesNewRomanPSMT"/>
          <w:color w:val="000000"/>
          <w:vertAlign w:val="superscript"/>
        </w:rPr>
        <w:instrText xml:space="preserve"> \* MERGEFORMAT </w:instrText>
      </w:r>
      <w:r w:rsidR="009637C5" w:rsidRPr="009637C5">
        <w:rPr>
          <w:rFonts w:cs="TimesNewRomanPSMT"/>
          <w:color w:val="000000"/>
          <w:vertAlign w:val="superscript"/>
        </w:rPr>
      </w:r>
      <w:r w:rsidR="009637C5" w:rsidRPr="009637C5">
        <w:rPr>
          <w:rFonts w:cs="TimesNewRomanPSMT"/>
          <w:color w:val="000000"/>
          <w:vertAlign w:val="superscript"/>
        </w:rPr>
        <w:fldChar w:fldCharType="separate"/>
      </w:r>
      <w:r w:rsidR="00DA143A">
        <w:rPr>
          <w:rFonts w:cs="TimesNewRomanPSMT"/>
          <w:color w:val="000000"/>
          <w:vertAlign w:val="superscript"/>
        </w:rPr>
        <w:t>11</w:t>
      </w:r>
      <w:r w:rsidR="009637C5" w:rsidRPr="009637C5">
        <w:rPr>
          <w:rFonts w:cs="TimesNewRomanPSMT"/>
          <w:color w:val="000000"/>
          <w:vertAlign w:val="superscript"/>
        </w:rPr>
        <w:fldChar w:fldCharType="end"/>
      </w:r>
      <w:r w:rsidRPr="00244238">
        <w:rPr>
          <w:rFonts w:cs="TimesNewRomanPSMT"/>
          <w:color w:val="000000"/>
        </w:rPr>
        <w:t xml:space="preserve"> </w:t>
      </w:r>
      <w:r w:rsidRPr="00244238">
        <w:t xml:space="preserve">matched PERR-adjusted </w:t>
      </w:r>
      <w:r w:rsidR="009B64DE">
        <w:t>relative vaccine effectiveness</w:t>
      </w:r>
      <w:r w:rsidRPr="00244238">
        <w:t xml:space="preserve"> </w:t>
      </w:r>
      <w:r>
        <w:t xml:space="preserve">(for </w:t>
      </w:r>
      <w:r w:rsidR="009637C5">
        <w:t>TIV</w:t>
      </w:r>
      <w:r w:rsidR="00782203">
        <w:noBreakHyphen/>
      </w:r>
      <w:r>
        <w:t xml:space="preserve">HD </w:t>
      </w:r>
      <w:r w:rsidR="00A614D4">
        <w:t>versus</w:t>
      </w:r>
      <w:r>
        <w:t xml:space="preserve"> </w:t>
      </w:r>
      <w:r w:rsidR="00782203">
        <w:t>TIV</w:t>
      </w:r>
      <w:r w:rsidR="00782203">
        <w:noBreakHyphen/>
        <w:t xml:space="preserve">SD) was 25% (95% CI: 2%, </w:t>
      </w:r>
      <w:r w:rsidRPr="00244238">
        <w:t>43%) against influenza- or pneumonia-associated hospitalisation.</w:t>
      </w:r>
      <w:r>
        <w:t xml:space="preserve"> The </w:t>
      </w:r>
      <w:r w:rsidR="00782203">
        <w:t>clinical evaluator</w:t>
      </w:r>
      <w:r>
        <w:t xml:space="preserve"> comments </w:t>
      </w:r>
      <w:r w:rsidRPr="00244238">
        <w:t>interpretation was limited by wide 95% CIs. Other l</w:t>
      </w:r>
      <w:r w:rsidR="00782203">
        <w:t xml:space="preserve">imitations of this study were: </w:t>
      </w:r>
      <w:r w:rsidRPr="00244238">
        <w:rPr>
          <w:color w:val="000000"/>
        </w:rPr>
        <w:t>analyses was not restricted to periods of peak influenza activities(use of the broader period may have biased results due to misclas</w:t>
      </w:r>
      <w:r w:rsidR="00782203">
        <w:rPr>
          <w:color w:val="000000"/>
        </w:rPr>
        <w:t xml:space="preserve">sification of study outcomes); </w:t>
      </w:r>
      <w:r w:rsidRPr="00244238">
        <w:rPr>
          <w:color w:val="000000"/>
        </w:rPr>
        <w:t xml:space="preserve">despite matching, </w:t>
      </w:r>
      <w:r w:rsidRPr="00244238">
        <w:t>the potential for confounding by indication and by unmeasured variables cannot be entirely eliminated  due t</w:t>
      </w:r>
      <w:r w:rsidR="00782203">
        <w:t>o observational study design; and, the g</w:t>
      </w:r>
      <w:r w:rsidRPr="00244238">
        <w:t xml:space="preserve">eneralisability of results was limited as data was only obtained from </w:t>
      </w:r>
      <w:r w:rsidRPr="00244238">
        <w:rPr>
          <w:color w:val="000000"/>
        </w:rPr>
        <w:t>patients treated at VHA facilities and these patients may also u</w:t>
      </w:r>
      <w:r w:rsidRPr="00244238">
        <w:t>se healthcare services outside the VHA</w:t>
      </w:r>
      <w:r w:rsidR="00782203">
        <w:t>.</w:t>
      </w:r>
    </w:p>
    <w:p w14:paraId="04F8489C" w14:textId="77777777" w:rsidR="00C51B25" w:rsidRDefault="00C51B25" w:rsidP="00C51B25">
      <w:pPr>
        <w:rPr>
          <w:rFonts w:cs="Arial Narrow"/>
          <w:color w:val="000000"/>
        </w:rPr>
      </w:pPr>
      <w:r>
        <w:rPr>
          <w:rFonts w:cs="Arial Narrow"/>
          <w:color w:val="000000"/>
        </w:rPr>
        <w:t xml:space="preserve">The sponsor has responded stating the indications statement </w:t>
      </w:r>
      <w:r w:rsidRPr="00F065B3">
        <w:rPr>
          <w:rFonts w:cs="Arial Narrow"/>
          <w:color w:val="000000"/>
        </w:rPr>
        <w:t xml:space="preserve">is based on the large body of evidence generated with TIV-HD in </w:t>
      </w:r>
      <w:r w:rsidR="009637C5">
        <w:rPr>
          <w:rFonts w:cs="Arial Narrow"/>
          <w:color w:val="000000"/>
        </w:rPr>
        <w:t xml:space="preserve">the </w:t>
      </w:r>
      <w:r w:rsidRPr="00F065B3">
        <w:rPr>
          <w:rFonts w:cs="Arial Narrow"/>
          <w:color w:val="000000"/>
        </w:rPr>
        <w:t xml:space="preserve">RCT and post-licensure effectiveness studies. To date, these data have not been generated by any other influenza vaccines in a consistent manner and over many influenza seasons as TIV-HD has done. This additional data generated includes TIV-HD’s improved benefit over </w:t>
      </w:r>
      <w:r w:rsidR="00006BC0">
        <w:rPr>
          <w:rFonts w:cs="Arial Narrow"/>
          <w:color w:val="000000"/>
        </w:rPr>
        <w:t>TIV-</w:t>
      </w:r>
      <w:r w:rsidRPr="00F065B3">
        <w:rPr>
          <w:rFonts w:cs="Arial Narrow"/>
          <w:color w:val="000000"/>
        </w:rPr>
        <w:t xml:space="preserve">SD influenza vaccines for a variety of important clinical endpoints such as hospitalisations due to ILI, pneumonia, cardio-respiratory events, all-cause deaths. Most of them were not available at the time of the TIV-HD submission in Australia. The sponsor has commented that ATAGI has evaluated </w:t>
      </w:r>
      <w:r w:rsidRPr="00F065B3">
        <w:rPr>
          <w:rFonts w:cs="Arial Narrow"/>
          <w:color w:val="000000"/>
        </w:rPr>
        <w:lastRenderedPageBreak/>
        <w:t xml:space="preserve">the same data and </w:t>
      </w:r>
      <w:r>
        <w:rPr>
          <w:rFonts w:cs="Arial Narrow"/>
          <w:color w:val="000000"/>
        </w:rPr>
        <w:t xml:space="preserve">in </w:t>
      </w:r>
      <w:r w:rsidRPr="00A26619">
        <w:rPr>
          <w:rFonts w:cs="Arial Narrow"/>
          <w:color w:val="000000"/>
        </w:rPr>
        <w:t>pre-PBAC</w:t>
      </w:r>
      <w:r w:rsidR="00006BC0">
        <w:rPr>
          <w:rFonts w:cs="Arial Narrow"/>
          <w:color w:val="000000"/>
        </w:rPr>
        <w:t>;</w:t>
      </w:r>
      <w:r w:rsidR="00006BC0">
        <w:rPr>
          <w:rStyle w:val="FootnoteReference"/>
          <w:rFonts w:cs="Arial Narrow"/>
          <w:color w:val="000000"/>
        </w:rPr>
        <w:footnoteReference w:id="26"/>
      </w:r>
      <w:r w:rsidRPr="00A26619">
        <w:rPr>
          <w:rFonts w:cs="Arial Narrow"/>
          <w:color w:val="000000"/>
        </w:rPr>
        <w:t xml:space="preserve"> advice to the sponsor</w:t>
      </w:r>
      <w:r w:rsidR="009637C5">
        <w:rPr>
          <w:rFonts w:cs="Arial Narrow"/>
          <w:color w:val="000000"/>
        </w:rPr>
        <w:t>,</w:t>
      </w:r>
      <w:r w:rsidRPr="00F065B3">
        <w:rPr>
          <w:rFonts w:cs="Arial Narrow"/>
          <w:color w:val="000000"/>
        </w:rPr>
        <w:t xml:space="preserve"> ATAGI state</w:t>
      </w:r>
      <w:r>
        <w:rPr>
          <w:rFonts w:cs="Arial Narrow"/>
          <w:color w:val="000000"/>
        </w:rPr>
        <w:t>d</w:t>
      </w:r>
      <w:r w:rsidRPr="00F065B3">
        <w:rPr>
          <w:rFonts w:cs="Arial Narrow"/>
          <w:color w:val="000000"/>
        </w:rPr>
        <w:t xml:space="preserve"> that there is evidence to support efficacy of TIV-HD against pneumonia. The sponsor also comments that the Fluad Quad PI contains a broad clinical efficacy statement.</w:t>
      </w:r>
    </w:p>
    <w:p w14:paraId="44062DE9" w14:textId="77777777" w:rsidR="00DB333C" w:rsidRDefault="00C51B25" w:rsidP="00C51B25">
      <w:r>
        <w:rPr>
          <w:rFonts w:cs="Arial Narrow"/>
          <w:color w:val="000000"/>
        </w:rPr>
        <w:t>T</w:t>
      </w:r>
      <w:r w:rsidRPr="00A26619">
        <w:rPr>
          <w:rFonts w:cs="Arial Narrow"/>
          <w:color w:val="000000"/>
        </w:rPr>
        <w:t>he sponsor d</w:t>
      </w:r>
      <w:r>
        <w:rPr>
          <w:rFonts w:cs="Arial Narrow"/>
          <w:color w:val="000000"/>
        </w:rPr>
        <w:t>id</w:t>
      </w:r>
      <w:r w:rsidRPr="00A26619">
        <w:rPr>
          <w:rFonts w:cs="Arial Narrow"/>
          <w:color w:val="000000"/>
        </w:rPr>
        <w:t xml:space="preserve"> not agree with the </w:t>
      </w:r>
      <w:r>
        <w:rPr>
          <w:rFonts w:cs="Arial Narrow"/>
          <w:color w:val="000000"/>
        </w:rPr>
        <w:t xml:space="preserve">indications </w:t>
      </w:r>
      <w:r w:rsidRPr="00A26619">
        <w:rPr>
          <w:rFonts w:cs="Arial Narrow"/>
          <w:color w:val="000000"/>
        </w:rPr>
        <w:t xml:space="preserve">wording </w:t>
      </w:r>
      <w:r>
        <w:rPr>
          <w:rFonts w:cs="Arial Narrow"/>
          <w:color w:val="000000"/>
        </w:rPr>
        <w:t xml:space="preserve">recommended in </w:t>
      </w:r>
      <w:r w:rsidR="002F1B59">
        <w:rPr>
          <w:rFonts w:cs="Arial Narrow"/>
          <w:color w:val="000000"/>
        </w:rPr>
        <w:t xml:space="preserve">first round clinical evaluation report, which contained following </w:t>
      </w:r>
      <w:r w:rsidR="002F1B59" w:rsidRPr="002F1B59">
        <w:rPr>
          <w:rFonts w:cs="Arial Narrow"/>
          <w:i/>
          <w:color w:val="000000"/>
        </w:rPr>
        <w:t>‘</w:t>
      </w:r>
      <w:r w:rsidRPr="002F1B59">
        <w:rPr>
          <w:rFonts w:cs="Arial Narrow"/>
          <w:i/>
          <w:color w:val="000000"/>
        </w:rPr>
        <w:t>caused by influenza virus types A</w:t>
      </w:r>
      <w:r w:rsidR="002F1B59">
        <w:rPr>
          <w:rFonts w:cs="Arial Narrow"/>
          <w:i/>
          <w:color w:val="000000"/>
        </w:rPr>
        <w:t xml:space="preserve"> and B contained in the vaccine’</w:t>
      </w:r>
      <w:r>
        <w:rPr>
          <w:rFonts w:cs="Arial Narrow"/>
          <w:color w:val="000000"/>
        </w:rPr>
        <w:t>.</w:t>
      </w:r>
      <w:r w:rsidRPr="00F065B3">
        <w:t xml:space="preserve"> </w:t>
      </w:r>
      <w:r>
        <w:t xml:space="preserve">The second round </w:t>
      </w:r>
      <w:r w:rsidR="00DB333C">
        <w:t xml:space="preserve">clinical evaluation </w:t>
      </w:r>
      <w:r>
        <w:t xml:space="preserve">recommends </w:t>
      </w:r>
      <w:r w:rsidR="00DB333C">
        <w:t>the indications:</w:t>
      </w:r>
    </w:p>
    <w:p w14:paraId="3C1C280D" w14:textId="77777777" w:rsidR="00C51B25" w:rsidRPr="00DB333C" w:rsidRDefault="00DB333C" w:rsidP="00DB333C">
      <w:pPr>
        <w:ind w:left="720"/>
        <w:rPr>
          <w:rFonts w:cs="Arial Narrow"/>
          <w:i/>
          <w:color w:val="000000"/>
        </w:rPr>
      </w:pPr>
      <w:r w:rsidRPr="00DB333C">
        <w:rPr>
          <w:i/>
        </w:rPr>
        <w:t>‘</w:t>
      </w:r>
      <w:r w:rsidR="00C51B25" w:rsidRPr="00DB333C">
        <w:rPr>
          <w:i/>
        </w:rPr>
        <w:t xml:space="preserve">Fluzone High-Dose Quadrivalent is indicated for active immunisation for the prevention of influenza disease in persons 65 years of age and older. </w:t>
      </w:r>
      <w:r w:rsidR="00C51B25" w:rsidRPr="00DB333C">
        <w:rPr>
          <w:rFonts w:eastAsiaTheme="minorHAnsi"/>
          <w:i/>
        </w:rPr>
        <w:t>The use of Fluzone High-Dose Quadrivalent should be based on official recommendations.</w:t>
      </w:r>
      <w:r w:rsidRPr="00DB333C">
        <w:rPr>
          <w:i/>
        </w:rPr>
        <w:t>’</w:t>
      </w:r>
    </w:p>
    <w:p w14:paraId="1F393D7C" w14:textId="77777777" w:rsidR="00EB0A9D" w:rsidRDefault="00EB0A9D" w:rsidP="00EB0A9D">
      <w:pPr>
        <w:pStyle w:val="Heading5"/>
      </w:pPr>
      <w:r>
        <w:t>Summary of issues</w:t>
      </w:r>
    </w:p>
    <w:p w14:paraId="71F891D0" w14:textId="77777777" w:rsidR="00EB0A9D" w:rsidRDefault="00EB0A9D" w:rsidP="00EB0A9D">
      <w:pPr>
        <w:rPr>
          <w:rFonts w:cs="Arial Narrow"/>
          <w:color w:val="000000"/>
        </w:rPr>
      </w:pPr>
      <w:r>
        <w:rPr>
          <w:rFonts w:cs="Arial Narrow"/>
          <w:color w:val="000000"/>
        </w:rPr>
        <w:t xml:space="preserve">The sponsor proposes the </w:t>
      </w:r>
      <w:r w:rsidRPr="00A26619">
        <w:rPr>
          <w:rFonts w:cs="Arial Narrow"/>
          <w:color w:val="000000"/>
        </w:rPr>
        <w:t>added wording</w:t>
      </w:r>
      <w:r>
        <w:rPr>
          <w:rFonts w:cs="Arial Narrow"/>
          <w:color w:val="000000"/>
        </w:rPr>
        <w:t xml:space="preserve">: </w:t>
      </w:r>
      <w:r w:rsidRPr="00EB0A9D">
        <w:rPr>
          <w:rFonts w:cs="Arial Narrow"/>
          <w:i/>
          <w:color w:val="000000"/>
        </w:rPr>
        <w:t>‘associated complication of pneumonia-related hospitalisation</w:t>
      </w:r>
      <w:r>
        <w:rPr>
          <w:rFonts w:cs="Arial Narrow"/>
          <w:i/>
          <w:color w:val="000000"/>
        </w:rPr>
        <w:t>’</w:t>
      </w:r>
      <w:r w:rsidRPr="00A26619">
        <w:rPr>
          <w:rFonts w:cs="Arial Narrow"/>
          <w:color w:val="000000"/>
        </w:rPr>
        <w:t xml:space="preserve"> to the proposed indication</w:t>
      </w:r>
      <w:r>
        <w:rPr>
          <w:rFonts w:cs="Arial Narrow"/>
          <w:color w:val="000000"/>
        </w:rPr>
        <w:t xml:space="preserve">s, which has not been accepted in the second round </w:t>
      </w:r>
      <w:r w:rsidR="007631B0">
        <w:rPr>
          <w:rFonts w:cs="Arial Narrow"/>
          <w:color w:val="000000"/>
        </w:rPr>
        <w:t>clinical evaluation report.</w:t>
      </w:r>
    </w:p>
    <w:p w14:paraId="67FEDB9C" w14:textId="77777777" w:rsidR="00EB0A9D" w:rsidRDefault="00EB0A9D" w:rsidP="00EB0A9D">
      <w:pPr>
        <w:rPr>
          <w:rFonts w:cs="Arial Narrow"/>
          <w:color w:val="000000"/>
        </w:rPr>
      </w:pPr>
      <w:r>
        <w:rPr>
          <w:rFonts w:cs="Arial Narrow"/>
          <w:color w:val="000000"/>
        </w:rPr>
        <w:t xml:space="preserve">Effectiveness analyses were based on </w:t>
      </w:r>
      <w:r w:rsidR="009637C5">
        <w:rPr>
          <w:rFonts w:cs="Arial Narrow"/>
          <w:color w:val="000000"/>
        </w:rPr>
        <w:t xml:space="preserve">the </w:t>
      </w:r>
      <w:r>
        <w:rPr>
          <w:rFonts w:cs="Arial Narrow"/>
          <w:color w:val="000000"/>
        </w:rPr>
        <w:t xml:space="preserve">TIV-HD rather than </w:t>
      </w:r>
      <w:r w:rsidR="009637C5">
        <w:rPr>
          <w:rFonts w:cs="Arial Narrow"/>
          <w:color w:val="000000"/>
        </w:rPr>
        <w:t xml:space="preserve">the </w:t>
      </w:r>
      <w:r>
        <w:rPr>
          <w:rFonts w:cs="Arial Narrow"/>
          <w:color w:val="000000"/>
        </w:rPr>
        <w:t xml:space="preserve">QIV-HD. </w:t>
      </w:r>
      <w:r w:rsidRPr="00111096">
        <w:rPr>
          <w:rFonts w:cs="Arial Narrow"/>
          <w:color w:val="000000"/>
        </w:rPr>
        <w:t>Supplementary analys</w:t>
      </w:r>
      <w:r w:rsidR="007631B0">
        <w:rPr>
          <w:rFonts w:cs="Arial Narrow"/>
          <w:color w:val="000000"/>
        </w:rPr>
        <w:t>es of data from pivotal TIV-HD</w:t>
      </w:r>
      <w:r w:rsidR="009637C5">
        <w:rPr>
          <w:rFonts w:cs="Arial Narrow"/>
          <w:color w:val="000000"/>
        </w:rPr>
        <w:t xml:space="preserve"> based</w:t>
      </w:r>
      <w:r w:rsidR="007631B0">
        <w:rPr>
          <w:rFonts w:cs="Arial Narrow"/>
          <w:color w:val="000000"/>
        </w:rPr>
        <w:t xml:space="preserve"> S</w:t>
      </w:r>
      <w:r w:rsidRPr="00111096">
        <w:rPr>
          <w:rFonts w:cs="Arial Narrow"/>
          <w:color w:val="000000"/>
        </w:rPr>
        <w:t xml:space="preserve">tudy FIM12 </w:t>
      </w:r>
      <w:r>
        <w:rPr>
          <w:rFonts w:cs="Arial Narrow"/>
          <w:color w:val="000000"/>
        </w:rPr>
        <w:t>reported a</w:t>
      </w:r>
      <w:r w:rsidRPr="00111096">
        <w:rPr>
          <w:rFonts w:cs="Arial Narrow"/>
          <w:color w:val="000000"/>
        </w:rPr>
        <w:t xml:space="preserve"> 39% reduction in risk of serious pneumonia events</w:t>
      </w:r>
      <w:r w:rsidR="007631B0">
        <w:rPr>
          <w:rFonts w:cs="Arial Narrow"/>
          <w:color w:val="000000"/>
        </w:rPr>
        <w:t>. The clinical evaluation report</w:t>
      </w:r>
      <w:r>
        <w:rPr>
          <w:rFonts w:cs="Arial Narrow"/>
          <w:color w:val="000000"/>
        </w:rPr>
        <w:t xml:space="preserve"> comments </w:t>
      </w:r>
      <w:r w:rsidRPr="00111096">
        <w:rPr>
          <w:rFonts w:cs="Arial Narrow"/>
          <w:color w:val="000000"/>
        </w:rPr>
        <w:t>the analysis did not evaluate reduction in pneumonia-related hospitalisation and overall rate of all-cause hospitalisations was only reduced by 8% with TIV-HD compared to</w:t>
      </w:r>
      <w:r w:rsidRPr="00111096">
        <w:t xml:space="preserve"> </w:t>
      </w:r>
      <w:r w:rsidRPr="00111096">
        <w:rPr>
          <w:rFonts w:cs="Arial Narrow"/>
          <w:color w:val="000000"/>
        </w:rPr>
        <w:t>TIV-SD.</w:t>
      </w:r>
      <w:r>
        <w:rPr>
          <w:rFonts w:cs="Arial Narrow"/>
          <w:color w:val="000000"/>
        </w:rPr>
        <w:t xml:space="preserve"> Interpretation is also limited as </w:t>
      </w:r>
      <w:r w:rsidRPr="00111096">
        <w:rPr>
          <w:rFonts w:cs="Arial Narrow"/>
          <w:color w:val="000000"/>
        </w:rPr>
        <w:t>although study evaluated multiple associated outcomes, there was lack of correction for multiplicity</w:t>
      </w:r>
      <w:r>
        <w:rPr>
          <w:rFonts w:cs="Arial Narrow"/>
          <w:color w:val="000000"/>
        </w:rPr>
        <w:t>;</w:t>
      </w:r>
      <w:r w:rsidRPr="00111096">
        <w:rPr>
          <w:rFonts w:asciiTheme="minorHAnsi" w:eastAsiaTheme="minorHAnsi" w:hAnsiTheme="minorHAnsi" w:cs="TimesNewRomanPSMT"/>
        </w:rPr>
        <w:t xml:space="preserve"> </w:t>
      </w:r>
      <w:r w:rsidRPr="004435CB">
        <w:rPr>
          <w:rFonts w:asciiTheme="minorHAnsi" w:eastAsiaTheme="minorHAnsi" w:hAnsiTheme="minorHAnsi" w:cs="TimesNewRomanPSMT"/>
        </w:rPr>
        <w:t>the initial study was not powered for this supplementary analysis</w:t>
      </w:r>
      <w:r>
        <w:rPr>
          <w:rFonts w:asciiTheme="minorHAnsi" w:eastAsiaTheme="minorHAnsi" w:hAnsiTheme="minorHAnsi" w:cs="TimesNewRomanPSMT"/>
        </w:rPr>
        <w:t xml:space="preserve">; and </w:t>
      </w:r>
      <w:r w:rsidRPr="004435CB">
        <w:rPr>
          <w:rFonts w:asciiTheme="minorHAnsi" w:eastAsiaTheme="minorHAnsi" w:hAnsiTheme="minorHAnsi" w:cs="TimesNewRomanPSMT"/>
        </w:rPr>
        <w:t>outcomes evaluated in the supplementary analysis were not influenza-specific.</w:t>
      </w:r>
    </w:p>
    <w:p w14:paraId="373BE409" w14:textId="0CF74AFE" w:rsidR="009637C5" w:rsidRDefault="00EB0A9D" w:rsidP="00EB0A9D">
      <w:pPr>
        <w:tabs>
          <w:tab w:val="left" w:pos="426"/>
        </w:tabs>
        <w:autoSpaceDE w:val="0"/>
        <w:autoSpaceDN w:val="0"/>
        <w:spacing w:before="0" w:line="240" w:lineRule="auto"/>
        <w:rPr>
          <w:rFonts w:eastAsiaTheme="minorHAnsi"/>
        </w:rPr>
      </w:pPr>
      <w:r w:rsidRPr="00DA0A20">
        <w:rPr>
          <w:rFonts w:eastAsiaTheme="minorHAnsi" w:cs="TimesNewRomanPSMT"/>
          <w:color w:val="000000"/>
        </w:rPr>
        <w:t xml:space="preserve">The cluster-RCT </w:t>
      </w:r>
      <w:r w:rsidR="007631B0">
        <w:rPr>
          <w:rFonts w:eastAsiaTheme="minorHAnsi" w:cs="TimesNewRomanPSMT"/>
          <w:color w:val="000000"/>
        </w:rPr>
        <w:t xml:space="preserve">by </w:t>
      </w:r>
      <w:r>
        <w:rPr>
          <w:rFonts w:eastAsiaTheme="minorHAnsi" w:cs="TimesNewRomanPSMT"/>
          <w:color w:val="000000"/>
        </w:rPr>
        <w:t>G</w:t>
      </w:r>
      <w:r w:rsidRPr="00DA0A20">
        <w:rPr>
          <w:rFonts w:eastAsiaTheme="minorHAnsi" w:cs="TimesNewRomanPSMT"/>
          <w:color w:val="000000"/>
        </w:rPr>
        <w:t xml:space="preserve">ravenstein </w:t>
      </w:r>
      <w:r w:rsidR="007631B0">
        <w:rPr>
          <w:rFonts w:eastAsiaTheme="minorHAnsi" w:cs="TimesNewRomanPSMT"/>
          <w:color w:val="000000"/>
        </w:rPr>
        <w:t xml:space="preserve">et al., (2016, </w:t>
      </w:r>
      <w:r w:rsidR="002F1B59">
        <w:rPr>
          <w:rFonts w:eastAsiaTheme="minorHAnsi" w:cs="TimesNewRomanPSMT"/>
          <w:color w:val="000000"/>
        </w:rPr>
        <w:t>2018)</w:t>
      </w:r>
      <w:r w:rsidR="009637C5">
        <w:rPr>
          <w:rFonts w:eastAsiaTheme="minorHAnsi" w:cs="TimesNewRomanPSMT"/>
          <w:color w:val="000000"/>
        </w:rPr>
        <w:t>;</w:t>
      </w:r>
      <w:r w:rsidR="009637C5" w:rsidRPr="009637C5">
        <w:rPr>
          <w:rFonts w:eastAsiaTheme="minorHAnsi" w:cs="TimesNewRomanPSMT"/>
          <w:color w:val="000000"/>
          <w:vertAlign w:val="superscript"/>
        </w:rPr>
        <w:fldChar w:fldCharType="begin"/>
      </w:r>
      <w:r w:rsidR="009637C5" w:rsidRPr="009637C5">
        <w:rPr>
          <w:rFonts w:eastAsiaTheme="minorHAnsi" w:cs="TimesNewRomanPSMT"/>
          <w:color w:val="000000"/>
          <w:vertAlign w:val="superscript"/>
        </w:rPr>
        <w:instrText xml:space="preserve"> NOTEREF _Ref55016951 \h </w:instrText>
      </w:r>
      <w:r w:rsidR="009637C5">
        <w:rPr>
          <w:rFonts w:eastAsiaTheme="minorHAnsi" w:cs="TimesNewRomanPSMT"/>
          <w:color w:val="000000"/>
          <w:vertAlign w:val="superscript"/>
        </w:rPr>
        <w:instrText xml:space="preserve"> \* MERGEFORMAT </w:instrText>
      </w:r>
      <w:r w:rsidR="009637C5" w:rsidRPr="009637C5">
        <w:rPr>
          <w:rFonts w:eastAsiaTheme="minorHAnsi" w:cs="TimesNewRomanPSMT"/>
          <w:color w:val="000000"/>
          <w:vertAlign w:val="superscript"/>
        </w:rPr>
      </w:r>
      <w:r w:rsidR="009637C5" w:rsidRPr="009637C5">
        <w:rPr>
          <w:rFonts w:eastAsiaTheme="minorHAnsi" w:cs="TimesNewRomanPSMT"/>
          <w:color w:val="000000"/>
          <w:vertAlign w:val="superscript"/>
        </w:rPr>
        <w:fldChar w:fldCharType="separate"/>
      </w:r>
      <w:r w:rsidR="00DA143A">
        <w:rPr>
          <w:rFonts w:eastAsiaTheme="minorHAnsi" w:cs="TimesNewRomanPSMT"/>
          <w:color w:val="000000"/>
          <w:vertAlign w:val="superscript"/>
        </w:rPr>
        <w:t>10</w:t>
      </w:r>
      <w:r w:rsidR="009637C5" w:rsidRPr="009637C5">
        <w:rPr>
          <w:rFonts w:eastAsiaTheme="minorHAnsi" w:cs="TimesNewRomanPSMT"/>
          <w:color w:val="000000"/>
          <w:vertAlign w:val="superscript"/>
        </w:rPr>
        <w:fldChar w:fldCharType="end"/>
      </w:r>
      <w:r w:rsidRPr="00DA0A20">
        <w:rPr>
          <w:rFonts w:eastAsiaTheme="minorHAnsi" w:cs="TimesNewRomanPSMT"/>
          <w:color w:val="0000FF"/>
        </w:rPr>
        <w:t xml:space="preserve"> </w:t>
      </w:r>
      <w:r w:rsidRPr="00DA0A20">
        <w:rPr>
          <w:rFonts w:eastAsiaTheme="minorHAnsi" w:cs="TimesNewRomanPSMT"/>
          <w:color w:val="000000"/>
        </w:rPr>
        <w:t>including approximately 53,000 nursing homes residents and confirmed</w:t>
      </w:r>
      <w:r>
        <w:rPr>
          <w:rFonts w:eastAsiaTheme="minorHAnsi" w:cs="TimesNewRomanPSMT"/>
          <w:color w:val="000000"/>
        </w:rPr>
        <w:t xml:space="preserve"> </w:t>
      </w:r>
      <w:r w:rsidRPr="00DA0A20">
        <w:rPr>
          <w:rFonts w:eastAsiaTheme="minorHAnsi" w:cs="TimesNewRomanPSMT"/>
          <w:color w:val="000000"/>
        </w:rPr>
        <w:t>improved prevention of hospital</w:t>
      </w:r>
      <w:r>
        <w:rPr>
          <w:rFonts w:eastAsiaTheme="minorHAnsi" w:cs="TimesNewRomanPSMT"/>
          <w:color w:val="000000"/>
        </w:rPr>
        <w:t>is</w:t>
      </w:r>
      <w:r w:rsidRPr="00DA0A20">
        <w:rPr>
          <w:rFonts w:eastAsiaTheme="minorHAnsi" w:cs="TimesNewRomanPSMT"/>
          <w:color w:val="000000"/>
        </w:rPr>
        <w:t>ations related to respiratory diseases or pneumonia when</w:t>
      </w:r>
      <w:r>
        <w:rPr>
          <w:rFonts w:eastAsiaTheme="minorHAnsi" w:cs="TimesNewRomanPSMT"/>
          <w:color w:val="000000"/>
        </w:rPr>
        <w:t xml:space="preserve"> </w:t>
      </w:r>
      <w:r w:rsidRPr="00DA0A20">
        <w:rPr>
          <w:rFonts w:eastAsiaTheme="minorHAnsi" w:cs="TimesNewRomanPSMT"/>
          <w:color w:val="000000"/>
        </w:rPr>
        <w:t>compared with TIV-SD</w:t>
      </w:r>
      <w:r>
        <w:rPr>
          <w:rFonts w:eastAsiaTheme="minorHAnsi" w:cs="TimesNewRomanPSMT"/>
          <w:color w:val="000000"/>
        </w:rPr>
        <w:t xml:space="preserve"> </w:t>
      </w:r>
      <w:r w:rsidRPr="00DA0A20">
        <w:rPr>
          <w:rFonts w:eastAsiaTheme="minorHAnsi" w:cs="TimesNewRomanPSMT"/>
          <w:color w:val="000000"/>
        </w:rPr>
        <w:t>where hospital</w:t>
      </w:r>
      <w:r>
        <w:rPr>
          <w:rFonts w:eastAsiaTheme="minorHAnsi" w:cs="TimesNewRomanPSMT"/>
          <w:color w:val="000000"/>
        </w:rPr>
        <w:t xml:space="preserve"> </w:t>
      </w:r>
      <w:r w:rsidRPr="00DA0A20">
        <w:rPr>
          <w:rFonts w:eastAsiaTheme="minorHAnsi" w:cs="TimesNewRomanPSMT"/>
          <w:color w:val="000000"/>
        </w:rPr>
        <w:t>admission related to and including pneumonia on the basis of ICD-9-coded Medicare claims</w:t>
      </w:r>
      <w:r>
        <w:rPr>
          <w:rFonts w:eastAsiaTheme="minorHAnsi" w:cs="TimesNewRomanPSMT"/>
          <w:color w:val="000000"/>
        </w:rPr>
        <w:t xml:space="preserve"> </w:t>
      </w:r>
      <w:r w:rsidRPr="00DA0A20">
        <w:rPr>
          <w:rFonts w:eastAsiaTheme="minorHAnsi" w:cs="TimesNewRomanPSMT"/>
          <w:color w:val="000000"/>
        </w:rPr>
        <w:t>was a secondary endpoint</w:t>
      </w:r>
      <w:r>
        <w:rPr>
          <w:rFonts w:eastAsiaTheme="minorHAnsi" w:cs="TimesNewRomanPSMT"/>
          <w:color w:val="000000"/>
        </w:rPr>
        <w:t xml:space="preserve">: </w:t>
      </w:r>
      <w:r w:rsidR="007631B0">
        <w:rPr>
          <w:rFonts w:eastAsia="SymbolMT" w:cs="SymbolMT"/>
          <w:color w:val="000000"/>
        </w:rPr>
        <w:t xml:space="preserve">a </w:t>
      </w:r>
      <w:r w:rsidRPr="00DA0A20">
        <w:rPr>
          <w:rFonts w:eastAsiaTheme="minorHAnsi" w:cs="TimesNewRomanPSMT"/>
          <w:color w:val="000000"/>
        </w:rPr>
        <w:t>20.9% reduction in hospital admissions for pneumonia in residents living in TIV-HD</w:t>
      </w:r>
      <w:r>
        <w:rPr>
          <w:rFonts w:eastAsiaTheme="minorHAnsi" w:cs="TimesNewRomanPSMT"/>
          <w:color w:val="000000"/>
        </w:rPr>
        <w:t xml:space="preserve"> </w:t>
      </w:r>
      <w:r w:rsidRPr="00DA0A20">
        <w:rPr>
          <w:rFonts w:eastAsiaTheme="minorHAnsi" w:cs="TimesNewRomanPSMT"/>
          <w:color w:val="000000"/>
        </w:rPr>
        <w:t>vaccine facilities compared to facilities where residents received TIV-SD vaccine</w:t>
      </w:r>
      <w:r>
        <w:rPr>
          <w:rFonts w:eastAsiaTheme="minorHAnsi" w:cs="TimesNewRomanPSMT"/>
          <w:color w:val="000000"/>
        </w:rPr>
        <w:t xml:space="preserve"> </w:t>
      </w:r>
      <w:r w:rsidRPr="00DA0A20">
        <w:rPr>
          <w:rFonts w:eastAsiaTheme="minorHAnsi" w:cs="TimesNewRomanPSMT"/>
          <w:color w:val="000000"/>
        </w:rPr>
        <w:t>(</w:t>
      </w:r>
      <w:r w:rsidR="007631B0">
        <w:rPr>
          <w:rFonts w:eastAsiaTheme="minorHAnsi" w:cs="TimesNewRomanPSMT"/>
          <w:color w:val="000000"/>
        </w:rPr>
        <w:t>absolute risk reduction = 0.791;</w:t>
      </w:r>
      <w:r w:rsidRPr="00DA0A20">
        <w:rPr>
          <w:rFonts w:eastAsiaTheme="minorHAnsi" w:cs="TimesNewRomanPSMT"/>
          <w:color w:val="000000"/>
        </w:rPr>
        <w:t xml:space="preserve"> 95% CI 0</w:t>
      </w:r>
      <w:r w:rsidR="007631B0">
        <w:rPr>
          <w:rFonts w:eastAsiaTheme="minorHAnsi" w:cs="TimesNewRomanPSMT"/>
          <w:color w:val="000000"/>
        </w:rPr>
        <w:t xml:space="preserve">.267, </w:t>
      </w:r>
      <w:r w:rsidRPr="00DA0A20">
        <w:rPr>
          <w:rFonts w:eastAsiaTheme="minorHAnsi" w:cs="TimesNewRomanPSMT"/>
          <w:color w:val="000000"/>
        </w:rPr>
        <w:t>0.953, p</w:t>
      </w:r>
      <w:r w:rsidR="007631B0">
        <w:rPr>
          <w:rFonts w:eastAsiaTheme="minorHAnsi" w:cs="TimesNewRomanPSMT"/>
          <w:color w:val="000000"/>
        </w:rPr>
        <w:t> </w:t>
      </w:r>
      <w:r w:rsidRPr="00DA0A20">
        <w:rPr>
          <w:rFonts w:eastAsiaTheme="minorHAnsi" w:cs="TimesNewRomanPSMT"/>
          <w:color w:val="000000"/>
        </w:rPr>
        <w:t>=</w:t>
      </w:r>
      <w:r w:rsidR="007631B0">
        <w:rPr>
          <w:rFonts w:eastAsiaTheme="minorHAnsi" w:cs="TimesNewRomanPSMT"/>
          <w:color w:val="000000"/>
        </w:rPr>
        <w:t> </w:t>
      </w:r>
      <w:r w:rsidRPr="00DA0A20">
        <w:rPr>
          <w:rFonts w:eastAsiaTheme="minorHAnsi" w:cs="TimesNewRomanPSMT"/>
          <w:color w:val="000000"/>
        </w:rPr>
        <w:t>0.013)</w:t>
      </w:r>
      <w:r>
        <w:rPr>
          <w:rFonts w:eastAsiaTheme="minorHAnsi" w:cs="TimesNewRomanPSMT"/>
          <w:color w:val="000000"/>
        </w:rPr>
        <w:t>.</w:t>
      </w:r>
    </w:p>
    <w:p w14:paraId="0FA80A7C" w14:textId="77777777" w:rsidR="00EB0A9D" w:rsidRPr="00244238" w:rsidRDefault="007631B0" w:rsidP="00EB0A9D">
      <w:pPr>
        <w:tabs>
          <w:tab w:val="left" w:pos="426"/>
        </w:tabs>
        <w:autoSpaceDE w:val="0"/>
        <w:autoSpaceDN w:val="0"/>
        <w:spacing w:before="0" w:line="240" w:lineRule="auto"/>
        <w:rPr>
          <w:rFonts w:asciiTheme="minorHAnsi" w:eastAsiaTheme="minorHAnsi" w:hAnsiTheme="minorHAnsi" w:cs="TimesNewRomanPSMT"/>
          <w:color w:val="000000"/>
        </w:rPr>
      </w:pPr>
      <w:r>
        <w:rPr>
          <w:rFonts w:eastAsiaTheme="minorHAnsi"/>
        </w:rPr>
        <w:t xml:space="preserve">Study </w:t>
      </w:r>
      <w:r w:rsidR="00EB0A9D" w:rsidRPr="00DA0A20">
        <w:rPr>
          <w:rFonts w:eastAsiaTheme="minorHAnsi"/>
        </w:rPr>
        <w:t>GRC75-EXT was the first random</w:t>
      </w:r>
      <w:r w:rsidR="00EB0A9D">
        <w:rPr>
          <w:rFonts w:eastAsiaTheme="minorHAnsi"/>
        </w:rPr>
        <w:t>is</w:t>
      </w:r>
      <w:r w:rsidR="00EB0A9D" w:rsidRPr="00DA0A20">
        <w:rPr>
          <w:rFonts w:eastAsiaTheme="minorHAnsi"/>
        </w:rPr>
        <w:t xml:space="preserve">ed, prospective study to show the comparative effectiveness of influenza vaccine in reducing respiratory-related hospital admissions as a primary endpoint in an elderly, frail, long-stay </w:t>
      </w:r>
      <w:r>
        <w:rPr>
          <w:rFonts w:eastAsiaTheme="minorHAnsi"/>
        </w:rPr>
        <w:t>nursing home</w:t>
      </w:r>
      <w:r w:rsidR="00EB0A9D" w:rsidRPr="00DA0A20">
        <w:rPr>
          <w:rFonts w:eastAsiaTheme="minorHAnsi"/>
        </w:rPr>
        <w:t xml:space="preserve"> population. </w:t>
      </w:r>
      <w:r>
        <w:rPr>
          <w:rFonts w:cs="Arial Narrow"/>
          <w:color w:val="000000"/>
        </w:rPr>
        <w:t>The clinical evaluation report</w:t>
      </w:r>
      <w:r w:rsidR="00EB0A9D">
        <w:rPr>
          <w:rFonts w:cs="Arial Narrow"/>
          <w:color w:val="000000"/>
        </w:rPr>
        <w:t xml:space="preserve"> comments that </w:t>
      </w:r>
      <w:r w:rsidR="00EB0A9D">
        <w:rPr>
          <w:rFonts w:eastAsiaTheme="minorHAnsi"/>
        </w:rPr>
        <w:t>interpretation was limited by l</w:t>
      </w:r>
      <w:r w:rsidR="00EB0A9D" w:rsidRPr="00DA0A20">
        <w:rPr>
          <w:rFonts w:eastAsiaTheme="minorHAnsi"/>
          <w:color w:val="000000"/>
        </w:rPr>
        <w:t>ow event rates</w:t>
      </w:r>
      <w:r w:rsidR="00EB0A9D">
        <w:rPr>
          <w:rFonts w:eastAsiaTheme="minorHAnsi"/>
          <w:color w:val="000000"/>
        </w:rPr>
        <w:t xml:space="preserve">, </w:t>
      </w:r>
      <w:r w:rsidR="00EB0A9D" w:rsidRPr="00DA0A20">
        <w:rPr>
          <w:rFonts w:eastAsiaTheme="minorHAnsi"/>
          <w:color w:val="000000"/>
        </w:rPr>
        <w:t xml:space="preserve">greater than expected variability </w:t>
      </w:r>
      <w:r w:rsidR="00EB0A9D">
        <w:rPr>
          <w:rFonts w:eastAsiaTheme="minorHAnsi"/>
          <w:color w:val="000000"/>
        </w:rPr>
        <w:t xml:space="preserve">and lack of </w:t>
      </w:r>
      <w:r w:rsidR="00EB0A9D" w:rsidRPr="00244238">
        <w:rPr>
          <w:rFonts w:asciiTheme="minorHAnsi" w:eastAsiaTheme="minorHAnsi" w:hAnsiTheme="minorHAnsi"/>
          <w:color w:val="000000"/>
        </w:rPr>
        <w:t>laboratory data from the study population to confirm influenza activity.</w:t>
      </w:r>
    </w:p>
    <w:p w14:paraId="3CA6E906" w14:textId="7A3AF539" w:rsidR="00EB0A9D" w:rsidRDefault="00EB0A9D" w:rsidP="009637C5">
      <w:pPr>
        <w:rPr>
          <w:rFonts w:cs="Arial Narrow"/>
          <w:color w:val="000000"/>
        </w:rPr>
      </w:pPr>
      <w:r w:rsidRPr="00244238">
        <w:rPr>
          <w:rFonts w:cs="TimesNewRomanPSMT"/>
          <w:color w:val="000000"/>
        </w:rPr>
        <w:t>The retrospective cohort study by Young</w:t>
      </w:r>
      <w:r>
        <w:rPr>
          <w:rFonts w:cs="TimesNewRomanPSMT"/>
          <w:color w:val="000000"/>
        </w:rPr>
        <w:t>-</w:t>
      </w:r>
      <w:r w:rsidRPr="00244238">
        <w:rPr>
          <w:rFonts w:cs="TimesNewRomanPSMT"/>
          <w:color w:val="000000"/>
        </w:rPr>
        <w:t xml:space="preserve">Xu </w:t>
      </w:r>
      <w:r w:rsidR="007631B0">
        <w:rPr>
          <w:rFonts w:cs="TimesNewRomanPSMT"/>
          <w:color w:val="000000"/>
        </w:rPr>
        <w:t>et al., (</w:t>
      </w:r>
      <w:r>
        <w:rPr>
          <w:rFonts w:cs="TimesNewRomanPSMT"/>
          <w:color w:val="000000"/>
        </w:rPr>
        <w:t>2018</w:t>
      </w:r>
      <w:r w:rsidR="007631B0">
        <w:rPr>
          <w:rFonts w:cs="TimesNewRomanPSMT"/>
          <w:color w:val="000000"/>
        </w:rPr>
        <w:t>)</w:t>
      </w:r>
      <w:r w:rsidR="009637C5">
        <w:rPr>
          <w:rFonts w:cs="TimesNewRomanPSMT"/>
          <w:color w:val="000000"/>
        </w:rPr>
        <w:t>;</w:t>
      </w:r>
      <w:r w:rsidR="009637C5" w:rsidRPr="009637C5">
        <w:rPr>
          <w:rFonts w:cs="TimesNewRomanPSMT"/>
          <w:color w:val="000000"/>
          <w:vertAlign w:val="superscript"/>
        </w:rPr>
        <w:fldChar w:fldCharType="begin"/>
      </w:r>
      <w:r w:rsidR="009637C5" w:rsidRPr="009637C5">
        <w:rPr>
          <w:rFonts w:cs="TimesNewRomanPSMT"/>
          <w:color w:val="000000"/>
          <w:vertAlign w:val="superscript"/>
        </w:rPr>
        <w:instrText xml:space="preserve"> NOTEREF _Ref55018014 \h </w:instrText>
      </w:r>
      <w:r w:rsidR="009637C5">
        <w:rPr>
          <w:rFonts w:cs="TimesNewRomanPSMT"/>
          <w:color w:val="000000"/>
          <w:vertAlign w:val="superscript"/>
        </w:rPr>
        <w:instrText xml:space="preserve"> \* MERGEFORMAT </w:instrText>
      </w:r>
      <w:r w:rsidR="009637C5" w:rsidRPr="009637C5">
        <w:rPr>
          <w:rFonts w:cs="TimesNewRomanPSMT"/>
          <w:color w:val="000000"/>
          <w:vertAlign w:val="superscript"/>
        </w:rPr>
      </w:r>
      <w:r w:rsidR="009637C5" w:rsidRPr="009637C5">
        <w:rPr>
          <w:rFonts w:cs="TimesNewRomanPSMT"/>
          <w:color w:val="000000"/>
          <w:vertAlign w:val="superscript"/>
        </w:rPr>
        <w:fldChar w:fldCharType="separate"/>
      </w:r>
      <w:r w:rsidR="00DA143A">
        <w:rPr>
          <w:rFonts w:cs="TimesNewRomanPSMT"/>
          <w:color w:val="000000"/>
          <w:vertAlign w:val="superscript"/>
        </w:rPr>
        <w:t>11</w:t>
      </w:r>
      <w:r w:rsidR="009637C5" w:rsidRPr="009637C5">
        <w:rPr>
          <w:rFonts w:cs="TimesNewRomanPSMT"/>
          <w:color w:val="000000"/>
          <w:vertAlign w:val="superscript"/>
        </w:rPr>
        <w:fldChar w:fldCharType="end"/>
      </w:r>
      <w:r w:rsidRPr="00244238">
        <w:rPr>
          <w:rFonts w:cs="TimesNewRomanPSMT"/>
          <w:color w:val="000000"/>
        </w:rPr>
        <w:t xml:space="preserve"> </w:t>
      </w:r>
      <w:r w:rsidRPr="00244238">
        <w:t xml:space="preserve">matched PERR-adjusted </w:t>
      </w:r>
      <w:r w:rsidR="009B64DE">
        <w:t>relative vaccine effectiveness</w:t>
      </w:r>
      <w:r w:rsidRPr="00244238">
        <w:t xml:space="preserve"> </w:t>
      </w:r>
      <w:r>
        <w:t xml:space="preserve">(for HD </w:t>
      </w:r>
      <w:r w:rsidR="00A614D4">
        <w:t>versus</w:t>
      </w:r>
      <w:r>
        <w:t xml:space="preserve"> </w:t>
      </w:r>
      <w:r w:rsidR="009637C5">
        <w:t xml:space="preserve">SD) was 25% (95% CI: 2%, </w:t>
      </w:r>
      <w:r w:rsidRPr="00244238">
        <w:t>43%) against influenza- or pneumonia-associated hospitalisation.</w:t>
      </w:r>
      <w:r>
        <w:t xml:space="preserve"> The </w:t>
      </w:r>
      <w:r w:rsidR="007631B0">
        <w:t>clinical evaluator</w:t>
      </w:r>
      <w:r>
        <w:t xml:space="preserve"> comments </w:t>
      </w:r>
      <w:r w:rsidRPr="00244238">
        <w:t>interpretation was limited by wide 95% CIs. Other l</w:t>
      </w:r>
      <w:r w:rsidR="009637C5">
        <w:t xml:space="preserve">imitations of this study were that </w:t>
      </w:r>
      <w:r w:rsidRPr="00244238">
        <w:rPr>
          <w:color w:val="000000"/>
        </w:rPr>
        <w:t xml:space="preserve">analyses was not restricted to periods of peak influenza activities(use of the broader </w:t>
      </w:r>
      <w:r w:rsidRPr="00244238">
        <w:rPr>
          <w:color w:val="000000"/>
        </w:rPr>
        <w:lastRenderedPageBreak/>
        <w:t>period may have biased results due to misclas</w:t>
      </w:r>
      <w:r w:rsidR="007631B0">
        <w:rPr>
          <w:color w:val="000000"/>
        </w:rPr>
        <w:t xml:space="preserve">sification of study outcomes); </w:t>
      </w:r>
      <w:r w:rsidRPr="00244238">
        <w:rPr>
          <w:color w:val="000000"/>
        </w:rPr>
        <w:t xml:space="preserve">despite matching, </w:t>
      </w:r>
      <w:r w:rsidRPr="00244238">
        <w:t>the potential for confounding by indication and by unmeasured variable</w:t>
      </w:r>
      <w:r w:rsidR="009637C5">
        <w:t>s cannot be entirely eliminated</w:t>
      </w:r>
      <w:r w:rsidRPr="00244238">
        <w:t xml:space="preserve"> due to observational</w:t>
      </w:r>
      <w:r w:rsidR="007631B0">
        <w:t xml:space="preserve"> study design; and the g</w:t>
      </w:r>
      <w:r w:rsidRPr="00244238">
        <w:t xml:space="preserve">eneralisability of results was limited as data was only obtained from </w:t>
      </w:r>
      <w:r w:rsidRPr="00244238">
        <w:rPr>
          <w:color w:val="000000"/>
        </w:rPr>
        <w:t>patients treated at VHA facilities and these patients may also u</w:t>
      </w:r>
      <w:r w:rsidRPr="00244238">
        <w:t>se healthcare services outside the VHA</w:t>
      </w:r>
      <w:r>
        <w:t>.</w:t>
      </w:r>
    </w:p>
    <w:p w14:paraId="6A466AF0" w14:textId="77777777" w:rsidR="00EB0A9D" w:rsidRDefault="00EB0A9D" w:rsidP="00EB0A9D">
      <w:pPr>
        <w:spacing w:before="0" w:after="0" w:line="240" w:lineRule="auto"/>
        <w:rPr>
          <w:rFonts w:asciiTheme="minorHAnsi" w:hAnsiTheme="minorHAnsi"/>
        </w:rPr>
      </w:pPr>
      <w:r>
        <w:t xml:space="preserve">The </w:t>
      </w:r>
      <w:r w:rsidR="007631B0">
        <w:t xml:space="preserve">clinical evaluator </w:t>
      </w:r>
      <w:r>
        <w:t>considered that a</w:t>
      </w:r>
      <w:r w:rsidRPr="008A7F82">
        <w:t>lthough above studies do provide some evidence to demonstrate efficacy of TIV-HD over TIV-SD in preventing pneumonia-related hospitalisation, interpretation was con</w:t>
      </w:r>
      <w:r>
        <w:t xml:space="preserve">founded by various limitations </w:t>
      </w:r>
      <w:r w:rsidRPr="008A7F82">
        <w:t xml:space="preserve">discussed above and </w:t>
      </w:r>
      <w:r w:rsidRPr="008A7F82">
        <w:rPr>
          <w:rFonts w:eastAsiaTheme="minorHAnsi" w:cs="TimesNewRomanPSMT"/>
          <w:color w:val="000000"/>
        </w:rPr>
        <w:t xml:space="preserve">do not justify </w:t>
      </w:r>
      <w:r>
        <w:rPr>
          <w:rFonts w:eastAsiaTheme="minorHAnsi" w:cs="TimesNewRomanPSMT"/>
          <w:color w:val="000000"/>
        </w:rPr>
        <w:t>inclusion of ‘preventing pn</w:t>
      </w:r>
      <w:r w:rsidR="009637C5">
        <w:rPr>
          <w:rFonts w:eastAsiaTheme="minorHAnsi" w:cs="TimesNewRomanPSMT"/>
          <w:color w:val="000000"/>
        </w:rPr>
        <w:t>eumonia-related hospitalisation’</w:t>
      </w:r>
      <w:r>
        <w:rPr>
          <w:rFonts w:eastAsiaTheme="minorHAnsi" w:cs="TimesNewRomanPSMT"/>
          <w:color w:val="000000"/>
        </w:rPr>
        <w:t xml:space="preserve"> in wording of </w:t>
      </w:r>
      <w:r w:rsidRPr="008A7F82">
        <w:rPr>
          <w:rFonts w:eastAsiaTheme="minorHAnsi" w:cs="TimesNewRomanPSMT"/>
          <w:color w:val="000000"/>
        </w:rPr>
        <w:t xml:space="preserve">proposed indications </w:t>
      </w:r>
      <w:r>
        <w:rPr>
          <w:rFonts w:eastAsiaTheme="minorHAnsi" w:cs="TimesNewRomanPSMT"/>
          <w:color w:val="000000"/>
        </w:rPr>
        <w:t xml:space="preserve">for </w:t>
      </w:r>
      <w:r w:rsidRPr="008A7F82">
        <w:rPr>
          <w:rFonts w:eastAsiaTheme="minorHAnsi" w:cs="TimesNewRomanPSMT"/>
          <w:color w:val="000000"/>
        </w:rPr>
        <w:t>QIV-HD</w:t>
      </w:r>
      <w:r>
        <w:rPr>
          <w:rFonts w:eastAsiaTheme="minorHAnsi" w:cs="TimesNewRomanPSMT"/>
          <w:color w:val="000000"/>
        </w:rPr>
        <w:t>.</w:t>
      </w:r>
    </w:p>
    <w:p w14:paraId="2A815846" w14:textId="77777777" w:rsidR="00EB0A9D" w:rsidRPr="00EB0A9D" w:rsidRDefault="00EB0A9D" w:rsidP="00EB0A9D">
      <w:r>
        <w:rPr>
          <w:rFonts w:cs="Arial Narrow"/>
          <w:color w:val="000000"/>
        </w:rPr>
        <w:t xml:space="preserve">The sponsor has responded stating the indications statement </w:t>
      </w:r>
      <w:r w:rsidRPr="00F065B3">
        <w:rPr>
          <w:rFonts w:cs="Arial Narrow"/>
          <w:color w:val="000000"/>
        </w:rPr>
        <w:t xml:space="preserve">is based on the large body of evidence generated with TIV-HD in RCT and post-licensure effectiveness studies. To date, these data have not been generated by any other influenza vaccines in a consistent manner and over many influenza seasons as TIV-HD has done. This additional data generated includes TIV-HD’s improved benefit over </w:t>
      </w:r>
      <w:r w:rsidR="007631B0">
        <w:rPr>
          <w:rFonts w:cs="Arial Narrow"/>
          <w:color w:val="000000"/>
        </w:rPr>
        <w:t>TIV-</w:t>
      </w:r>
      <w:r w:rsidRPr="00F065B3">
        <w:rPr>
          <w:rFonts w:cs="Arial Narrow"/>
          <w:color w:val="000000"/>
        </w:rPr>
        <w:t xml:space="preserve">SD influenza vaccines for a variety of important clinical endpoints such as hospitalisations due to ILI, pneumonia, cardio-respiratory events, all-cause deaths. Most of them were not available at the time of the TIV-HD submission in Australia. The sponsor has commented that ATAGI has evaluated the same data and </w:t>
      </w:r>
      <w:r>
        <w:rPr>
          <w:rFonts w:cs="Arial Narrow"/>
          <w:color w:val="000000"/>
        </w:rPr>
        <w:t xml:space="preserve">in </w:t>
      </w:r>
      <w:r w:rsidRPr="00A26619">
        <w:rPr>
          <w:rFonts w:cs="Arial Narrow"/>
          <w:color w:val="000000"/>
        </w:rPr>
        <w:t>pre-PBAC advice to the sponsor</w:t>
      </w:r>
      <w:r w:rsidRPr="00F065B3">
        <w:rPr>
          <w:rFonts w:cs="Arial Narrow"/>
          <w:color w:val="000000"/>
        </w:rPr>
        <w:t xml:space="preserve"> ATAGI state</w:t>
      </w:r>
      <w:r>
        <w:rPr>
          <w:rFonts w:cs="Arial Narrow"/>
          <w:color w:val="000000"/>
        </w:rPr>
        <w:t>d</w:t>
      </w:r>
      <w:r w:rsidRPr="00F065B3">
        <w:rPr>
          <w:rFonts w:cs="Arial Narrow"/>
          <w:color w:val="000000"/>
        </w:rPr>
        <w:t xml:space="preserve"> that there is evidence to support efficacy of TIV-HD against pneumonia. The sponsor also comments that the Fluad Quad PI contains a broad clinical efficacy statement.</w:t>
      </w:r>
    </w:p>
    <w:p w14:paraId="3F243C2A" w14:textId="77777777" w:rsidR="00D23139" w:rsidRDefault="00D23139" w:rsidP="00D23139">
      <w:pPr>
        <w:pStyle w:val="Heading4"/>
      </w:pPr>
      <w:r w:rsidRPr="00D23139">
        <w:t>Proposed action</w:t>
      </w:r>
    </w:p>
    <w:p w14:paraId="6C24DCB7" w14:textId="77777777" w:rsidR="002462C5" w:rsidRPr="002462C5" w:rsidRDefault="002462C5" w:rsidP="002462C5">
      <w:r>
        <w:t>The Delegate had no reason to say, at the</w:t>
      </w:r>
      <w:r w:rsidRPr="002462C5">
        <w:t xml:space="preserve"> time, that the a</w:t>
      </w:r>
      <w:r>
        <w:t>pplication for</w:t>
      </w:r>
      <w:r w:rsidR="007631B0">
        <w:t xml:space="preserve"> </w:t>
      </w:r>
      <w:r w:rsidR="007631B0" w:rsidRPr="002462C5">
        <w:t>Fluzone High-Dose</w:t>
      </w:r>
      <w:r w:rsidR="007631B0">
        <w:t xml:space="preserve"> Quadrivalent</w:t>
      </w:r>
      <w:r>
        <w:t xml:space="preserve"> inactivated high</w:t>
      </w:r>
      <w:r>
        <w:noBreakHyphen/>
      </w:r>
      <w:r w:rsidR="007631B0">
        <w:t>dose quad</w:t>
      </w:r>
      <w:r w:rsidRPr="002462C5">
        <w:t>rivalent in</w:t>
      </w:r>
      <w:r w:rsidR="007631B0">
        <w:t>fluenza vaccine (split virion),</w:t>
      </w:r>
      <w:r w:rsidRPr="002462C5">
        <w:t xml:space="preserve"> should not be approved for registration, subject to </w:t>
      </w:r>
      <w:r w:rsidR="009F3019">
        <w:t>Advisory Committee on Vaccines (</w:t>
      </w:r>
      <w:r w:rsidRPr="002462C5">
        <w:t>ACV</w:t>
      </w:r>
      <w:r w:rsidR="009F3019">
        <w:t>)</w:t>
      </w:r>
      <w:r w:rsidRPr="002462C5">
        <w:t xml:space="preserve"> advice on </w:t>
      </w:r>
      <w:r w:rsidR="007631B0">
        <w:t xml:space="preserve">the </w:t>
      </w:r>
      <w:r w:rsidRPr="002462C5">
        <w:t>indications.</w:t>
      </w:r>
    </w:p>
    <w:p w14:paraId="5D3440EE" w14:textId="77777777" w:rsidR="007D53B6" w:rsidRDefault="007D53B6" w:rsidP="007D53B6">
      <w:pPr>
        <w:pStyle w:val="Heading4"/>
      </w:pPr>
      <w:r>
        <w:t>Request for Advisory Committee on Vaccines advice</w:t>
      </w:r>
    </w:p>
    <w:p w14:paraId="077FEAA5" w14:textId="77777777" w:rsidR="00802AB7" w:rsidRDefault="00EB0A9D" w:rsidP="007631B0">
      <w:pPr>
        <w:rPr>
          <w:rFonts w:asciiTheme="minorHAnsi" w:hAnsiTheme="minorHAnsi"/>
        </w:rPr>
      </w:pPr>
      <w:r w:rsidRPr="00C80339">
        <w:rPr>
          <w:rFonts w:asciiTheme="minorHAnsi" w:hAnsiTheme="minorHAnsi"/>
        </w:rPr>
        <w:t>The committee is requested to provide advice on the following specific issues:</w:t>
      </w:r>
    </w:p>
    <w:p w14:paraId="31CD01AE" w14:textId="20C382DC" w:rsidR="00EB0A9D" w:rsidRPr="00802AB7" w:rsidRDefault="00EB0A9D" w:rsidP="00844094">
      <w:pPr>
        <w:pStyle w:val="Numberbullet0"/>
        <w:rPr>
          <w:rFonts w:asciiTheme="minorHAnsi" w:hAnsiTheme="minorHAnsi"/>
        </w:rPr>
      </w:pPr>
      <w:r w:rsidRPr="00802AB7">
        <w:t xml:space="preserve">Indications have not been resolved between the </w:t>
      </w:r>
      <w:r w:rsidR="007631B0" w:rsidRPr="00802AB7">
        <w:t>clinical evaluation report</w:t>
      </w:r>
      <w:r w:rsidRPr="00802AB7">
        <w:t xml:space="preserve"> and sponsor.</w:t>
      </w:r>
    </w:p>
    <w:p w14:paraId="20C63286" w14:textId="77777777" w:rsidR="00EB0A9D" w:rsidRDefault="00EB0A9D" w:rsidP="00802AB7">
      <w:pPr>
        <w:ind w:left="720"/>
      </w:pPr>
      <w:r>
        <w:t xml:space="preserve">The sponsor proposes the added wording </w:t>
      </w:r>
      <w:r w:rsidRPr="00EB0A9D">
        <w:rPr>
          <w:i/>
        </w:rPr>
        <w:t>‘associated complication of pneumonia-related hospitalisation’</w:t>
      </w:r>
      <w:r w:rsidRPr="00A26619">
        <w:t xml:space="preserve"> to the proposed indication based on the large body of evidence generated with TIV-HD in RCT and post-l</w:t>
      </w:r>
      <w:r>
        <w:t>icensure effectiveness studies.</w:t>
      </w:r>
    </w:p>
    <w:p w14:paraId="6E8D0F00" w14:textId="77777777" w:rsidR="007631B0" w:rsidRDefault="00EB0A9D" w:rsidP="00802AB7">
      <w:pPr>
        <w:ind w:left="720"/>
      </w:pPr>
      <w:r>
        <w:t>Does the ACV co</w:t>
      </w:r>
      <w:r w:rsidR="002462C5">
        <w:t>nsider the</w:t>
      </w:r>
      <w:r w:rsidR="007631B0">
        <w:t xml:space="preserve"> (following)</w:t>
      </w:r>
      <w:r w:rsidR="002462C5">
        <w:t xml:space="preserve"> proposed indications</w:t>
      </w:r>
      <w:r w:rsidR="007631B0">
        <w:t xml:space="preserve"> are adequately </w:t>
      </w:r>
      <w:r w:rsidR="00727C8A">
        <w:t>supported:</w:t>
      </w:r>
    </w:p>
    <w:p w14:paraId="3485686A" w14:textId="77777777" w:rsidR="00EB0A9D" w:rsidRPr="00EB0A9D" w:rsidRDefault="00EB0A9D" w:rsidP="00802AB7">
      <w:pPr>
        <w:ind w:left="1145"/>
      </w:pPr>
      <w:r w:rsidRPr="007631B0">
        <w:rPr>
          <w:i/>
        </w:rPr>
        <w:t>‘Fluzone High-Dose Quadrivalent is indicated for active immunisation for the prevention of influenza disease and the associated complication of pneumonia-related hospitalisation. Fluzone Quadrivalent High-Dose is indicated for use in persons 65 years of age and older. The use of Fluzone Quadrivalent High-Dose should be based on official recommendations’</w:t>
      </w:r>
    </w:p>
    <w:p w14:paraId="7D037642" w14:textId="4D72B9BE" w:rsidR="00EB0A9D" w:rsidRDefault="00EB0A9D" w:rsidP="00844094">
      <w:pPr>
        <w:pStyle w:val="Numberbullet0"/>
      </w:pPr>
      <w:r>
        <w:rPr>
          <w:color w:val="000000"/>
        </w:rPr>
        <w:t xml:space="preserve">Does </w:t>
      </w:r>
      <w:r w:rsidR="002462C5">
        <w:rPr>
          <w:color w:val="000000"/>
        </w:rPr>
        <w:t xml:space="preserve">the </w:t>
      </w:r>
      <w:r>
        <w:rPr>
          <w:color w:val="000000"/>
        </w:rPr>
        <w:t xml:space="preserve">ACV support inclusion of </w:t>
      </w:r>
      <w:r>
        <w:t xml:space="preserve">evidence </w:t>
      </w:r>
      <w:r w:rsidRPr="00A26619">
        <w:t>for prevention of complications associated with influenza for TIV-HD in section 5.1 (Clinical trials)</w:t>
      </w:r>
      <w:r>
        <w:t xml:space="preserve"> </w:t>
      </w:r>
      <w:r w:rsidRPr="00A26619">
        <w:t>of the draft PI</w:t>
      </w:r>
      <w:r>
        <w:t>?</w:t>
      </w:r>
      <w:r w:rsidRPr="00A26619">
        <w:t xml:space="preserve"> </w:t>
      </w:r>
    </w:p>
    <w:p w14:paraId="08DCB452" w14:textId="77777777" w:rsidR="007D53B6" w:rsidRPr="002462C5" w:rsidRDefault="00EB0A9D" w:rsidP="00802AB7">
      <w:pPr>
        <w:ind w:left="425"/>
      </w:pPr>
      <w:r w:rsidRPr="002462C5">
        <w:t>The committee is also requested to provide advice on any other issues that it thinks may be relevant to a decision on whether or not to approve this application.</w:t>
      </w:r>
    </w:p>
    <w:p w14:paraId="15FE6876" w14:textId="77777777" w:rsidR="008E7846" w:rsidRDefault="008E7846" w:rsidP="001F578A">
      <w:pPr>
        <w:pStyle w:val="Heading5"/>
      </w:pPr>
      <w:r>
        <w:lastRenderedPageBreak/>
        <w:t xml:space="preserve">Advisory Committee </w:t>
      </w:r>
      <w:r w:rsidR="007D53B6">
        <w:t>c</w:t>
      </w:r>
      <w:r>
        <w:t>onsiderations</w:t>
      </w:r>
      <w:r w:rsidR="00456765">
        <w:rPr>
          <w:rStyle w:val="FootnoteReference"/>
        </w:rPr>
        <w:footnoteReference w:id="27"/>
      </w:r>
    </w:p>
    <w:p w14:paraId="5BFA32F5" w14:textId="77777777" w:rsidR="008E7846" w:rsidRDefault="00456765" w:rsidP="008E7846">
      <w:pPr>
        <w:rPr>
          <w:bCs/>
        </w:rPr>
      </w:pPr>
      <w:r w:rsidRPr="00456765">
        <w:rPr>
          <w:bCs/>
        </w:rPr>
        <w:t>The</w:t>
      </w:r>
      <w:r w:rsidR="0060010B">
        <w:rPr>
          <w:bCs/>
        </w:rPr>
        <w:t xml:space="preserve"> Advisory Committee on Vaccines (ACV</w:t>
      </w:r>
      <w:r w:rsidRPr="00456765">
        <w:rPr>
          <w:bCs/>
        </w:rPr>
        <w:t>), having considered the evaluations and the Delegate’s overview, as well as the sponsor’s response to these documents, advised the following:</w:t>
      </w:r>
    </w:p>
    <w:p w14:paraId="2881D4C5" w14:textId="77777777" w:rsidR="00EC1EDB" w:rsidRPr="00EC1EDB" w:rsidRDefault="00EC1EDB" w:rsidP="00EC1EDB">
      <w:pPr>
        <w:rPr>
          <w:bCs/>
        </w:rPr>
      </w:pPr>
      <w:r w:rsidRPr="00EC1EDB">
        <w:rPr>
          <w:bCs/>
        </w:rPr>
        <w:t>The ACV considered the vaccine to have an overall positive benefit-risk profile for the indication:</w:t>
      </w:r>
    </w:p>
    <w:p w14:paraId="17CC5566" w14:textId="77777777" w:rsidR="00EC1EDB" w:rsidRPr="00EC1EDB" w:rsidRDefault="00EC1EDB" w:rsidP="00EC1EDB">
      <w:pPr>
        <w:ind w:left="720"/>
        <w:rPr>
          <w:bCs/>
          <w:i/>
        </w:rPr>
      </w:pPr>
      <w:r>
        <w:rPr>
          <w:bCs/>
          <w:i/>
        </w:rPr>
        <w:t>‘</w:t>
      </w:r>
      <w:r w:rsidRPr="00EC1EDB">
        <w:rPr>
          <w:bCs/>
          <w:i/>
        </w:rPr>
        <w:t>Fluzone High-Dose Quadrivalent is indicated for active immunisation for the prevention of influenza disease. Fluzone High-Dose Quadrivalent is indicated for use in persons 65 years of age and older. The use of Fluzone High-Dose Quadrivalent should be based on official recommendations.</w:t>
      </w:r>
      <w:r>
        <w:rPr>
          <w:bCs/>
          <w:i/>
        </w:rPr>
        <w:t>’</w:t>
      </w:r>
    </w:p>
    <w:p w14:paraId="14F4D6A4" w14:textId="77777777" w:rsidR="00EC1EDB" w:rsidRPr="00EC1EDB" w:rsidRDefault="00EC1EDB" w:rsidP="00EC1EDB">
      <w:pPr>
        <w:rPr>
          <w:bCs/>
        </w:rPr>
      </w:pPr>
      <w:r w:rsidRPr="00EC1EDB">
        <w:rPr>
          <w:bCs/>
        </w:rPr>
        <w:t>In providing this advice the ACV:</w:t>
      </w:r>
    </w:p>
    <w:p w14:paraId="0FDB07FB" w14:textId="3C1462E9" w:rsidR="00EC1EDB" w:rsidRPr="00EC1EDB" w:rsidRDefault="00EC1EDB" w:rsidP="00844094">
      <w:pPr>
        <w:pStyle w:val="ListBullet"/>
      </w:pPr>
      <w:r w:rsidRPr="00EC1EDB">
        <w:t>was of the view that vaccine efficacy was acceptable for persons 65 years and over</w:t>
      </w:r>
    </w:p>
    <w:p w14:paraId="60CDD6B6" w14:textId="44FEBAC6" w:rsidR="00EC1EDB" w:rsidRDefault="00EC1EDB" w:rsidP="00844094">
      <w:pPr>
        <w:pStyle w:val="ListBullet"/>
      </w:pPr>
      <w:r w:rsidRPr="00EC1EDB">
        <w:t>considered the safety profile was</w:t>
      </w:r>
      <w:r w:rsidR="00B62DC9">
        <w:t xml:space="preserve"> adequate</w:t>
      </w:r>
    </w:p>
    <w:p w14:paraId="2FD5ED0E" w14:textId="77777777" w:rsidR="00EC1EDB" w:rsidRDefault="00EC1EDB" w:rsidP="00EC1EDB">
      <w:pPr>
        <w:pStyle w:val="Heading5"/>
        <w:rPr>
          <w:rFonts w:eastAsiaTheme="minorHAnsi"/>
          <w:lang w:val="en-GB"/>
        </w:rPr>
      </w:pPr>
      <w:r w:rsidRPr="00EC1EDB">
        <w:rPr>
          <w:rFonts w:eastAsiaTheme="minorHAnsi"/>
        </w:rPr>
        <w:t>Specific</w:t>
      </w:r>
      <w:r w:rsidR="001F578A">
        <w:rPr>
          <w:rFonts w:eastAsiaTheme="minorHAnsi"/>
          <w:lang w:val="en-GB"/>
        </w:rPr>
        <w:t xml:space="preserve"> a</w:t>
      </w:r>
      <w:r>
        <w:rPr>
          <w:rFonts w:eastAsiaTheme="minorHAnsi"/>
          <w:lang w:val="en-GB"/>
        </w:rPr>
        <w:t>dvice</w:t>
      </w:r>
    </w:p>
    <w:p w14:paraId="3CF3ED0E" w14:textId="77777777" w:rsidR="00EC1EDB" w:rsidRDefault="00EC1EDB" w:rsidP="00EC1EDB">
      <w:pPr>
        <w:rPr>
          <w:lang w:val="en-GB"/>
        </w:rPr>
      </w:pPr>
      <w:r>
        <w:rPr>
          <w:lang w:val="en-GB"/>
        </w:rPr>
        <w:t>The ACV advised the following in response to the Delegate’s specific questions.</w:t>
      </w:r>
    </w:p>
    <w:p w14:paraId="51C88BC3" w14:textId="66DCF052" w:rsidR="00EC1EDB" w:rsidRPr="00802AB7" w:rsidRDefault="00EC1EDB" w:rsidP="00844094">
      <w:pPr>
        <w:pStyle w:val="Numberbullet0"/>
        <w:numPr>
          <w:ilvl w:val="0"/>
          <w:numId w:val="42"/>
        </w:numPr>
      </w:pPr>
      <w:r w:rsidRPr="00802AB7">
        <w:t>Does the ACV consider the (following) proposed indica</w:t>
      </w:r>
      <w:r w:rsidR="00802AB7">
        <w:t>tions are adequately supported?</w:t>
      </w:r>
    </w:p>
    <w:p w14:paraId="15A6AA1C" w14:textId="67EF163A" w:rsidR="00EC1EDB" w:rsidRPr="00802AB7" w:rsidRDefault="00EC1EDB" w:rsidP="00EC1EDB">
      <w:pPr>
        <w:ind w:left="425"/>
        <w:rPr>
          <w:b/>
          <w:i/>
        </w:rPr>
      </w:pPr>
      <w:r w:rsidRPr="00802AB7">
        <w:rPr>
          <w:b/>
          <w:i/>
        </w:rPr>
        <w:t>Fluzone High-Dose Quadrivalent is indicated for active immunisation for the prevention of influenza disease and the associated complication of pneumonia-related hospitalisation. Fluzone Quadrivalent High-Dose is indicated for use in persons 65 years of age and older. The use of Fluzone Quadrivalent High-Dose should be based on o</w:t>
      </w:r>
      <w:r w:rsidR="00802AB7">
        <w:rPr>
          <w:b/>
          <w:i/>
        </w:rPr>
        <w:t>fficial recommendations</w:t>
      </w:r>
    </w:p>
    <w:p w14:paraId="35D8A7B9" w14:textId="77777777" w:rsidR="00EC1EDB" w:rsidRPr="0019305A" w:rsidRDefault="00EC1EDB" w:rsidP="0019305A">
      <w:r w:rsidRPr="0019305A">
        <w:t>The ACV advised that prevention of pneumonia-related hospitalisation should not be included in the indication.</w:t>
      </w:r>
    </w:p>
    <w:p w14:paraId="53A73CD9" w14:textId="6C7F746C" w:rsidR="00EC1EDB" w:rsidRDefault="00EC1EDB" w:rsidP="00EC1EDB">
      <w:pPr>
        <w:autoSpaceDE w:val="0"/>
        <w:autoSpaceDN w:val="0"/>
        <w:adjustRightInd w:val="0"/>
        <w:spacing w:before="0" w:after="0" w:line="240" w:lineRule="auto"/>
        <w:rPr>
          <w:rFonts w:eastAsiaTheme="minorHAnsi" w:cs="Cambria"/>
          <w:lang w:val="en-GB"/>
        </w:rPr>
      </w:pPr>
      <w:r>
        <w:rPr>
          <w:rFonts w:eastAsiaTheme="minorHAnsi" w:cs="Cambria"/>
          <w:lang w:val="en-GB"/>
        </w:rPr>
        <w:t>The ACV noted the sponsor’s argument that the overall weight of evidence from randomised clinical trials, the Gravenstein</w:t>
      </w:r>
      <w:r w:rsidR="00E2247C">
        <w:rPr>
          <w:rFonts w:eastAsiaTheme="minorHAnsi" w:cs="Cambria"/>
          <w:lang w:val="en-GB"/>
        </w:rPr>
        <w:t xml:space="preserve"> et al. (2018)</w:t>
      </w:r>
      <w:r>
        <w:rPr>
          <w:rFonts w:eastAsiaTheme="minorHAnsi" w:cs="Cambria"/>
          <w:lang w:val="en-GB"/>
        </w:rPr>
        <w:t xml:space="preserve"> study in aged ca</w:t>
      </w:r>
      <w:r w:rsidR="0019305A">
        <w:rPr>
          <w:rFonts w:eastAsiaTheme="minorHAnsi" w:cs="Cambria"/>
          <w:lang w:val="en-GB"/>
        </w:rPr>
        <w:t>re faci</w:t>
      </w:r>
      <w:r w:rsidR="00E2247C">
        <w:rPr>
          <w:rFonts w:eastAsiaTheme="minorHAnsi" w:cs="Cambria"/>
          <w:lang w:val="en-GB"/>
        </w:rPr>
        <w:t>lities;</w:t>
      </w:r>
      <w:r w:rsidR="00E2247C" w:rsidRPr="00E2247C">
        <w:rPr>
          <w:rFonts w:eastAsiaTheme="minorHAnsi" w:cs="Cambria"/>
          <w:vertAlign w:val="superscript"/>
          <w:lang w:val="en-GB"/>
        </w:rPr>
        <w:fldChar w:fldCharType="begin"/>
      </w:r>
      <w:r w:rsidR="00E2247C" w:rsidRPr="00E2247C">
        <w:rPr>
          <w:rFonts w:eastAsiaTheme="minorHAnsi" w:cs="Cambria"/>
          <w:vertAlign w:val="superscript"/>
          <w:lang w:val="en-GB"/>
        </w:rPr>
        <w:instrText xml:space="preserve"> NOTEREF _Ref55016951 \h </w:instrText>
      </w:r>
      <w:r w:rsidR="00E2247C">
        <w:rPr>
          <w:rFonts w:eastAsiaTheme="minorHAnsi" w:cs="Cambria"/>
          <w:vertAlign w:val="superscript"/>
          <w:lang w:val="en-GB"/>
        </w:rPr>
        <w:instrText xml:space="preserve"> \* MERGEFORMAT </w:instrText>
      </w:r>
      <w:r w:rsidR="00E2247C" w:rsidRPr="00E2247C">
        <w:rPr>
          <w:rFonts w:eastAsiaTheme="minorHAnsi" w:cs="Cambria"/>
          <w:vertAlign w:val="superscript"/>
          <w:lang w:val="en-GB"/>
        </w:rPr>
      </w:r>
      <w:r w:rsidR="00E2247C" w:rsidRPr="00E2247C">
        <w:rPr>
          <w:rFonts w:eastAsiaTheme="minorHAnsi" w:cs="Cambria"/>
          <w:vertAlign w:val="superscript"/>
          <w:lang w:val="en-GB"/>
        </w:rPr>
        <w:fldChar w:fldCharType="separate"/>
      </w:r>
      <w:r w:rsidR="00DA143A">
        <w:rPr>
          <w:rFonts w:eastAsiaTheme="minorHAnsi" w:cs="Cambria"/>
          <w:vertAlign w:val="superscript"/>
          <w:lang w:val="en-GB"/>
        </w:rPr>
        <w:t>10</w:t>
      </w:r>
      <w:r w:rsidR="00E2247C" w:rsidRPr="00E2247C">
        <w:rPr>
          <w:rFonts w:eastAsiaTheme="minorHAnsi" w:cs="Cambria"/>
          <w:vertAlign w:val="superscript"/>
          <w:lang w:val="en-GB"/>
        </w:rPr>
        <w:fldChar w:fldCharType="end"/>
      </w:r>
      <w:r w:rsidR="0019305A">
        <w:rPr>
          <w:rFonts w:eastAsiaTheme="minorHAnsi" w:cs="Cambria"/>
          <w:lang w:val="en-GB"/>
        </w:rPr>
        <w:t xml:space="preserve"> and the Lee meta</w:t>
      </w:r>
      <w:r w:rsidR="0019305A">
        <w:rPr>
          <w:rFonts w:eastAsiaTheme="minorHAnsi" w:cs="Cambria"/>
          <w:lang w:val="en-GB"/>
        </w:rPr>
        <w:noBreakHyphen/>
      </w:r>
      <w:r>
        <w:rPr>
          <w:rFonts w:eastAsiaTheme="minorHAnsi" w:cs="Cambria"/>
          <w:lang w:val="en-GB"/>
        </w:rPr>
        <w:t>analysis</w:t>
      </w:r>
      <w:r w:rsidR="001F578A">
        <w:rPr>
          <w:rFonts w:eastAsiaTheme="minorHAnsi" w:cs="Cambria"/>
          <w:lang w:val="en-GB"/>
        </w:rPr>
        <w:t>;</w:t>
      </w:r>
      <w:r w:rsidR="001F578A">
        <w:rPr>
          <w:rStyle w:val="FootnoteReference"/>
          <w:rFonts w:eastAsiaTheme="minorHAnsi" w:cs="Cambria"/>
          <w:lang w:val="en-GB"/>
        </w:rPr>
        <w:footnoteReference w:id="28"/>
      </w:r>
      <w:r>
        <w:rPr>
          <w:rFonts w:eastAsiaTheme="minorHAnsi" w:cs="Cambria"/>
          <w:lang w:val="en-GB"/>
        </w:rPr>
        <w:t xml:space="preserve"> showed an incremental reduction in pneumonia-related hospitalisations in TIV-HD recipients compared to persons receiving standard dose vaccines. </w:t>
      </w:r>
      <w:r w:rsidRPr="0019305A">
        <w:t xml:space="preserve">Other important clinical endpoints such as hospitalisations due to </w:t>
      </w:r>
      <w:r w:rsidR="0019305A">
        <w:t>ILI</w:t>
      </w:r>
      <w:r w:rsidRPr="0019305A">
        <w:t>, pneumonia, cardiorespiratory events, and allcause deaths were also considered in some studies. The protective effect appeared greater in A/H3N2-dominant seasons.</w:t>
      </w:r>
    </w:p>
    <w:p w14:paraId="51D6261A" w14:textId="77777777" w:rsidR="00EC1EDB" w:rsidRPr="0019305A" w:rsidRDefault="00EC1EDB" w:rsidP="0019305A">
      <w:pPr>
        <w:rPr>
          <w:lang w:val="en-GB"/>
        </w:rPr>
      </w:pPr>
      <w:r>
        <w:rPr>
          <w:lang w:val="en-GB"/>
        </w:rPr>
        <w:t>The committee acknowledged that comparable data have not been generated for other influenza</w:t>
      </w:r>
      <w:r w:rsidR="0019305A">
        <w:rPr>
          <w:lang w:val="en-GB"/>
        </w:rPr>
        <w:t xml:space="preserve"> </w:t>
      </w:r>
      <w:r>
        <w:rPr>
          <w:rFonts w:eastAsiaTheme="minorHAnsi" w:cs="Cambria"/>
          <w:lang w:val="en-GB"/>
        </w:rPr>
        <w:t xml:space="preserve">vaccines in a consistent manner and over multiple influenza seasons as has been </w:t>
      </w:r>
      <w:r>
        <w:rPr>
          <w:rFonts w:eastAsiaTheme="minorHAnsi" w:cs="Cambria"/>
          <w:lang w:val="en-GB"/>
        </w:rPr>
        <w:lastRenderedPageBreak/>
        <w:t>done for</w:t>
      </w:r>
      <w:r w:rsidR="0019305A">
        <w:rPr>
          <w:lang w:val="en-GB"/>
        </w:rPr>
        <w:t xml:space="preserve"> </w:t>
      </w:r>
      <w:r>
        <w:rPr>
          <w:rFonts w:eastAsiaTheme="minorHAnsi" w:cs="Cambria"/>
          <w:lang w:val="en-GB"/>
        </w:rPr>
        <w:t>TIV-HD.</w:t>
      </w:r>
      <w:r w:rsidR="0019305A">
        <w:rPr>
          <w:lang w:val="en-GB"/>
        </w:rPr>
        <w:t xml:space="preserve"> </w:t>
      </w:r>
      <w:r>
        <w:rPr>
          <w:rFonts w:eastAsiaTheme="minorHAnsi" w:cs="Cambria"/>
          <w:lang w:val="en-GB"/>
        </w:rPr>
        <w:t>However, the committee also noted the following points, which did not allow it to support the</w:t>
      </w:r>
      <w:r w:rsidR="0019305A">
        <w:rPr>
          <w:lang w:val="en-GB"/>
        </w:rPr>
        <w:t xml:space="preserve"> </w:t>
      </w:r>
      <w:r>
        <w:rPr>
          <w:rFonts w:eastAsiaTheme="minorHAnsi" w:cs="Cambria"/>
          <w:lang w:val="en-GB"/>
        </w:rPr>
        <w:t>indication of prevention of pneumonia-related hospitalisation:</w:t>
      </w:r>
    </w:p>
    <w:p w14:paraId="1F80820C" w14:textId="77777777" w:rsidR="00EC1EDB" w:rsidRDefault="00EC1EDB" w:rsidP="00844094">
      <w:pPr>
        <w:pStyle w:val="ListBullet"/>
        <w:rPr>
          <w:lang w:val="en-GB"/>
        </w:rPr>
      </w:pPr>
      <w:r>
        <w:rPr>
          <w:lang w:val="en-GB"/>
        </w:rPr>
        <w:t>Effectiveness analyses were based on studies using TIV-HD and not QIV-HD</w:t>
      </w:r>
    </w:p>
    <w:p w14:paraId="2009CE98" w14:textId="77777777" w:rsidR="00EC1EDB" w:rsidRDefault="00EC1EDB" w:rsidP="00844094">
      <w:pPr>
        <w:pStyle w:val="ListBullet"/>
        <w:rPr>
          <w:lang w:val="en-GB"/>
        </w:rPr>
      </w:pPr>
      <w:r>
        <w:rPr>
          <w:lang w:val="en-GB"/>
        </w:rPr>
        <w:t>The approved indication in Australia for TIV-HD</w:t>
      </w:r>
      <w:r w:rsidR="0019305A">
        <w:rPr>
          <w:lang w:val="en-GB"/>
        </w:rPr>
        <w:t xml:space="preserve"> does not include prevention of </w:t>
      </w:r>
      <w:r>
        <w:rPr>
          <w:lang w:val="en-GB"/>
        </w:rPr>
        <w:t>pneumonia</w:t>
      </w:r>
      <w:r w:rsidR="0019305A">
        <w:rPr>
          <w:lang w:val="en-GB"/>
        </w:rPr>
        <w:t xml:space="preserve"> related </w:t>
      </w:r>
      <w:r>
        <w:rPr>
          <w:lang w:val="en-GB"/>
        </w:rPr>
        <w:t>hospitalisation</w:t>
      </w:r>
    </w:p>
    <w:p w14:paraId="33475498" w14:textId="77777777" w:rsidR="0019305A" w:rsidRDefault="00EC1EDB" w:rsidP="00844094">
      <w:pPr>
        <w:pStyle w:val="ListBullet"/>
        <w:rPr>
          <w:lang w:val="en-GB"/>
        </w:rPr>
      </w:pPr>
      <w:r>
        <w:rPr>
          <w:lang w:val="en-GB"/>
        </w:rPr>
        <w:t>There was uncertainty in the measured outcomes in the clinical studies and analysis:</w:t>
      </w:r>
    </w:p>
    <w:p w14:paraId="5285079C" w14:textId="77777777" w:rsidR="00EC1EDB" w:rsidRPr="0019305A" w:rsidRDefault="0019305A" w:rsidP="0019305A">
      <w:pPr>
        <w:pStyle w:val="ListBullet2"/>
        <w:rPr>
          <w:lang w:val="en-GB"/>
        </w:rPr>
      </w:pPr>
      <w:r>
        <w:rPr>
          <w:lang w:val="en-GB"/>
        </w:rPr>
        <w:t>f</w:t>
      </w:r>
      <w:r w:rsidR="00EC1EDB" w:rsidRPr="0019305A">
        <w:rPr>
          <w:lang w:val="en-GB"/>
        </w:rPr>
        <w:t>rom</w:t>
      </w:r>
      <w:r>
        <w:rPr>
          <w:lang w:val="en-GB"/>
        </w:rPr>
        <w:t xml:space="preserve"> Study</w:t>
      </w:r>
      <w:r w:rsidR="00EC1EDB" w:rsidRPr="0019305A">
        <w:rPr>
          <w:lang w:val="en-GB"/>
        </w:rPr>
        <w:t xml:space="preserve"> FIM12 </w:t>
      </w:r>
      <w:r>
        <w:rPr>
          <w:lang w:val="en-GB"/>
        </w:rPr>
        <w:t>(</w:t>
      </w:r>
      <w:r w:rsidR="00EC1EDB" w:rsidRPr="0019305A">
        <w:rPr>
          <w:lang w:val="en-GB"/>
        </w:rPr>
        <w:t>supplementary evaluation</w:t>
      </w:r>
      <w:r>
        <w:rPr>
          <w:lang w:val="en-GB"/>
        </w:rPr>
        <w:t>):</w:t>
      </w:r>
    </w:p>
    <w:p w14:paraId="5481D4F2" w14:textId="77777777" w:rsidR="00EC1EDB" w:rsidRPr="0019305A" w:rsidRDefault="00EC1EDB" w:rsidP="0019305A">
      <w:pPr>
        <w:pStyle w:val="ListBullet3"/>
        <w:rPr>
          <w:lang w:val="en-GB"/>
        </w:rPr>
      </w:pPr>
      <w:r>
        <w:rPr>
          <w:lang w:val="en-GB"/>
        </w:rPr>
        <w:t>the supplementary analysis reviewed s</w:t>
      </w:r>
      <w:r w:rsidR="0019305A">
        <w:rPr>
          <w:lang w:val="en-GB"/>
        </w:rPr>
        <w:t xml:space="preserve">erious pneumonia events but not </w:t>
      </w:r>
      <w:r w:rsidRPr="0019305A">
        <w:rPr>
          <w:lang w:val="en-GB"/>
        </w:rPr>
        <w:t>pneumonia-related hospitalisation</w:t>
      </w:r>
    </w:p>
    <w:p w14:paraId="13D329A0" w14:textId="77777777" w:rsidR="00EC1EDB" w:rsidRDefault="00EC1EDB" w:rsidP="00CB430A">
      <w:pPr>
        <w:pStyle w:val="ListBullet3"/>
        <w:rPr>
          <w:lang w:val="en-GB"/>
        </w:rPr>
      </w:pPr>
      <w:r>
        <w:rPr>
          <w:lang w:val="en-GB"/>
        </w:rPr>
        <w:t>the initial study was not powered to support the supplementary analysis</w:t>
      </w:r>
    </w:p>
    <w:p w14:paraId="26F08D35" w14:textId="77777777" w:rsidR="00EC1EDB" w:rsidRPr="00CB430A" w:rsidRDefault="00EC1EDB" w:rsidP="00CB430A">
      <w:pPr>
        <w:pStyle w:val="ListBullet3"/>
        <w:rPr>
          <w:lang w:val="en-GB"/>
        </w:rPr>
      </w:pPr>
      <w:r>
        <w:rPr>
          <w:lang w:val="en-GB"/>
        </w:rPr>
        <w:t>while the number of cases of pneumonia and ho</w:t>
      </w:r>
      <w:r w:rsidR="00CB430A">
        <w:rPr>
          <w:lang w:val="en-GB"/>
        </w:rPr>
        <w:t xml:space="preserve">spitalisations (all cause) were </w:t>
      </w:r>
      <w:r w:rsidRPr="00CB430A">
        <w:rPr>
          <w:lang w:val="en-GB"/>
        </w:rPr>
        <w:t>lower in the QIV-HD group, the differences were not st</w:t>
      </w:r>
      <w:r w:rsidR="00CB430A">
        <w:rPr>
          <w:lang w:val="en-GB"/>
        </w:rPr>
        <w:t xml:space="preserve">atistically significant and the </w:t>
      </w:r>
      <w:r w:rsidRPr="00CB430A">
        <w:rPr>
          <w:lang w:val="en-GB"/>
        </w:rPr>
        <w:t>confidence intervals were wide</w:t>
      </w:r>
    </w:p>
    <w:p w14:paraId="7565F8ED" w14:textId="77777777" w:rsidR="0019305A" w:rsidRDefault="00EC1EDB" w:rsidP="00CB430A">
      <w:pPr>
        <w:pStyle w:val="ListBullet3"/>
        <w:rPr>
          <w:lang w:val="en-GB"/>
        </w:rPr>
      </w:pPr>
      <w:r>
        <w:rPr>
          <w:lang w:val="en-GB"/>
        </w:rPr>
        <w:t>outcomes evaluated in the supplementary analy</w:t>
      </w:r>
      <w:r w:rsidR="0019305A">
        <w:rPr>
          <w:lang w:val="en-GB"/>
        </w:rPr>
        <w:t>sis were not influenza-specific</w:t>
      </w:r>
    </w:p>
    <w:p w14:paraId="640B91A9" w14:textId="77777777" w:rsidR="00EC1EDB" w:rsidRDefault="00EC1EDB" w:rsidP="00CB430A">
      <w:pPr>
        <w:pStyle w:val="ListBullet3"/>
        <w:rPr>
          <w:lang w:val="en-GB"/>
        </w:rPr>
      </w:pPr>
      <w:r>
        <w:rPr>
          <w:lang w:val="en-GB"/>
        </w:rPr>
        <w:t xml:space="preserve">most of the reductions in the TIV-HD group </w:t>
      </w:r>
      <w:r w:rsidR="00CB430A">
        <w:rPr>
          <w:lang w:val="en-GB"/>
        </w:rPr>
        <w:t xml:space="preserve">were observed in Year 2 with no </w:t>
      </w:r>
      <w:r>
        <w:rPr>
          <w:lang w:val="en-GB"/>
        </w:rPr>
        <w:t>significant differences observed in Year 1.</w:t>
      </w:r>
    </w:p>
    <w:p w14:paraId="2ADFDA16" w14:textId="77777777" w:rsidR="009F3019" w:rsidRDefault="00EC1EDB" w:rsidP="00CB430A">
      <w:pPr>
        <w:pStyle w:val="ListBullet2"/>
      </w:pPr>
      <w:r w:rsidRPr="00CB430A">
        <w:t>Gravenstein et al</w:t>
      </w:r>
      <w:r w:rsidR="00CB430A">
        <w:t>.,</w:t>
      </w:r>
      <w:r w:rsidRPr="00CB430A">
        <w:t xml:space="preserve"> reviewed hospital admissions related to and including pneumonia</w:t>
      </w:r>
      <w:r w:rsidR="00CB430A">
        <w:t xml:space="preserve"> </w:t>
      </w:r>
      <w:r w:rsidRPr="00CB430A">
        <w:t>based on ICD-9-coded medical insurance claims</w:t>
      </w:r>
      <w:r w:rsidR="009F3019">
        <w:t>; such data may not be precise.</w:t>
      </w:r>
    </w:p>
    <w:p w14:paraId="68BE41BA" w14:textId="77777777" w:rsidR="00CB430A" w:rsidRDefault="00EC1EDB" w:rsidP="00CB430A">
      <w:pPr>
        <w:pStyle w:val="ListBullet2"/>
      </w:pPr>
      <w:r w:rsidRPr="00CB430A">
        <w:t xml:space="preserve">In </w:t>
      </w:r>
      <w:r w:rsidR="00CB430A">
        <w:t xml:space="preserve">Study </w:t>
      </w:r>
      <w:r w:rsidRPr="00CB430A">
        <w:t>GRC75-EXT interpretation was limited by low event rates, greater than expected variability, and</w:t>
      </w:r>
      <w:r w:rsidR="00CB430A">
        <w:t xml:space="preserve"> </w:t>
      </w:r>
      <w:r w:rsidRPr="00CB430A">
        <w:t>lack of laboratory data from the study population to confirm influenza activity.</w:t>
      </w:r>
    </w:p>
    <w:p w14:paraId="65EC5E33" w14:textId="77777777" w:rsidR="00EC1EDB" w:rsidRPr="00CB430A" w:rsidRDefault="00EC1EDB" w:rsidP="00CB430A">
      <w:pPr>
        <w:pStyle w:val="ListBullet2"/>
      </w:pPr>
      <w:r w:rsidRPr="00CB430A">
        <w:t>In Young-Xu et al</w:t>
      </w:r>
      <w:r w:rsidR="00CB430A">
        <w:t>.</w:t>
      </w:r>
      <w:r w:rsidRPr="00CB430A">
        <w:t>, the prior event rate ratio-adjusted relative vaccine effectiveness (for</w:t>
      </w:r>
      <w:r w:rsidR="00CB430A">
        <w:t xml:space="preserve"> high dose versus standard dose) was 25% (95% CI 2%, </w:t>
      </w:r>
      <w:r w:rsidRPr="00CB430A">
        <w:t>43%) against influenza- or pneumonia-associated</w:t>
      </w:r>
      <w:r w:rsidR="00CB430A">
        <w:t xml:space="preserve"> </w:t>
      </w:r>
      <w:r w:rsidRPr="00CB430A">
        <w:t>hospitalisation. As well as the wide 95% CI, the study wa</w:t>
      </w:r>
      <w:r w:rsidR="00CB430A" w:rsidRPr="00CB430A">
        <w:t xml:space="preserve">s not restricted to periods of </w:t>
      </w:r>
      <w:r w:rsidRPr="00CB430A">
        <w:t>peak influenza activity.</w:t>
      </w:r>
    </w:p>
    <w:p w14:paraId="37E6BE5E" w14:textId="77777777" w:rsidR="00EC1EDB" w:rsidRDefault="00EC1EDB" w:rsidP="00CB430A">
      <w:pPr>
        <w:rPr>
          <w:lang w:val="en-GB"/>
        </w:rPr>
      </w:pPr>
      <w:r>
        <w:rPr>
          <w:lang w:val="en-GB"/>
        </w:rPr>
        <w:t>The ACV viewed the similarity of relative efficacy of the vaccine</w:t>
      </w:r>
      <w:r w:rsidR="00CB430A">
        <w:rPr>
          <w:lang w:val="en-GB"/>
        </w:rPr>
        <w:t xml:space="preserve"> in the prevention of influenza </w:t>
      </w:r>
      <w:r>
        <w:rPr>
          <w:lang w:val="en-GB"/>
        </w:rPr>
        <w:t xml:space="preserve">(35.3%; 95% CI 12.4%-52.5%) to the reduction </w:t>
      </w:r>
      <w:r w:rsidR="00CB430A">
        <w:rPr>
          <w:lang w:val="en-GB"/>
        </w:rPr>
        <w:t>in serious pneumonia events (relative vaccine effectiveness</w:t>
      </w:r>
      <w:r>
        <w:rPr>
          <w:lang w:val="en-GB"/>
        </w:rPr>
        <w:t xml:space="preserve"> 39.8%; 95% CI 19.3%</w:t>
      </w:r>
      <w:r w:rsidR="00CB430A">
        <w:rPr>
          <w:lang w:val="en-GB"/>
        </w:rPr>
        <w:t xml:space="preserve">, </w:t>
      </w:r>
      <w:r>
        <w:rPr>
          <w:lang w:val="en-GB"/>
        </w:rPr>
        <w:t>55.1%) as implausible, as pneumonia events were unli</w:t>
      </w:r>
      <w:r w:rsidR="00CB430A">
        <w:rPr>
          <w:lang w:val="en-GB"/>
        </w:rPr>
        <w:t xml:space="preserve">kely to have all been caused by </w:t>
      </w:r>
      <w:r>
        <w:rPr>
          <w:lang w:val="en-GB"/>
        </w:rPr>
        <w:t>influenza.</w:t>
      </w:r>
    </w:p>
    <w:p w14:paraId="2A21EEF2" w14:textId="77777777" w:rsidR="00EC1EDB" w:rsidRDefault="00EC1EDB" w:rsidP="00CB430A">
      <w:pPr>
        <w:rPr>
          <w:lang w:val="en-GB"/>
        </w:rPr>
      </w:pPr>
      <w:r>
        <w:rPr>
          <w:lang w:val="en-GB"/>
        </w:rPr>
        <w:t>The committee did not agree with the sponsor’s analogy betw</w:t>
      </w:r>
      <w:r w:rsidR="00CB430A">
        <w:rPr>
          <w:lang w:val="en-GB"/>
        </w:rPr>
        <w:t xml:space="preserve">een the proposed indication for </w:t>
      </w:r>
      <w:r>
        <w:rPr>
          <w:lang w:val="en-GB"/>
        </w:rPr>
        <w:t>QIV-HD and the approved indication for Zostavax. The protocol for the pivotal</w:t>
      </w:r>
      <w:r w:rsidR="00CB430A">
        <w:rPr>
          <w:lang w:val="en-GB"/>
        </w:rPr>
        <w:t xml:space="preserve"> study;</w:t>
      </w:r>
      <w:r w:rsidR="00CB430A">
        <w:rPr>
          <w:rStyle w:val="FootnoteReference"/>
          <w:rFonts w:eastAsiaTheme="minorHAnsi" w:cs="Cambria"/>
          <w:lang w:val="en-GB"/>
        </w:rPr>
        <w:footnoteReference w:id="29"/>
      </w:r>
      <w:r>
        <w:rPr>
          <w:sz w:val="14"/>
          <w:szCs w:val="14"/>
          <w:lang w:val="en-GB"/>
        </w:rPr>
        <w:t xml:space="preserve"> </w:t>
      </w:r>
      <w:r w:rsidR="00CB430A">
        <w:rPr>
          <w:lang w:val="en-GB"/>
        </w:rPr>
        <w:t xml:space="preserve">for </w:t>
      </w:r>
      <w:r>
        <w:rPr>
          <w:lang w:val="en-GB"/>
        </w:rPr>
        <w:t>Zostavax included the incidence of postherpetic neuralgia as a s</w:t>
      </w:r>
      <w:r w:rsidR="00CB430A">
        <w:rPr>
          <w:lang w:val="en-GB"/>
        </w:rPr>
        <w:t xml:space="preserve">econdary end point, rather than </w:t>
      </w:r>
      <w:r>
        <w:rPr>
          <w:lang w:val="en-GB"/>
        </w:rPr>
        <w:t>as a post-hoc analysis of an initial study not powered to support</w:t>
      </w:r>
      <w:r w:rsidR="00CB430A">
        <w:rPr>
          <w:lang w:val="en-GB"/>
        </w:rPr>
        <w:t xml:space="preserve"> such an analysis. In addition, </w:t>
      </w:r>
      <w:r>
        <w:rPr>
          <w:lang w:val="en-GB"/>
        </w:rPr>
        <w:t>the postherpetic neuralgia complication can relate only to</w:t>
      </w:r>
      <w:r w:rsidR="00CB430A">
        <w:rPr>
          <w:lang w:val="en-GB"/>
        </w:rPr>
        <w:t xml:space="preserve"> herpes zoster disease, whereas </w:t>
      </w:r>
      <w:r>
        <w:rPr>
          <w:lang w:val="en-GB"/>
        </w:rPr>
        <w:t>‘pneumonia-related hospitalisation’ encompasses a range of</w:t>
      </w:r>
      <w:r w:rsidR="00CB430A">
        <w:rPr>
          <w:lang w:val="en-GB"/>
        </w:rPr>
        <w:t xml:space="preserve"> conditions including non-viral </w:t>
      </w:r>
      <w:r>
        <w:rPr>
          <w:lang w:val="en-GB"/>
        </w:rPr>
        <w:t>causes.</w:t>
      </w:r>
    </w:p>
    <w:p w14:paraId="72D888BC" w14:textId="77777777" w:rsidR="00CB430A" w:rsidRPr="00802AB7" w:rsidRDefault="00CB430A" w:rsidP="00844094">
      <w:pPr>
        <w:pStyle w:val="Numberbullet0"/>
        <w:rPr>
          <w:lang w:val="en-GB"/>
        </w:rPr>
      </w:pPr>
      <w:r w:rsidRPr="00802AB7">
        <w:rPr>
          <w:color w:val="000000"/>
        </w:rPr>
        <w:t xml:space="preserve">Does the ACV support inclusion of </w:t>
      </w:r>
      <w:r w:rsidRPr="00802AB7">
        <w:t>evidence for prevention of complications associated with influenza for TIV-HD in section 5.1 (Clinical trials) of the draft PI?</w:t>
      </w:r>
    </w:p>
    <w:p w14:paraId="780297CB" w14:textId="77777777" w:rsidR="00CB430A" w:rsidRDefault="00CB430A" w:rsidP="00CB430A">
      <w:r>
        <w:t xml:space="preserve">The ACV supported the inclusion of evidence for prevention of complications associated with influenza for TIV-HD in section 5.1 (Clinical trials) of the PI for Fluzone High-Dose Quadrivalent. Limitations of the study data should be presented. The lack of data on </w:t>
      </w:r>
      <w:r>
        <w:lastRenderedPageBreak/>
        <w:t>clinical efficacy on the prevention of complications associated with influenza for QIV-HD should be acknowledged.</w:t>
      </w:r>
    </w:p>
    <w:p w14:paraId="16863E8F" w14:textId="77777777" w:rsidR="00CB430A" w:rsidRDefault="00CB430A" w:rsidP="00CB430A">
      <w:r>
        <w:t>The ACV advised that the related wording in the CMI, if any, should be suitable to the consumer group.</w:t>
      </w:r>
    </w:p>
    <w:p w14:paraId="371AB882" w14:textId="77777777" w:rsidR="00CB430A" w:rsidRDefault="00CB430A" w:rsidP="00CB430A">
      <w:r>
        <w:t>The committee noted the sponsor’s view that the PI for a competitor product, Fluad Quad, contains a broad clinical efficacy statement.</w:t>
      </w:r>
      <w:r>
        <w:rPr>
          <w:rStyle w:val="FootnoteReference"/>
        </w:rPr>
        <w:footnoteReference w:id="30"/>
      </w:r>
    </w:p>
    <w:p w14:paraId="172534C9" w14:textId="77777777" w:rsidR="00CB430A" w:rsidRPr="00802AB7" w:rsidRDefault="00CB430A" w:rsidP="00844094">
      <w:pPr>
        <w:pStyle w:val="Numberbullet0"/>
      </w:pPr>
      <w:r w:rsidRPr="00802AB7">
        <w:t>Any other issues relevant to a decision on whether to approve the application?</w:t>
      </w:r>
    </w:p>
    <w:p w14:paraId="0966C988" w14:textId="77777777" w:rsidR="00CB430A" w:rsidRPr="00CB430A" w:rsidRDefault="00CB430A" w:rsidP="00CB430A">
      <w:r>
        <w:t>The ACV advised that the vaccine’s labelling should clearly identify the age group of patients, to avoid errors in administration. This applies to all influenza vaccines.</w:t>
      </w:r>
    </w:p>
    <w:p w14:paraId="474E16F6" w14:textId="77777777" w:rsidR="008E7846" w:rsidRPr="002E238E" w:rsidRDefault="008E7846" w:rsidP="008E7846">
      <w:pPr>
        <w:pStyle w:val="Heading3"/>
      </w:pPr>
      <w:bookmarkStart w:id="59" w:name="_Toc247691532"/>
      <w:bookmarkStart w:id="60" w:name="_Toc314842516"/>
      <w:bookmarkStart w:id="61" w:name="_Toc57824923"/>
      <w:bookmarkEnd w:id="32"/>
      <w:bookmarkEnd w:id="56"/>
      <w:bookmarkEnd w:id="57"/>
      <w:r>
        <w:t>Outcome</w:t>
      </w:r>
      <w:bookmarkEnd w:id="59"/>
      <w:bookmarkEnd w:id="60"/>
      <w:bookmarkEnd w:id="61"/>
    </w:p>
    <w:p w14:paraId="19D3A9D2" w14:textId="77777777" w:rsidR="007D53B6" w:rsidRDefault="007D53B6" w:rsidP="007D53B6">
      <w:bookmarkStart w:id="62" w:name="_Toc247691533"/>
      <w:bookmarkStart w:id="63" w:name="_Toc314842517"/>
      <w:r>
        <w:t xml:space="preserve">Based on a review of quality, safety and efficacy, </w:t>
      </w:r>
      <w:r w:rsidR="00465EFF">
        <w:t xml:space="preserve">the </w:t>
      </w:r>
      <w:r>
        <w:t xml:space="preserve">TGA approved the registration of </w:t>
      </w:r>
      <w:r w:rsidR="00465EFF">
        <w:t>Fluzone </w:t>
      </w:r>
      <w:r w:rsidR="00465EFF" w:rsidRPr="002462C5">
        <w:t>High-Dose</w:t>
      </w:r>
      <w:r w:rsidR="00465EFF">
        <w:t xml:space="preserve"> Quadrivalent inactivated high</w:t>
      </w:r>
      <w:r w:rsidR="00465EFF">
        <w:noBreakHyphen/>
        <w:t>dose quad</w:t>
      </w:r>
      <w:r w:rsidR="00465EFF" w:rsidRPr="002462C5">
        <w:t>rivalent in</w:t>
      </w:r>
      <w:r w:rsidR="00465EFF">
        <w:t xml:space="preserve">fluenza vaccine (split virion) </w:t>
      </w:r>
      <w:r w:rsidR="00E650A1">
        <w:t xml:space="preserve">0.7 mL </w:t>
      </w:r>
      <w:r w:rsidR="00465EFF">
        <w:t>pre-filled syringe containing</w:t>
      </w:r>
      <w:r>
        <w:t xml:space="preserve"> </w:t>
      </w:r>
      <w:r w:rsidR="00465EFF" w:rsidRPr="00C948E0">
        <w:t>240 µg</w:t>
      </w:r>
      <w:r w:rsidR="00E650A1">
        <w:t xml:space="preserve"> i</w:t>
      </w:r>
      <w:r w:rsidR="00E650A1" w:rsidRPr="00FD4C0D">
        <w:t xml:space="preserve">nactivated </w:t>
      </w:r>
      <w:r w:rsidR="00E650A1">
        <w:t>(split v</w:t>
      </w:r>
      <w:r w:rsidR="00E650A1" w:rsidRPr="00FD4C0D">
        <w:t>irion)</w:t>
      </w:r>
      <w:r w:rsidR="00E650A1">
        <w:t xml:space="preserve"> influenza virus haemagglutinin via intramuscular injection,</w:t>
      </w:r>
      <w:r>
        <w:t xml:space="preserve"> indicated f</w:t>
      </w:r>
      <w:r w:rsidR="00465EFF">
        <w:t>or:</w:t>
      </w:r>
    </w:p>
    <w:p w14:paraId="68269795" w14:textId="77777777" w:rsidR="00465EFF" w:rsidRPr="008841C2" w:rsidRDefault="00465EFF" w:rsidP="00465EFF">
      <w:pPr>
        <w:ind w:left="720"/>
        <w:rPr>
          <w:rFonts w:eastAsia="MS Mincho"/>
          <w:i/>
          <w:lang w:eastAsia="ja-JP"/>
        </w:rPr>
      </w:pPr>
      <w:r w:rsidRPr="008841C2">
        <w:rPr>
          <w:rFonts w:eastAsia="MS Mincho"/>
          <w:i/>
          <w:lang w:eastAsia="ja-JP"/>
        </w:rPr>
        <w:t>Fluzone High-Dose Quadrivalent is indicated for active immunisation for the prevention of influenza disease. Fluzone High-Dose Quadrivalent is indicated for use in persons 65 years of age and older.</w:t>
      </w:r>
    </w:p>
    <w:p w14:paraId="2B92151C" w14:textId="77777777" w:rsidR="00465EFF" w:rsidRPr="008841C2" w:rsidRDefault="00465EFF" w:rsidP="00465EFF">
      <w:pPr>
        <w:ind w:left="720"/>
        <w:rPr>
          <w:rFonts w:eastAsia="MS Mincho"/>
          <w:i/>
          <w:lang w:eastAsia="ja-JP"/>
        </w:rPr>
      </w:pPr>
      <w:r w:rsidRPr="008841C2">
        <w:rPr>
          <w:rFonts w:eastAsia="MS Mincho"/>
          <w:i/>
          <w:lang w:eastAsia="ja-JP"/>
        </w:rPr>
        <w:t>The use of Fluzone High-Dose Quadrivalent should be based on official recommendations.</w:t>
      </w:r>
    </w:p>
    <w:p w14:paraId="1E408ED1" w14:textId="77777777" w:rsidR="00D23139" w:rsidRPr="00D23139" w:rsidRDefault="00465EFF" w:rsidP="00E650A1">
      <w:pPr>
        <w:ind w:left="720"/>
      </w:pPr>
      <w:r w:rsidRPr="008841C2">
        <w:rPr>
          <w:rFonts w:eastAsia="MS Mincho"/>
          <w:i/>
          <w:lang w:eastAsia="ja-JP"/>
        </w:rPr>
        <w:t>See Section 5.1 Clinical Trials for information on the effects on influenza associated complications.</w:t>
      </w:r>
    </w:p>
    <w:p w14:paraId="2DB3B1E2" w14:textId="77777777" w:rsidR="00D23139" w:rsidRDefault="00D23139" w:rsidP="00D23139">
      <w:pPr>
        <w:pStyle w:val="Heading4"/>
      </w:pPr>
      <w:r w:rsidRPr="00D23139">
        <w:t>Specific conditions of registration applying to these goods</w:t>
      </w:r>
    </w:p>
    <w:p w14:paraId="375D1E5A" w14:textId="1603915A" w:rsidR="00A2144F" w:rsidRPr="006C7101" w:rsidRDefault="009B1224" w:rsidP="00844094">
      <w:pPr>
        <w:pStyle w:val="ListBullet"/>
      </w:pPr>
      <w:r w:rsidRPr="006C7101">
        <w:t xml:space="preserve">The </w:t>
      </w:r>
      <w:r>
        <w:t>additional requested quality</w:t>
      </w:r>
      <w:r w:rsidRPr="006C7101">
        <w:t xml:space="preserve"> data should be provided prior to the lodgement of the Annual</w:t>
      </w:r>
      <w:r w:rsidRPr="006C7101">
        <w:rPr>
          <w:bCs/>
        </w:rPr>
        <w:t xml:space="preserve"> </w:t>
      </w:r>
      <w:r w:rsidRPr="006C7101">
        <w:t xml:space="preserve">strain Update for the </w:t>
      </w:r>
      <w:r>
        <w:t>Southern Hemisphere (</w:t>
      </w:r>
      <w:r w:rsidRPr="006C7101">
        <w:t>SH</w:t>
      </w:r>
      <w:r>
        <w:t>)</w:t>
      </w:r>
      <w:r w:rsidRPr="006C7101">
        <w:t xml:space="preserve"> 2021 Influenza season</w:t>
      </w:r>
      <w:r>
        <w:t>.</w:t>
      </w:r>
    </w:p>
    <w:p w14:paraId="2AEBD7DC" w14:textId="77777777" w:rsidR="007A2FD9" w:rsidRDefault="00A2144F" w:rsidP="00844094">
      <w:pPr>
        <w:pStyle w:val="ListBullet"/>
      </w:pPr>
      <w:r w:rsidRPr="00C609A2">
        <w:t>The Fluzone High-Dose QIV EU-Risk Management Plan (RMP) (version 1.0, dated 20</w:t>
      </w:r>
      <w:r>
        <w:t> </w:t>
      </w:r>
      <w:r w:rsidRPr="00C609A2">
        <w:t>March 2019, data lock point 15 September 2018),</w:t>
      </w:r>
      <w:r>
        <w:t xml:space="preserve"> with Australian Specific Annex </w:t>
      </w:r>
      <w:r w:rsidRPr="00C609A2">
        <w:t>(version 1.0, dated 31 July 2019), included with su</w:t>
      </w:r>
      <w:r>
        <w:t xml:space="preserve">bmission PM-2019-03202-1-2, and </w:t>
      </w:r>
      <w:r w:rsidRPr="00C609A2">
        <w:t>any subsequent revisions, as agreed with the TGA will be implemented in Australia.</w:t>
      </w:r>
    </w:p>
    <w:p w14:paraId="25221A65" w14:textId="152541FD" w:rsidR="00A2144F" w:rsidRDefault="007A2FD9" w:rsidP="00844094">
      <w:pPr>
        <w:pStyle w:val="ListBullet"/>
      </w:pPr>
      <w:r w:rsidRPr="00C609A2">
        <w:t>The sponsor must conduct an enhanced safety surveillance study in Australia, if</w:t>
      </w:r>
      <w:r>
        <w:t xml:space="preserve"> </w:t>
      </w:r>
      <w:r w:rsidRPr="00C609A2">
        <w:t xml:space="preserve">requested by </w:t>
      </w:r>
      <w:r>
        <w:t xml:space="preserve">the </w:t>
      </w:r>
      <w:r w:rsidRPr="00C609A2">
        <w:t>TGA. A protocol for the proposed study w</w:t>
      </w:r>
      <w:r>
        <w:t xml:space="preserve">ill be required to be submitted </w:t>
      </w:r>
      <w:r w:rsidRPr="00C609A2">
        <w:t>with the annual strain update variation, if there is ina</w:t>
      </w:r>
      <w:r>
        <w:t xml:space="preserve">dequate post-market safety data </w:t>
      </w:r>
      <w:r w:rsidRPr="00C609A2">
        <w:t>to demonstrate that the reactogenicity of that seaso</w:t>
      </w:r>
      <w:r>
        <w:t xml:space="preserve">n’s vaccine has been adequately </w:t>
      </w:r>
      <w:r w:rsidRPr="00C609A2">
        <w:t>characterised and the vaccine is not supplied on the N</w:t>
      </w:r>
      <w:r>
        <w:t xml:space="preserve">ational Immunisation Program in </w:t>
      </w:r>
      <w:r w:rsidRPr="00C609A2">
        <w:t>that season.</w:t>
      </w:r>
    </w:p>
    <w:p w14:paraId="75F75733" w14:textId="77777777" w:rsidR="00777E34" w:rsidRPr="00777E34" w:rsidRDefault="00777E34" w:rsidP="00844094">
      <w:pPr>
        <w:pStyle w:val="ListBullet"/>
      </w:pPr>
      <w:r w:rsidRPr="00777E34">
        <w:t>Batch release testing and compliance with the Certified Product Details</w:t>
      </w:r>
      <w:r w:rsidRPr="00777E34">
        <w:rPr>
          <w:bCs/>
        </w:rPr>
        <w:t xml:space="preserve"> </w:t>
      </w:r>
      <w:r w:rsidRPr="00777E34">
        <w:t>conditions of registration for Fluzone Quadrivalent</w:t>
      </w:r>
    </w:p>
    <w:p w14:paraId="2CD93D7C" w14:textId="77777777" w:rsidR="00777E34" w:rsidRPr="00E63392" w:rsidRDefault="00777E34" w:rsidP="00844094">
      <w:pPr>
        <w:pStyle w:val="ListBullet"/>
        <w:numPr>
          <w:ilvl w:val="0"/>
          <w:numId w:val="0"/>
        </w:numPr>
        <w:ind w:left="360"/>
      </w:pPr>
      <w:r w:rsidRPr="00E63392">
        <w:t>It is a condition of registration that all independent batches of Fluzone Quad</w:t>
      </w:r>
      <w:r>
        <w:rPr>
          <w:bCs/>
        </w:rPr>
        <w:t xml:space="preserve"> </w:t>
      </w:r>
      <w:r w:rsidRPr="00E63392">
        <w:t>imported into Australia are not released for sale until samples and the manufacturer’s</w:t>
      </w:r>
      <w:r>
        <w:rPr>
          <w:bCs/>
        </w:rPr>
        <w:t xml:space="preserve"> </w:t>
      </w:r>
      <w:r w:rsidRPr="00E63392">
        <w:t xml:space="preserve">release data have been assessed and </w:t>
      </w:r>
      <w:r>
        <w:t>the sponsor has</w:t>
      </w:r>
      <w:r w:rsidRPr="00E63392">
        <w:t xml:space="preserve"> received notification acknowledging</w:t>
      </w:r>
      <w:r>
        <w:rPr>
          <w:bCs/>
        </w:rPr>
        <w:t xml:space="preserve"> </w:t>
      </w:r>
      <w:r w:rsidRPr="00E63392">
        <w:t>release from the Laboratories Branch, TGA.</w:t>
      </w:r>
    </w:p>
    <w:p w14:paraId="2BBA8CC5" w14:textId="77777777" w:rsidR="00777E34" w:rsidRDefault="00777E34" w:rsidP="00844094">
      <w:pPr>
        <w:pStyle w:val="ListBullet"/>
        <w:numPr>
          <w:ilvl w:val="0"/>
          <w:numId w:val="0"/>
        </w:numPr>
        <w:ind w:left="360"/>
      </w:pPr>
      <w:r w:rsidRPr="00E63392">
        <w:lastRenderedPageBreak/>
        <w:t xml:space="preserve">For each independent batch of the product imported into Australia, the </w:t>
      </w:r>
      <w:r>
        <w:t>s</w:t>
      </w:r>
      <w:r w:rsidRPr="00E63392">
        <w:t>ponsor must</w:t>
      </w:r>
      <w:r>
        <w:rPr>
          <w:bCs/>
        </w:rPr>
        <w:t xml:space="preserve"> </w:t>
      </w:r>
      <w:r w:rsidRPr="00E63392">
        <w:t>supply the following:</w:t>
      </w:r>
      <w:r>
        <w:t xml:space="preserve"> </w:t>
      </w:r>
    </w:p>
    <w:p w14:paraId="37BC1CDA" w14:textId="59AF0E0A" w:rsidR="00777E34" w:rsidRPr="00E63392" w:rsidRDefault="00777E34" w:rsidP="00777E34">
      <w:pPr>
        <w:pStyle w:val="ListBullet2"/>
      </w:pPr>
      <w:r w:rsidRPr="00E63392">
        <w:t>A completed Request for Release Form, available from</w:t>
      </w:r>
      <w:r>
        <w:rPr>
          <w:bCs/>
        </w:rPr>
        <w:t xml:space="preserve"> </w:t>
      </w:r>
      <w:r w:rsidRPr="00E63392">
        <w:t>vaccines@health.gov.au.</w:t>
      </w:r>
    </w:p>
    <w:p w14:paraId="46AB960F" w14:textId="77777777" w:rsidR="00777E34" w:rsidRPr="00E63392" w:rsidRDefault="00777E34" w:rsidP="00777E34">
      <w:pPr>
        <w:pStyle w:val="ListBullet2"/>
      </w:pPr>
      <w:r w:rsidRPr="00E63392">
        <w:t>Complete summary protocols for manufacture and QC, including all steps in</w:t>
      </w:r>
      <w:r>
        <w:rPr>
          <w:bCs/>
        </w:rPr>
        <w:t xml:space="preserve"> </w:t>
      </w:r>
      <w:r w:rsidRPr="00E63392">
        <w:t>production.</w:t>
      </w:r>
    </w:p>
    <w:p w14:paraId="3FA8A680" w14:textId="77777777" w:rsidR="00777E34" w:rsidRPr="00E63392" w:rsidRDefault="00777E34" w:rsidP="00777E34">
      <w:pPr>
        <w:pStyle w:val="ListBullet2"/>
      </w:pPr>
      <w:r w:rsidRPr="00E63392">
        <w:t>At least 20 (twenty) doses of the first consignment of each batch of Fluzone</w:t>
      </w:r>
      <w:r>
        <w:rPr>
          <w:bCs/>
        </w:rPr>
        <w:t xml:space="preserve"> </w:t>
      </w:r>
      <w:r w:rsidRPr="00E63392">
        <w:t>Quadrivalent with the Australian approved labels, PI and packaging</w:t>
      </w:r>
    </w:p>
    <w:p w14:paraId="4408494D" w14:textId="77777777" w:rsidR="00777E34" w:rsidRPr="00E63392" w:rsidRDefault="00777E34" w:rsidP="00777E34">
      <w:pPr>
        <w:pStyle w:val="ListBullet2"/>
      </w:pPr>
      <w:r w:rsidRPr="00E63392">
        <w:t>At least 10 (ten) doses of any further consignment of each batch of Fluzone</w:t>
      </w:r>
      <w:r>
        <w:rPr>
          <w:bCs/>
        </w:rPr>
        <w:t xml:space="preserve"> </w:t>
      </w:r>
      <w:r w:rsidRPr="00E63392">
        <w:t>Quadrivalent with the Australian approved labels, PI and packaging</w:t>
      </w:r>
    </w:p>
    <w:p w14:paraId="0CF0EFC9" w14:textId="77777777" w:rsidR="00777E34" w:rsidRPr="00E63392" w:rsidRDefault="00777E34" w:rsidP="00777E34">
      <w:pPr>
        <w:pStyle w:val="ListBullet2"/>
      </w:pPr>
      <w:r w:rsidRPr="00E63392">
        <w:t xml:space="preserve">Certificate of Release from regulatory agency acting for the country of </w:t>
      </w:r>
      <w:r w:rsidRPr="00526563">
        <w:rPr>
          <w:bCs/>
        </w:rPr>
        <w:t>origin</w:t>
      </w:r>
      <w:r>
        <w:rPr>
          <w:bCs/>
        </w:rPr>
        <w:t xml:space="preserve"> </w:t>
      </w:r>
      <w:r w:rsidRPr="00E63392">
        <w:t>such as an OMCL (if available).</w:t>
      </w:r>
    </w:p>
    <w:p w14:paraId="122B9936" w14:textId="77777777" w:rsidR="00777E34" w:rsidRDefault="00777E34" w:rsidP="00777E34">
      <w:pPr>
        <w:pStyle w:val="ListBullet2"/>
      </w:pPr>
      <w:r w:rsidRPr="00E63392">
        <w:t>Any reagents, reference material and standards required to undertake</w:t>
      </w:r>
      <w:r>
        <w:rPr>
          <w:bCs/>
        </w:rPr>
        <w:t xml:space="preserve"> </w:t>
      </w:r>
      <w:r w:rsidRPr="00E63392">
        <w:t>testing, as requested by Laboratories Branch, TGA.</w:t>
      </w:r>
    </w:p>
    <w:p w14:paraId="2DA16005" w14:textId="77777777" w:rsidR="00777E34" w:rsidRDefault="00777E34" w:rsidP="00777E34">
      <w:pPr>
        <w:pStyle w:val="ListBullet2"/>
      </w:pPr>
      <w:r w:rsidRPr="006C7101">
        <w:t>Distribution of each shipment of each batch of vaccine is conditional upon fulfilment of these conditions and receipt of a letter from the Laboratories Branch acknowledging release.</w:t>
      </w:r>
    </w:p>
    <w:p w14:paraId="22ED6A86" w14:textId="77777777" w:rsidR="00777E34" w:rsidRPr="007A2FD9" w:rsidRDefault="00777E34" w:rsidP="00844094">
      <w:pPr>
        <w:pStyle w:val="ListBullet"/>
      </w:pPr>
      <w:r w:rsidRPr="007A2FD9">
        <w:t>Certified Product Details</w:t>
      </w:r>
    </w:p>
    <w:p w14:paraId="48F2C574" w14:textId="1EE35BF3" w:rsidR="00777E34" w:rsidRDefault="00777E34" w:rsidP="00844094">
      <w:pPr>
        <w:pStyle w:val="ListBullet"/>
        <w:numPr>
          <w:ilvl w:val="0"/>
          <w:numId w:val="0"/>
        </w:numPr>
        <w:ind w:left="360"/>
      </w:pPr>
      <w:r w:rsidRPr="00E63392">
        <w:t>An electronic copy of the Certified Product Details (CPD) as described in Guidance 7:</w:t>
      </w:r>
      <w:r>
        <w:t xml:space="preserve"> </w:t>
      </w:r>
      <w:r w:rsidRPr="00E63392">
        <w:t>Certified Product Details of the Australian Regulatory Guidelines for Prescription</w:t>
      </w:r>
      <w:r>
        <w:t xml:space="preserve"> </w:t>
      </w:r>
      <w:r w:rsidRPr="00E63392">
        <w:t xml:space="preserve">Medicines (ARGPM) </w:t>
      </w:r>
      <w:hyperlink r:id="rId28" w:history="1">
        <w:r w:rsidRPr="00136F92">
          <w:rPr>
            <w:rStyle w:val="Hyperlink"/>
          </w:rPr>
          <w:t>https://www.tga.gov.au/guidance-7-certified-product-details</w:t>
        </w:r>
      </w:hyperlink>
      <w:r>
        <w:t xml:space="preserve"> </w:t>
      </w:r>
      <w:r w:rsidRPr="00E63392">
        <w:t>should be provided upon registration of the therapeutic good. In addition, an updated</w:t>
      </w:r>
      <w:r>
        <w:t xml:space="preserve"> </w:t>
      </w:r>
      <w:r w:rsidRPr="00E63392">
        <w:t>CPD, for the above products incorporating the approved changes is to be provided</w:t>
      </w:r>
      <w:r>
        <w:t xml:space="preserve"> </w:t>
      </w:r>
      <w:r w:rsidRPr="00E63392">
        <w:t>within one month of the date of approval letter. A template for preparation of CPD for</w:t>
      </w:r>
      <w:r>
        <w:t xml:space="preserve"> </w:t>
      </w:r>
      <w:r w:rsidRPr="00E63392">
        <w:t>biological prescription medicines and Vaccines can be obtained from the TGA website</w:t>
      </w:r>
      <w:r>
        <w:t xml:space="preserve"> </w:t>
      </w:r>
      <w:hyperlink r:id="rId29" w:history="1">
        <w:r w:rsidRPr="00136F92">
          <w:rPr>
            <w:rStyle w:val="Hyperlink"/>
          </w:rPr>
          <w:t>https://www.tga.gov.au/form/certified-product-details-cpd-biological-prescriptionmedicines</w:t>
        </w:r>
      </w:hyperlink>
      <w:r w:rsidRPr="00E63392">
        <w:t>].</w:t>
      </w:r>
      <w:r>
        <w:t xml:space="preserve"> </w:t>
      </w:r>
      <w:r w:rsidRPr="00E63392">
        <w:t>The CPD should be sent as a single bookmarked PDF document to</w:t>
      </w:r>
      <w:r>
        <w:t xml:space="preserve"> </w:t>
      </w:r>
      <w:r w:rsidRPr="00E63392">
        <w:t>Vaccines@health.gov.au as soon as possible after registration/approval of the product</w:t>
      </w:r>
      <w:r>
        <w:t xml:space="preserve"> </w:t>
      </w:r>
      <w:r w:rsidRPr="00E63392">
        <w:t>or any subsequent changes as indicated above.</w:t>
      </w:r>
    </w:p>
    <w:p w14:paraId="7F6F2962" w14:textId="0FEDD2BC" w:rsidR="009B1224" w:rsidRPr="009B1224" w:rsidRDefault="009B1224" w:rsidP="00844094">
      <w:pPr>
        <w:pStyle w:val="ListBullet"/>
        <w:rPr>
          <w:b/>
          <w:bCs/>
        </w:rPr>
      </w:pPr>
      <w:r w:rsidRPr="00E63392">
        <w:t xml:space="preserve">For all injectable products the Product Information </w:t>
      </w:r>
      <w:r>
        <w:t xml:space="preserve">(PI) </w:t>
      </w:r>
      <w:r w:rsidRPr="00E63392">
        <w:t>must be included with the product</w:t>
      </w:r>
      <w:r>
        <w:rPr>
          <w:b/>
          <w:bCs/>
        </w:rPr>
        <w:t xml:space="preserve"> </w:t>
      </w:r>
      <w:r w:rsidRPr="00E63392">
        <w:t>as a package insert.</w:t>
      </w:r>
    </w:p>
    <w:p w14:paraId="2FEDA10D" w14:textId="77777777" w:rsidR="008E7846" w:rsidRDefault="00A80B5B" w:rsidP="00D23139">
      <w:pPr>
        <w:pStyle w:val="Heading2"/>
      </w:pPr>
      <w:bookmarkStart w:id="64" w:name="_Toc57824924"/>
      <w:r>
        <w:t xml:space="preserve">Attachment 1. </w:t>
      </w:r>
      <w:r w:rsidR="008E7846">
        <w:t xml:space="preserve">Product </w:t>
      </w:r>
      <w:r w:rsidR="00AA0ED0">
        <w:t>I</w:t>
      </w:r>
      <w:r w:rsidR="008E7846">
        <w:t>nformation</w:t>
      </w:r>
      <w:bookmarkEnd w:id="62"/>
      <w:bookmarkEnd w:id="63"/>
      <w:bookmarkEnd w:id="64"/>
    </w:p>
    <w:p w14:paraId="4A484058" w14:textId="271F49FE" w:rsidR="00C80137" w:rsidRDefault="006136D7" w:rsidP="00C80137">
      <w:pPr>
        <w:rPr>
          <w:color w:val="000000"/>
          <w:lang w:eastAsia="en-AU"/>
        </w:rPr>
      </w:pPr>
      <w:r w:rsidRPr="002B3624">
        <w:t xml:space="preserve">The </w:t>
      </w:r>
      <w:r>
        <w:t>PI</w:t>
      </w:r>
      <w:r w:rsidR="00DB65C1">
        <w:t xml:space="preserve"> for Fluzone High Dose Quadrivalent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30" w:history="1">
        <w:r w:rsidR="007C6B9B" w:rsidRPr="007C6B9B">
          <w:rPr>
            <w:rStyle w:val="Hyperlink"/>
          </w:rPr>
          <w:t>https://www.tga.gov.au/product-information-pi</w:t>
        </w:r>
      </w:hyperlink>
      <w:r w:rsidR="00DB65C1">
        <w:t>&gt;.</w:t>
      </w:r>
    </w:p>
    <w:p w14:paraId="50D95AE4" w14:textId="77777777" w:rsidR="00B41C85" w:rsidRDefault="008E7846" w:rsidP="003F1644">
      <w:pPr>
        <w:autoSpaceDE w:val="0"/>
        <w:autoSpaceDN w:val="0"/>
        <w:adjustRightInd w:val="0"/>
        <w:spacing w:after="0"/>
        <w:rPr>
          <w:lang w:eastAsia="ja-JP"/>
        </w:rPr>
      </w:pPr>
      <w:r w:rsidRPr="00C80137">
        <w:rPr>
          <w:b/>
        </w:rPr>
        <w:br w:type="page"/>
      </w:r>
    </w:p>
    <w:p w14:paraId="3D80BE63" w14:textId="77777777" w:rsidR="00C80137" w:rsidRPr="001D043B" w:rsidRDefault="00C80137" w:rsidP="003A7F6C">
      <w:pPr>
        <w:pStyle w:val="TableTitle"/>
        <w:sectPr w:rsidR="00C80137" w:rsidRPr="001D043B" w:rsidSect="00B452CE">
          <w:headerReference w:type="even" r:id="rId31"/>
          <w:headerReference w:type="default" r:id="rId32"/>
          <w:headerReference w:type="first" r:id="rId33"/>
          <w:footerReference w:type="first" r:id="rId3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5A9D2E0" w14:textId="77777777" w:rsidTr="00A05FA4">
        <w:trPr>
          <w:trHeight w:hRule="exact" w:val="704"/>
        </w:trPr>
        <w:tc>
          <w:tcPr>
            <w:tcW w:w="9175" w:type="dxa"/>
          </w:tcPr>
          <w:p w14:paraId="0F14A27A" w14:textId="77777777" w:rsidR="001C32CD" w:rsidRPr="00487162" w:rsidRDefault="001C32CD" w:rsidP="00A05FA4">
            <w:pPr>
              <w:pStyle w:val="TGASignoff"/>
            </w:pPr>
            <w:r w:rsidRPr="00487162">
              <w:lastRenderedPageBreak/>
              <w:t>Therapeutic Goods Administration</w:t>
            </w:r>
          </w:p>
        </w:tc>
      </w:tr>
      <w:tr w:rsidR="001C32CD" w:rsidRPr="004C239D" w14:paraId="7205DEAB" w14:textId="77777777" w:rsidTr="00A05FA4">
        <w:trPr>
          <w:trHeight w:val="1221"/>
        </w:trPr>
        <w:tc>
          <w:tcPr>
            <w:tcW w:w="9175" w:type="dxa"/>
            <w:tcMar>
              <w:top w:w="28" w:type="dxa"/>
            </w:tcMar>
          </w:tcPr>
          <w:p w14:paraId="7F0BA9D2" w14:textId="77777777" w:rsidR="001C32CD" w:rsidRPr="00487162" w:rsidRDefault="001C32CD" w:rsidP="00A05FA4">
            <w:pPr>
              <w:pStyle w:val="Address"/>
            </w:pPr>
            <w:r w:rsidRPr="00487162">
              <w:t>PO Box 100 Woden ACT 2606 Australia</w:t>
            </w:r>
          </w:p>
          <w:p w14:paraId="7D7EE44E" w14:textId="76665988" w:rsidR="001C32CD" w:rsidRPr="00487162" w:rsidRDefault="001C32CD" w:rsidP="00A05FA4">
            <w:pPr>
              <w:pStyle w:val="Address"/>
            </w:pPr>
            <w:r w:rsidRPr="00487162">
              <w:t xml:space="preserve">Email: </w:t>
            </w:r>
            <w:hyperlink r:id="rId35" w:history="1">
              <w:r w:rsidRPr="004C239D">
                <w:rPr>
                  <w:rStyle w:val="Hyperlink"/>
                </w:rPr>
                <w:t>info@tga.gov.au</w:t>
              </w:r>
            </w:hyperlink>
            <w:r w:rsidRPr="00487162">
              <w:t xml:space="preserve">  Phone: 1800 020 653  Fax: 02 6232 8605</w:t>
            </w:r>
          </w:p>
          <w:p w14:paraId="080990D5" w14:textId="4F85A274" w:rsidR="001C32CD" w:rsidRPr="004C239D" w:rsidRDefault="0034766A" w:rsidP="00A05FA4">
            <w:pPr>
              <w:pStyle w:val="Address"/>
              <w:spacing w:line="260" w:lineRule="atLeast"/>
              <w:rPr>
                <w:b/>
                <w:color w:val="0000FF"/>
                <w:u w:val="single"/>
              </w:rPr>
            </w:pPr>
            <w:hyperlink r:id="rId36" w:history="1">
              <w:r w:rsidR="007C6B9B" w:rsidRPr="007C6B9B">
                <w:rPr>
                  <w:rStyle w:val="Hyperlink"/>
                  <w:b/>
                </w:rPr>
                <w:t>https://www.tga.gov.au</w:t>
              </w:r>
            </w:hyperlink>
          </w:p>
        </w:tc>
      </w:tr>
    </w:tbl>
    <w:p w14:paraId="663C352A" w14:textId="77777777" w:rsidR="00774E1D" w:rsidRPr="008A5E0B" w:rsidRDefault="00774E1D" w:rsidP="004C239D"/>
    <w:sectPr w:rsidR="00774E1D" w:rsidRPr="008A5E0B" w:rsidSect="001C32CD">
      <w:headerReference w:type="even" r:id="rId37"/>
      <w:headerReference w:type="default" r:id="rId38"/>
      <w:footerReference w:type="default" r:id="rId39"/>
      <w:headerReference w:type="first" r:id="rId40"/>
      <w:footerReference w:type="first" r:id="rId41"/>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21FBF4" w16cid:durableId="235E5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FD7F" w14:textId="77777777" w:rsidR="0073328E" w:rsidRDefault="0073328E" w:rsidP="00C40A36">
      <w:pPr>
        <w:spacing w:after="0"/>
      </w:pPr>
      <w:r>
        <w:separator/>
      </w:r>
    </w:p>
  </w:endnote>
  <w:endnote w:type="continuationSeparator" w:id="0">
    <w:p w14:paraId="536F556D" w14:textId="77777777" w:rsidR="0073328E" w:rsidRDefault="0073328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F0000" w:usb2="00000010" w:usb3="00000000" w:csb0="00060001" w:csb1="00000000"/>
  </w:font>
  <w:font w:name="TimesNewRomanPS-BoldItalicMT">
    <w:altName w:val="MS Mincho"/>
    <w:panose1 w:val="00000000000000000000"/>
    <w:charset w:val="00"/>
    <w:family w:val="roman"/>
    <w:notTrueType/>
    <w:pitch w:val="default"/>
    <w:sig w:usb0="00000003" w:usb1="08070000" w:usb2="00000010" w:usb3="00000000" w:csb0="00020001" w:csb1="00000000"/>
  </w:font>
  <w:font w:name="SymbolMT">
    <w:altName w:val="Arial Unicode MS"/>
    <w:panose1 w:val="00000000000000000000"/>
    <w:charset w:val="80"/>
    <w:family w:val="auto"/>
    <w:notTrueType/>
    <w:pitch w:val="default"/>
    <w:sig w:usb0="00000083" w:usb1="09070000" w:usb2="00000010" w:usb3="00000000" w:csb0="000A0009" w:csb1="00000000"/>
  </w:font>
  <w:font w:name="TimesNewRomanPS-BoldMT">
    <w:panose1 w:val="00000000000000000000"/>
    <w:charset w:val="00"/>
    <w:family w:val="roman"/>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1" w:usb1="080F0000" w:usb2="00000010" w:usb3="00000000" w:csb0="00120000" w:csb1="00000000"/>
  </w:font>
  <w:font w:name="MinionPro-Regular">
    <w:altName w:val="Times New Roman"/>
    <w:panose1 w:val="00000000000000000000"/>
    <w:charset w:val="A1"/>
    <w:family w:val="auto"/>
    <w:notTrueType/>
    <w:pitch w:val="default"/>
    <w:sig w:usb0="00000081" w:usb1="00000000" w:usb2="00000000" w:usb3="00000000" w:csb0="00000008"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5915" w14:textId="77777777" w:rsidR="00844094" w:rsidRDefault="00844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3328E" w:rsidRPr="00487162" w14:paraId="530F2C4F" w14:textId="77777777" w:rsidTr="00DB750B">
      <w:trPr>
        <w:trHeight w:val="269"/>
      </w:trPr>
      <w:tc>
        <w:tcPr>
          <w:tcW w:w="7371" w:type="dxa"/>
          <w:tcMar>
            <w:top w:w="142" w:type="dxa"/>
            <w:bottom w:w="0" w:type="dxa"/>
          </w:tcMar>
        </w:tcPr>
        <w:p w14:paraId="271F0F60" w14:textId="3DB4F667" w:rsidR="0073328E" w:rsidRPr="00487162" w:rsidRDefault="0073328E" w:rsidP="00F13FF4">
          <w:pPr>
            <w:pStyle w:val="Footer"/>
          </w:pPr>
          <w:r w:rsidRPr="00487162">
            <w:t>AusPA</w:t>
          </w:r>
          <w:r>
            <w:t>R – Fluzone High-Dose Quadrivalent i</w:t>
          </w:r>
          <w:r w:rsidRPr="002E7926">
            <w:t>nactivated quadrivalent influenza vaccine (split virion) influenza virus haemagglutinin</w:t>
          </w:r>
          <w:r w:rsidRPr="00460036">
            <w:t xml:space="preserve"> </w:t>
          </w:r>
          <w:r>
            <w:t xml:space="preserve">Sanofi-Aventis Australia Pty Ltd </w:t>
          </w:r>
          <w:r w:rsidRPr="00076026">
            <w:t>Submission PM-2019-03202-1-2</w:t>
          </w:r>
          <w:r>
            <w:br/>
          </w:r>
          <w:r w:rsidR="00F13FF4">
            <w:t>FINAL</w:t>
          </w:r>
          <w:r>
            <w:t xml:space="preserve"> </w:t>
          </w:r>
          <w:r w:rsidR="00F13FF4">
            <w:t>27</w:t>
          </w:r>
          <w:r>
            <w:t xml:space="preserve"> November 2020</w:t>
          </w:r>
        </w:p>
      </w:tc>
      <w:tc>
        <w:tcPr>
          <w:tcW w:w="1490" w:type="dxa"/>
          <w:tcMar>
            <w:top w:w="142" w:type="dxa"/>
            <w:bottom w:w="0" w:type="dxa"/>
          </w:tcMar>
        </w:tcPr>
        <w:p w14:paraId="6D9D9FFA" w14:textId="06F1AFE2" w:rsidR="0073328E" w:rsidRPr="00487162" w:rsidRDefault="0073328E" w:rsidP="00DB750B">
          <w:pPr>
            <w:pStyle w:val="Footer"/>
            <w:jc w:val="right"/>
          </w:pPr>
          <w:r w:rsidRPr="00487162">
            <w:t xml:space="preserve">Page </w:t>
          </w:r>
          <w:r>
            <w:fldChar w:fldCharType="begin"/>
          </w:r>
          <w:r>
            <w:instrText xml:space="preserve"> PAGE  \* Arabic </w:instrText>
          </w:r>
          <w:r>
            <w:fldChar w:fldCharType="separate"/>
          </w:r>
          <w:r w:rsidR="0034766A">
            <w:rPr>
              <w:noProof/>
            </w:rPr>
            <w:t>21</w:t>
          </w:r>
          <w:r>
            <w:fldChar w:fldCharType="end"/>
          </w:r>
          <w:r w:rsidRPr="00487162">
            <w:t xml:space="preserve"> of </w:t>
          </w:r>
          <w:r w:rsidR="0034766A">
            <w:fldChar w:fldCharType="begin"/>
          </w:r>
          <w:r w:rsidR="0034766A">
            <w:instrText xml:space="preserve"> NUMPAGES  \* Arabic </w:instrText>
          </w:r>
          <w:r w:rsidR="0034766A">
            <w:fldChar w:fldCharType="separate"/>
          </w:r>
          <w:r w:rsidR="0034766A">
            <w:rPr>
              <w:noProof/>
            </w:rPr>
            <w:t>38</w:t>
          </w:r>
          <w:r w:rsidR="0034766A">
            <w:rPr>
              <w:noProof/>
            </w:rPr>
            <w:fldChar w:fldCharType="end"/>
          </w:r>
        </w:p>
      </w:tc>
    </w:tr>
  </w:tbl>
  <w:p w14:paraId="0823C186" w14:textId="77777777" w:rsidR="0073328E" w:rsidRDefault="0073328E"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C228A" w14:textId="77777777" w:rsidR="00844094" w:rsidRDefault="008440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3328E" w:rsidRPr="00487162" w14:paraId="4C9D96AD" w14:textId="77777777" w:rsidTr="00E45619">
      <w:trPr>
        <w:trHeight w:val="269"/>
      </w:trPr>
      <w:tc>
        <w:tcPr>
          <w:tcW w:w="4519" w:type="dxa"/>
          <w:tcBorders>
            <w:top w:val="single" w:sz="4" w:space="0" w:color="auto"/>
          </w:tcBorders>
          <w:tcMar>
            <w:top w:w="142" w:type="dxa"/>
            <w:bottom w:w="0" w:type="dxa"/>
          </w:tcMar>
        </w:tcPr>
        <w:p w14:paraId="0C3C9BE5" w14:textId="77777777" w:rsidR="0073328E" w:rsidRPr="00487162" w:rsidRDefault="0073328E" w:rsidP="00FE1DEE">
          <w:pPr>
            <w:pStyle w:val="Footer"/>
          </w:pPr>
          <w:r w:rsidRPr="00487162">
            <w:t>Document title, Part #, Section # - Section title</w:t>
          </w:r>
        </w:p>
        <w:p w14:paraId="0C3565CE" w14:textId="77777777" w:rsidR="0073328E" w:rsidRPr="00487162" w:rsidRDefault="0073328E" w:rsidP="00FE1DEE">
          <w:pPr>
            <w:pStyle w:val="Footer"/>
          </w:pPr>
          <w:r w:rsidRPr="00487162">
            <w:t>V1.0 October 2010</w:t>
          </w:r>
        </w:p>
      </w:tc>
      <w:tc>
        <w:tcPr>
          <w:tcW w:w="4342" w:type="dxa"/>
          <w:tcBorders>
            <w:top w:val="single" w:sz="4" w:space="0" w:color="auto"/>
          </w:tcBorders>
          <w:tcMar>
            <w:top w:w="142" w:type="dxa"/>
            <w:bottom w:w="0" w:type="dxa"/>
          </w:tcMar>
        </w:tcPr>
        <w:p w14:paraId="778F397E" w14:textId="77777777" w:rsidR="0073328E" w:rsidRPr="00487162" w:rsidRDefault="0073328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34766A">
            <w:fldChar w:fldCharType="begin"/>
          </w:r>
          <w:r w:rsidR="0034766A">
            <w:instrText xml:space="preserve"> NUMPAGES  </w:instrText>
          </w:r>
          <w:r w:rsidR="0034766A">
            <w:fldChar w:fldCharType="separate"/>
          </w:r>
          <w:r>
            <w:rPr>
              <w:noProof/>
            </w:rPr>
            <w:t>3</w:t>
          </w:r>
          <w:r w:rsidR="0034766A">
            <w:rPr>
              <w:noProof/>
            </w:rPr>
            <w:fldChar w:fldCharType="end"/>
          </w:r>
        </w:p>
      </w:tc>
    </w:tr>
  </w:tbl>
  <w:p w14:paraId="54AA4715" w14:textId="77777777" w:rsidR="0073328E" w:rsidRDefault="007332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C261" w14:textId="77777777" w:rsidR="0073328E" w:rsidRPr="001C32CD" w:rsidRDefault="0073328E"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3328E" w14:paraId="421F41E5" w14:textId="77777777" w:rsidTr="0010601F">
      <w:trPr>
        <w:trHeight w:val="108"/>
      </w:trPr>
      <w:tc>
        <w:tcPr>
          <w:tcW w:w="8875" w:type="dxa"/>
          <w:gridSpan w:val="2"/>
          <w:tcBorders>
            <w:bottom w:val="single" w:sz="4" w:space="0" w:color="auto"/>
          </w:tcBorders>
          <w:tcMar>
            <w:right w:w="284" w:type="dxa"/>
          </w:tcMar>
        </w:tcPr>
        <w:p w14:paraId="2BD94139" w14:textId="77777777" w:rsidR="0073328E" w:rsidRDefault="0073328E" w:rsidP="006E08B3">
          <w:pPr>
            <w:pStyle w:val="Heading3"/>
          </w:pPr>
          <w:r>
            <w:t>Copyright</w:t>
          </w:r>
        </w:p>
        <w:p w14:paraId="48A7FF5F" w14:textId="77777777" w:rsidR="0073328E" w:rsidRDefault="0073328E" w:rsidP="006E08B3">
          <w:r>
            <w:rPr>
              <w:rFonts w:cs="Arial"/>
            </w:rPr>
            <w:t>©</w:t>
          </w:r>
          <w:r>
            <w:t xml:space="preserve"> Commonwealth of Australia [add year]</w:t>
          </w:r>
        </w:p>
        <w:p w14:paraId="6FFCCD47" w14:textId="77777777" w:rsidR="0073328E" w:rsidRDefault="0073328E" w:rsidP="006E08B3"/>
        <w:p w14:paraId="505C20F7" w14:textId="77777777" w:rsidR="0073328E" w:rsidRDefault="0073328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79698D73" w14:textId="77777777" w:rsidR="0073328E" w:rsidRDefault="0073328E" w:rsidP="006E08B3"/>
        <w:p w14:paraId="6164804B" w14:textId="77777777" w:rsidR="0073328E" w:rsidRDefault="0073328E" w:rsidP="006E08B3">
          <w:pPr>
            <w:pStyle w:val="Heading3"/>
          </w:pPr>
          <w:r>
            <w:t>Confidentiality</w:t>
          </w:r>
        </w:p>
        <w:p w14:paraId="679A9F7A" w14:textId="77777777" w:rsidR="0073328E" w:rsidRDefault="0073328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1E4EA2E" w14:textId="77777777" w:rsidR="0073328E" w:rsidRDefault="0073328E" w:rsidP="006E08B3"/>
        <w:p w14:paraId="35F8BEE7" w14:textId="77777777" w:rsidR="0073328E" w:rsidRDefault="0073328E" w:rsidP="006E08B3">
          <w:r>
            <w:t>For submission made by individuals, all personal details, other than your name, will be removed from your submission before it is published on the TGA’s Internet site.</w:t>
          </w:r>
        </w:p>
        <w:p w14:paraId="22C075BE" w14:textId="77777777" w:rsidR="0073328E" w:rsidRDefault="0073328E" w:rsidP="006E08B3"/>
        <w:p w14:paraId="4C71BAFC" w14:textId="77777777" w:rsidR="0073328E" w:rsidRDefault="0073328E" w:rsidP="006E08B3">
          <w:r>
            <w:t>In addition, a list of parties making submissions will be published. If you do not wish to be identified with your submission you must specifically request this in the space provided ib the submission coversheet.</w:t>
          </w:r>
        </w:p>
      </w:tc>
    </w:tr>
    <w:tr w:rsidR="0073328E" w14:paraId="72EA9FBC" w14:textId="77777777" w:rsidTr="0010601F">
      <w:trPr>
        <w:trHeight w:val="417"/>
      </w:trPr>
      <w:tc>
        <w:tcPr>
          <w:tcW w:w="4519" w:type="dxa"/>
          <w:tcBorders>
            <w:top w:val="single" w:sz="4" w:space="0" w:color="auto"/>
          </w:tcBorders>
          <w:tcMar>
            <w:top w:w="142" w:type="dxa"/>
            <w:bottom w:w="0" w:type="dxa"/>
          </w:tcMar>
        </w:tcPr>
        <w:p w14:paraId="442FBAB1" w14:textId="77777777" w:rsidR="0073328E" w:rsidRDefault="0073328E" w:rsidP="006E08B3">
          <w:r>
            <w:t>Document title, Part #, Section # - Section title</w:t>
          </w:r>
        </w:p>
        <w:p w14:paraId="761A0398" w14:textId="77777777" w:rsidR="0073328E" w:rsidRDefault="0073328E" w:rsidP="006E08B3">
          <w:r>
            <w:t>V1.0 October 2010</w:t>
          </w:r>
        </w:p>
      </w:tc>
      <w:tc>
        <w:tcPr>
          <w:tcW w:w="4356" w:type="dxa"/>
          <w:tcBorders>
            <w:top w:val="single" w:sz="4" w:space="0" w:color="auto"/>
          </w:tcBorders>
          <w:tcMar>
            <w:top w:w="142" w:type="dxa"/>
            <w:bottom w:w="0" w:type="dxa"/>
          </w:tcMar>
        </w:tcPr>
        <w:p w14:paraId="5F08E29E" w14:textId="77777777" w:rsidR="0073328E" w:rsidRDefault="0073328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34766A">
            <w:fldChar w:fldCharType="begin"/>
          </w:r>
          <w:r w:rsidR="0034766A">
            <w:instrText xml:space="preserve"> NUMPAGES  \* Arabic </w:instrText>
          </w:r>
          <w:r w:rsidR="0034766A">
            <w:fldChar w:fldCharType="separate"/>
          </w:r>
          <w:r>
            <w:rPr>
              <w:noProof/>
            </w:rPr>
            <w:t>3</w:t>
          </w:r>
          <w:r w:rsidR="0034766A">
            <w:rPr>
              <w:noProof/>
            </w:rPr>
            <w:fldChar w:fldCharType="end"/>
          </w:r>
          <w:r>
            <w:t xml:space="preserve">  </w:t>
          </w:r>
        </w:p>
      </w:tc>
    </w:tr>
  </w:tbl>
  <w:p w14:paraId="2DFEF56C" w14:textId="77777777" w:rsidR="0073328E" w:rsidRDefault="007332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6FFC6" w14:textId="77777777" w:rsidR="0073328E" w:rsidRDefault="0073328E" w:rsidP="00C40A36">
      <w:pPr>
        <w:spacing w:after="0"/>
      </w:pPr>
      <w:r>
        <w:separator/>
      </w:r>
    </w:p>
  </w:footnote>
  <w:footnote w:type="continuationSeparator" w:id="0">
    <w:p w14:paraId="1C020068" w14:textId="77777777" w:rsidR="0073328E" w:rsidRDefault="0073328E" w:rsidP="00C40A36">
      <w:pPr>
        <w:spacing w:after="0"/>
      </w:pPr>
      <w:r>
        <w:continuationSeparator/>
      </w:r>
    </w:p>
  </w:footnote>
  <w:footnote w:id="1">
    <w:p w14:paraId="2BC24725" w14:textId="71CAB360" w:rsidR="0073328E" w:rsidRPr="00FD4C0D" w:rsidRDefault="0073328E" w:rsidP="00FD4C0D">
      <w:pPr>
        <w:pStyle w:val="FootnoteText"/>
      </w:pPr>
      <w:r>
        <w:rPr>
          <w:rStyle w:val="FootnoteReference"/>
        </w:rPr>
        <w:footnoteRef/>
      </w:r>
      <w:r>
        <w:t xml:space="preserve"> Note, as per the Delegate’s approval letter ‘Quadrivalent’ will be expressed as ‘QIV’ in the tradename of the product in the ARTG for administrative purposes. Quadrivalent will be maintained in the approved Product Information (PI) and Consumer Medicines Information (CMI) documents.</w:t>
      </w:r>
    </w:p>
  </w:footnote>
  <w:footnote w:id="2">
    <w:p w14:paraId="57302018" w14:textId="77777777" w:rsidR="0073328E" w:rsidRDefault="0073328E">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6C4C27C3" w14:textId="77777777" w:rsidR="0073328E" w:rsidRPr="004F3C82" w:rsidRDefault="0073328E">
      <w:pPr>
        <w:pStyle w:val="FootnoteText"/>
        <w:rPr>
          <w:lang w:val="en-US"/>
        </w:rPr>
      </w:pPr>
      <w:r>
        <w:rPr>
          <w:rStyle w:val="FootnoteReference"/>
        </w:rPr>
        <w:footnoteRef/>
      </w:r>
      <w:r>
        <w:t xml:space="preserve"> This quadrivalent influenza vaccine contains a total of 240 µg influenza virus haemagglutinin per 0.7 mL pre</w:t>
      </w:r>
      <w:r>
        <w:noBreakHyphen/>
        <w:t>filled syringe (PFS), comprised of 4 (4 x 60 µg) different and specified seasonal strains of influenza virus haemagglutinin. See main body of text for details.</w:t>
      </w:r>
    </w:p>
  </w:footnote>
  <w:footnote w:id="4">
    <w:p w14:paraId="409E4506" w14:textId="52023864" w:rsidR="0073328E" w:rsidRPr="00775E1A" w:rsidRDefault="0073328E" w:rsidP="00775E1A">
      <w:pPr>
        <w:pStyle w:val="FootnoteText"/>
      </w:pPr>
      <w:r>
        <w:rPr>
          <w:rStyle w:val="FootnoteReference"/>
        </w:rPr>
        <w:footnoteRef/>
      </w:r>
      <w:r>
        <w:t xml:space="preserve"> See the AusPAR for Fluzone High-Dose Inactivated high-dose trivalent influenza vaccine Sanofi-Aventis Australia PM-2017-00690-1-2</w:t>
      </w:r>
      <w:r w:rsidRPr="00775E1A">
        <w:t xml:space="preserve"> </w:t>
      </w:r>
      <w:r>
        <w:t xml:space="preserve">(published </w:t>
      </w:r>
      <w:r w:rsidRPr="00812F3D">
        <w:t>20 August 2018</w:t>
      </w:r>
      <w:r>
        <w:t>).</w:t>
      </w:r>
    </w:p>
  </w:footnote>
  <w:footnote w:id="5">
    <w:p w14:paraId="12CAC149" w14:textId="361D8286" w:rsidR="0073328E" w:rsidRPr="00812F3D" w:rsidRDefault="0073328E" w:rsidP="00812F3D">
      <w:pPr>
        <w:pStyle w:val="FootnoteText"/>
      </w:pPr>
      <w:r>
        <w:rPr>
          <w:rStyle w:val="FootnoteReference"/>
        </w:rPr>
        <w:footnoteRef/>
      </w:r>
      <w:r>
        <w:t xml:space="preserve"> See the AusPAR for FluQuadri, FluQuadri Junior Influenza virus haemagglutinin H1N1, H3N2, B Victoria lineage, B Yamagata lineage Sanofi-Aventis Australia Pty Ltd PM-2013-02401-1-2 (published 20 March 2015).</w:t>
      </w:r>
    </w:p>
  </w:footnote>
  <w:footnote w:id="6">
    <w:p w14:paraId="0765D9A7" w14:textId="77777777" w:rsidR="0073328E" w:rsidRPr="00DA1E73" w:rsidRDefault="0073328E">
      <w:pPr>
        <w:pStyle w:val="FootnoteText"/>
        <w:rPr>
          <w:lang w:val="en-US"/>
        </w:rPr>
      </w:pPr>
      <w:r>
        <w:rPr>
          <w:rStyle w:val="FootnoteReference"/>
        </w:rPr>
        <w:footnoteRef/>
      </w:r>
      <w:r>
        <w:t xml:space="preserve"> </w:t>
      </w:r>
      <w:r>
        <w:rPr>
          <w:lang w:val="en-US"/>
        </w:rPr>
        <w:t xml:space="preserve">The </w:t>
      </w:r>
      <w:r w:rsidRPr="00DA1E73">
        <w:rPr>
          <w:b/>
          <w:lang w:val="en-US"/>
        </w:rPr>
        <w:t>National Immunisation Program</w:t>
      </w:r>
      <w:r>
        <w:rPr>
          <w:b/>
          <w:lang w:val="en-US"/>
        </w:rPr>
        <w:t xml:space="preserve"> </w:t>
      </w:r>
      <w:r>
        <w:rPr>
          <w:lang w:val="en-US"/>
        </w:rPr>
        <w:t>(</w:t>
      </w:r>
      <w:r>
        <w:rPr>
          <w:b/>
          <w:lang w:val="en-US"/>
        </w:rPr>
        <w:t>NIP</w:t>
      </w:r>
      <w:r>
        <w:rPr>
          <w:lang w:val="en-US"/>
        </w:rPr>
        <w:t>)</w:t>
      </w:r>
      <w:r w:rsidRPr="00DA1E73">
        <w:rPr>
          <w:lang w:val="en-US"/>
        </w:rPr>
        <w:t xml:space="preserve"> was set up by the Commonwealth and state and territory governments in 1997. It aims to increase national immunisation coverage to reduce the number of cases of diseases that are preventable by vaccination in Australia.</w:t>
      </w:r>
      <w:r>
        <w:rPr>
          <w:lang w:val="en-US"/>
        </w:rPr>
        <w:t xml:space="preserve"> </w:t>
      </w:r>
      <w:r w:rsidRPr="00DA1E73">
        <w:rPr>
          <w:lang w:val="en-US"/>
        </w:rPr>
        <w:t>The NIP provides free vaccines to eligible people to help reduce diseases that can be prevented by vaccination. This improves national immunisation coverage rates.</w:t>
      </w:r>
    </w:p>
  </w:footnote>
  <w:footnote w:id="7">
    <w:p w14:paraId="695B7DC2" w14:textId="77777777" w:rsidR="0073328E" w:rsidRPr="00D27E21" w:rsidRDefault="0073328E" w:rsidP="00D27E21">
      <w:pPr>
        <w:pStyle w:val="FootnoteText"/>
      </w:pPr>
      <w:r>
        <w:rPr>
          <w:rStyle w:val="FootnoteReference"/>
        </w:rPr>
        <w:footnoteRef/>
      </w:r>
      <w:r>
        <w:t xml:space="preserve"> The </w:t>
      </w:r>
      <w:r w:rsidRPr="00D27E21">
        <w:rPr>
          <w:b/>
        </w:rPr>
        <w:t>Australian Immunisation Handbook</w:t>
      </w:r>
      <w:r>
        <w:t xml:space="preserve"> provides clinical guidelines for healthcare professionals and others about the safest and most effective use of vaccines in their practice. The guidance is based on the best scientific evidence available, from published and unpublished literature. The Handbook contains information for all vaccines that are available in Australia at or near the time of publication. </w:t>
      </w:r>
      <w:r w:rsidRPr="00D27E21">
        <w:t xml:space="preserve">Australian Technical Advisory Group on Immunisation </w:t>
      </w:r>
      <w:r>
        <w:t xml:space="preserve">(ATAGI). Australian Immunisation </w:t>
      </w:r>
      <w:r w:rsidRPr="00D27E21">
        <w:t>Handbook, Australian Government Depar</w:t>
      </w:r>
      <w:r>
        <w:t>tment of Health, Canberra. Available online at:</w:t>
      </w:r>
      <w:r w:rsidRPr="00D27E21">
        <w:t xml:space="preserve"> https://immunisationhandbook.health.gov.au</w:t>
      </w:r>
    </w:p>
  </w:footnote>
  <w:footnote w:id="8">
    <w:p w14:paraId="75F46E1D" w14:textId="77777777" w:rsidR="0073328E" w:rsidRPr="008F6D89" w:rsidRDefault="0073328E">
      <w:pPr>
        <w:pStyle w:val="FootnoteText"/>
        <w:rPr>
          <w:lang w:val="en-US"/>
        </w:rPr>
      </w:pPr>
      <w:r>
        <w:rPr>
          <w:rStyle w:val="FootnoteReference"/>
        </w:rPr>
        <w:footnoteRef/>
      </w:r>
      <w:r>
        <w:t xml:space="preserve"> </w:t>
      </w:r>
      <w:r w:rsidRPr="008F6D89">
        <w:rPr>
          <w:b/>
        </w:rPr>
        <w:t>MF59</w:t>
      </w:r>
      <w:r w:rsidRPr="008F6D89">
        <w:t xml:space="preserve"> is an immunologic adjuvant that uses </w:t>
      </w:r>
      <w:r>
        <w:t xml:space="preserve">an oil-on-water emulsion of </w:t>
      </w:r>
      <w:r w:rsidRPr="008F6D89">
        <w:t>squalene</w:t>
      </w:r>
      <w:r>
        <w:t xml:space="preserve"> oil</w:t>
      </w:r>
      <w:r w:rsidRPr="008F6D89">
        <w:t>.</w:t>
      </w:r>
      <w:r>
        <w:t xml:space="preserve"> MF59 (not a component of the vaccine in this submission)</w:t>
      </w:r>
      <w:r w:rsidRPr="008F6D89">
        <w:t xml:space="preserve"> is added to influenza vaccines to help stimulate the human body's immune response through production of CD4 memory cells.</w:t>
      </w:r>
    </w:p>
  </w:footnote>
  <w:footnote w:id="9">
    <w:p w14:paraId="3D314B4B" w14:textId="77777777" w:rsidR="0073328E" w:rsidRPr="002211E8" w:rsidRDefault="0073328E" w:rsidP="006E57CC">
      <w:pPr>
        <w:spacing w:before="0" w:after="0" w:line="240" w:lineRule="auto"/>
        <w:rPr>
          <w:i/>
          <w:sz w:val="18"/>
          <w:szCs w:val="18"/>
          <w:lang w:val="en-US"/>
        </w:rPr>
      </w:pPr>
      <w:r w:rsidRPr="002211E8">
        <w:rPr>
          <w:rStyle w:val="FootnoteReference"/>
          <w:i/>
          <w:sz w:val="18"/>
          <w:szCs w:val="18"/>
        </w:rPr>
        <w:footnoteRef/>
      </w:r>
      <w:r w:rsidRPr="002211E8">
        <w:rPr>
          <w:i/>
          <w:sz w:val="18"/>
          <w:szCs w:val="18"/>
        </w:rPr>
        <w:t xml:space="preserve"> </w:t>
      </w:r>
      <w:hyperlink r:id="rId1" w:history="1">
        <w:r w:rsidRPr="006B4A22">
          <w:rPr>
            <w:rStyle w:val="FootnoteTextChar"/>
          </w:rPr>
          <w:t>https://immunisationhandbook.health.gov.au/recommendations/adults-aged-65-years-are-strongly-recommended-to-receive-either-high-dose-or</w:t>
        </w:r>
      </w:hyperlink>
    </w:p>
  </w:footnote>
  <w:footnote w:id="10">
    <w:p w14:paraId="25FE6DDB" w14:textId="77777777" w:rsidR="0073328E" w:rsidRPr="00D2422E" w:rsidRDefault="0073328E" w:rsidP="000D733D">
      <w:pPr>
        <w:pStyle w:val="FootnoteText"/>
      </w:pPr>
      <w:r>
        <w:rPr>
          <w:rStyle w:val="FootnoteReference"/>
        </w:rPr>
        <w:footnoteRef/>
      </w:r>
      <w:r>
        <w:t xml:space="preserve"> </w:t>
      </w:r>
      <w:r w:rsidRPr="004B0ED5">
        <w:t>Gravenstein S, Davidson HE, Taljaard M, et al. Comparative effectiveness of high-dose versus standard-dose influenza vaccination on numbers of US nursing home residents admitted to hospital: a cluster-randomised trial. Lancet Respir Med 2017; 5:738–46.</w:t>
      </w:r>
    </w:p>
  </w:footnote>
  <w:footnote w:id="11">
    <w:p w14:paraId="2CC93F3B" w14:textId="77777777" w:rsidR="0073328E" w:rsidRPr="00D2422E" w:rsidRDefault="0073328E" w:rsidP="00D2422E">
      <w:pPr>
        <w:pStyle w:val="FootnoteText"/>
      </w:pPr>
      <w:r>
        <w:rPr>
          <w:rStyle w:val="FootnoteReference"/>
        </w:rPr>
        <w:footnoteRef/>
      </w:r>
      <w:r>
        <w:t xml:space="preserve"> Young-Xu Y, Van Aalst R, Mahmud SM, et al, Relative Vaccine Effectiveness of High-Dose Versus Standard-Dose Influenza Vaccines Among Veterans Health Administration Patients. JID 2018;217:1718–27.</w:t>
      </w:r>
    </w:p>
  </w:footnote>
  <w:footnote w:id="12">
    <w:p w14:paraId="3F8B77A6" w14:textId="77777777" w:rsidR="0073328E" w:rsidRPr="0019176C" w:rsidRDefault="0073328E">
      <w:pPr>
        <w:pStyle w:val="FootnoteText"/>
        <w:rPr>
          <w:lang w:val="en-US"/>
        </w:rPr>
      </w:pPr>
      <w:r>
        <w:rPr>
          <w:rStyle w:val="FootnoteReference"/>
        </w:rPr>
        <w:footnoteRef/>
      </w:r>
      <w:r>
        <w:t xml:space="preserve"> </w:t>
      </w:r>
      <w:r w:rsidRPr="00BC44C5">
        <w:rPr>
          <w:b/>
          <w:lang w:val="en-US"/>
        </w:rPr>
        <w:t>HAI GMT = haemagglutination inhibition geometric mean titre</w:t>
      </w:r>
      <w:r>
        <w:rPr>
          <w:lang w:val="en-US"/>
        </w:rPr>
        <w:t>; t</w:t>
      </w:r>
      <w:r w:rsidRPr="0019176C">
        <w:rPr>
          <w:lang w:val="en-US"/>
        </w:rPr>
        <w:t xml:space="preserve">he average </w:t>
      </w:r>
      <w:r>
        <w:rPr>
          <w:lang w:val="en-US"/>
        </w:rPr>
        <w:t xml:space="preserve">haemagglutination inhibition </w:t>
      </w:r>
      <w:r w:rsidRPr="0019176C">
        <w:rPr>
          <w:lang w:val="en-US"/>
        </w:rPr>
        <w:t>antibody titre for a group of subjects calculated by multiplying all values and taking the n</w:t>
      </w:r>
      <w:r>
        <w:rPr>
          <w:lang w:val="en-US"/>
        </w:rPr>
        <w:t>-</w:t>
      </w:r>
      <w:r w:rsidRPr="0019176C">
        <w:rPr>
          <w:lang w:val="en-US"/>
        </w:rPr>
        <w:t xml:space="preserve">th root of this number, where n is the number </w:t>
      </w:r>
      <w:r>
        <w:rPr>
          <w:lang w:val="en-US"/>
        </w:rPr>
        <w:t>of subjects with available data.</w:t>
      </w:r>
    </w:p>
  </w:footnote>
  <w:footnote w:id="13">
    <w:p w14:paraId="647A0481" w14:textId="77777777" w:rsidR="0073328E" w:rsidRPr="00FE75EC" w:rsidRDefault="0073328E">
      <w:pPr>
        <w:pStyle w:val="FootnoteText"/>
        <w:rPr>
          <w:lang w:val="en-US"/>
        </w:rPr>
      </w:pPr>
      <w:r>
        <w:rPr>
          <w:rStyle w:val="FootnoteReference"/>
        </w:rPr>
        <w:footnoteRef/>
      </w:r>
      <w:r>
        <w:t xml:space="preserve"> The </w:t>
      </w:r>
      <w:r w:rsidRPr="00FE75EC">
        <w:rPr>
          <w:b/>
        </w:rPr>
        <w:t>virus seroneutralisation method</w:t>
      </w:r>
      <w:r>
        <w:t xml:space="preserve"> (or </w:t>
      </w:r>
      <w:r w:rsidRPr="00FE75EC">
        <w:rPr>
          <w:b/>
        </w:rPr>
        <w:t>serum virus neutralisation assay</w:t>
      </w:r>
      <w:r>
        <w:t>)</w:t>
      </w:r>
      <w:r w:rsidRPr="00FE75EC">
        <w:t xml:space="preserve"> is a serological test to detect the presence and magnitude of functional systemic antibodies that prevent infectivity of a virus. The SVN assay is a highly sensitive and specific test that may be applied to influenza</w:t>
      </w:r>
      <w:r>
        <w:t>.</w:t>
      </w:r>
    </w:p>
  </w:footnote>
  <w:footnote w:id="14">
    <w:p w14:paraId="380BA39A" w14:textId="77777777" w:rsidR="0073328E" w:rsidRPr="00CD605A" w:rsidRDefault="0073328E">
      <w:pPr>
        <w:pStyle w:val="FootnoteText"/>
        <w:rPr>
          <w:lang w:val="en-US"/>
        </w:rPr>
      </w:pPr>
      <w:r>
        <w:rPr>
          <w:rStyle w:val="FootnoteReference"/>
        </w:rPr>
        <w:footnoteRef/>
      </w:r>
      <w:r>
        <w:t xml:space="preserve"> </w:t>
      </w:r>
      <w:r w:rsidRPr="00CD605A">
        <w:t>EMEA (European Medicines Evaluation Agency) Note for Guidance CPMP/BWP/214/96 for the immunological evaluation of influenza vaccines for adult and elderly populations</w:t>
      </w:r>
      <w:r>
        <w:t>.</w:t>
      </w:r>
    </w:p>
  </w:footnote>
  <w:footnote w:id="15">
    <w:p w14:paraId="31902383" w14:textId="77777777" w:rsidR="0073328E" w:rsidRPr="00AD41B1" w:rsidRDefault="0073328E">
      <w:pPr>
        <w:pStyle w:val="FootnoteText"/>
        <w:rPr>
          <w:lang w:val="en-US"/>
        </w:rPr>
      </w:pPr>
      <w:r>
        <w:rPr>
          <w:rStyle w:val="FootnoteReference"/>
        </w:rPr>
        <w:footnoteRef/>
      </w:r>
      <w:r>
        <w:t xml:space="preserve"> </w:t>
      </w:r>
      <w:r w:rsidRPr="00AD41B1">
        <w:t xml:space="preserve">The </w:t>
      </w:r>
      <w:r w:rsidRPr="00AD41B1">
        <w:rPr>
          <w:b/>
        </w:rPr>
        <w:t>Minimum Data Set (MDS)</w:t>
      </w:r>
      <w:r w:rsidRPr="00AD41B1">
        <w:t xml:space="preserve"> is part of a </w:t>
      </w:r>
      <w:r>
        <w:t xml:space="preserve">US </w:t>
      </w:r>
      <w:r w:rsidRPr="00AD41B1">
        <w:t xml:space="preserve">federally mandated process for clinical assessment of all residents in </w:t>
      </w:r>
      <w:r>
        <w:t xml:space="preserve">American </w:t>
      </w:r>
      <w:r w:rsidRPr="00AD41B1">
        <w:t>Medicare or Medicaid certified nursing homes. This process entails a co</w:t>
      </w:r>
      <w:r>
        <w:t>mprehensive, standardis</w:t>
      </w:r>
      <w:r w:rsidRPr="00AD41B1">
        <w:t>ed assessment of each resident's functional capabilities and health needs. Assessments are conducted by trained nursing home clinicians on all patients at admission and discharge, in additio</w:t>
      </w:r>
      <w:r>
        <w:t>n to other time intervals (for example,</w:t>
      </w:r>
      <w:r w:rsidRPr="00AD41B1">
        <w:t xml:space="preserve"> quarterly, annually, and when residents experience a significant change in status).</w:t>
      </w:r>
    </w:p>
  </w:footnote>
  <w:footnote w:id="16">
    <w:p w14:paraId="01AF26E5" w14:textId="77777777" w:rsidR="0073328E" w:rsidRPr="003860D4" w:rsidRDefault="0073328E" w:rsidP="003860D4">
      <w:pPr>
        <w:pStyle w:val="FootnoteText"/>
        <w:rPr>
          <w:lang w:val="en-US"/>
        </w:rPr>
      </w:pPr>
      <w:r>
        <w:rPr>
          <w:rStyle w:val="FootnoteReference"/>
        </w:rPr>
        <w:footnoteRef/>
      </w:r>
      <w:r>
        <w:t xml:space="preserve"> </w:t>
      </w:r>
      <w:r w:rsidRPr="00D454CC">
        <w:t xml:space="preserve">The </w:t>
      </w:r>
      <w:r w:rsidRPr="00D454CC">
        <w:rPr>
          <w:b/>
        </w:rPr>
        <w:t>Veterans Health Administration</w:t>
      </w:r>
      <w:r w:rsidRPr="00D454CC">
        <w:t xml:space="preserve"> (</w:t>
      </w:r>
      <w:r w:rsidRPr="00D454CC">
        <w:rPr>
          <w:b/>
        </w:rPr>
        <w:t>VHA</w:t>
      </w:r>
      <w:r w:rsidRPr="00D454CC">
        <w:t>) is the component of the United States Department of Veterans Affairs (VA) led by the Under Secretary of Veterans Affairs for Health</w:t>
      </w:r>
      <w:r>
        <w:t xml:space="preserve"> </w:t>
      </w:r>
      <w:r w:rsidRPr="00D454CC">
        <w:t xml:space="preserve">that implements the healthcare program of the VA through the administration and operation of numerous VA </w:t>
      </w:r>
      <w:r>
        <w:t>medical centres, outpatient clinics and nursing homes.</w:t>
      </w:r>
    </w:p>
  </w:footnote>
  <w:footnote w:id="17">
    <w:p w14:paraId="3773CB8D" w14:textId="77777777" w:rsidR="0073328E" w:rsidRPr="00B44470" w:rsidRDefault="0073328E" w:rsidP="00D454CC">
      <w:pPr>
        <w:pStyle w:val="FootnoteText"/>
      </w:pPr>
      <w:r>
        <w:rPr>
          <w:rStyle w:val="FootnoteReference"/>
        </w:rPr>
        <w:footnoteRef/>
      </w:r>
      <w:r>
        <w:t xml:space="preserve"> </w:t>
      </w:r>
      <w:r w:rsidRPr="00D454CC">
        <w:t xml:space="preserve">The </w:t>
      </w:r>
      <w:r w:rsidRPr="00D454CC">
        <w:rPr>
          <w:b/>
        </w:rPr>
        <w:t>International Classification of Diseases</w:t>
      </w:r>
      <w:r w:rsidRPr="00D454CC">
        <w:t xml:space="preserve"> (</w:t>
      </w:r>
      <w:r w:rsidRPr="00D454CC">
        <w:rPr>
          <w:b/>
        </w:rPr>
        <w:t>ICD</w:t>
      </w:r>
      <w:r w:rsidRPr="00D454CC">
        <w:t>)</w:t>
      </w:r>
      <w:r>
        <w:t xml:space="preserve"> is a globally used</w:t>
      </w:r>
      <w:r w:rsidRPr="00D454CC">
        <w:t xml:space="preserve"> diagnostic tool</w:t>
      </w:r>
      <w:r>
        <w:t xml:space="preserve"> published and maintained by the World Health Organization (WHO) providing a code-based index used for categorising </w:t>
      </w:r>
      <w:r w:rsidRPr="00B44470">
        <w:t>diseases, disorders, injuries and other related health conditions.</w:t>
      </w:r>
      <w:r>
        <w:t xml:space="preserve"> </w:t>
      </w:r>
      <w:r w:rsidRPr="00B44470">
        <w:t>It is the international standard for defining and reporting dis</w:t>
      </w:r>
      <w:r>
        <w:t xml:space="preserve">eases and health conditions. </w:t>
      </w:r>
      <w:r w:rsidRPr="00B44470">
        <w:t>As well as enabling the storage and retrieval of diagnostic information for clinical, epidemiological (which deals with the study of the causes, distribution, and control of disease in populations) and quality purposes, ICD records also form the basis for compiling national mortality and morbidity statistics by WHO Member States.</w:t>
      </w:r>
    </w:p>
  </w:footnote>
  <w:footnote w:id="18">
    <w:p w14:paraId="7054A814" w14:textId="77777777" w:rsidR="0073328E" w:rsidRDefault="0073328E" w:rsidP="00130354">
      <w:pPr>
        <w:pStyle w:val="FootnoteText"/>
        <w:rPr>
          <w:lang w:val="en-US"/>
        </w:rPr>
      </w:pPr>
      <w:r>
        <w:rPr>
          <w:rStyle w:val="FootnoteReference"/>
        </w:rPr>
        <w:footnoteRef/>
      </w:r>
      <w:r>
        <w:t xml:space="preserve"> </w:t>
      </w:r>
      <w:r>
        <w:rPr>
          <w:lang w:val="en-US"/>
        </w:rPr>
        <w:t>ICD-9: 480-488 is the coding in the ninth edition of the ICD covering pneumonia and influenza and covers the following diagnoses:</w:t>
      </w:r>
    </w:p>
    <w:p w14:paraId="7AC0FF86" w14:textId="77777777" w:rsidR="0073328E" w:rsidRPr="00130354" w:rsidRDefault="0073328E">
      <w:pPr>
        <w:pStyle w:val="FootnoteText"/>
      </w:pPr>
      <w:r>
        <w:t>ICD</w:t>
      </w:r>
      <w:r>
        <w:noBreakHyphen/>
        <w:t>9 480-488; Pneumonia and influenza (480–488): 480 Viral pneumonia; 480.31 Pneumonia, SARS associated coronavirus; 480.9 Pneumonia, viral, unspec.; 481 Pneumococcal pneumonia; 482 Other bacterial pneumonia; 482.9 Pneumonia, bacterial, unspec.; 483 Pneumonia due to other specified organism; 483.0 Mycoplasma pneumonia; 485 Bronchopneumonia, organism unspecified; 486 Pneumonia, organism unspecified; 487 Influenza; 487.0 Influenza w/ pneumonia; 487.1 Influenza w/ other respiratory manifestations; 488 Influenza due to identified Avian influenza virus; 488.1 Influenza due to identified 2009 H1N1 virus.</w:t>
      </w:r>
    </w:p>
  </w:footnote>
  <w:footnote w:id="19">
    <w:p w14:paraId="5917A60C" w14:textId="77777777" w:rsidR="0073328E" w:rsidRPr="00C762E7" w:rsidRDefault="0073328E">
      <w:pPr>
        <w:pStyle w:val="FootnoteText"/>
        <w:rPr>
          <w:lang w:val="en-US"/>
        </w:rPr>
      </w:pPr>
      <w:r>
        <w:rPr>
          <w:rStyle w:val="FootnoteReference"/>
        </w:rPr>
        <w:footnoteRef/>
      </w:r>
      <w:r>
        <w:t xml:space="preserve"> </w:t>
      </w:r>
      <w:r>
        <w:rPr>
          <w:lang w:val="en-US"/>
        </w:rPr>
        <w:t>At the time of the issuing of the Delegate’s Overview.</w:t>
      </w:r>
    </w:p>
  </w:footnote>
  <w:footnote w:id="20">
    <w:p w14:paraId="7B4A09A0" w14:textId="77777777" w:rsidR="0073328E" w:rsidRPr="00C1210D" w:rsidRDefault="0073328E">
      <w:pPr>
        <w:pStyle w:val="FootnoteText"/>
        <w:rPr>
          <w:lang w:val="en-US"/>
        </w:rPr>
      </w:pPr>
      <w:r>
        <w:rPr>
          <w:rStyle w:val="FootnoteReference"/>
        </w:rPr>
        <w:footnoteRef/>
      </w:r>
      <w:r>
        <w:t xml:space="preserve"> </w:t>
      </w:r>
      <w:r w:rsidRPr="00C1210D">
        <w:t>EMEA (European Medicines Evaluation Agency) Note for Guidance CPMP/BWP/214/96 for the immunological evaluation of influenza vaccines for adult and elderly populations.</w:t>
      </w:r>
    </w:p>
  </w:footnote>
  <w:footnote w:id="21">
    <w:p w14:paraId="62603536" w14:textId="77777777" w:rsidR="0073328E" w:rsidRPr="00C1210D" w:rsidRDefault="0073328E">
      <w:pPr>
        <w:pStyle w:val="FootnoteText"/>
        <w:rPr>
          <w:lang w:val="en-US"/>
        </w:rPr>
      </w:pPr>
      <w:r>
        <w:rPr>
          <w:rStyle w:val="FootnoteReference"/>
        </w:rPr>
        <w:footnoteRef/>
      </w:r>
      <w:r>
        <w:t xml:space="preserve"> </w:t>
      </w:r>
      <w:r>
        <w:rPr>
          <w:lang w:val="en-US"/>
        </w:rPr>
        <w:t xml:space="preserve">Prior to 2004, the </w:t>
      </w:r>
      <w:r w:rsidRPr="00C1210D">
        <w:rPr>
          <w:b/>
          <w:lang w:val="en-US"/>
        </w:rPr>
        <w:t xml:space="preserve">European Medicines Agency </w:t>
      </w:r>
      <w:r w:rsidRPr="00E91336">
        <w:rPr>
          <w:lang w:val="en-US"/>
        </w:rPr>
        <w:t>(</w:t>
      </w:r>
      <w:r w:rsidRPr="00C1210D">
        <w:rPr>
          <w:b/>
          <w:lang w:val="en-US"/>
        </w:rPr>
        <w:t>EMA</w:t>
      </w:r>
      <w:r w:rsidRPr="00E91336">
        <w:rPr>
          <w:lang w:val="en-US"/>
        </w:rPr>
        <w:t>)</w:t>
      </w:r>
      <w:r w:rsidRPr="00C1210D">
        <w:rPr>
          <w:b/>
          <w:lang w:val="en-US"/>
        </w:rPr>
        <w:t xml:space="preserve"> </w:t>
      </w:r>
      <w:r>
        <w:rPr>
          <w:lang w:val="en-US"/>
        </w:rPr>
        <w:t xml:space="preserve">was known as the </w:t>
      </w:r>
      <w:r w:rsidRPr="00C1210D">
        <w:rPr>
          <w:b/>
        </w:rPr>
        <w:t>European Medicines Evaluation Agency</w:t>
      </w:r>
      <w:r w:rsidRPr="00C1210D">
        <w:rPr>
          <w:b/>
          <w:lang w:val="en-US"/>
        </w:rPr>
        <w:t xml:space="preserve"> </w:t>
      </w:r>
      <w:r w:rsidRPr="00E91336">
        <w:rPr>
          <w:lang w:val="en-US"/>
        </w:rPr>
        <w:t>(</w:t>
      </w:r>
      <w:r w:rsidRPr="00C1210D">
        <w:rPr>
          <w:b/>
          <w:lang w:val="en-US"/>
        </w:rPr>
        <w:t>EMEA</w:t>
      </w:r>
      <w:r w:rsidRPr="00E91336">
        <w:rPr>
          <w:lang w:val="en-US"/>
        </w:rPr>
        <w:t>).</w:t>
      </w:r>
    </w:p>
  </w:footnote>
  <w:footnote w:id="22">
    <w:p w14:paraId="1FE63CA6" w14:textId="77777777" w:rsidR="0073328E" w:rsidRPr="009706F5" w:rsidRDefault="0073328E">
      <w:pPr>
        <w:pStyle w:val="FootnoteText"/>
      </w:pPr>
      <w:r>
        <w:rPr>
          <w:rStyle w:val="FootnoteReference"/>
        </w:rPr>
        <w:footnoteRef/>
      </w:r>
      <w:r>
        <w:t xml:space="preserve"> A </w:t>
      </w:r>
      <w:r w:rsidRPr="009706F5">
        <w:rPr>
          <w:b/>
        </w:rPr>
        <w:t>periodic benefit risk evaluation report</w:t>
      </w:r>
      <w:r w:rsidRPr="007A0A91">
        <w:t xml:space="preserve"> </w:t>
      </w:r>
      <w:r>
        <w:t>(</w:t>
      </w:r>
      <w:r w:rsidRPr="009706F5">
        <w:rPr>
          <w:b/>
        </w:rPr>
        <w:t>PBRER</w:t>
      </w:r>
      <w:r>
        <w:t>) is a post-approval</w:t>
      </w:r>
      <w:r w:rsidRPr="007A0A91">
        <w:t xml:space="preserve"> </w:t>
      </w:r>
      <w:r>
        <w:t>analysis of the safety and efficacy of an authorised drug or medication. PBRERs are to be submitted periodically, that is, every 6 months until the product is placed on the market, every 6 months for the first 2 years after the product is placed on the market and once a year for the following 2 years. Each PBRER is required to provide a clear, concise and accurate assessment of new and emerging identified risks or concerns identified with further use of newly approved drug.</w:t>
      </w:r>
    </w:p>
  </w:footnote>
  <w:footnote w:id="23">
    <w:p w14:paraId="5EB17296" w14:textId="77777777" w:rsidR="0073328E" w:rsidRPr="00112F85" w:rsidRDefault="0073328E" w:rsidP="009706F5">
      <w:pPr>
        <w:pStyle w:val="FootnoteText"/>
      </w:pPr>
      <w:r>
        <w:rPr>
          <w:rStyle w:val="FootnoteReference"/>
        </w:rPr>
        <w:footnoteRef/>
      </w:r>
      <w:r>
        <w:t xml:space="preserve"> </w:t>
      </w:r>
      <w:r w:rsidRPr="009706F5">
        <w:t xml:space="preserve">The </w:t>
      </w:r>
      <w:r w:rsidRPr="009706F5">
        <w:rPr>
          <w:b/>
        </w:rPr>
        <w:t>Australian Technical Advisory Group on Immunisation</w:t>
      </w:r>
      <w:r w:rsidRPr="009706F5">
        <w:t xml:space="preserve"> (</w:t>
      </w:r>
      <w:r w:rsidRPr="009706F5">
        <w:rPr>
          <w:b/>
        </w:rPr>
        <w:t>ATAGI</w:t>
      </w:r>
      <w:r w:rsidRPr="009706F5">
        <w:t xml:space="preserve">) </w:t>
      </w:r>
      <w:r>
        <w:t>are a Working Group providing</w:t>
      </w:r>
      <w:r w:rsidRPr="009706F5">
        <w:t xml:space="preserve"> advice to the Government on the effective and equitable use of vaccines available in Australia, as directed by the Department of Health.</w:t>
      </w:r>
      <w:r>
        <w:t xml:space="preserve"> The Working Group is made up of medical and scientific experts meeting throughout the year to advise the Minister for Health to advise on the medical administration of vaccines available in Australia including the those available through the National Immunisation Program NIP and to carry out the following roles: to provide advice to research organisations on current immunisation research and areas that need more research; to provide industry sponsors with Pre-submission Advice for potential submissions to the Pharmaceutical Benefits Advisory Committee (PBAC) on vaccine effectiveness and use in Australia. ATAGI advice must be sought prior to a sponsor making a submission to the PBAC (see parallel processing requirements for PBAC vaccine submissions and pre-submission advice for industry sponsors wishing to make a PBAC submission); to consult with relevant organisations to produce the Australian Immunisation Handbook; and to consult with relevant organisations in implementing immunisation policies, procedures and vaccine safety.</w:t>
      </w:r>
    </w:p>
  </w:footnote>
  <w:footnote w:id="24">
    <w:p w14:paraId="5885CCDE" w14:textId="77777777" w:rsidR="0073328E" w:rsidRDefault="0073328E"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20113B77" w14:textId="77777777" w:rsidR="0073328E" w:rsidRDefault="0073328E" w:rsidP="007D53B6">
      <w:pPr>
        <w:pStyle w:val="FootnoteText"/>
      </w:pPr>
      <w:r w:rsidRPr="007D53B6">
        <w:rPr>
          <w:i/>
        </w:rPr>
        <w:t>Routine pharmacovigilance</w:t>
      </w:r>
      <w:r>
        <w:t xml:space="preserve"> practices involve the following activities:</w:t>
      </w:r>
    </w:p>
    <w:p w14:paraId="5022FD66" w14:textId="77777777" w:rsidR="0073328E" w:rsidRDefault="0073328E" w:rsidP="007D53B6">
      <w:pPr>
        <w:pStyle w:val="FootnoteText"/>
        <w:numPr>
          <w:ilvl w:val="0"/>
          <w:numId w:val="32"/>
        </w:numPr>
        <w:ind w:left="284" w:hanging="284"/>
      </w:pPr>
      <w:r>
        <w:t>All suspected adverse reactions that are reported to the personnel of the company are collected and collated in an accessible manner;</w:t>
      </w:r>
    </w:p>
    <w:p w14:paraId="69602298" w14:textId="77777777" w:rsidR="0073328E" w:rsidRDefault="0073328E" w:rsidP="007D53B6">
      <w:pPr>
        <w:pStyle w:val="FootnoteText"/>
        <w:numPr>
          <w:ilvl w:val="0"/>
          <w:numId w:val="32"/>
        </w:numPr>
        <w:ind w:left="284" w:hanging="284"/>
      </w:pPr>
      <w:r>
        <w:t>Reporting to regulatory authorities;</w:t>
      </w:r>
    </w:p>
    <w:p w14:paraId="281C1AAE" w14:textId="77777777" w:rsidR="0073328E" w:rsidRDefault="0073328E" w:rsidP="007D53B6">
      <w:pPr>
        <w:pStyle w:val="FootnoteText"/>
        <w:numPr>
          <w:ilvl w:val="0"/>
          <w:numId w:val="32"/>
        </w:numPr>
        <w:ind w:left="284" w:hanging="284"/>
      </w:pPr>
      <w:r>
        <w:t>Continuous monitoring of the safety profiles of approved products including signal detection and updating of labelling;</w:t>
      </w:r>
    </w:p>
    <w:p w14:paraId="5938498B" w14:textId="77777777" w:rsidR="0073328E" w:rsidRDefault="0073328E" w:rsidP="007D53B6">
      <w:pPr>
        <w:pStyle w:val="FootnoteText"/>
        <w:numPr>
          <w:ilvl w:val="0"/>
          <w:numId w:val="32"/>
        </w:numPr>
        <w:ind w:left="284" w:hanging="284"/>
      </w:pPr>
      <w:r>
        <w:t>Submission of PSURs;</w:t>
      </w:r>
    </w:p>
    <w:p w14:paraId="5F6A4C82" w14:textId="77777777" w:rsidR="0073328E" w:rsidRDefault="0073328E" w:rsidP="007D53B6">
      <w:pPr>
        <w:pStyle w:val="FootnoteText"/>
        <w:numPr>
          <w:ilvl w:val="0"/>
          <w:numId w:val="32"/>
        </w:numPr>
        <w:ind w:left="284" w:hanging="284"/>
      </w:pPr>
      <w:r>
        <w:t>Meeting other local regulatory agency requirements.</w:t>
      </w:r>
    </w:p>
  </w:footnote>
  <w:footnote w:id="25">
    <w:p w14:paraId="0C061077" w14:textId="77777777" w:rsidR="0073328E" w:rsidRPr="009637C5" w:rsidRDefault="0073328E">
      <w:pPr>
        <w:pStyle w:val="FootnoteText"/>
        <w:rPr>
          <w:lang w:val="en-US"/>
        </w:rPr>
      </w:pPr>
      <w:r>
        <w:rPr>
          <w:rStyle w:val="FootnoteReference"/>
        </w:rPr>
        <w:footnoteRef/>
      </w:r>
      <w:r>
        <w:t xml:space="preserve"> </w:t>
      </w:r>
      <w:r w:rsidRPr="009637C5">
        <w:rPr>
          <w:b/>
        </w:rPr>
        <w:t>AusVaxSafety</w:t>
      </w:r>
      <w:r w:rsidRPr="009637C5">
        <w:t xml:space="preserve"> is a national system for monitoring vaccine safety in Australia. The purpose of AusVaxSafety is to optimise community and healthcare provider confidence in the safety of the National Immunisation Program vaccines by complementing existing post-marketing vaccine pharmacovigilance for the detection of adverse events following immunisation.</w:t>
      </w:r>
    </w:p>
  </w:footnote>
  <w:footnote w:id="26">
    <w:p w14:paraId="5FB254A9" w14:textId="77777777" w:rsidR="0073328E" w:rsidRDefault="0073328E">
      <w:pPr>
        <w:pStyle w:val="FootnoteText"/>
        <w:rPr>
          <w:lang w:val="en-US"/>
        </w:rPr>
      </w:pPr>
      <w:r>
        <w:rPr>
          <w:rStyle w:val="FootnoteReference"/>
        </w:rPr>
        <w:footnoteRef/>
      </w:r>
      <w:r>
        <w:t xml:space="preserve"> </w:t>
      </w:r>
      <w:r>
        <w:rPr>
          <w:lang w:val="en-US"/>
        </w:rPr>
        <w:t xml:space="preserve">The </w:t>
      </w:r>
      <w:r w:rsidRPr="00006BC0">
        <w:rPr>
          <w:b/>
          <w:lang w:val="en-US"/>
        </w:rPr>
        <w:t>Pharmaceutical Benefits Advisory Committee (PBAC)</w:t>
      </w:r>
      <w:r>
        <w:rPr>
          <w:lang w:val="en-US"/>
        </w:rPr>
        <w:t xml:space="preserve"> was</w:t>
      </w:r>
      <w:r w:rsidRPr="00006BC0">
        <w:rPr>
          <w:lang w:val="en-US"/>
        </w:rPr>
        <w:t xml:space="preserve"> established under the National Health Act </w:t>
      </w:r>
      <w:r>
        <w:rPr>
          <w:lang w:val="en-US"/>
        </w:rPr>
        <w:t>(</w:t>
      </w:r>
      <w:r w:rsidRPr="00006BC0">
        <w:rPr>
          <w:lang w:val="en-US"/>
        </w:rPr>
        <w:t>1953</w:t>
      </w:r>
      <w:r>
        <w:rPr>
          <w:lang w:val="en-US"/>
        </w:rPr>
        <w:t>)</w:t>
      </w:r>
      <w:r w:rsidRPr="00006BC0">
        <w:rPr>
          <w:lang w:val="en-US"/>
        </w:rPr>
        <w:t xml:space="preserve">. Its primary role is to recommend to the Minister for Health which medicines should be subsidised under the </w:t>
      </w:r>
      <w:r w:rsidRPr="00006BC0">
        <w:rPr>
          <w:b/>
          <w:lang w:val="en-US"/>
        </w:rPr>
        <w:t>Pharmaceutical Benefits Scheme (PBS)</w:t>
      </w:r>
      <w:r>
        <w:rPr>
          <w:lang w:val="en-US"/>
        </w:rPr>
        <w:t>.</w:t>
      </w:r>
    </w:p>
    <w:p w14:paraId="5766B069" w14:textId="77777777" w:rsidR="0073328E" w:rsidRPr="00006BC0" w:rsidRDefault="0073328E">
      <w:pPr>
        <w:pStyle w:val="FootnoteText"/>
        <w:rPr>
          <w:lang w:val="en-US"/>
        </w:rPr>
      </w:pPr>
      <w:r w:rsidRPr="00006BC0">
        <w:rPr>
          <w:lang w:val="en-US"/>
        </w:rPr>
        <w:t>The PBAC is required, under the Act, to consider the effectiveness and cost of the proposed medicine compared with existing therapies. The functions of the PBAC a</w:t>
      </w:r>
      <w:r>
        <w:rPr>
          <w:lang w:val="en-US"/>
        </w:rPr>
        <w:t xml:space="preserve">re outlined in s101 of the Act. </w:t>
      </w:r>
      <w:r w:rsidRPr="00006BC0">
        <w:rPr>
          <w:lang w:val="en-US"/>
        </w:rPr>
        <w:t>In particular, the PBAC is required to consider the effectiveness and cost of the proposed medicine compared with alternative therapies. It cannot make a positive recommendation for a medicine that is substantially more costly than an alternative medicine unless it is satisfied that the proposed medicine also provides a significant improvement in health.</w:t>
      </w:r>
    </w:p>
  </w:footnote>
  <w:footnote w:id="27">
    <w:p w14:paraId="198A7DE5" w14:textId="77777777" w:rsidR="0073328E" w:rsidRDefault="0073328E" w:rsidP="003F1644">
      <w:pPr>
        <w:pStyle w:val="FootnoteText"/>
      </w:pPr>
      <w:r>
        <w:rPr>
          <w:rStyle w:val="FootnoteReference"/>
        </w:rPr>
        <w:footnoteRef/>
      </w:r>
      <w:r>
        <w:t xml:space="preserve"> The </w:t>
      </w:r>
      <w:r w:rsidRPr="003F1644">
        <w:rPr>
          <w:b/>
        </w:rPr>
        <w:t>Advisory Committee on Vaccines</w:t>
      </w:r>
      <w:r>
        <w:t xml:space="preserve"> (</w:t>
      </w:r>
      <w:r w:rsidRPr="003F1644">
        <w:rPr>
          <w:b/>
        </w:rPr>
        <w:t>ACV</w:t>
      </w:r>
      <w:r>
        <w:t>) provides independent medical and scientific advice to the Minister for Health and the Therapeutic Goods Administration (TGA) on issues relating to the safety, quality and efficacy of vaccines supplied in Australia including issues relating to pre-market assessment, post-market monitoring and safe use in national immunisation programs.</w:t>
      </w:r>
    </w:p>
    <w:p w14:paraId="710C742F" w14:textId="77777777" w:rsidR="0073328E" w:rsidRDefault="0073328E" w:rsidP="003F1644">
      <w:pPr>
        <w:pStyle w:val="FootnoteText"/>
      </w:pPr>
      <w:r>
        <w:t>The Committee is established under Regulation 39F of the Therapeutic Goods Regulations 1990 and the members are appointed by the Minister for Health.</w:t>
      </w:r>
    </w:p>
    <w:p w14:paraId="05D21F8C" w14:textId="77777777" w:rsidR="0073328E" w:rsidRDefault="0073328E" w:rsidP="003F1644">
      <w:pPr>
        <w:pStyle w:val="FootnoteText"/>
      </w:pPr>
      <w:r>
        <w:t>The ACV was established in January 2017, following consolidation of previous functions of the Advisory Committee on the Safety of Vaccines (ACSOV) and the pre-market functions for vaccines of the Advisory Committee on Prescription Medicines (ACPM).</w:t>
      </w:r>
    </w:p>
    <w:p w14:paraId="6910E3B2" w14:textId="77777777" w:rsidR="0073328E" w:rsidRPr="00456765" w:rsidRDefault="0073328E" w:rsidP="003F1644">
      <w:pPr>
        <w:pStyle w:val="FootnoteText"/>
        <w:rPr>
          <w:lang w:val="en-US"/>
        </w:rPr>
      </w:pPr>
      <w:r>
        <w:t>Membership comprises professionals with expertise in specific scientific, medical or clinical fields, or consumer health issues.</w:t>
      </w:r>
    </w:p>
  </w:footnote>
  <w:footnote w:id="28">
    <w:p w14:paraId="47FC1974" w14:textId="77777777" w:rsidR="0073328E" w:rsidRPr="001F578A" w:rsidRDefault="0073328E">
      <w:pPr>
        <w:pStyle w:val="FootnoteText"/>
        <w:rPr>
          <w:lang w:val="en-US"/>
        </w:rPr>
      </w:pPr>
      <w:r>
        <w:rPr>
          <w:rStyle w:val="FootnoteReference"/>
        </w:rPr>
        <w:footnoteRef/>
      </w:r>
      <w:r>
        <w:t xml:space="preserve"> </w:t>
      </w:r>
      <w:r w:rsidRPr="001F578A">
        <w:t>Lee</w:t>
      </w:r>
      <w:r>
        <w:t xml:space="preserve"> J, </w:t>
      </w:r>
      <w:r w:rsidRPr="001F578A">
        <w:t>Lam</w:t>
      </w:r>
      <w:r>
        <w:t xml:space="preserve"> G, </w:t>
      </w:r>
      <w:r w:rsidRPr="001F578A">
        <w:t>Shin</w:t>
      </w:r>
      <w:r>
        <w:t xml:space="preserve"> T, </w:t>
      </w:r>
      <w:r w:rsidRPr="001F578A">
        <w:t>Kim</w:t>
      </w:r>
      <w:r>
        <w:t xml:space="preserve"> J, Krishnan A, Greenberg D and </w:t>
      </w:r>
      <w:r w:rsidRPr="001F578A">
        <w:t>Chit</w:t>
      </w:r>
      <w:r>
        <w:t xml:space="preserve"> A; </w:t>
      </w:r>
      <w:r w:rsidRPr="001F578A">
        <w:t>Efficacy and effectiveness of high-dose versus standard-dose influenza vaccination for older adults: a systematic review and meta-analysis</w:t>
      </w:r>
      <w:r>
        <w:t xml:space="preserve"> </w:t>
      </w:r>
      <w:r w:rsidRPr="001F578A">
        <w:t>(2018)</w:t>
      </w:r>
      <w:r>
        <w:t>.</w:t>
      </w:r>
      <w:r w:rsidRPr="001F578A">
        <w:t xml:space="preserve"> Efficacy and effectiveness of high-dose versus standard- dose influenza vaccination for older adults: a systematic review and meta-analysis, Expert Review of Vaccines, 17:5, 435-443</w:t>
      </w:r>
      <w:r>
        <w:t>.</w:t>
      </w:r>
    </w:p>
  </w:footnote>
  <w:footnote w:id="29">
    <w:p w14:paraId="2D693F4C" w14:textId="77777777" w:rsidR="0073328E" w:rsidRDefault="0073328E" w:rsidP="00CB430A">
      <w:pPr>
        <w:pStyle w:val="FootnoteText"/>
      </w:pPr>
      <w:r>
        <w:rPr>
          <w:rStyle w:val="FootnoteReference"/>
        </w:rPr>
        <w:footnoteRef/>
      </w:r>
      <w:r>
        <w:t xml:space="preserve"> Oxman MN, Levin MJ, Johnson GR, et al. A Vaccine to Prevent Herpes Zoster and Postherpetic Neuralgia</w:t>
      </w:r>
    </w:p>
    <w:p w14:paraId="39AE1D61" w14:textId="77777777" w:rsidR="0073328E" w:rsidRPr="00CB430A" w:rsidRDefault="0073328E" w:rsidP="00CB430A">
      <w:pPr>
        <w:pStyle w:val="FootnoteText"/>
        <w:rPr>
          <w:lang w:val="en-US"/>
        </w:rPr>
      </w:pPr>
      <w:r>
        <w:t>in Older Adults. N Engl J Med 2005. 352(22):2271-84. doi: 10.1056/NEJMoa051016.</w:t>
      </w:r>
    </w:p>
  </w:footnote>
  <w:footnote w:id="30">
    <w:p w14:paraId="67A9D2C0" w14:textId="77777777" w:rsidR="0073328E" w:rsidRPr="00CB430A" w:rsidRDefault="0073328E" w:rsidP="00CB430A">
      <w:pPr>
        <w:pStyle w:val="FootnoteText"/>
      </w:pPr>
      <w:r>
        <w:rPr>
          <w:rStyle w:val="FootnoteReference"/>
        </w:rPr>
        <w:footnoteRef/>
      </w:r>
      <w:r>
        <w:t xml:space="preserve"> Fluad Quad (inactivated quadrivalent influenza vaccine (surface antigen), adjuvanted) is indicated for active immunisation against influenza in persons 65 years of age and older. Sponsor Seqirus Pty Ltd. Approved October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37EAC" w14:textId="77777777" w:rsidR="00844094" w:rsidRDefault="00844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4A19" w14:textId="77777777" w:rsidR="0073328E" w:rsidRDefault="0073328E"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2B89D" w14:textId="77777777" w:rsidR="0073328E" w:rsidRDefault="0073328E">
    <w:pPr>
      <w:rPr>
        <w:noProof/>
        <w:lang w:eastAsia="en-AU"/>
      </w:rPr>
    </w:pPr>
    <w:r w:rsidRPr="00347824">
      <w:rPr>
        <w:noProof/>
        <w:lang w:eastAsia="en-AU"/>
      </w:rPr>
      <w:drawing>
        <wp:anchor distT="0" distB="0" distL="114300" distR="114300" simplePos="0" relativeHeight="251657216" behindDoc="1" locked="0" layoutInCell="1" allowOverlap="1" wp14:anchorId="2EDD7CE7" wp14:editId="020D6CC2">
          <wp:simplePos x="0" y="0"/>
          <wp:positionH relativeFrom="column">
            <wp:posOffset>-1089660</wp:posOffset>
          </wp:positionH>
          <wp:positionV relativeFrom="paragraph">
            <wp:posOffset>-585470</wp:posOffset>
          </wp:positionV>
          <wp:extent cx="7572375" cy="10706100"/>
          <wp:effectExtent l="19050" t="0" r="0"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6E12312" w14:textId="513CFB78" w:rsidR="0073328E" w:rsidRDefault="0073328E"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D3692" w14:textId="77777777" w:rsidR="0073328E" w:rsidRDefault="007332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10D31" w14:textId="77777777" w:rsidR="0073328E" w:rsidRDefault="0073328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2940" w14:textId="77777777" w:rsidR="0073328E" w:rsidRDefault="0073328E">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A78F" w14:textId="77777777" w:rsidR="0073328E" w:rsidRDefault="007332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1E32" w14:textId="77777777" w:rsidR="0073328E" w:rsidRDefault="0073328E"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A8F1" w14:textId="77777777" w:rsidR="0073328E" w:rsidRDefault="0073328E" w:rsidP="006E08B3">
    <w:r>
      <w:t>Therapeutic Goods Administration</w:t>
    </w:r>
  </w:p>
  <w:p w14:paraId="7F84EA42" w14:textId="77777777" w:rsidR="0073328E" w:rsidRDefault="0073328E"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1C2876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800FA46"/>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EF984EA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22043DC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A77BC7"/>
    <w:multiLevelType w:val="hybridMultilevel"/>
    <w:tmpl w:val="BF164D42"/>
    <w:lvl w:ilvl="0" w:tplc="C668FA08">
      <w:start w:val="1"/>
      <w:numFmt w:val="decimal"/>
      <w:lvlText w:val="(%1)"/>
      <w:lvlJc w:val="left"/>
      <w:pPr>
        <w:ind w:left="1490" w:hanging="11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7279CB"/>
    <w:multiLevelType w:val="hybridMultilevel"/>
    <w:tmpl w:val="324839D4"/>
    <w:lvl w:ilvl="0" w:tplc="E5EACD22">
      <w:numFmt w:val="bullet"/>
      <w:lvlText w:val="•"/>
      <w:lvlJc w:val="left"/>
      <w:pPr>
        <w:ind w:left="810" w:hanging="720"/>
      </w:pPr>
      <w:rPr>
        <w:rFonts w:ascii="Cambria" w:eastAsia="Cambria" w:hAnsi="Cambria" w:cs="Times New Roman"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13" w15:restartNumberingAfterBreak="0">
    <w:nsid w:val="75A2274F"/>
    <w:multiLevelType w:val="hybridMultilevel"/>
    <w:tmpl w:val="673831C4"/>
    <w:lvl w:ilvl="0" w:tplc="99E0ABCC">
      <w:start w:val="6"/>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BD1AC3"/>
    <w:multiLevelType w:val="hybridMultilevel"/>
    <w:tmpl w:val="9BE2D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CCD2A95"/>
    <w:multiLevelType w:val="hybridMultilevel"/>
    <w:tmpl w:val="ABB24AD8"/>
    <w:lvl w:ilvl="0" w:tplc="AF32BAA0">
      <w:start w:val="1"/>
      <w:numFmt w:val="decimal"/>
      <w:lvlText w:val="%1)"/>
      <w:lvlJc w:val="left"/>
      <w:pPr>
        <w:ind w:left="720" w:hanging="360"/>
      </w:pPr>
      <w:rPr>
        <w:rFonts w:asciiTheme="minorHAnsi" w:hAnsiTheme="minorHAnsi"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15"/>
  </w:num>
  <w:num w:numId="29">
    <w:abstractNumId w:val="7"/>
  </w:num>
  <w:num w:numId="30">
    <w:abstractNumId w:val="9"/>
  </w:num>
  <w:num w:numId="31">
    <w:abstractNumId w:val="4"/>
  </w:num>
  <w:num w:numId="32">
    <w:abstractNumId w:val="12"/>
  </w:num>
  <w:num w:numId="33">
    <w:abstractNumId w:val="14"/>
  </w:num>
  <w:num w:numId="34">
    <w:abstractNumId w:val="16"/>
  </w:num>
  <w:num w:numId="35">
    <w:abstractNumId w:val="10"/>
  </w:num>
  <w:num w:numId="36">
    <w:abstractNumId w:val="5"/>
  </w:num>
  <w:num w:numId="37">
    <w:abstractNumId w:val="6"/>
    <w:lvlOverride w:ilvl="0">
      <w:startOverride w:val="1"/>
      <w:lvl w:ilvl="0">
        <w:start w:val="1"/>
        <w:numFmt w:val="decimal"/>
        <w:pStyle w:val="Numberbullet0"/>
        <w:lvlText w:val=""/>
        <w:lvlJc w:val="left"/>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decimal"/>
        <w:pStyle w:val="Number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8">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decimal"/>
        <w:pStyle w:val="Numberbullet2"/>
        <w:lvlText w:val=""/>
        <w:lvlJc w:val="left"/>
      </w:lvl>
    </w:lvlOverride>
    <w:lvlOverride w:ilvl="2">
      <w:startOverride w:val="1"/>
      <w:lvl w:ilvl="2">
        <w:start w:val="1"/>
        <w:numFmt w:val="decimal"/>
        <w:pStyle w:val="Number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5B"/>
    <w:rsid w:val="00002031"/>
    <w:rsid w:val="00004734"/>
    <w:rsid w:val="00006B22"/>
    <w:rsid w:val="00006BC0"/>
    <w:rsid w:val="00006FAB"/>
    <w:rsid w:val="0001276A"/>
    <w:rsid w:val="00012CC0"/>
    <w:rsid w:val="000246AE"/>
    <w:rsid w:val="00025C67"/>
    <w:rsid w:val="00030AF1"/>
    <w:rsid w:val="00044772"/>
    <w:rsid w:val="0004541C"/>
    <w:rsid w:val="0005559E"/>
    <w:rsid w:val="000604D6"/>
    <w:rsid w:val="0006603E"/>
    <w:rsid w:val="000734D8"/>
    <w:rsid w:val="00076026"/>
    <w:rsid w:val="00077775"/>
    <w:rsid w:val="0008009E"/>
    <w:rsid w:val="00086CD4"/>
    <w:rsid w:val="000870C0"/>
    <w:rsid w:val="00090471"/>
    <w:rsid w:val="00096AA7"/>
    <w:rsid w:val="000A3AED"/>
    <w:rsid w:val="000B3532"/>
    <w:rsid w:val="000B3A75"/>
    <w:rsid w:val="000C00C2"/>
    <w:rsid w:val="000C690F"/>
    <w:rsid w:val="000C738B"/>
    <w:rsid w:val="000D119B"/>
    <w:rsid w:val="000D1295"/>
    <w:rsid w:val="000D391B"/>
    <w:rsid w:val="000D3D6D"/>
    <w:rsid w:val="000D4FC7"/>
    <w:rsid w:val="000D733D"/>
    <w:rsid w:val="000E6196"/>
    <w:rsid w:val="000F4869"/>
    <w:rsid w:val="000F5B42"/>
    <w:rsid w:val="000F6E6F"/>
    <w:rsid w:val="0010601F"/>
    <w:rsid w:val="0010788A"/>
    <w:rsid w:val="00107A31"/>
    <w:rsid w:val="00110EA5"/>
    <w:rsid w:val="00112F56"/>
    <w:rsid w:val="00112F85"/>
    <w:rsid w:val="00124ACD"/>
    <w:rsid w:val="00125318"/>
    <w:rsid w:val="00130354"/>
    <w:rsid w:val="001305A2"/>
    <w:rsid w:val="00133238"/>
    <w:rsid w:val="00133A1B"/>
    <w:rsid w:val="00134401"/>
    <w:rsid w:val="001347DF"/>
    <w:rsid w:val="0014197B"/>
    <w:rsid w:val="001447CD"/>
    <w:rsid w:val="00144D37"/>
    <w:rsid w:val="00147A6E"/>
    <w:rsid w:val="001516B1"/>
    <w:rsid w:val="00154EBB"/>
    <w:rsid w:val="00156316"/>
    <w:rsid w:val="00156FDA"/>
    <w:rsid w:val="00161181"/>
    <w:rsid w:val="00162D14"/>
    <w:rsid w:val="00163780"/>
    <w:rsid w:val="00165389"/>
    <w:rsid w:val="0017693F"/>
    <w:rsid w:val="0018110E"/>
    <w:rsid w:val="00181684"/>
    <w:rsid w:val="001843C6"/>
    <w:rsid w:val="001850E0"/>
    <w:rsid w:val="0019176C"/>
    <w:rsid w:val="0019305A"/>
    <w:rsid w:val="001A03AF"/>
    <w:rsid w:val="001A2158"/>
    <w:rsid w:val="001A4928"/>
    <w:rsid w:val="001A525F"/>
    <w:rsid w:val="001B09F9"/>
    <w:rsid w:val="001B5C90"/>
    <w:rsid w:val="001B6448"/>
    <w:rsid w:val="001C2557"/>
    <w:rsid w:val="001C32CD"/>
    <w:rsid w:val="001D2984"/>
    <w:rsid w:val="001D30B2"/>
    <w:rsid w:val="001E07CF"/>
    <w:rsid w:val="001E59F1"/>
    <w:rsid w:val="001F2CEE"/>
    <w:rsid w:val="001F49EB"/>
    <w:rsid w:val="001F578A"/>
    <w:rsid w:val="001F6CBA"/>
    <w:rsid w:val="00201D4E"/>
    <w:rsid w:val="00201DFB"/>
    <w:rsid w:val="002076C9"/>
    <w:rsid w:val="00212642"/>
    <w:rsid w:val="00220B8A"/>
    <w:rsid w:val="002257F3"/>
    <w:rsid w:val="00233456"/>
    <w:rsid w:val="002339A5"/>
    <w:rsid w:val="002343FD"/>
    <w:rsid w:val="00240277"/>
    <w:rsid w:val="00241AA2"/>
    <w:rsid w:val="00243936"/>
    <w:rsid w:val="002462C5"/>
    <w:rsid w:val="00250271"/>
    <w:rsid w:val="00252863"/>
    <w:rsid w:val="00257848"/>
    <w:rsid w:val="002578E8"/>
    <w:rsid w:val="0027084A"/>
    <w:rsid w:val="00280265"/>
    <w:rsid w:val="00286434"/>
    <w:rsid w:val="00286C59"/>
    <w:rsid w:val="00291957"/>
    <w:rsid w:val="002942D1"/>
    <w:rsid w:val="0029501A"/>
    <w:rsid w:val="00296D95"/>
    <w:rsid w:val="002A3721"/>
    <w:rsid w:val="002A67AC"/>
    <w:rsid w:val="002B1638"/>
    <w:rsid w:val="002B3624"/>
    <w:rsid w:val="002C2ED4"/>
    <w:rsid w:val="002D0952"/>
    <w:rsid w:val="002E40B3"/>
    <w:rsid w:val="002E4C9A"/>
    <w:rsid w:val="002E7926"/>
    <w:rsid w:val="002F11F8"/>
    <w:rsid w:val="002F16D1"/>
    <w:rsid w:val="002F1B59"/>
    <w:rsid w:val="002F1FBE"/>
    <w:rsid w:val="002F3F56"/>
    <w:rsid w:val="002F44B5"/>
    <w:rsid w:val="002F5122"/>
    <w:rsid w:val="003011F4"/>
    <w:rsid w:val="00311AC0"/>
    <w:rsid w:val="003176FC"/>
    <w:rsid w:val="0032583B"/>
    <w:rsid w:val="00327883"/>
    <w:rsid w:val="00335504"/>
    <w:rsid w:val="00340C18"/>
    <w:rsid w:val="003427BA"/>
    <w:rsid w:val="003442FD"/>
    <w:rsid w:val="0034766A"/>
    <w:rsid w:val="00347824"/>
    <w:rsid w:val="00350567"/>
    <w:rsid w:val="003521E8"/>
    <w:rsid w:val="00370CE3"/>
    <w:rsid w:val="0037234A"/>
    <w:rsid w:val="003728F3"/>
    <w:rsid w:val="003735BC"/>
    <w:rsid w:val="0037496E"/>
    <w:rsid w:val="00383221"/>
    <w:rsid w:val="003860D4"/>
    <w:rsid w:val="00386150"/>
    <w:rsid w:val="003874CE"/>
    <w:rsid w:val="00390900"/>
    <w:rsid w:val="003A674E"/>
    <w:rsid w:val="003A7873"/>
    <w:rsid w:val="003A7F6C"/>
    <w:rsid w:val="003B4D60"/>
    <w:rsid w:val="003B7E39"/>
    <w:rsid w:val="003C58DC"/>
    <w:rsid w:val="003D1E62"/>
    <w:rsid w:val="003E0B99"/>
    <w:rsid w:val="003E2486"/>
    <w:rsid w:val="003E3208"/>
    <w:rsid w:val="003F0B04"/>
    <w:rsid w:val="003F1644"/>
    <w:rsid w:val="0040134E"/>
    <w:rsid w:val="00430AE4"/>
    <w:rsid w:val="004334C7"/>
    <w:rsid w:val="00440A2D"/>
    <w:rsid w:val="004418F3"/>
    <w:rsid w:val="00441C3F"/>
    <w:rsid w:val="004432D0"/>
    <w:rsid w:val="004447BF"/>
    <w:rsid w:val="00444D1A"/>
    <w:rsid w:val="0045186A"/>
    <w:rsid w:val="004564A7"/>
    <w:rsid w:val="00456765"/>
    <w:rsid w:val="00460036"/>
    <w:rsid w:val="00460B02"/>
    <w:rsid w:val="004617BF"/>
    <w:rsid w:val="00463658"/>
    <w:rsid w:val="004637A0"/>
    <w:rsid w:val="00465356"/>
    <w:rsid w:val="00465EFF"/>
    <w:rsid w:val="004722CC"/>
    <w:rsid w:val="004736FF"/>
    <w:rsid w:val="00476F5B"/>
    <w:rsid w:val="00490483"/>
    <w:rsid w:val="004936E4"/>
    <w:rsid w:val="00494E60"/>
    <w:rsid w:val="00497487"/>
    <w:rsid w:val="004A2771"/>
    <w:rsid w:val="004A6189"/>
    <w:rsid w:val="004A7390"/>
    <w:rsid w:val="004B0ED5"/>
    <w:rsid w:val="004B7B76"/>
    <w:rsid w:val="004C239D"/>
    <w:rsid w:val="004C2DCA"/>
    <w:rsid w:val="004C4FBE"/>
    <w:rsid w:val="004C60D2"/>
    <w:rsid w:val="004C61D2"/>
    <w:rsid w:val="004D290A"/>
    <w:rsid w:val="004E67AC"/>
    <w:rsid w:val="004F0C4A"/>
    <w:rsid w:val="004F0F38"/>
    <w:rsid w:val="004F3C82"/>
    <w:rsid w:val="004F47D6"/>
    <w:rsid w:val="00500337"/>
    <w:rsid w:val="00501921"/>
    <w:rsid w:val="00504B61"/>
    <w:rsid w:val="005207E3"/>
    <w:rsid w:val="00525EFE"/>
    <w:rsid w:val="00530354"/>
    <w:rsid w:val="0053625B"/>
    <w:rsid w:val="005434C6"/>
    <w:rsid w:val="00543B39"/>
    <w:rsid w:val="00546154"/>
    <w:rsid w:val="00550096"/>
    <w:rsid w:val="005539AA"/>
    <w:rsid w:val="00555280"/>
    <w:rsid w:val="00557FF9"/>
    <w:rsid w:val="00562327"/>
    <w:rsid w:val="005711D5"/>
    <w:rsid w:val="00576378"/>
    <w:rsid w:val="00577130"/>
    <w:rsid w:val="00577945"/>
    <w:rsid w:val="00577E38"/>
    <w:rsid w:val="0058524A"/>
    <w:rsid w:val="00585322"/>
    <w:rsid w:val="005857C6"/>
    <w:rsid w:val="00585EF1"/>
    <w:rsid w:val="00592F6E"/>
    <w:rsid w:val="00593AD1"/>
    <w:rsid w:val="005A2126"/>
    <w:rsid w:val="005A68B6"/>
    <w:rsid w:val="005A7735"/>
    <w:rsid w:val="005B649A"/>
    <w:rsid w:val="005C0A97"/>
    <w:rsid w:val="005C5570"/>
    <w:rsid w:val="005C5B66"/>
    <w:rsid w:val="005C79A4"/>
    <w:rsid w:val="005D3672"/>
    <w:rsid w:val="005D5442"/>
    <w:rsid w:val="005E4FAF"/>
    <w:rsid w:val="0060010B"/>
    <w:rsid w:val="00603F32"/>
    <w:rsid w:val="00605AD4"/>
    <w:rsid w:val="006136D7"/>
    <w:rsid w:val="00625A6E"/>
    <w:rsid w:val="006308C8"/>
    <w:rsid w:val="00630EBB"/>
    <w:rsid w:val="00632398"/>
    <w:rsid w:val="00640FC3"/>
    <w:rsid w:val="00642020"/>
    <w:rsid w:val="006430EE"/>
    <w:rsid w:val="0065337B"/>
    <w:rsid w:val="0065419D"/>
    <w:rsid w:val="00655EEF"/>
    <w:rsid w:val="006603BC"/>
    <w:rsid w:val="006604D8"/>
    <w:rsid w:val="00664A5B"/>
    <w:rsid w:val="0066735C"/>
    <w:rsid w:val="006706EA"/>
    <w:rsid w:val="00671AF1"/>
    <w:rsid w:val="006763D2"/>
    <w:rsid w:val="00680C08"/>
    <w:rsid w:val="00683E87"/>
    <w:rsid w:val="006916A0"/>
    <w:rsid w:val="006931B1"/>
    <w:rsid w:val="006A15C0"/>
    <w:rsid w:val="006A58A8"/>
    <w:rsid w:val="006B08C7"/>
    <w:rsid w:val="006B4A22"/>
    <w:rsid w:val="006C3E2A"/>
    <w:rsid w:val="006C642F"/>
    <w:rsid w:val="006D03E5"/>
    <w:rsid w:val="006D522F"/>
    <w:rsid w:val="006D5D3E"/>
    <w:rsid w:val="006E08B3"/>
    <w:rsid w:val="006E57CC"/>
    <w:rsid w:val="006F17AC"/>
    <w:rsid w:val="006F25B8"/>
    <w:rsid w:val="006F572E"/>
    <w:rsid w:val="00702087"/>
    <w:rsid w:val="007046D6"/>
    <w:rsid w:val="00705DB0"/>
    <w:rsid w:val="00722B57"/>
    <w:rsid w:val="00727C8A"/>
    <w:rsid w:val="00730F8A"/>
    <w:rsid w:val="0073328E"/>
    <w:rsid w:val="00735A8C"/>
    <w:rsid w:val="0074253D"/>
    <w:rsid w:val="007426F7"/>
    <w:rsid w:val="0074429B"/>
    <w:rsid w:val="007615BC"/>
    <w:rsid w:val="00762F05"/>
    <w:rsid w:val="007631B0"/>
    <w:rsid w:val="007652FF"/>
    <w:rsid w:val="00770CAC"/>
    <w:rsid w:val="00770EF1"/>
    <w:rsid w:val="0077248C"/>
    <w:rsid w:val="00773DEB"/>
    <w:rsid w:val="00773EF7"/>
    <w:rsid w:val="00774E1D"/>
    <w:rsid w:val="00775E1A"/>
    <w:rsid w:val="007765D8"/>
    <w:rsid w:val="0077675A"/>
    <w:rsid w:val="00777E34"/>
    <w:rsid w:val="00780355"/>
    <w:rsid w:val="007819FD"/>
    <w:rsid w:val="00782203"/>
    <w:rsid w:val="00785717"/>
    <w:rsid w:val="00785721"/>
    <w:rsid w:val="00793A59"/>
    <w:rsid w:val="007A0A91"/>
    <w:rsid w:val="007A2FD9"/>
    <w:rsid w:val="007A46F5"/>
    <w:rsid w:val="007A6505"/>
    <w:rsid w:val="007B6132"/>
    <w:rsid w:val="007B6E9F"/>
    <w:rsid w:val="007C1216"/>
    <w:rsid w:val="007C1AF7"/>
    <w:rsid w:val="007C6B9B"/>
    <w:rsid w:val="007D53B6"/>
    <w:rsid w:val="007F07BD"/>
    <w:rsid w:val="0080223B"/>
    <w:rsid w:val="00802AB7"/>
    <w:rsid w:val="00805D27"/>
    <w:rsid w:val="00806DCB"/>
    <w:rsid w:val="00811F4C"/>
    <w:rsid w:val="00812F3D"/>
    <w:rsid w:val="00821776"/>
    <w:rsid w:val="008321F5"/>
    <w:rsid w:val="00832369"/>
    <w:rsid w:val="00834660"/>
    <w:rsid w:val="00836BC2"/>
    <w:rsid w:val="00844094"/>
    <w:rsid w:val="0085156D"/>
    <w:rsid w:val="00852B28"/>
    <w:rsid w:val="0085641B"/>
    <w:rsid w:val="00857136"/>
    <w:rsid w:val="00875A6B"/>
    <w:rsid w:val="008841C2"/>
    <w:rsid w:val="00885B11"/>
    <w:rsid w:val="00886D15"/>
    <w:rsid w:val="00887DD8"/>
    <w:rsid w:val="00887E6C"/>
    <w:rsid w:val="00891BA9"/>
    <w:rsid w:val="00893535"/>
    <w:rsid w:val="00896018"/>
    <w:rsid w:val="008960DD"/>
    <w:rsid w:val="0089635C"/>
    <w:rsid w:val="008A1B53"/>
    <w:rsid w:val="008A2B9D"/>
    <w:rsid w:val="008A3D9F"/>
    <w:rsid w:val="008A5E0B"/>
    <w:rsid w:val="008A6D59"/>
    <w:rsid w:val="008B0B87"/>
    <w:rsid w:val="008B4B03"/>
    <w:rsid w:val="008B596F"/>
    <w:rsid w:val="008C159F"/>
    <w:rsid w:val="008C1623"/>
    <w:rsid w:val="008C1850"/>
    <w:rsid w:val="008C51A9"/>
    <w:rsid w:val="008E7846"/>
    <w:rsid w:val="008F02E5"/>
    <w:rsid w:val="008F1CCC"/>
    <w:rsid w:val="008F2967"/>
    <w:rsid w:val="008F6943"/>
    <w:rsid w:val="008F6D89"/>
    <w:rsid w:val="00902A21"/>
    <w:rsid w:val="009035FC"/>
    <w:rsid w:val="0091523F"/>
    <w:rsid w:val="00920330"/>
    <w:rsid w:val="009219D7"/>
    <w:rsid w:val="00922D53"/>
    <w:rsid w:val="00923B70"/>
    <w:rsid w:val="00924482"/>
    <w:rsid w:val="00930237"/>
    <w:rsid w:val="00937C17"/>
    <w:rsid w:val="00940A89"/>
    <w:rsid w:val="00941F77"/>
    <w:rsid w:val="00946EA5"/>
    <w:rsid w:val="00960520"/>
    <w:rsid w:val="009637C5"/>
    <w:rsid w:val="00963C08"/>
    <w:rsid w:val="009706F5"/>
    <w:rsid w:val="009752A5"/>
    <w:rsid w:val="00980DE7"/>
    <w:rsid w:val="0098585A"/>
    <w:rsid w:val="009A36A7"/>
    <w:rsid w:val="009A4CED"/>
    <w:rsid w:val="009A690D"/>
    <w:rsid w:val="009B0DAC"/>
    <w:rsid w:val="009B1224"/>
    <w:rsid w:val="009B1D12"/>
    <w:rsid w:val="009B416B"/>
    <w:rsid w:val="009B64DE"/>
    <w:rsid w:val="009B77E2"/>
    <w:rsid w:val="009C4BD5"/>
    <w:rsid w:val="009D7B77"/>
    <w:rsid w:val="009E0BB0"/>
    <w:rsid w:val="009E3FBB"/>
    <w:rsid w:val="009F3019"/>
    <w:rsid w:val="009F7353"/>
    <w:rsid w:val="00A04F85"/>
    <w:rsid w:val="00A05FA4"/>
    <w:rsid w:val="00A102E4"/>
    <w:rsid w:val="00A12166"/>
    <w:rsid w:val="00A1219C"/>
    <w:rsid w:val="00A12C42"/>
    <w:rsid w:val="00A14DF7"/>
    <w:rsid w:val="00A2144F"/>
    <w:rsid w:val="00A22D57"/>
    <w:rsid w:val="00A3246D"/>
    <w:rsid w:val="00A36FA7"/>
    <w:rsid w:val="00A426AE"/>
    <w:rsid w:val="00A44DDB"/>
    <w:rsid w:val="00A475B7"/>
    <w:rsid w:val="00A47AF7"/>
    <w:rsid w:val="00A47C3E"/>
    <w:rsid w:val="00A50226"/>
    <w:rsid w:val="00A515FE"/>
    <w:rsid w:val="00A57F17"/>
    <w:rsid w:val="00A60BAD"/>
    <w:rsid w:val="00A614D4"/>
    <w:rsid w:val="00A74998"/>
    <w:rsid w:val="00A7562E"/>
    <w:rsid w:val="00A77F87"/>
    <w:rsid w:val="00A80B5B"/>
    <w:rsid w:val="00A84E36"/>
    <w:rsid w:val="00A964D1"/>
    <w:rsid w:val="00AA0ED0"/>
    <w:rsid w:val="00AC2B40"/>
    <w:rsid w:val="00AC2BB2"/>
    <w:rsid w:val="00AC2C3C"/>
    <w:rsid w:val="00AC512D"/>
    <w:rsid w:val="00AD0083"/>
    <w:rsid w:val="00AD3935"/>
    <w:rsid w:val="00AD41B1"/>
    <w:rsid w:val="00AE65EB"/>
    <w:rsid w:val="00AE67A7"/>
    <w:rsid w:val="00AF1D94"/>
    <w:rsid w:val="00AF60C5"/>
    <w:rsid w:val="00B009C6"/>
    <w:rsid w:val="00B01548"/>
    <w:rsid w:val="00B02B1B"/>
    <w:rsid w:val="00B06866"/>
    <w:rsid w:val="00B10FED"/>
    <w:rsid w:val="00B130C5"/>
    <w:rsid w:val="00B13EBD"/>
    <w:rsid w:val="00B21D29"/>
    <w:rsid w:val="00B22566"/>
    <w:rsid w:val="00B25034"/>
    <w:rsid w:val="00B33588"/>
    <w:rsid w:val="00B33863"/>
    <w:rsid w:val="00B37D17"/>
    <w:rsid w:val="00B4175E"/>
    <w:rsid w:val="00B41C85"/>
    <w:rsid w:val="00B44470"/>
    <w:rsid w:val="00B452CE"/>
    <w:rsid w:val="00B53CC2"/>
    <w:rsid w:val="00B54C25"/>
    <w:rsid w:val="00B62DC9"/>
    <w:rsid w:val="00B76B91"/>
    <w:rsid w:val="00B77EB1"/>
    <w:rsid w:val="00B811C6"/>
    <w:rsid w:val="00B818FF"/>
    <w:rsid w:val="00B8355D"/>
    <w:rsid w:val="00B855B0"/>
    <w:rsid w:val="00B90B96"/>
    <w:rsid w:val="00B92E08"/>
    <w:rsid w:val="00B97DD5"/>
    <w:rsid w:val="00BC2096"/>
    <w:rsid w:val="00BC44C5"/>
    <w:rsid w:val="00BC622A"/>
    <w:rsid w:val="00BE0A78"/>
    <w:rsid w:val="00BE79F0"/>
    <w:rsid w:val="00BF046D"/>
    <w:rsid w:val="00BF1190"/>
    <w:rsid w:val="00BF3774"/>
    <w:rsid w:val="00BF5D04"/>
    <w:rsid w:val="00C009AA"/>
    <w:rsid w:val="00C07A2A"/>
    <w:rsid w:val="00C1164D"/>
    <w:rsid w:val="00C1210D"/>
    <w:rsid w:val="00C16861"/>
    <w:rsid w:val="00C17BF6"/>
    <w:rsid w:val="00C23FA2"/>
    <w:rsid w:val="00C278AE"/>
    <w:rsid w:val="00C346AB"/>
    <w:rsid w:val="00C404A6"/>
    <w:rsid w:val="00C40A36"/>
    <w:rsid w:val="00C44419"/>
    <w:rsid w:val="00C45E7B"/>
    <w:rsid w:val="00C471B1"/>
    <w:rsid w:val="00C51B25"/>
    <w:rsid w:val="00C525A2"/>
    <w:rsid w:val="00C52E24"/>
    <w:rsid w:val="00C609A2"/>
    <w:rsid w:val="00C6316B"/>
    <w:rsid w:val="00C634A9"/>
    <w:rsid w:val="00C64586"/>
    <w:rsid w:val="00C70A36"/>
    <w:rsid w:val="00C70D53"/>
    <w:rsid w:val="00C72273"/>
    <w:rsid w:val="00C73D0B"/>
    <w:rsid w:val="00C74F5C"/>
    <w:rsid w:val="00C762E7"/>
    <w:rsid w:val="00C772FF"/>
    <w:rsid w:val="00C80137"/>
    <w:rsid w:val="00C801AF"/>
    <w:rsid w:val="00C801CA"/>
    <w:rsid w:val="00C80256"/>
    <w:rsid w:val="00C90608"/>
    <w:rsid w:val="00C948E0"/>
    <w:rsid w:val="00C94CD4"/>
    <w:rsid w:val="00C9747E"/>
    <w:rsid w:val="00CB1D49"/>
    <w:rsid w:val="00CB430A"/>
    <w:rsid w:val="00CB5287"/>
    <w:rsid w:val="00CB6BC0"/>
    <w:rsid w:val="00CC1B7C"/>
    <w:rsid w:val="00CC727F"/>
    <w:rsid w:val="00CD605A"/>
    <w:rsid w:val="00CF0367"/>
    <w:rsid w:val="00CF15C3"/>
    <w:rsid w:val="00CF2B6F"/>
    <w:rsid w:val="00CF2F3E"/>
    <w:rsid w:val="00CF58B6"/>
    <w:rsid w:val="00CF5DAD"/>
    <w:rsid w:val="00CF7186"/>
    <w:rsid w:val="00D0062D"/>
    <w:rsid w:val="00D017ED"/>
    <w:rsid w:val="00D040D3"/>
    <w:rsid w:val="00D04C65"/>
    <w:rsid w:val="00D153D8"/>
    <w:rsid w:val="00D201D2"/>
    <w:rsid w:val="00D224FE"/>
    <w:rsid w:val="00D23139"/>
    <w:rsid w:val="00D2422E"/>
    <w:rsid w:val="00D24F8A"/>
    <w:rsid w:val="00D27E21"/>
    <w:rsid w:val="00D425BB"/>
    <w:rsid w:val="00D453FA"/>
    <w:rsid w:val="00D454CC"/>
    <w:rsid w:val="00D529DA"/>
    <w:rsid w:val="00D6385C"/>
    <w:rsid w:val="00D6493E"/>
    <w:rsid w:val="00D7195D"/>
    <w:rsid w:val="00D726FD"/>
    <w:rsid w:val="00D7301E"/>
    <w:rsid w:val="00D7451F"/>
    <w:rsid w:val="00D80971"/>
    <w:rsid w:val="00D82684"/>
    <w:rsid w:val="00D83AE1"/>
    <w:rsid w:val="00D855D4"/>
    <w:rsid w:val="00D87DCE"/>
    <w:rsid w:val="00D902C9"/>
    <w:rsid w:val="00D93466"/>
    <w:rsid w:val="00DA1124"/>
    <w:rsid w:val="00DA143A"/>
    <w:rsid w:val="00DA1E73"/>
    <w:rsid w:val="00DA2EA9"/>
    <w:rsid w:val="00DA64CB"/>
    <w:rsid w:val="00DB06B8"/>
    <w:rsid w:val="00DB333C"/>
    <w:rsid w:val="00DB6124"/>
    <w:rsid w:val="00DB65C1"/>
    <w:rsid w:val="00DB750B"/>
    <w:rsid w:val="00DB75B7"/>
    <w:rsid w:val="00DC0A2F"/>
    <w:rsid w:val="00DC1948"/>
    <w:rsid w:val="00DC6E02"/>
    <w:rsid w:val="00DD28CD"/>
    <w:rsid w:val="00DE02AE"/>
    <w:rsid w:val="00DE39D1"/>
    <w:rsid w:val="00DF1D7F"/>
    <w:rsid w:val="00DF4BE4"/>
    <w:rsid w:val="00E02382"/>
    <w:rsid w:val="00E02FB4"/>
    <w:rsid w:val="00E06248"/>
    <w:rsid w:val="00E13FC7"/>
    <w:rsid w:val="00E14808"/>
    <w:rsid w:val="00E20571"/>
    <w:rsid w:val="00E2247C"/>
    <w:rsid w:val="00E235F7"/>
    <w:rsid w:val="00E23659"/>
    <w:rsid w:val="00E239D4"/>
    <w:rsid w:val="00E26130"/>
    <w:rsid w:val="00E40B22"/>
    <w:rsid w:val="00E445D3"/>
    <w:rsid w:val="00E44ED1"/>
    <w:rsid w:val="00E45619"/>
    <w:rsid w:val="00E4588F"/>
    <w:rsid w:val="00E46DA3"/>
    <w:rsid w:val="00E51BB1"/>
    <w:rsid w:val="00E55CB0"/>
    <w:rsid w:val="00E624A5"/>
    <w:rsid w:val="00E64BA4"/>
    <w:rsid w:val="00E650A1"/>
    <w:rsid w:val="00E661F5"/>
    <w:rsid w:val="00E7344E"/>
    <w:rsid w:val="00E82665"/>
    <w:rsid w:val="00E91336"/>
    <w:rsid w:val="00E973A0"/>
    <w:rsid w:val="00EA4B93"/>
    <w:rsid w:val="00EA7C6B"/>
    <w:rsid w:val="00EB0798"/>
    <w:rsid w:val="00EB0A9D"/>
    <w:rsid w:val="00EB40AD"/>
    <w:rsid w:val="00EB586E"/>
    <w:rsid w:val="00EB5FC8"/>
    <w:rsid w:val="00EC153D"/>
    <w:rsid w:val="00EC1EDB"/>
    <w:rsid w:val="00EC463D"/>
    <w:rsid w:val="00EC7A85"/>
    <w:rsid w:val="00ED0175"/>
    <w:rsid w:val="00ED2922"/>
    <w:rsid w:val="00ED3CAD"/>
    <w:rsid w:val="00ED5A41"/>
    <w:rsid w:val="00EE1DE8"/>
    <w:rsid w:val="00EE27C2"/>
    <w:rsid w:val="00EE6F88"/>
    <w:rsid w:val="00EF4BAD"/>
    <w:rsid w:val="00EF59DC"/>
    <w:rsid w:val="00F024E0"/>
    <w:rsid w:val="00F033EC"/>
    <w:rsid w:val="00F04F68"/>
    <w:rsid w:val="00F12670"/>
    <w:rsid w:val="00F13FF4"/>
    <w:rsid w:val="00F14B27"/>
    <w:rsid w:val="00F1637E"/>
    <w:rsid w:val="00F3148D"/>
    <w:rsid w:val="00F325C5"/>
    <w:rsid w:val="00F32FE0"/>
    <w:rsid w:val="00F35298"/>
    <w:rsid w:val="00F47333"/>
    <w:rsid w:val="00F47E37"/>
    <w:rsid w:val="00F47FEC"/>
    <w:rsid w:val="00F53C07"/>
    <w:rsid w:val="00F54B65"/>
    <w:rsid w:val="00F6112C"/>
    <w:rsid w:val="00F61769"/>
    <w:rsid w:val="00F640B6"/>
    <w:rsid w:val="00F665AE"/>
    <w:rsid w:val="00F66DF2"/>
    <w:rsid w:val="00F80E40"/>
    <w:rsid w:val="00F83A33"/>
    <w:rsid w:val="00F848D9"/>
    <w:rsid w:val="00F9628E"/>
    <w:rsid w:val="00FA5069"/>
    <w:rsid w:val="00FA5B82"/>
    <w:rsid w:val="00FA639E"/>
    <w:rsid w:val="00FC1FCA"/>
    <w:rsid w:val="00FC25E4"/>
    <w:rsid w:val="00FC4EF7"/>
    <w:rsid w:val="00FD0824"/>
    <w:rsid w:val="00FD119B"/>
    <w:rsid w:val="00FD1EDC"/>
    <w:rsid w:val="00FD4C0D"/>
    <w:rsid w:val="00FE1DEE"/>
    <w:rsid w:val="00FE75EC"/>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FD87CC"/>
  <w15:docId w15:val="{D8310922-31EA-4B3B-AD39-55B743D8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E06248"/>
    <w:pPr>
      <w:keepNext/>
      <w:keepLines/>
      <w:adjustRightInd w:val="0"/>
      <w:snapToGrid w:val="0"/>
      <w:spacing w:before="40" w:after="0"/>
      <w:outlineLvl w:val="7"/>
    </w:pPr>
    <w:rPr>
      <w:rFonts w:asciiTheme="majorHAnsi" w:eastAsiaTheme="majorEastAsia" w:hAnsiTheme="majorHAnsi" w:cstheme="majorBidi"/>
      <w:color w:val="272727" w:themeColor="text1" w:themeTint="D8"/>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9B77E2"/>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44094"/>
    <w:pPr>
      <w:numPr>
        <w:numId w:val="21"/>
      </w:numPr>
    </w:pPr>
  </w:style>
  <w:style w:type="paragraph" w:styleId="ListBullet2">
    <w:name w:val="List Bullet 2"/>
    <w:basedOn w:val="Normal"/>
    <w:uiPriority w:val="2"/>
    <w:qFormat/>
    <w:rsid w:val="004C2DCA"/>
    <w:pPr>
      <w:numPr>
        <w:ilvl w:val="1"/>
        <w:numId w:val="21"/>
      </w:numPr>
      <w:ind w:left="1211"/>
    </w:pPr>
  </w:style>
  <w:style w:type="paragraph" w:styleId="ListBullet3">
    <w:name w:val="List Bullet 3"/>
    <w:basedOn w:val="Normal"/>
    <w:uiPriority w:val="2"/>
    <w:qFormat/>
    <w:rsid w:val="004C2DCA"/>
    <w:pPr>
      <w:numPr>
        <w:ilvl w:val="2"/>
        <w:numId w:val="21"/>
      </w:numPr>
      <w:ind w:left="1080"/>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086CD4"/>
    <w:pPr>
      <w:adjustRightInd w:val="0"/>
      <w:snapToGrid w:val="0"/>
      <w:spacing w:before="180" w:after="180"/>
      <w:ind w:left="720"/>
      <w:contextualSpacing/>
    </w:pPr>
    <w:rPr>
      <w:rFonts w:eastAsia="MS Mincho"/>
      <w:szCs w:val="20"/>
      <w:lang w:eastAsia="ja-JP"/>
    </w:rPr>
  </w:style>
  <w:style w:type="character" w:customStyle="1" w:styleId="Heading8Char">
    <w:name w:val="Heading 8 Char"/>
    <w:basedOn w:val="DefaultParagraphFont"/>
    <w:link w:val="Heading8"/>
    <w:uiPriority w:val="9"/>
    <w:semiHidden/>
    <w:rsid w:val="00E06248"/>
    <w:rPr>
      <w:rFonts w:asciiTheme="majorHAnsi" w:eastAsiaTheme="majorEastAsia" w:hAnsiTheme="majorHAnsi" w:cstheme="majorBidi"/>
      <w:color w:val="272727" w:themeColor="text1" w:themeTint="D8"/>
      <w:sz w:val="21"/>
      <w:szCs w:val="21"/>
      <w:lang w:eastAsia="ja-JP"/>
    </w:rPr>
  </w:style>
  <w:style w:type="paragraph" w:customStyle="1" w:styleId="Bulletlist">
    <w:name w:val="Bullet list"/>
    <w:basedOn w:val="Normal"/>
    <w:link w:val="BulletlistChar"/>
    <w:qFormat/>
    <w:rsid w:val="00C51B25"/>
    <w:pPr>
      <w:numPr>
        <w:numId w:val="36"/>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C51B25"/>
    <w:rPr>
      <w:rFonts w:ascii="Cambria" w:eastAsia="Times New Roman" w:hAnsi="Cambria" w:cs="Times New Roman"/>
      <w:snapToGrid w:val="0"/>
      <w:kern w:val="2"/>
      <w:sz w:val="23"/>
    </w:rPr>
  </w:style>
  <w:style w:type="paragraph" w:styleId="NormalWeb">
    <w:name w:val="Normal (Web)"/>
    <w:basedOn w:val="Normal"/>
    <w:uiPriority w:val="99"/>
    <w:unhideWhenUsed/>
    <w:rsid w:val="006E57C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TabletextChar">
    <w:name w:val="Table text Char"/>
    <w:basedOn w:val="DefaultParagraphFont"/>
    <w:link w:val="Tabletext"/>
    <w:rsid w:val="002F1FBE"/>
    <w:rPr>
      <w:rFonts w:ascii="Cambria" w:eastAsia="Cambria" w:hAnsi="Cambria"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immunisationhandbook.health.gov.au/technical-terms" TargetMode="External"/><Relationship Id="rId26" Type="http://schemas.openxmlformats.org/officeDocument/2006/relationships/image" Target="media/image8.emf"/><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mmunisationhandbook.health.gov.au/technical-terms" TargetMode="External"/><Relationship Id="rId25" Type="http://schemas.openxmlformats.org/officeDocument/2006/relationships/image" Target="media/image7.emf"/><Relationship Id="rId33" Type="http://schemas.openxmlformats.org/officeDocument/2006/relationships/header" Target="header6.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immunisationhandbook.health.gov.au/technical-terms" TargetMode="External"/><Relationship Id="rId20" Type="http://schemas.openxmlformats.org/officeDocument/2006/relationships/image" Target="media/image2.emf"/><Relationship Id="rId29" Type="http://schemas.openxmlformats.org/officeDocument/2006/relationships/hyperlink" Target="https://www.tga.gov.au/form/certified-product-details-cpd-biological-prescriptionmedicines"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emf"/><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hyperlink" Target="https://www.tga.gov.au/guidance-7-certified-product-details" TargetMode="External"/><Relationship Id="rId36" Type="http://schemas.openxmlformats.org/officeDocument/2006/relationships/hyperlink" Target="https://www.tga.gov.au" TargetMode="Externa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header" Target="header4.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hyperlink" Target="https://www.tga.gov.au/product-information-pi" TargetMode="External"/><Relationship Id="rId35" Type="http://schemas.openxmlformats.org/officeDocument/2006/relationships/hyperlink" Target="mailto:info@tga.gov.au"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mmunisationhandbook.health.gov.au/recommendations/adults-aged-65-years-are-strongly-recommended-to-receive-either-high-dose-o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78152\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365B9-D698-4E16-99A7-71E71940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13</TotalTime>
  <Pages>38</Pages>
  <Words>12594</Words>
  <Characters>72543</Characters>
  <Application>Microsoft Office Word</Application>
  <DocSecurity>0</DocSecurity>
  <Lines>1480</Lines>
  <Paragraphs>721</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84416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Inactivated quadrivalent influenza vaccine (split virion) influenza virus haemagglutinin</dc:title>
  <dc:subject>prescription medicines</dc:subject>
  <dc:creator>Therapeutic Goods Administration</dc:creator>
  <cp:keywords/>
  <cp:lastPrinted>2019-08-14T04:30:00Z</cp:lastPrinted>
  <dcterms:created xsi:type="dcterms:W3CDTF">2020-12-02T07:02:00Z</dcterms:created>
  <dcterms:modified xsi:type="dcterms:W3CDTF">2020-12-02T07:17:00Z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