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607CA" w14:textId="5DBBA577" w:rsidR="0073657F" w:rsidRPr="00C93F5F" w:rsidRDefault="0073657F" w:rsidP="0073657F">
      <w:pPr>
        <w:pStyle w:val="Heading1"/>
        <w:pageBreakBefore w:val="0"/>
        <w:numPr>
          <w:ilvl w:val="0"/>
          <w:numId w:val="0"/>
        </w:numPr>
        <w:rPr>
          <w:rFonts w:eastAsia="SimSun"/>
          <w:lang w:val="en-AU"/>
        </w:rPr>
      </w:pPr>
      <w:r w:rsidRPr="00D83FD5">
        <w:rPr>
          <w:rFonts w:eastAsia="SimSun"/>
          <w:lang w:val="en-AU"/>
        </w:rPr>
        <w:t>A</w:t>
      </w:r>
      <w:bookmarkStart w:id="0" w:name="_GoBack"/>
      <w:bookmarkEnd w:id="0"/>
      <w:r w:rsidRPr="00D83FD5">
        <w:rPr>
          <w:rFonts w:eastAsia="SimSun"/>
          <w:lang w:val="en-AU"/>
        </w:rPr>
        <w:t>ustralian Product Information –</w:t>
      </w:r>
      <w:r w:rsidR="00D25662" w:rsidRPr="00D83FD5">
        <w:rPr>
          <w:rFonts w:eastAsia="SimSun"/>
          <w:lang w:val="en-AU"/>
        </w:rPr>
        <w:t xml:space="preserve"> </w:t>
      </w:r>
      <w:r w:rsidRPr="00D83FD5">
        <w:rPr>
          <w:rFonts w:eastAsia="SimSun"/>
          <w:lang w:val="en-AU"/>
        </w:rPr>
        <w:t>fluzone h</w:t>
      </w:r>
      <w:r w:rsidR="009662DF" w:rsidRPr="00D83FD5">
        <w:rPr>
          <w:rFonts w:eastAsia="SimSun"/>
          <w:lang w:val="en-AU"/>
        </w:rPr>
        <w:t>igh-</w:t>
      </w:r>
      <w:r w:rsidRPr="00D83FD5">
        <w:rPr>
          <w:rFonts w:eastAsia="SimSun"/>
          <w:lang w:val="en-AU"/>
        </w:rPr>
        <w:t>d</w:t>
      </w:r>
      <w:r w:rsidR="009662DF" w:rsidRPr="00D83FD5">
        <w:rPr>
          <w:rFonts w:eastAsia="SimSun"/>
          <w:lang w:val="en-AU"/>
        </w:rPr>
        <w:t>ose</w:t>
      </w:r>
      <w:r w:rsidRPr="00D83FD5">
        <w:rPr>
          <w:rFonts w:eastAsia="SimSun"/>
          <w:lang w:val="en-AU"/>
        </w:rPr>
        <w:t xml:space="preserve"> </w:t>
      </w:r>
      <w:r w:rsidR="000D1B52" w:rsidRPr="00C93F5F">
        <w:rPr>
          <w:rFonts w:eastAsia="SimSun"/>
          <w:lang w:val="en-AU"/>
        </w:rPr>
        <w:t xml:space="preserve">quadrivalent </w:t>
      </w:r>
      <w:r w:rsidR="00B33F3C" w:rsidRPr="00C93F5F">
        <w:rPr>
          <w:rFonts w:eastAsia="SimSun"/>
          <w:lang w:val="en-AU"/>
        </w:rPr>
        <w:t>(</w:t>
      </w:r>
      <w:r w:rsidRPr="00C93F5F">
        <w:rPr>
          <w:rFonts w:eastAsia="SimSun"/>
          <w:lang w:val="en-AU"/>
        </w:rPr>
        <w:t>Influenza virus haemagglutinin</w:t>
      </w:r>
      <w:r w:rsidR="00B33F3C" w:rsidRPr="00C93F5F">
        <w:rPr>
          <w:rFonts w:eastAsia="SimSun"/>
          <w:lang w:val="en-AU"/>
        </w:rPr>
        <w:t>)</w:t>
      </w:r>
    </w:p>
    <w:p w14:paraId="3ECE4DC6" w14:textId="77777777" w:rsidR="001A3992" w:rsidRPr="00C93F5F" w:rsidRDefault="001A3992" w:rsidP="00E21CA4">
      <w:pPr>
        <w:pStyle w:val="Heading1"/>
        <w:pageBreakBefore w:val="0"/>
        <w:rPr>
          <w:lang w:val="en-AU"/>
        </w:rPr>
      </w:pPr>
      <w:r w:rsidRPr="00C93F5F">
        <w:rPr>
          <w:lang w:val="en-AU"/>
        </w:rPr>
        <w:t>Name of the medicine</w:t>
      </w:r>
    </w:p>
    <w:p w14:paraId="7FF85DD7" w14:textId="25C57AFC" w:rsidR="0073657F" w:rsidRPr="00C93F5F" w:rsidRDefault="003E04A5" w:rsidP="0073657F">
      <w:pPr>
        <w:rPr>
          <w:color w:val="auto"/>
          <w:lang w:val="en-AU"/>
        </w:rPr>
      </w:pPr>
      <w:r w:rsidRPr="00C93F5F">
        <w:rPr>
          <w:color w:val="auto"/>
          <w:lang w:val="en-AU"/>
        </w:rPr>
        <w:t xml:space="preserve">Inactivated </w:t>
      </w:r>
      <w:r w:rsidR="00E05084" w:rsidRPr="00C93F5F">
        <w:rPr>
          <w:color w:val="auto"/>
          <w:lang w:val="en-AU"/>
        </w:rPr>
        <w:t>quadrivalent</w:t>
      </w:r>
      <w:r w:rsidRPr="00C93F5F">
        <w:rPr>
          <w:color w:val="auto"/>
          <w:lang w:val="en-AU"/>
        </w:rPr>
        <w:t xml:space="preserve"> influenza vaccine, split virion (</w:t>
      </w:r>
      <w:r w:rsidR="00BA3986" w:rsidRPr="00C93F5F">
        <w:rPr>
          <w:color w:val="auto"/>
          <w:lang w:val="en-AU"/>
        </w:rPr>
        <w:t xml:space="preserve">Influenza </w:t>
      </w:r>
      <w:r w:rsidR="009662DF" w:rsidRPr="00C93F5F">
        <w:rPr>
          <w:color w:val="auto"/>
          <w:lang w:val="en-AU"/>
        </w:rPr>
        <w:t>v</w:t>
      </w:r>
      <w:r w:rsidRPr="00C93F5F">
        <w:rPr>
          <w:color w:val="auto"/>
          <w:lang w:val="en-AU"/>
        </w:rPr>
        <w:t xml:space="preserve">irus </w:t>
      </w:r>
      <w:r w:rsidR="009662DF" w:rsidRPr="00C93F5F">
        <w:rPr>
          <w:color w:val="auto"/>
          <w:lang w:val="en-AU"/>
        </w:rPr>
        <w:t>h</w:t>
      </w:r>
      <w:r w:rsidRPr="00C93F5F">
        <w:rPr>
          <w:color w:val="auto"/>
          <w:lang w:val="en-AU"/>
        </w:rPr>
        <w:t>aemagglutinin)</w:t>
      </w:r>
    </w:p>
    <w:p w14:paraId="253B73FB" w14:textId="77777777" w:rsidR="001A3992" w:rsidRPr="00C93F5F" w:rsidRDefault="001A3992" w:rsidP="00C879F2">
      <w:pPr>
        <w:pStyle w:val="Heading1"/>
        <w:pageBreakBefore w:val="0"/>
        <w:rPr>
          <w:lang w:val="en-AU"/>
        </w:rPr>
      </w:pPr>
      <w:r w:rsidRPr="00C93F5F">
        <w:rPr>
          <w:lang w:val="en-AU"/>
        </w:rPr>
        <w:t>Qualitative and quantitative composition</w:t>
      </w:r>
    </w:p>
    <w:p w14:paraId="74DD35B4" w14:textId="02C7A2B2" w:rsidR="00BA3986" w:rsidRPr="00C93F5F" w:rsidRDefault="00BA3986" w:rsidP="00C879F2">
      <w:pPr>
        <w:rPr>
          <w:color w:val="auto"/>
          <w:lang w:val="en-AU"/>
        </w:rPr>
      </w:pPr>
      <w:r w:rsidRPr="00C93F5F">
        <w:rPr>
          <w:color w:val="auto"/>
          <w:lang w:val="en-AU"/>
        </w:rPr>
        <w:t>Fluzone High-Dose</w:t>
      </w:r>
      <w:r w:rsidR="000D1B52" w:rsidRPr="00C93F5F">
        <w:rPr>
          <w:color w:val="auto"/>
          <w:lang w:val="en-AU"/>
        </w:rPr>
        <w:t xml:space="preserve"> Quadrivalent</w:t>
      </w:r>
      <w:r w:rsidRPr="00C93F5F">
        <w:rPr>
          <w:color w:val="auto"/>
          <w:lang w:val="en-AU"/>
        </w:rPr>
        <w:t xml:space="preserve"> for intramuscular injection is an inactivated influenza virus vaccine. It contains </w:t>
      </w:r>
      <w:r w:rsidR="00E05084" w:rsidRPr="00C93F5F">
        <w:rPr>
          <w:color w:val="auto"/>
          <w:lang w:val="en-AU"/>
        </w:rPr>
        <w:t>240</w:t>
      </w:r>
      <w:r w:rsidRPr="00C93F5F">
        <w:rPr>
          <w:color w:val="auto"/>
          <w:lang w:val="en-AU"/>
        </w:rPr>
        <w:t xml:space="preserve"> micrograms (µg) </w:t>
      </w:r>
      <w:r w:rsidR="00DB6ECA" w:rsidRPr="00C93F5F">
        <w:rPr>
          <w:color w:val="auto"/>
          <w:lang w:val="en-AU"/>
        </w:rPr>
        <w:t xml:space="preserve">influenza virus </w:t>
      </w:r>
      <w:r w:rsidR="002E034C" w:rsidRPr="00C93F5F">
        <w:rPr>
          <w:color w:val="auto"/>
          <w:lang w:val="en-AU"/>
        </w:rPr>
        <w:t>haemagglutinin (HA) per 0.7</w:t>
      </w:r>
      <w:r w:rsidRPr="00C93F5F">
        <w:rPr>
          <w:color w:val="auto"/>
          <w:lang w:val="en-AU"/>
        </w:rPr>
        <w:t xml:space="preserve"> mL dose in the recommended ratio of 60 µg HA of each of the </w:t>
      </w:r>
      <w:r w:rsidR="00E05084" w:rsidRPr="00C93F5F">
        <w:rPr>
          <w:color w:val="auto"/>
          <w:lang w:val="en-AU"/>
        </w:rPr>
        <w:t>four</w:t>
      </w:r>
      <w:r w:rsidRPr="00C93F5F">
        <w:rPr>
          <w:color w:val="auto"/>
          <w:lang w:val="en-AU"/>
        </w:rPr>
        <w:t xml:space="preserve"> strains recommended for </w:t>
      </w:r>
      <w:r w:rsidR="00A54452" w:rsidRPr="00C93F5F">
        <w:rPr>
          <w:noProof/>
          <w:color w:val="auto"/>
          <w:szCs w:val="16"/>
          <w:lang w:val="en-AU"/>
        </w:rPr>
        <w:t xml:space="preserve">the </w:t>
      </w:r>
      <w:r w:rsidR="00A54452" w:rsidRPr="00C93F5F">
        <w:rPr>
          <w:color w:val="auto"/>
          <w:lang w:val="en-AU"/>
        </w:rPr>
        <w:t>201</w:t>
      </w:r>
      <w:r w:rsidR="0031074E" w:rsidRPr="00C93F5F">
        <w:rPr>
          <w:color w:val="auto"/>
          <w:lang w:val="en-AU"/>
        </w:rPr>
        <w:t>9</w:t>
      </w:r>
      <w:r w:rsidR="00916D3A" w:rsidRPr="00C93F5F">
        <w:rPr>
          <w:color w:val="auto"/>
          <w:lang w:val="en-AU"/>
        </w:rPr>
        <w:t xml:space="preserve"> </w:t>
      </w:r>
      <w:r w:rsidRPr="00C93F5F">
        <w:rPr>
          <w:color w:val="auto"/>
          <w:lang w:val="en-AU"/>
        </w:rPr>
        <w:t>influenza season:</w:t>
      </w:r>
    </w:p>
    <w:p w14:paraId="65622C34" w14:textId="3822E625" w:rsidR="00BA3986" w:rsidRPr="00C93F5F" w:rsidRDefault="00BA3986" w:rsidP="006141F2">
      <w:pPr>
        <w:numPr>
          <w:ilvl w:val="0"/>
          <w:numId w:val="11"/>
        </w:numPr>
        <w:jc w:val="both"/>
        <w:rPr>
          <w:noProof/>
          <w:color w:val="auto"/>
          <w:szCs w:val="16"/>
          <w:lang w:val="en-AU"/>
        </w:rPr>
      </w:pPr>
      <w:r w:rsidRPr="00C93F5F">
        <w:rPr>
          <w:noProof/>
          <w:color w:val="auto"/>
          <w:szCs w:val="16"/>
          <w:lang w:val="en-AU"/>
        </w:rPr>
        <w:t>A/Michigan/45/2015 (H1N1) pdm09-like virus (A/Michigan/45/2015 X-275)</w:t>
      </w:r>
      <w:r w:rsidR="003B5A36" w:rsidRPr="00C93F5F">
        <w:rPr>
          <w:noProof/>
          <w:color w:val="auto"/>
          <w:szCs w:val="16"/>
          <w:lang w:val="en-AU"/>
        </w:rPr>
        <w:t xml:space="preserve"> </w:t>
      </w:r>
    </w:p>
    <w:p w14:paraId="7FC5FA7A" w14:textId="445CEA8D" w:rsidR="00F27464" w:rsidRPr="00C93F5F" w:rsidRDefault="00F27464" w:rsidP="00F27464">
      <w:pPr>
        <w:numPr>
          <w:ilvl w:val="0"/>
          <w:numId w:val="11"/>
        </w:numPr>
        <w:spacing w:before="120"/>
        <w:jc w:val="both"/>
        <w:rPr>
          <w:noProof/>
          <w:color w:val="auto"/>
          <w:szCs w:val="16"/>
          <w:lang w:val="en-AU"/>
        </w:rPr>
      </w:pPr>
      <w:r w:rsidRPr="00C93F5F">
        <w:rPr>
          <w:color w:val="auto"/>
        </w:rPr>
        <w:t>A/Switzerland/8060/2017 (H3N2)- like virus (A/Brisbane/1/2018 X-311</w:t>
      </w:r>
      <w:r w:rsidR="00DE6FA3" w:rsidRPr="00C93F5F">
        <w:rPr>
          <w:color w:val="auto"/>
        </w:rPr>
        <w:t>)</w:t>
      </w:r>
      <w:r w:rsidRPr="00C93F5F">
        <w:rPr>
          <w:color w:val="auto"/>
        </w:rPr>
        <w:t xml:space="preserve"> </w:t>
      </w:r>
    </w:p>
    <w:p w14:paraId="7A82480C" w14:textId="208F204B" w:rsidR="004A25CE" w:rsidRPr="00C93F5F" w:rsidRDefault="004A25CE" w:rsidP="00E05084">
      <w:pPr>
        <w:numPr>
          <w:ilvl w:val="0"/>
          <w:numId w:val="11"/>
        </w:numPr>
        <w:spacing w:before="120"/>
        <w:ind w:left="714" w:hanging="357"/>
        <w:rPr>
          <w:noProof/>
          <w:color w:val="auto"/>
          <w:szCs w:val="16"/>
          <w:lang w:val="en-AU"/>
        </w:rPr>
      </w:pPr>
      <w:r w:rsidRPr="00C93F5F">
        <w:rPr>
          <w:noProof/>
          <w:color w:val="auto"/>
          <w:szCs w:val="16"/>
          <w:lang w:val="en-AU"/>
        </w:rPr>
        <w:t>B/Phuket/3073/2013-like virus (B/Phuket/3073/2013; Yamagata lineage)</w:t>
      </w:r>
    </w:p>
    <w:p w14:paraId="0F7E1AC1" w14:textId="0782642D" w:rsidR="00E05084" w:rsidRPr="00C93F5F" w:rsidRDefault="00E05084" w:rsidP="00E05084">
      <w:pPr>
        <w:numPr>
          <w:ilvl w:val="0"/>
          <w:numId w:val="11"/>
        </w:numPr>
        <w:spacing w:before="120"/>
        <w:ind w:left="714" w:hanging="357"/>
        <w:rPr>
          <w:noProof/>
          <w:color w:val="auto"/>
          <w:szCs w:val="16"/>
          <w:lang w:val="en-AU"/>
        </w:rPr>
      </w:pPr>
      <w:r w:rsidRPr="00C93F5F">
        <w:rPr>
          <w:color w:val="auto"/>
        </w:rPr>
        <w:t>B/Colorado/06/2017-like virus (B/Maryland/15/2016 BX-69A; Victoria lineage)</w:t>
      </w:r>
      <w:r w:rsidR="003B5A36" w:rsidRPr="00C93F5F">
        <w:rPr>
          <w:color w:val="auto"/>
        </w:rPr>
        <w:t xml:space="preserve"> </w:t>
      </w:r>
    </w:p>
    <w:p w14:paraId="6F316387" w14:textId="3FB93FAF" w:rsidR="00BA3986" w:rsidRPr="00C93F5F" w:rsidRDefault="00BA3986" w:rsidP="00BA3986">
      <w:pPr>
        <w:jc w:val="both"/>
        <w:rPr>
          <w:color w:val="auto"/>
          <w:szCs w:val="22"/>
          <w:lang w:val="en-AU"/>
        </w:rPr>
      </w:pPr>
      <w:r w:rsidRPr="00C93F5F">
        <w:rPr>
          <w:color w:val="auto"/>
          <w:szCs w:val="22"/>
          <w:lang w:val="en-AU"/>
        </w:rPr>
        <w:t xml:space="preserve">The type and amount of viral antigens contained in </w:t>
      </w:r>
      <w:r w:rsidR="000D1B52" w:rsidRPr="00C93F5F">
        <w:rPr>
          <w:color w:val="auto"/>
          <w:lang w:val="en-AU"/>
        </w:rPr>
        <w:t>Fluzone High-Dose Quadrivalent</w:t>
      </w:r>
      <w:r w:rsidRPr="00C93F5F">
        <w:rPr>
          <w:color w:val="auto"/>
          <w:szCs w:val="22"/>
          <w:lang w:val="en-AU"/>
        </w:rPr>
        <w:t xml:space="preserve"> conform to the annual requirements of the Australian Influenza Vaccine Committee (AIVC) recommendations for the season. </w:t>
      </w:r>
    </w:p>
    <w:p w14:paraId="54C42D26" w14:textId="40CCFF2F" w:rsidR="00BA3986" w:rsidRPr="00D83FD5" w:rsidRDefault="000D1B52" w:rsidP="00BA3986">
      <w:pPr>
        <w:jc w:val="both"/>
        <w:rPr>
          <w:color w:val="auto"/>
          <w:szCs w:val="22"/>
          <w:lang w:val="en-AU"/>
        </w:rPr>
      </w:pPr>
      <w:r w:rsidRPr="00C93F5F">
        <w:rPr>
          <w:color w:val="auto"/>
          <w:lang w:val="en-AU"/>
        </w:rPr>
        <w:t xml:space="preserve">Fluzone High-Dose Quadrivalent </w:t>
      </w:r>
      <w:r w:rsidR="00BA3986" w:rsidRPr="00C93F5F">
        <w:rPr>
          <w:color w:val="auto"/>
          <w:szCs w:val="22"/>
          <w:lang w:val="en-AU"/>
        </w:rPr>
        <w:t>is prepared from influenza viruses propagated in embryonated chicken eggs and inactivated with formaldehyde</w:t>
      </w:r>
      <w:r w:rsidR="00BA3986" w:rsidRPr="00D83FD5">
        <w:rPr>
          <w:color w:val="auto"/>
          <w:szCs w:val="22"/>
          <w:lang w:val="en-AU"/>
        </w:rPr>
        <w:t xml:space="preserve">. The influenza virus is concentrated and purified, and is then chemically disrupted to produce a “split virus”. The split virus is further purified by </w:t>
      </w:r>
      <w:proofErr w:type="spellStart"/>
      <w:r w:rsidR="002E034C" w:rsidRPr="00D83FD5">
        <w:rPr>
          <w:color w:val="auto"/>
          <w:szCs w:val="22"/>
          <w:lang w:val="en-AU"/>
        </w:rPr>
        <w:t>dia</w:t>
      </w:r>
      <w:r w:rsidR="00BA3986" w:rsidRPr="00D83FD5">
        <w:rPr>
          <w:color w:val="auto"/>
          <w:szCs w:val="22"/>
          <w:lang w:val="en-AU"/>
        </w:rPr>
        <w:t>filtration</w:t>
      </w:r>
      <w:proofErr w:type="spellEnd"/>
      <w:r w:rsidR="00BA3986" w:rsidRPr="00D83FD5">
        <w:rPr>
          <w:color w:val="auto"/>
          <w:szCs w:val="22"/>
          <w:lang w:val="en-AU"/>
        </w:rPr>
        <w:t xml:space="preserve"> and diluted to appropriate concentration. Antigens from the </w:t>
      </w:r>
      <w:r w:rsidR="002E034C" w:rsidRPr="00D83FD5">
        <w:rPr>
          <w:color w:val="auto"/>
          <w:szCs w:val="22"/>
          <w:lang w:val="en-AU"/>
        </w:rPr>
        <w:t>four</w:t>
      </w:r>
      <w:r w:rsidR="00BA3986" w:rsidRPr="00D83FD5">
        <w:rPr>
          <w:color w:val="auto"/>
          <w:szCs w:val="22"/>
          <w:lang w:val="en-AU"/>
        </w:rPr>
        <w:t xml:space="preserve"> strains included in the vaccine are produced separately and then combined to make the </w:t>
      </w:r>
      <w:r w:rsidR="002E034C" w:rsidRPr="00D83FD5">
        <w:rPr>
          <w:color w:val="auto"/>
          <w:szCs w:val="22"/>
          <w:lang w:val="en-AU"/>
        </w:rPr>
        <w:t>quadrivalent</w:t>
      </w:r>
      <w:r w:rsidR="00BA3986" w:rsidRPr="00D83FD5">
        <w:rPr>
          <w:color w:val="auto"/>
          <w:szCs w:val="22"/>
          <w:lang w:val="en-AU"/>
        </w:rPr>
        <w:t xml:space="preserve"> formulation.</w:t>
      </w:r>
    </w:p>
    <w:p w14:paraId="20D5E5C2" w14:textId="47B00896" w:rsidR="00DA5FC8" w:rsidRPr="00D83FD5" w:rsidRDefault="00FC292F" w:rsidP="002568A6">
      <w:pPr>
        <w:jc w:val="both"/>
        <w:rPr>
          <w:color w:val="auto"/>
          <w:szCs w:val="22"/>
          <w:lang w:val="en-AU"/>
        </w:rPr>
      </w:pPr>
      <w:r w:rsidRPr="00D83FD5">
        <w:rPr>
          <w:noProof/>
          <w:color w:val="auto"/>
          <w:szCs w:val="16"/>
          <w:lang w:val="en-AU"/>
        </w:rPr>
        <w:t>For the full list of excipients</w:t>
      </w:r>
      <w:r w:rsidR="00DA5FC8" w:rsidRPr="00D83FD5">
        <w:rPr>
          <w:noProof/>
          <w:color w:val="auto"/>
          <w:szCs w:val="16"/>
          <w:lang w:val="en-AU"/>
        </w:rPr>
        <w:t>, see Section 6.1 List of excipients.</w:t>
      </w:r>
      <w:r w:rsidR="00DA5FC8" w:rsidRPr="00D83FD5">
        <w:rPr>
          <w:color w:val="auto"/>
          <w:szCs w:val="22"/>
          <w:lang w:val="en-AU"/>
        </w:rPr>
        <w:t xml:space="preserve"> </w:t>
      </w:r>
    </w:p>
    <w:p w14:paraId="06DC4407" w14:textId="0C607FD5" w:rsidR="00BA3986" w:rsidRPr="00C93F5F" w:rsidRDefault="000D1B52" w:rsidP="00BA3986">
      <w:pPr>
        <w:jc w:val="both"/>
        <w:rPr>
          <w:color w:val="auto"/>
          <w:szCs w:val="22"/>
          <w:lang w:val="en-AU"/>
        </w:rPr>
      </w:pPr>
      <w:r w:rsidRPr="00D83FD5">
        <w:rPr>
          <w:lang w:val="en-AU"/>
        </w:rPr>
        <w:t>Fluzone High-Dose</w:t>
      </w:r>
      <w:r>
        <w:rPr>
          <w:lang w:val="en-AU"/>
        </w:rPr>
        <w:t xml:space="preserve"> </w:t>
      </w:r>
      <w:r w:rsidRPr="00C93F5F">
        <w:rPr>
          <w:color w:val="auto"/>
          <w:lang w:val="en-AU"/>
        </w:rPr>
        <w:t xml:space="preserve">Quadrivalent </w:t>
      </w:r>
      <w:r w:rsidR="00BA3986" w:rsidRPr="00C93F5F">
        <w:rPr>
          <w:color w:val="auto"/>
          <w:szCs w:val="22"/>
          <w:lang w:val="en-AU"/>
        </w:rPr>
        <w:t xml:space="preserve">is presented in prefilled syringes that are not made with natural rubber latex. </w:t>
      </w:r>
    </w:p>
    <w:p w14:paraId="4B2A682E" w14:textId="77777777" w:rsidR="001A3992" w:rsidRPr="00C93F5F" w:rsidRDefault="001A3992" w:rsidP="00C879F2">
      <w:pPr>
        <w:pStyle w:val="Heading1"/>
        <w:pageBreakBefore w:val="0"/>
        <w:rPr>
          <w:lang w:val="en-AU"/>
        </w:rPr>
      </w:pPr>
      <w:r w:rsidRPr="00C93F5F">
        <w:rPr>
          <w:lang w:val="en-AU"/>
        </w:rPr>
        <w:t>Pharmaceutical form</w:t>
      </w:r>
    </w:p>
    <w:p w14:paraId="34EB89EC" w14:textId="6D14BDA8" w:rsidR="00BA3986" w:rsidRPr="00D83FD5" w:rsidRDefault="000D1B52" w:rsidP="00BA3986">
      <w:pPr>
        <w:jc w:val="both"/>
        <w:rPr>
          <w:szCs w:val="22"/>
          <w:lang w:val="en-AU"/>
        </w:rPr>
      </w:pPr>
      <w:r w:rsidRPr="00C93F5F">
        <w:rPr>
          <w:color w:val="auto"/>
          <w:lang w:val="en-AU"/>
        </w:rPr>
        <w:t xml:space="preserve">Fluzone High-Dose Quadrivalent </w:t>
      </w:r>
      <w:r w:rsidR="00BA3986" w:rsidRPr="00D83FD5">
        <w:rPr>
          <w:color w:val="auto"/>
          <w:szCs w:val="22"/>
          <w:lang w:val="en-AU"/>
        </w:rPr>
        <w:t xml:space="preserve">suspension for injection is clear and </w:t>
      </w:r>
      <w:r w:rsidR="00BA3986" w:rsidRPr="00D83FD5">
        <w:rPr>
          <w:szCs w:val="22"/>
          <w:lang w:val="en-AU"/>
        </w:rPr>
        <w:t xml:space="preserve">slightly opalescent in colour. </w:t>
      </w:r>
    </w:p>
    <w:p w14:paraId="4B16FB13" w14:textId="77777777" w:rsidR="001A3992" w:rsidRPr="00D83FD5" w:rsidRDefault="001A3992" w:rsidP="00C879F2">
      <w:pPr>
        <w:pStyle w:val="Heading1"/>
        <w:pageBreakBefore w:val="0"/>
        <w:rPr>
          <w:lang w:val="en-AU"/>
        </w:rPr>
      </w:pPr>
      <w:r w:rsidRPr="00D83FD5">
        <w:rPr>
          <w:lang w:val="en-AU"/>
        </w:rPr>
        <w:lastRenderedPageBreak/>
        <w:t>Clinical particulars</w:t>
      </w:r>
    </w:p>
    <w:p w14:paraId="4BAAE7A9" w14:textId="77777777" w:rsidR="001A3992" w:rsidRPr="00D83FD5" w:rsidRDefault="001A3992" w:rsidP="00C879F2">
      <w:pPr>
        <w:pStyle w:val="Heading2"/>
        <w:rPr>
          <w:lang w:val="en-AU"/>
        </w:rPr>
      </w:pPr>
      <w:r w:rsidRPr="00D83FD5">
        <w:rPr>
          <w:lang w:val="en-AU"/>
        </w:rPr>
        <w:t xml:space="preserve">Therapeutic indications </w:t>
      </w:r>
    </w:p>
    <w:p w14:paraId="76861D7A" w14:textId="4696DCE5" w:rsidR="00BA3986" w:rsidRPr="00C93F5F" w:rsidRDefault="000D1B52" w:rsidP="000A2687">
      <w:pPr>
        <w:rPr>
          <w:color w:val="auto"/>
          <w:lang w:val="en-AU"/>
        </w:rPr>
      </w:pPr>
      <w:r w:rsidRPr="00D83FD5">
        <w:rPr>
          <w:lang w:val="en-AU"/>
        </w:rPr>
        <w:t>Fluzone High-Dose</w:t>
      </w:r>
      <w:r>
        <w:rPr>
          <w:lang w:val="en-AU"/>
        </w:rPr>
        <w:t xml:space="preserve"> </w:t>
      </w:r>
      <w:r w:rsidRPr="00C93F5F">
        <w:rPr>
          <w:color w:val="auto"/>
          <w:lang w:val="en-AU"/>
        </w:rPr>
        <w:t xml:space="preserve">Quadrivalent </w:t>
      </w:r>
      <w:r w:rsidR="00BA3986" w:rsidRPr="00C93F5F">
        <w:rPr>
          <w:color w:val="auto"/>
          <w:lang w:val="en-AU"/>
        </w:rPr>
        <w:t xml:space="preserve">is indicated for active immunisation </w:t>
      </w:r>
      <w:r w:rsidR="00187766" w:rsidRPr="00C93F5F">
        <w:rPr>
          <w:color w:val="auto"/>
          <w:lang w:val="en-AU"/>
        </w:rPr>
        <w:t xml:space="preserve">for the prevention of influenza </w:t>
      </w:r>
      <w:r w:rsidR="00BA3986" w:rsidRPr="00C93F5F">
        <w:rPr>
          <w:color w:val="auto"/>
          <w:lang w:val="en-AU"/>
        </w:rPr>
        <w:t>disease</w:t>
      </w:r>
      <w:r w:rsidR="00187766" w:rsidRPr="00C93F5F">
        <w:rPr>
          <w:color w:val="auto"/>
          <w:lang w:val="en-AU"/>
        </w:rPr>
        <w:t xml:space="preserve">. </w:t>
      </w:r>
      <w:r w:rsidRPr="00C93F5F">
        <w:rPr>
          <w:color w:val="auto"/>
          <w:lang w:val="en-AU"/>
        </w:rPr>
        <w:t xml:space="preserve">Fluzone High-Dose Quadrivalent </w:t>
      </w:r>
      <w:r w:rsidR="00187766" w:rsidRPr="00C93F5F">
        <w:rPr>
          <w:color w:val="auto"/>
          <w:lang w:val="en-AU"/>
        </w:rPr>
        <w:t xml:space="preserve">is indicated for use in </w:t>
      </w:r>
      <w:r w:rsidR="00BA3986" w:rsidRPr="00C93F5F">
        <w:rPr>
          <w:color w:val="auto"/>
          <w:lang w:val="en-AU"/>
        </w:rPr>
        <w:t>persons 65 years of age and older.</w:t>
      </w:r>
    </w:p>
    <w:p w14:paraId="6B23EE94" w14:textId="77777777" w:rsidR="00C02C21" w:rsidRDefault="00187766" w:rsidP="000A2687">
      <w:pPr>
        <w:rPr>
          <w:color w:val="auto"/>
          <w:lang w:val="en-AU"/>
        </w:rPr>
      </w:pPr>
      <w:r w:rsidRPr="00C93F5F">
        <w:rPr>
          <w:color w:val="auto"/>
          <w:lang w:val="en-AU"/>
        </w:rPr>
        <w:t xml:space="preserve">The use of </w:t>
      </w:r>
      <w:r w:rsidR="000D1B52" w:rsidRPr="00C93F5F">
        <w:rPr>
          <w:color w:val="auto"/>
          <w:lang w:val="en-AU"/>
        </w:rPr>
        <w:t xml:space="preserve">Fluzone High-Dose Quadrivalent </w:t>
      </w:r>
      <w:r w:rsidRPr="00D83FD5">
        <w:rPr>
          <w:color w:val="auto"/>
          <w:lang w:val="en-AU"/>
        </w:rPr>
        <w:t>should be based on official recommendations.</w:t>
      </w:r>
    </w:p>
    <w:p w14:paraId="5F3E4C75" w14:textId="77777777" w:rsidR="00C02C21" w:rsidRPr="00C02C21" w:rsidRDefault="00C02C21" w:rsidP="00C02C21">
      <w:pPr>
        <w:rPr>
          <w:color w:val="auto"/>
          <w:lang w:val="en-AU"/>
        </w:rPr>
      </w:pPr>
      <w:r w:rsidRPr="00C02C21">
        <w:rPr>
          <w:color w:val="auto"/>
          <w:lang w:val="en-AU"/>
        </w:rPr>
        <w:t xml:space="preserve">See Section 5.1 Clinical Trials for information on the effects on influenza associated complications.  </w:t>
      </w:r>
    </w:p>
    <w:p w14:paraId="1225BE6B" w14:textId="77777777" w:rsidR="001A3992" w:rsidRPr="00D83FD5" w:rsidRDefault="001A3992" w:rsidP="00C879F2">
      <w:pPr>
        <w:pStyle w:val="Heading2"/>
        <w:rPr>
          <w:lang w:val="en-AU"/>
        </w:rPr>
      </w:pPr>
      <w:r w:rsidRPr="00D83FD5">
        <w:rPr>
          <w:lang w:val="en-AU"/>
        </w:rPr>
        <w:t xml:space="preserve">Dose and method of administration </w:t>
      </w:r>
    </w:p>
    <w:p w14:paraId="4D06D454" w14:textId="2283669C" w:rsidR="00BA3986" w:rsidRPr="00D83FD5" w:rsidRDefault="000D1B52" w:rsidP="000A2687">
      <w:pPr>
        <w:rPr>
          <w:color w:val="auto"/>
          <w:szCs w:val="22"/>
          <w:lang w:val="en-AU"/>
        </w:rPr>
      </w:pPr>
      <w:r w:rsidRPr="00D83FD5">
        <w:rPr>
          <w:lang w:val="en-AU"/>
        </w:rPr>
        <w:t>Fluzone High-Dose</w:t>
      </w:r>
      <w:r>
        <w:rPr>
          <w:lang w:val="en-AU"/>
        </w:rPr>
        <w:t xml:space="preserve"> </w:t>
      </w:r>
      <w:r w:rsidRPr="00C93F5F">
        <w:rPr>
          <w:color w:val="auto"/>
          <w:lang w:val="en-AU"/>
        </w:rPr>
        <w:t xml:space="preserve">Quadrivalent </w:t>
      </w:r>
      <w:r w:rsidR="00BA3986" w:rsidRPr="00D83FD5">
        <w:rPr>
          <w:color w:val="auto"/>
          <w:szCs w:val="22"/>
          <w:lang w:val="en-AU"/>
        </w:rPr>
        <w:t>should be given in accordance with the national recommendation as per the current Immunisation Handbook.</w:t>
      </w:r>
    </w:p>
    <w:p w14:paraId="1A0C82F8" w14:textId="26043E66" w:rsidR="00BA3986" w:rsidRPr="00C93F5F" w:rsidRDefault="00187766" w:rsidP="000A2687">
      <w:pPr>
        <w:rPr>
          <w:color w:val="auto"/>
          <w:lang w:val="en-AU"/>
        </w:rPr>
      </w:pPr>
      <w:r w:rsidRPr="00D83FD5">
        <w:rPr>
          <w:color w:val="auto"/>
          <w:lang w:val="en-AU"/>
        </w:rPr>
        <w:t xml:space="preserve">The recommended dosage of </w:t>
      </w:r>
      <w:r w:rsidR="000D1B52" w:rsidRPr="00D83FD5">
        <w:rPr>
          <w:lang w:val="en-AU"/>
        </w:rPr>
        <w:t>Fluzone High-Dose</w:t>
      </w:r>
      <w:r w:rsidR="000D1B52">
        <w:rPr>
          <w:lang w:val="en-AU"/>
        </w:rPr>
        <w:t xml:space="preserve"> </w:t>
      </w:r>
      <w:r w:rsidR="000D1B52" w:rsidRPr="00C93F5F">
        <w:rPr>
          <w:color w:val="auto"/>
          <w:lang w:val="en-AU"/>
        </w:rPr>
        <w:t xml:space="preserve">Quadrivalent </w:t>
      </w:r>
      <w:r w:rsidRPr="00C93F5F">
        <w:rPr>
          <w:color w:val="auto"/>
          <w:lang w:val="en-AU"/>
        </w:rPr>
        <w:t xml:space="preserve">is 1 dose of 0.7 mL, annually, </w:t>
      </w:r>
      <w:r w:rsidR="00BA3986" w:rsidRPr="00C93F5F">
        <w:rPr>
          <w:color w:val="auto"/>
          <w:lang w:val="en-AU"/>
        </w:rPr>
        <w:t xml:space="preserve">in </w:t>
      </w:r>
      <w:r w:rsidRPr="00C93F5F">
        <w:rPr>
          <w:color w:val="auto"/>
          <w:lang w:val="en-AU"/>
        </w:rPr>
        <w:t xml:space="preserve">persons </w:t>
      </w:r>
      <w:r w:rsidR="00BA3986" w:rsidRPr="00C93F5F">
        <w:rPr>
          <w:color w:val="auto"/>
          <w:lang w:val="en-AU"/>
        </w:rPr>
        <w:t>65 years of age and older.</w:t>
      </w:r>
    </w:p>
    <w:p w14:paraId="08165E13" w14:textId="47A7A00B" w:rsidR="00187766" w:rsidRPr="00C93F5F" w:rsidRDefault="00187766" w:rsidP="000A2687">
      <w:pPr>
        <w:rPr>
          <w:color w:val="auto"/>
          <w:lang w:val="en-AU"/>
        </w:rPr>
      </w:pPr>
      <w:r w:rsidRPr="00C93F5F">
        <w:rPr>
          <w:color w:val="auto"/>
          <w:lang w:val="en-AU"/>
        </w:rPr>
        <w:t>Administration should be carried out by intramuscular route.</w:t>
      </w:r>
    </w:p>
    <w:p w14:paraId="6D091F82" w14:textId="0BDAA3BA" w:rsidR="00BA3986" w:rsidRPr="00D83FD5" w:rsidRDefault="00BA3986" w:rsidP="000A2687">
      <w:pPr>
        <w:rPr>
          <w:color w:val="auto"/>
          <w:lang w:val="en-AU"/>
        </w:rPr>
      </w:pPr>
      <w:r w:rsidRPr="00C93F5F">
        <w:rPr>
          <w:color w:val="auto"/>
          <w:lang w:val="en-AU"/>
        </w:rPr>
        <w:t xml:space="preserve">Injections of </w:t>
      </w:r>
      <w:r w:rsidR="000D1B52" w:rsidRPr="00C93F5F">
        <w:rPr>
          <w:color w:val="auto"/>
          <w:lang w:val="en-AU"/>
        </w:rPr>
        <w:t xml:space="preserve">Fluzone High-Dose Quadrivalent </w:t>
      </w:r>
      <w:r w:rsidRPr="00C93F5F">
        <w:rPr>
          <w:color w:val="auto"/>
          <w:lang w:val="en-AU"/>
        </w:rPr>
        <w:t xml:space="preserve">should be administered intramuscularly, preferably in the deltoid muscle. The vaccine should not be </w:t>
      </w:r>
      <w:r w:rsidRPr="00D83FD5">
        <w:rPr>
          <w:color w:val="auto"/>
          <w:lang w:val="en-AU"/>
        </w:rPr>
        <w:t>injected into the gluteal region, or into areas where there may be a major nerve trunk.</w:t>
      </w:r>
    </w:p>
    <w:p w14:paraId="120AC001" w14:textId="77777777" w:rsidR="00BA3986" w:rsidRPr="00D83FD5" w:rsidRDefault="00BA3986" w:rsidP="000A2687">
      <w:pPr>
        <w:rPr>
          <w:color w:val="auto"/>
          <w:szCs w:val="22"/>
          <w:lang w:val="en-AU"/>
        </w:rPr>
      </w:pPr>
      <w:r w:rsidRPr="00D83FD5">
        <w:rPr>
          <w:color w:val="auto"/>
          <w:szCs w:val="22"/>
          <w:lang w:val="en-AU"/>
        </w:rPr>
        <w:t xml:space="preserve">For needle size and length, refer to the national recommendations as per the current Immunisation Handbook.  </w:t>
      </w:r>
    </w:p>
    <w:p w14:paraId="7D8E18E9" w14:textId="4F5E9968" w:rsidR="00187766" w:rsidRPr="00D83FD5" w:rsidRDefault="00187766" w:rsidP="000A2687">
      <w:pPr>
        <w:rPr>
          <w:color w:val="auto"/>
          <w:szCs w:val="22"/>
          <w:lang w:val="en-AU"/>
        </w:rPr>
      </w:pPr>
      <w:r w:rsidRPr="00D83FD5">
        <w:rPr>
          <w:color w:val="auto"/>
          <w:szCs w:val="22"/>
          <w:lang w:val="en-AU"/>
        </w:rPr>
        <w:t xml:space="preserve">Do not administer this product intravenously. </w:t>
      </w:r>
    </w:p>
    <w:p w14:paraId="319AF209" w14:textId="77777777" w:rsidR="00E25EA6" w:rsidRPr="00D83FD5" w:rsidRDefault="00E25EA6" w:rsidP="00E25EA6">
      <w:pPr>
        <w:jc w:val="both"/>
      </w:pPr>
      <w:r w:rsidRPr="00D83FD5">
        <w:t>Shake before use to distribute suspension uniformly before administration.</w:t>
      </w:r>
    </w:p>
    <w:p w14:paraId="30F64A4E" w14:textId="738D58FE" w:rsidR="00E25EA6" w:rsidRPr="00D83FD5" w:rsidRDefault="00E25EA6" w:rsidP="000A2687">
      <w:pPr>
        <w:rPr>
          <w:color w:val="auto"/>
          <w:szCs w:val="22"/>
          <w:lang w:val="en-AU"/>
        </w:rPr>
      </w:pPr>
      <w:r w:rsidRPr="00D83FD5">
        <w:t>Parenteral drug products should be inspected visually for particulate matter and/or discoloration prior to administration whenever solution and container permit. If either of these conditions exists, the vaccine should not be administered.</w:t>
      </w:r>
    </w:p>
    <w:p w14:paraId="77157801" w14:textId="77777777" w:rsidR="00BA3986" w:rsidRPr="00D83FD5" w:rsidRDefault="00BA3986" w:rsidP="000A2687">
      <w:pPr>
        <w:rPr>
          <w:color w:val="auto"/>
          <w:szCs w:val="22"/>
          <w:lang w:val="en-AU"/>
        </w:rPr>
      </w:pPr>
      <w:r w:rsidRPr="00D83FD5">
        <w:rPr>
          <w:color w:val="auto"/>
          <w:szCs w:val="22"/>
          <w:lang w:val="en-AU"/>
        </w:rPr>
        <w:t xml:space="preserve">The syringe is for single use only and must not be reused. Discard any remaining unused contents. </w:t>
      </w:r>
    </w:p>
    <w:p w14:paraId="424E85E0" w14:textId="77777777" w:rsidR="001A3992" w:rsidRPr="00D83FD5" w:rsidRDefault="001A3992" w:rsidP="00C879F2">
      <w:pPr>
        <w:pStyle w:val="Heading2"/>
        <w:rPr>
          <w:lang w:val="en-AU"/>
        </w:rPr>
      </w:pPr>
      <w:bookmarkStart w:id="1" w:name="_Hlk32996791"/>
      <w:r w:rsidRPr="00D83FD5">
        <w:rPr>
          <w:lang w:val="en-AU"/>
        </w:rPr>
        <w:t>Contraindications</w:t>
      </w:r>
      <w:bookmarkEnd w:id="1"/>
    </w:p>
    <w:p w14:paraId="50182FA2" w14:textId="5614AF38" w:rsidR="001A3BFF" w:rsidRPr="00C93F5F" w:rsidRDefault="000D1B52" w:rsidP="00B75236">
      <w:pPr>
        <w:rPr>
          <w:color w:val="auto"/>
          <w:szCs w:val="22"/>
          <w:lang w:val="en-AU"/>
        </w:rPr>
      </w:pPr>
      <w:bookmarkStart w:id="2" w:name="_Hlk32996774"/>
      <w:r w:rsidRPr="00D83FD5">
        <w:rPr>
          <w:lang w:val="en-AU"/>
        </w:rPr>
        <w:t>Fluzone High-Dose</w:t>
      </w:r>
      <w:r>
        <w:rPr>
          <w:lang w:val="en-AU"/>
        </w:rPr>
        <w:t xml:space="preserve"> </w:t>
      </w:r>
      <w:r w:rsidRPr="00C93F5F">
        <w:rPr>
          <w:color w:val="auto"/>
          <w:lang w:val="en-AU"/>
        </w:rPr>
        <w:t xml:space="preserve">Quadrivalent </w:t>
      </w:r>
      <w:r w:rsidR="002E034C" w:rsidRPr="00C93F5F">
        <w:rPr>
          <w:color w:val="auto"/>
          <w:szCs w:val="22"/>
          <w:lang w:val="en-AU"/>
        </w:rPr>
        <w:t xml:space="preserve">is contraindicated in </w:t>
      </w:r>
      <w:r w:rsidR="00BA3986" w:rsidRPr="00C93F5F">
        <w:rPr>
          <w:color w:val="auto"/>
          <w:szCs w:val="22"/>
          <w:lang w:val="en-AU"/>
        </w:rPr>
        <w:t xml:space="preserve">anyone with a </w:t>
      </w:r>
      <w:r w:rsidR="001A3BFF" w:rsidRPr="00C93F5F">
        <w:rPr>
          <w:rFonts w:ascii="Cambria" w:hAnsi="Cambria"/>
          <w:color w:val="auto"/>
          <w:szCs w:val="22"/>
          <w:lang w:val="en-AU"/>
        </w:rPr>
        <w:t>history of severe allergic reaction</w:t>
      </w:r>
    </w:p>
    <w:p w14:paraId="0DDA8992" w14:textId="77777777" w:rsidR="001A3BFF" w:rsidRPr="00C93F5F" w:rsidRDefault="00BA3986" w:rsidP="001A3BFF">
      <w:pPr>
        <w:pStyle w:val="ListParagraph"/>
        <w:numPr>
          <w:ilvl w:val="0"/>
          <w:numId w:val="46"/>
        </w:numPr>
        <w:rPr>
          <w:color w:val="auto"/>
        </w:rPr>
      </w:pPr>
      <w:r w:rsidRPr="00C93F5F">
        <w:rPr>
          <w:color w:val="auto"/>
          <w:szCs w:val="22"/>
          <w:lang w:val="en-AU"/>
        </w:rPr>
        <w:t xml:space="preserve">after previous administration of any influenza vaccine </w:t>
      </w:r>
      <w:r w:rsidRPr="00C93F5F">
        <w:rPr>
          <w:strike/>
          <w:color w:val="auto"/>
          <w:szCs w:val="22"/>
          <w:lang w:val="en-AU"/>
        </w:rPr>
        <w:t xml:space="preserve">or </w:t>
      </w:r>
    </w:p>
    <w:p w14:paraId="5972C43B" w14:textId="7292D214" w:rsidR="00BA3986" w:rsidRPr="00C93F5F" w:rsidRDefault="00BA3986" w:rsidP="001A3BFF">
      <w:pPr>
        <w:pStyle w:val="ListParagraph"/>
        <w:numPr>
          <w:ilvl w:val="0"/>
          <w:numId w:val="46"/>
        </w:numPr>
        <w:rPr>
          <w:color w:val="auto"/>
        </w:rPr>
      </w:pPr>
      <w:r w:rsidRPr="00C93F5F">
        <w:rPr>
          <w:color w:val="auto"/>
          <w:szCs w:val="22"/>
          <w:lang w:val="en-AU"/>
        </w:rPr>
        <w:lastRenderedPageBreak/>
        <w:t xml:space="preserve">to any component of the vaccine </w:t>
      </w:r>
      <w:r w:rsidR="00947ED4" w:rsidRPr="00C93F5F">
        <w:rPr>
          <w:color w:val="auto"/>
          <w:szCs w:val="22"/>
          <w:lang w:val="en-AU"/>
        </w:rPr>
        <w:t>(</w:t>
      </w:r>
      <w:r w:rsidR="001A3BFF" w:rsidRPr="00C93F5F">
        <w:rPr>
          <w:color w:val="auto"/>
          <w:szCs w:val="22"/>
          <w:lang w:val="en-AU"/>
        </w:rPr>
        <w:t xml:space="preserve">i.e., as </w:t>
      </w:r>
      <w:r w:rsidR="00947ED4" w:rsidRPr="00C93F5F">
        <w:rPr>
          <w:color w:val="auto"/>
          <w:szCs w:val="22"/>
          <w:lang w:val="en-AU"/>
        </w:rPr>
        <w:t xml:space="preserve">defined under </w:t>
      </w:r>
      <w:r w:rsidR="007371A8" w:rsidRPr="00C93F5F">
        <w:rPr>
          <w:color w:val="auto"/>
          <w:szCs w:val="22"/>
          <w:lang w:val="en-AU"/>
        </w:rPr>
        <w:t xml:space="preserve">Section </w:t>
      </w:r>
      <w:r w:rsidR="00F033B3" w:rsidRPr="00C93F5F">
        <w:rPr>
          <w:color w:val="auto"/>
          <w:szCs w:val="22"/>
          <w:lang w:val="en-AU"/>
        </w:rPr>
        <w:t xml:space="preserve">2 </w:t>
      </w:r>
      <w:r w:rsidR="007371A8" w:rsidRPr="00C93F5F">
        <w:rPr>
          <w:color w:val="auto"/>
          <w:szCs w:val="22"/>
          <w:lang w:val="en-AU"/>
        </w:rPr>
        <w:t>Qualitative and quantitative composition</w:t>
      </w:r>
      <w:r w:rsidR="002E034C" w:rsidRPr="00C93F5F">
        <w:rPr>
          <w:color w:val="auto"/>
          <w:szCs w:val="22"/>
          <w:lang w:val="en-AU"/>
        </w:rPr>
        <w:t xml:space="preserve"> and Section 6.1 List of excipients</w:t>
      </w:r>
      <w:r w:rsidRPr="00C93F5F">
        <w:rPr>
          <w:color w:val="auto"/>
          <w:szCs w:val="22"/>
          <w:lang w:val="en-AU"/>
        </w:rPr>
        <w:t>.</w:t>
      </w:r>
      <w:r w:rsidR="001A3BFF" w:rsidRPr="00C93F5F">
        <w:rPr>
          <w:color w:val="auto"/>
          <w:szCs w:val="22"/>
          <w:lang w:val="en-AU"/>
        </w:rPr>
        <w:t>) Refer to Section 4.4 Special warnings and precautions for use for individuals with egg allergy.</w:t>
      </w:r>
    </w:p>
    <w:p w14:paraId="5AE9F571" w14:textId="1E596BBE" w:rsidR="001A3BFF" w:rsidRPr="00C93F5F" w:rsidRDefault="001A3BFF" w:rsidP="001A3BFF">
      <w:pPr>
        <w:pStyle w:val="ListParagraph"/>
        <w:numPr>
          <w:ilvl w:val="0"/>
          <w:numId w:val="46"/>
        </w:numPr>
        <w:rPr>
          <w:color w:val="auto"/>
          <w:szCs w:val="22"/>
          <w:lang w:val="en-AU"/>
        </w:rPr>
      </w:pPr>
      <w:r w:rsidRPr="00C93F5F">
        <w:rPr>
          <w:color w:val="auto"/>
          <w:szCs w:val="22"/>
          <w:lang w:val="en-AU"/>
        </w:rPr>
        <w:t>to a vaccine containing the same component</w:t>
      </w:r>
      <w:r w:rsidR="008527C7" w:rsidRPr="00C93F5F">
        <w:rPr>
          <w:color w:val="auto"/>
          <w:szCs w:val="22"/>
          <w:lang w:val="en-AU"/>
        </w:rPr>
        <w:t>s.</w:t>
      </w:r>
    </w:p>
    <w:bookmarkEnd w:id="2"/>
    <w:p w14:paraId="5D56315B" w14:textId="77777777" w:rsidR="001A3992" w:rsidRPr="00D83FD5" w:rsidRDefault="00E74A56" w:rsidP="00C879F2">
      <w:pPr>
        <w:pStyle w:val="Heading2"/>
        <w:rPr>
          <w:lang w:val="en-AU"/>
        </w:rPr>
      </w:pPr>
      <w:r w:rsidRPr="00D83FD5">
        <w:rPr>
          <w:lang w:val="en-AU"/>
        </w:rPr>
        <w:t>Special warnings and p</w:t>
      </w:r>
      <w:r w:rsidR="001A3992" w:rsidRPr="00D83FD5">
        <w:rPr>
          <w:lang w:val="en-AU"/>
        </w:rPr>
        <w:t xml:space="preserve">recautions </w:t>
      </w:r>
      <w:r w:rsidRPr="00D83FD5">
        <w:rPr>
          <w:lang w:val="en-AU"/>
        </w:rPr>
        <w:t>for use</w:t>
      </w:r>
    </w:p>
    <w:p w14:paraId="12CA9B40" w14:textId="2AAAA906" w:rsidR="00881C1D" w:rsidRPr="00D83FD5" w:rsidRDefault="00881C1D" w:rsidP="00881C1D">
      <w:pPr>
        <w:pStyle w:val="Heading3"/>
        <w:numPr>
          <w:ilvl w:val="0"/>
          <w:numId w:val="0"/>
        </w:numPr>
        <w:rPr>
          <w:rFonts w:ascii="Times New Roman" w:eastAsia="MS Mincho" w:hAnsi="Times New Roman" w:cs="Times New Roman"/>
          <w:b w:val="0"/>
          <w:kern w:val="0"/>
          <w:sz w:val="24"/>
          <w:szCs w:val="22"/>
          <w:lang w:val="en-AU"/>
        </w:rPr>
      </w:pPr>
      <w:r w:rsidRPr="00D83FD5">
        <w:rPr>
          <w:rFonts w:ascii="Times New Roman" w:eastAsia="MS Mincho" w:hAnsi="Times New Roman" w:cs="Times New Roman"/>
          <w:b w:val="0"/>
          <w:kern w:val="0"/>
          <w:sz w:val="24"/>
          <w:szCs w:val="22"/>
          <w:lang w:val="en-AU"/>
        </w:rPr>
        <w:t>Do not administer by intravascular injection: ensure that the needle does not penetrate a blood vessel.</w:t>
      </w:r>
    </w:p>
    <w:p w14:paraId="60541D15" w14:textId="77777777" w:rsidR="00BA3986" w:rsidRPr="00D83FD5" w:rsidRDefault="00BA3986" w:rsidP="00C879F2">
      <w:pPr>
        <w:pStyle w:val="Heading3"/>
        <w:numPr>
          <w:ilvl w:val="0"/>
          <w:numId w:val="0"/>
        </w:numPr>
        <w:ind w:left="680" w:hanging="680"/>
        <w:rPr>
          <w:rFonts w:ascii="Times New Roman" w:hAnsi="Times New Roman" w:cs="Times New Roman"/>
          <w:lang w:val="en-AU" w:eastAsia="ja-JP"/>
        </w:rPr>
      </w:pPr>
      <w:bookmarkStart w:id="3" w:name="_Hlk32997411"/>
      <w:r w:rsidRPr="00D83FD5">
        <w:rPr>
          <w:lang w:val="en-AU"/>
        </w:rPr>
        <w:t>Hypersensitivity</w:t>
      </w:r>
    </w:p>
    <w:p w14:paraId="15EC8EEA" w14:textId="493BE4CD" w:rsidR="00BA3986" w:rsidRPr="00C93F5F" w:rsidRDefault="00BA3986" w:rsidP="00BA3986">
      <w:pPr>
        <w:rPr>
          <w:color w:val="auto"/>
          <w:lang w:val="en-AU"/>
        </w:rPr>
      </w:pPr>
      <w:r w:rsidRPr="00D83FD5">
        <w:rPr>
          <w:color w:val="auto"/>
          <w:lang w:val="en-AU"/>
        </w:rPr>
        <w:t>Prior to any vaccine injection, all known precautions should be taken to prevent hypersensitivity reactions. This includes a review of the individual’s prior vaccination history with respect to possible hypersensitivity to the vaccine or similar vaccines</w:t>
      </w:r>
      <w:r w:rsidRPr="00C93F5F">
        <w:rPr>
          <w:color w:val="auto"/>
          <w:lang w:val="en-AU"/>
        </w:rPr>
        <w:t xml:space="preserve">. </w:t>
      </w:r>
      <w:r w:rsidR="001A3BFF" w:rsidRPr="00C93F5F">
        <w:rPr>
          <w:color w:val="auto"/>
          <w:lang w:val="en-AU"/>
        </w:rPr>
        <w:t>As with all injectable vaccines, appropriate medical treatment and supervision should always be readily available in the event of severe allergic reaction/anaphylactic reaction following administration of Fluzone High-Dose</w:t>
      </w:r>
      <w:r w:rsidR="00916D3A" w:rsidRPr="00C93F5F">
        <w:rPr>
          <w:color w:val="auto"/>
          <w:lang w:val="en-AU"/>
        </w:rPr>
        <w:t xml:space="preserve"> Quadrivalent</w:t>
      </w:r>
      <w:r w:rsidR="001A3BFF" w:rsidRPr="00C93F5F">
        <w:rPr>
          <w:color w:val="auto"/>
          <w:lang w:val="en-AU"/>
        </w:rPr>
        <w:t xml:space="preserve">. </w:t>
      </w:r>
    </w:p>
    <w:p w14:paraId="2F336A25" w14:textId="0B74ABC9" w:rsidR="00BA3986" w:rsidRPr="00C93F5F" w:rsidRDefault="001A3BFF" w:rsidP="00BA3986">
      <w:pPr>
        <w:rPr>
          <w:color w:val="auto"/>
          <w:lang w:val="en-AU"/>
        </w:rPr>
      </w:pPr>
      <w:r w:rsidRPr="00C93F5F">
        <w:rPr>
          <w:color w:val="auto"/>
          <w:lang w:val="en-AU"/>
        </w:rPr>
        <w:t>E</w:t>
      </w:r>
      <w:r w:rsidR="00BA3986" w:rsidRPr="00C93F5F">
        <w:rPr>
          <w:color w:val="auto"/>
          <w:lang w:val="en-AU"/>
        </w:rPr>
        <w:t>ach dose may contain trace</w:t>
      </w:r>
      <w:r w:rsidR="00B75236" w:rsidRPr="00C93F5F">
        <w:rPr>
          <w:color w:val="auto"/>
          <w:lang w:val="en-AU"/>
        </w:rPr>
        <w:t>s of formaldehyde</w:t>
      </w:r>
      <w:r w:rsidR="002E034C" w:rsidRPr="00C93F5F">
        <w:rPr>
          <w:color w:val="auto"/>
          <w:lang w:val="en-AU"/>
        </w:rPr>
        <w:t>, ovalbumin</w:t>
      </w:r>
      <w:r w:rsidR="00A50F74" w:rsidRPr="00C93F5F">
        <w:rPr>
          <w:color w:val="auto"/>
          <w:lang w:val="en-AU"/>
        </w:rPr>
        <w:t>,</w:t>
      </w:r>
      <w:r w:rsidR="00B75236" w:rsidRPr="00C93F5F">
        <w:rPr>
          <w:color w:val="auto"/>
          <w:lang w:val="en-AU"/>
        </w:rPr>
        <w:t xml:space="preserve"> and octoxinol-</w:t>
      </w:r>
      <w:r w:rsidR="00BA3986" w:rsidRPr="00C93F5F">
        <w:rPr>
          <w:color w:val="auto"/>
          <w:lang w:val="en-AU"/>
        </w:rPr>
        <w:t>9</w:t>
      </w:r>
      <w:r w:rsidR="002E034C" w:rsidRPr="00C93F5F">
        <w:rPr>
          <w:color w:val="auto"/>
          <w:lang w:val="en-AU"/>
        </w:rPr>
        <w:t>,</w:t>
      </w:r>
      <w:r w:rsidR="00BA3986" w:rsidRPr="00C93F5F">
        <w:rPr>
          <w:color w:val="auto"/>
          <w:lang w:val="en-AU"/>
        </w:rPr>
        <w:t xml:space="preserve"> which are used during vaccine production</w:t>
      </w:r>
      <w:r w:rsidRPr="00C93F5F">
        <w:rPr>
          <w:color w:val="auto"/>
          <w:lang w:val="en-AU"/>
        </w:rPr>
        <w:t>.</w:t>
      </w:r>
      <w:r w:rsidR="00BA3986" w:rsidRPr="00C93F5F">
        <w:rPr>
          <w:color w:val="auto"/>
          <w:lang w:val="en-AU"/>
        </w:rPr>
        <w:t xml:space="preserve"> </w:t>
      </w:r>
      <w:r w:rsidRPr="00C93F5F">
        <w:rPr>
          <w:color w:val="auto"/>
          <w:lang w:val="en-AU"/>
        </w:rPr>
        <w:t>C</w:t>
      </w:r>
      <w:r w:rsidR="00BA3986" w:rsidRPr="00C93F5F">
        <w:rPr>
          <w:color w:val="auto"/>
          <w:lang w:val="en-AU"/>
        </w:rPr>
        <w:t xml:space="preserve">aution should be exercised when the vaccine is administered to </w:t>
      </w:r>
      <w:r w:rsidR="00881C1D" w:rsidRPr="00C93F5F">
        <w:rPr>
          <w:color w:val="auto"/>
          <w:lang w:val="en-AU"/>
        </w:rPr>
        <w:t xml:space="preserve">individuals </w:t>
      </w:r>
      <w:r w:rsidR="00BA3986" w:rsidRPr="00C93F5F">
        <w:rPr>
          <w:color w:val="auto"/>
          <w:lang w:val="en-AU"/>
        </w:rPr>
        <w:t>with hypersensitivity to</w:t>
      </w:r>
      <w:r w:rsidR="00C93F5F" w:rsidRPr="00C93F5F">
        <w:rPr>
          <w:color w:val="auto"/>
          <w:lang w:val="en-AU"/>
        </w:rPr>
        <w:t xml:space="preserve"> </w:t>
      </w:r>
      <w:r w:rsidRPr="00C93F5F">
        <w:rPr>
          <w:color w:val="auto"/>
          <w:lang w:val="en-AU"/>
        </w:rPr>
        <w:t>any components of the vaccine including manufacturing residuals.</w:t>
      </w:r>
    </w:p>
    <w:p w14:paraId="2EB07AD3" w14:textId="05705A52" w:rsidR="001A3BFF" w:rsidRPr="00C93F5F" w:rsidRDefault="001A3BFF" w:rsidP="001A3BFF">
      <w:pPr>
        <w:rPr>
          <w:color w:val="auto"/>
          <w:lang w:val="en-AU"/>
        </w:rPr>
      </w:pPr>
      <w:r w:rsidRPr="00C93F5F">
        <w:rPr>
          <w:color w:val="auto"/>
          <w:lang w:val="en-AU"/>
        </w:rPr>
        <w:t xml:space="preserve">Individuals with egg allergy of any severity may be vaccinated. </w:t>
      </w:r>
    </w:p>
    <w:p w14:paraId="4364C8B1" w14:textId="442ED108" w:rsidR="001A3BFF" w:rsidRPr="00C93F5F" w:rsidRDefault="001A3BFF" w:rsidP="001A3BFF">
      <w:pPr>
        <w:numPr>
          <w:ilvl w:val="0"/>
          <w:numId w:val="50"/>
        </w:numPr>
        <w:spacing w:before="0"/>
        <w:rPr>
          <w:color w:val="auto"/>
          <w:lang w:val="en-AU"/>
        </w:rPr>
      </w:pPr>
      <w:r w:rsidRPr="00C93F5F">
        <w:rPr>
          <w:color w:val="auto"/>
          <w:lang w:val="en-AU"/>
        </w:rPr>
        <w:t>Individuals who report having had an allergic reaction to eggs involving only symptoms of urticaria (hives) may receive the vaccine.</w:t>
      </w:r>
    </w:p>
    <w:p w14:paraId="0C74188D" w14:textId="678727AC" w:rsidR="001A3BFF" w:rsidRPr="00C93F5F" w:rsidRDefault="001A3BFF" w:rsidP="001A3BFF">
      <w:pPr>
        <w:numPr>
          <w:ilvl w:val="0"/>
          <w:numId w:val="50"/>
        </w:numPr>
        <w:spacing w:before="0"/>
        <w:rPr>
          <w:color w:val="auto"/>
          <w:lang w:val="en-AU"/>
        </w:rPr>
      </w:pPr>
      <w:r w:rsidRPr="00C93F5F">
        <w:rPr>
          <w:color w:val="auto"/>
          <w:lang w:val="en-AU"/>
        </w:rPr>
        <w:t>Individuals who report having had a severe allergic reaction/anaphylaxis (e.g., angioedema, respiratory distress, light</w:t>
      </w:r>
      <w:r w:rsidR="0010586F" w:rsidRPr="00C93F5F">
        <w:rPr>
          <w:color w:val="auto"/>
          <w:lang w:val="en-AU"/>
        </w:rPr>
        <w:t xml:space="preserve"> </w:t>
      </w:r>
      <w:r w:rsidRPr="00C93F5F">
        <w:rPr>
          <w:color w:val="auto"/>
          <w:lang w:val="en-AU"/>
        </w:rPr>
        <w:t>headedness, or recurrent emesis, or who required epinephrine or another emergency medical intervention) to egg should have the influenza vaccine administered  in an inpatient or outpatient medical setting (including, but not necessarily limited to, hospitals, clinics, health departments, and physician offices). Vaccine administration should be supervised by a healthcare provider who is able to manage severe allergic reactions.</w:t>
      </w:r>
    </w:p>
    <w:p w14:paraId="4718AD8B" w14:textId="12D658E9" w:rsidR="001A3BFF" w:rsidRPr="00C93F5F" w:rsidRDefault="001A3BFF" w:rsidP="004D6D6F">
      <w:pPr>
        <w:spacing w:before="0"/>
        <w:rPr>
          <w:color w:val="auto"/>
          <w:lang w:val="en-AU"/>
        </w:rPr>
      </w:pPr>
      <w:r w:rsidRPr="00C93F5F">
        <w:rPr>
          <w:color w:val="auto"/>
          <w:lang w:val="en-AU"/>
        </w:rPr>
        <w:t>Refer to the current Immunisation Handbook for more information.</w:t>
      </w:r>
      <w:r w:rsidRPr="00C93F5F">
        <w:rPr>
          <w:color w:val="auto"/>
          <w:szCs w:val="22"/>
          <w:lang w:val="en-AU"/>
        </w:rPr>
        <w:t xml:space="preserve">  </w:t>
      </w:r>
      <w:r w:rsidRPr="00C93F5F">
        <w:rPr>
          <w:color w:val="auto"/>
          <w:lang w:val="en-AU"/>
        </w:rPr>
        <w:t xml:space="preserve"> </w:t>
      </w:r>
    </w:p>
    <w:p w14:paraId="627BDDB0" w14:textId="77777777" w:rsidR="00BA3986" w:rsidRPr="00D83FD5" w:rsidRDefault="00BA3986" w:rsidP="00C879F2">
      <w:pPr>
        <w:pStyle w:val="Heading3"/>
        <w:numPr>
          <w:ilvl w:val="0"/>
          <w:numId w:val="0"/>
        </w:numPr>
        <w:ind w:left="680" w:hanging="680"/>
        <w:rPr>
          <w:lang w:val="en-AU"/>
        </w:rPr>
      </w:pPr>
      <w:bookmarkStart w:id="4" w:name="_Hlk32998030"/>
      <w:bookmarkEnd w:id="3"/>
      <w:r w:rsidRPr="00D83FD5">
        <w:rPr>
          <w:lang w:val="en-AU"/>
        </w:rPr>
        <w:t>Neurological Disorders</w:t>
      </w:r>
    </w:p>
    <w:p w14:paraId="44F49762" w14:textId="37AB74F4" w:rsidR="00BA3986" w:rsidRPr="00C93F5F" w:rsidRDefault="00BA3986" w:rsidP="007A5158">
      <w:pPr>
        <w:rPr>
          <w:color w:val="auto"/>
          <w:lang w:val="en-AU"/>
        </w:rPr>
      </w:pPr>
      <w:r w:rsidRPr="00D83FD5">
        <w:rPr>
          <w:color w:val="auto"/>
          <w:lang w:val="en-AU"/>
        </w:rPr>
        <w:t xml:space="preserve">Recurrence of Guillain-Barré syndrome (GBS) has been temporally associated with the administration of influenza vaccine. </w:t>
      </w:r>
      <w:r w:rsidR="00881C1D" w:rsidRPr="00D83FD5">
        <w:rPr>
          <w:color w:val="auto"/>
          <w:lang w:val="en-AU"/>
        </w:rPr>
        <w:t>I</w:t>
      </w:r>
      <w:r w:rsidR="00F46852">
        <w:rPr>
          <w:color w:val="auto"/>
          <w:lang w:val="en-AU"/>
        </w:rPr>
        <w:t>f</w:t>
      </w:r>
      <w:r w:rsidR="00881C1D" w:rsidRPr="00D83FD5">
        <w:rPr>
          <w:color w:val="auto"/>
          <w:lang w:val="en-AU"/>
        </w:rPr>
        <w:t xml:space="preserve"> GBS has occurred within 6 weeks of any previous influenza vaccination, the decision to give </w:t>
      </w:r>
      <w:r w:rsidR="000D1B52" w:rsidRPr="00D83FD5">
        <w:rPr>
          <w:lang w:val="en-AU"/>
        </w:rPr>
        <w:t>Fluzone High-Dose</w:t>
      </w:r>
      <w:r w:rsidR="000D1B52">
        <w:rPr>
          <w:lang w:val="en-AU"/>
        </w:rPr>
        <w:t xml:space="preserve"> </w:t>
      </w:r>
      <w:r w:rsidR="000D1B52" w:rsidRPr="00C93F5F">
        <w:rPr>
          <w:color w:val="auto"/>
          <w:lang w:val="en-AU"/>
        </w:rPr>
        <w:t xml:space="preserve">Quadrivalent </w:t>
      </w:r>
      <w:r w:rsidRPr="00C93F5F">
        <w:rPr>
          <w:color w:val="auto"/>
          <w:lang w:val="en-AU"/>
        </w:rPr>
        <w:t xml:space="preserve">should be </w:t>
      </w:r>
      <w:r w:rsidR="00881C1D" w:rsidRPr="00C93F5F">
        <w:rPr>
          <w:color w:val="auto"/>
          <w:lang w:val="en-AU"/>
        </w:rPr>
        <w:t xml:space="preserve">based on </w:t>
      </w:r>
      <w:r w:rsidRPr="00C93F5F">
        <w:rPr>
          <w:color w:val="auto"/>
          <w:lang w:val="en-AU"/>
        </w:rPr>
        <w:t>careful consideration of the potential benefits and risks.</w:t>
      </w:r>
      <w:r w:rsidR="0010586F" w:rsidRPr="00C93F5F">
        <w:rPr>
          <w:color w:val="auto"/>
          <w:lang w:val="en-AU"/>
        </w:rPr>
        <w:t xml:space="preserve"> Refer to the current Immunisation Handbook for more information.</w:t>
      </w:r>
      <w:r w:rsidR="0010586F" w:rsidRPr="00C93F5F">
        <w:rPr>
          <w:color w:val="auto"/>
          <w:szCs w:val="22"/>
          <w:lang w:val="en-AU"/>
        </w:rPr>
        <w:t xml:space="preserve">  </w:t>
      </w:r>
      <w:r w:rsidR="0010586F" w:rsidRPr="00C93F5F">
        <w:rPr>
          <w:color w:val="auto"/>
          <w:lang w:val="en-AU"/>
        </w:rPr>
        <w:t xml:space="preserve"> </w:t>
      </w:r>
    </w:p>
    <w:bookmarkEnd w:id="4"/>
    <w:p w14:paraId="6978E60D" w14:textId="77777777" w:rsidR="00BA3986" w:rsidRPr="00D83FD5" w:rsidRDefault="00BA3986" w:rsidP="00C879F2">
      <w:pPr>
        <w:pStyle w:val="Heading3"/>
        <w:numPr>
          <w:ilvl w:val="0"/>
          <w:numId w:val="0"/>
        </w:numPr>
        <w:ind w:left="680" w:hanging="680"/>
        <w:rPr>
          <w:lang w:val="en-AU"/>
        </w:rPr>
      </w:pPr>
      <w:r w:rsidRPr="00D83FD5">
        <w:rPr>
          <w:lang w:val="en-AU"/>
        </w:rPr>
        <w:lastRenderedPageBreak/>
        <w:t>Immunosuppressive Treatments or Conditions</w:t>
      </w:r>
    </w:p>
    <w:p w14:paraId="5E1E693F" w14:textId="514286D1" w:rsidR="00BA3986" w:rsidRPr="00D83FD5" w:rsidRDefault="00BA3986" w:rsidP="007A5158">
      <w:pPr>
        <w:rPr>
          <w:color w:val="auto"/>
          <w:lang w:val="en-AU"/>
        </w:rPr>
      </w:pPr>
      <w:r w:rsidRPr="00D83FD5">
        <w:rPr>
          <w:color w:val="auto"/>
          <w:lang w:val="en-AU"/>
        </w:rPr>
        <w:t xml:space="preserve">The immunogenicity of </w:t>
      </w:r>
      <w:r w:rsidR="000D1B52" w:rsidRPr="00D83FD5">
        <w:rPr>
          <w:lang w:val="en-AU"/>
        </w:rPr>
        <w:t>Fluzone High-</w:t>
      </w:r>
      <w:r w:rsidR="000D1B52" w:rsidRPr="00C93F5F">
        <w:rPr>
          <w:color w:val="auto"/>
          <w:lang w:val="en-AU"/>
        </w:rPr>
        <w:t xml:space="preserve">Dose Quadrivalent </w:t>
      </w:r>
      <w:r w:rsidRPr="00D83FD5">
        <w:rPr>
          <w:color w:val="auto"/>
          <w:lang w:val="en-AU"/>
        </w:rPr>
        <w:t>may be reduced by immunosuppressive treatment or in individuals with immune deficiency syndromes. In such cases it is recommended to postpone the vaccination until after the immunosuppressive treatment or resolution of the immunosupp</w:t>
      </w:r>
      <w:r w:rsidR="0029700E" w:rsidRPr="00D83FD5">
        <w:rPr>
          <w:color w:val="auto"/>
          <w:lang w:val="en-AU"/>
        </w:rPr>
        <w:t>ressive condition, if feasible.</w:t>
      </w:r>
      <w:r w:rsidR="00881C1D" w:rsidRPr="00D83FD5">
        <w:rPr>
          <w:color w:val="auto"/>
          <w:lang w:val="en-AU"/>
        </w:rPr>
        <w:t xml:space="preserve"> Vaccination of individuals with chronic immunodeficiencies is recommended even though the antibody response may be limited.</w:t>
      </w:r>
    </w:p>
    <w:p w14:paraId="4EA2E827" w14:textId="77777777" w:rsidR="00BA3986" w:rsidRPr="00D83FD5" w:rsidRDefault="00BA3986" w:rsidP="00C879F2">
      <w:pPr>
        <w:pStyle w:val="Heading3"/>
        <w:numPr>
          <w:ilvl w:val="0"/>
          <w:numId w:val="0"/>
        </w:numPr>
        <w:ind w:left="680" w:hanging="680"/>
        <w:rPr>
          <w:lang w:val="en-AU"/>
        </w:rPr>
      </w:pPr>
      <w:r w:rsidRPr="00D83FD5">
        <w:rPr>
          <w:lang w:val="en-AU"/>
        </w:rPr>
        <w:t>Protection</w:t>
      </w:r>
    </w:p>
    <w:p w14:paraId="5AB11295" w14:textId="003AF185" w:rsidR="00BA3986" w:rsidRPr="00C93F5F" w:rsidRDefault="00BA3986" w:rsidP="007A5158">
      <w:pPr>
        <w:rPr>
          <w:noProof/>
          <w:color w:val="auto"/>
          <w:szCs w:val="16"/>
          <w:lang w:val="en-AU"/>
        </w:rPr>
      </w:pPr>
      <w:r w:rsidRPr="00D83FD5">
        <w:rPr>
          <w:noProof/>
          <w:color w:val="auto"/>
          <w:szCs w:val="16"/>
          <w:lang w:val="en-AU"/>
        </w:rPr>
        <w:t xml:space="preserve">As with any vaccine, vaccination with </w:t>
      </w:r>
      <w:r w:rsidR="000D1B52" w:rsidRPr="00D83FD5">
        <w:rPr>
          <w:lang w:val="en-AU"/>
        </w:rPr>
        <w:t>Fluzone High-Dose</w:t>
      </w:r>
      <w:r w:rsidR="000D1B52">
        <w:rPr>
          <w:lang w:val="en-AU"/>
        </w:rPr>
        <w:t xml:space="preserve"> </w:t>
      </w:r>
      <w:r w:rsidR="000D1B52" w:rsidRPr="00C93F5F">
        <w:rPr>
          <w:color w:val="auto"/>
          <w:lang w:val="en-AU"/>
        </w:rPr>
        <w:t xml:space="preserve">Quadrivalent </w:t>
      </w:r>
      <w:r w:rsidRPr="00C93F5F">
        <w:rPr>
          <w:noProof/>
          <w:color w:val="auto"/>
          <w:szCs w:val="16"/>
          <w:lang w:val="en-AU"/>
        </w:rPr>
        <w:t xml:space="preserve">may not protect 100% of recepients. </w:t>
      </w:r>
    </w:p>
    <w:p w14:paraId="5622C5FA" w14:textId="01227F6C" w:rsidR="00BA3986" w:rsidRPr="00C93F5F" w:rsidRDefault="00BA3986" w:rsidP="007A5158">
      <w:pPr>
        <w:rPr>
          <w:color w:val="auto"/>
          <w:lang w:val="en-AU"/>
        </w:rPr>
      </w:pPr>
      <w:r w:rsidRPr="00C93F5F">
        <w:rPr>
          <w:color w:val="auto"/>
          <w:lang w:val="en-AU"/>
        </w:rPr>
        <w:t xml:space="preserve">Influenza virus is remarkably unpredictable in that significant antigenic changes may occur from time to time. </w:t>
      </w:r>
      <w:r w:rsidR="00881C1D" w:rsidRPr="00C93F5F">
        <w:rPr>
          <w:color w:val="auto"/>
          <w:lang w:val="en-AU"/>
        </w:rPr>
        <w:t>At this time, current influenza virus vaccines are not effective against all possible influenza strains</w:t>
      </w:r>
      <w:r w:rsidR="00A50F74" w:rsidRPr="00C93F5F">
        <w:rPr>
          <w:color w:val="auto"/>
          <w:lang w:val="en-AU"/>
        </w:rPr>
        <w:t>.</w:t>
      </w:r>
    </w:p>
    <w:p w14:paraId="0F11FE96" w14:textId="77777777" w:rsidR="00BA3986" w:rsidRPr="00C93F5F" w:rsidRDefault="00BA3986" w:rsidP="00F540D8">
      <w:pPr>
        <w:pStyle w:val="Heading3"/>
        <w:numPr>
          <w:ilvl w:val="0"/>
          <w:numId w:val="0"/>
        </w:numPr>
        <w:ind w:left="680" w:hanging="680"/>
        <w:rPr>
          <w:lang w:val="en-AU"/>
        </w:rPr>
      </w:pPr>
      <w:r w:rsidRPr="00C93F5F">
        <w:rPr>
          <w:lang w:val="en-AU"/>
        </w:rPr>
        <w:t>Bleeding disorder</w:t>
      </w:r>
    </w:p>
    <w:p w14:paraId="40607026" w14:textId="70503CE0" w:rsidR="00BA3986" w:rsidRPr="00C93F5F" w:rsidRDefault="00BA3986" w:rsidP="007A5158">
      <w:pPr>
        <w:rPr>
          <w:color w:val="auto"/>
          <w:lang w:val="en-AU"/>
        </w:rPr>
      </w:pPr>
      <w:r w:rsidRPr="00C93F5F">
        <w:rPr>
          <w:color w:val="auto"/>
          <w:lang w:val="en-AU"/>
        </w:rPr>
        <w:t xml:space="preserve">Because any intramuscular injection can cause an injection-site haematoma in individuals with any bleeding disorder, such as haemophilia or thrombocytopaenia, or in individuals on anticoagulant therapy, intramuscular injections with </w:t>
      </w:r>
      <w:r w:rsidR="000D1B52" w:rsidRPr="00C93F5F">
        <w:rPr>
          <w:color w:val="auto"/>
          <w:lang w:val="en-AU"/>
        </w:rPr>
        <w:t xml:space="preserve">Fluzone High-Dose Quadrivalent </w:t>
      </w:r>
      <w:r w:rsidRPr="00C93F5F">
        <w:rPr>
          <w:color w:val="auto"/>
          <w:lang w:val="en-AU"/>
        </w:rPr>
        <w:t xml:space="preserve">should not be administered to such individuals unless the potential benefits outweigh the risk of administration. If the decision is made to administer any product by intramuscular injection to such individuals, it should be given with caution, with steps taken to avoid the risk of haematoma formation following injection.  </w:t>
      </w:r>
    </w:p>
    <w:p w14:paraId="2432933F" w14:textId="77777777" w:rsidR="007A5158" w:rsidRPr="00C93F5F" w:rsidRDefault="007A5158" w:rsidP="007A5158">
      <w:pPr>
        <w:pStyle w:val="Heading3"/>
        <w:numPr>
          <w:ilvl w:val="0"/>
          <w:numId w:val="0"/>
        </w:numPr>
        <w:ind w:left="680" w:hanging="680"/>
        <w:rPr>
          <w:lang w:val="en-AU"/>
        </w:rPr>
      </w:pPr>
      <w:r w:rsidRPr="00C93F5F">
        <w:rPr>
          <w:lang w:val="en-AU"/>
        </w:rPr>
        <w:t>Febrile or Acute Disease</w:t>
      </w:r>
    </w:p>
    <w:p w14:paraId="43478FC9" w14:textId="77777777" w:rsidR="007A5158" w:rsidRPr="00C93F5F" w:rsidRDefault="007A5158" w:rsidP="007A5158">
      <w:pPr>
        <w:jc w:val="both"/>
        <w:rPr>
          <w:color w:val="auto"/>
          <w:lang w:val="en-AU"/>
        </w:rPr>
      </w:pPr>
      <w:r w:rsidRPr="00C93F5F">
        <w:rPr>
          <w:color w:val="auto"/>
          <w:lang w:val="en-AU"/>
        </w:rPr>
        <w:t>Vaccination should be postponed in case of a moderate or severe acute disease with or without fever; however, a mild disease should not usually be a reason to postpone vaccination.</w:t>
      </w:r>
    </w:p>
    <w:p w14:paraId="07B11862" w14:textId="3DBFE67D" w:rsidR="007A5158" w:rsidRPr="00C93F5F" w:rsidRDefault="007A5158" w:rsidP="007A5158">
      <w:pPr>
        <w:pStyle w:val="Heading3"/>
        <w:numPr>
          <w:ilvl w:val="0"/>
          <w:numId w:val="0"/>
        </w:numPr>
        <w:ind w:left="680" w:hanging="680"/>
        <w:rPr>
          <w:lang w:val="en-AU"/>
        </w:rPr>
      </w:pPr>
      <w:r w:rsidRPr="00C93F5F">
        <w:rPr>
          <w:lang w:val="en-AU"/>
        </w:rPr>
        <w:t>Syncope</w:t>
      </w:r>
    </w:p>
    <w:p w14:paraId="30012365" w14:textId="32650861" w:rsidR="007A5158" w:rsidRPr="00C93F5F" w:rsidRDefault="007A5158" w:rsidP="007A5158">
      <w:pPr>
        <w:autoSpaceDE w:val="0"/>
        <w:autoSpaceDN w:val="0"/>
        <w:adjustRightInd w:val="0"/>
        <w:spacing w:before="120"/>
        <w:rPr>
          <w:color w:val="auto"/>
          <w:lang w:val="en-AU"/>
        </w:rPr>
      </w:pPr>
      <w:r w:rsidRPr="00C93F5F">
        <w:rPr>
          <w:color w:val="auto"/>
          <w:lang w:val="en-AU"/>
        </w:rPr>
        <w:t>Syncope can occur following, or even before, any vaccination as a psychogenic response to the needle injection. Procedures should be in place to prevent falling and injury and to manage syncope.</w:t>
      </w:r>
    </w:p>
    <w:p w14:paraId="2A04FD51" w14:textId="77777777" w:rsidR="001A3992" w:rsidRPr="00C93F5F" w:rsidRDefault="001A3992" w:rsidP="00C879F2">
      <w:pPr>
        <w:pStyle w:val="Heading3"/>
        <w:numPr>
          <w:ilvl w:val="0"/>
          <w:numId w:val="0"/>
        </w:numPr>
        <w:ind w:left="680" w:hanging="680"/>
        <w:rPr>
          <w:lang w:val="en-AU"/>
        </w:rPr>
      </w:pPr>
      <w:r w:rsidRPr="00C93F5F">
        <w:rPr>
          <w:lang w:val="en-AU"/>
        </w:rPr>
        <w:t>Use in the elderly</w:t>
      </w:r>
    </w:p>
    <w:p w14:paraId="1C76DD5A" w14:textId="2FD08ADB" w:rsidR="00BA3986" w:rsidRPr="00C93F5F" w:rsidRDefault="000D1B52" w:rsidP="00BA3986">
      <w:pPr>
        <w:jc w:val="both"/>
        <w:rPr>
          <w:iCs/>
          <w:noProof/>
          <w:color w:val="auto"/>
          <w:szCs w:val="16"/>
          <w:lang w:val="en-AU"/>
        </w:rPr>
      </w:pPr>
      <w:r w:rsidRPr="00C93F5F">
        <w:rPr>
          <w:color w:val="auto"/>
          <w:lang w:val="en-AU"/>
        </w:rPr>
        <w:t xml:space="preserve">Fluzone </w:t>
      </w:r>
      <w:r w:rsidR="00C93F5F" w:rsidRPr="00C93F5F">
        <w:rPr>
          <w:color w:val="auto"/>
          <w:lang w:val="en-AU"/>
        </w:rPr>
        <w:t>H</w:t>
      </w:r>
      <w:r w:rsidRPr="00C93F5F">
        <w:rPr>
          <w:color w:val="auto"/>
          <w:lang w:val="en-AU"/>
        </w:rPr>
        <w:t xml:space="preserve">igh-Dose Quadrivalent </w:t>
      </w:r>
      <w:r w:rsidR="00BA3986" w:rsidRPr="00C93F5F">
        <w:rPr>
          <w:noProof/>
          <w:color w:val="auto"/>
          <w:szCs w:val="16"/>
          <w:lang w:val="en-AU"/>
        </w:rPr>
        <w:t>is intended for adults 65 years of age and over (</w:t>
      </w:r>
      <w:r w:rsidR="003D237B" w:rsidRPr="00C93F5F">
        <w:rPr>
          <w:noProof/>
          <w:color w:val="auto"/>
          <w:szCs w:val="16"/>
          <w:lang w:val="en-AU"/>
        </w:rPr>
        <w:t>s</w:t>
      </w:r>
      <w:r w:rsidR="00BA3986" w:rsidRPr="00C93F5F">
        <w:rPr>
          <w:noProof/>
          <w:color w:val="auto"/>
          <w:szCs w:val="16"/>
          <w:lang w:val="en-AU"/>
        </w:rPr>
        <w:t xml:space="preserve">ee </w:t>
      </w:r>
      <w:r w:rsidR="007371A8" w:rsidRPr="00C93F5F">
        <w:rPr>
          <w:noProof/>
          <w:color w:val="auto"/>
          <w:szCs w:val="16"/>
          <w:lang w:val="en-AU"/>
        </w:rPr>
        <w:t xml:space="preserve">Section 5.1 Pharmacodynamic properties, </w:t>
      </w:r>
      <w:r w:rsidR="0085086F" w:rsidRPr="00C93F5F">
        <w:rPr>
          <w:noProof/>
          <w:color w:val="auto"/>
          <w:szCs w:val="16"/>
          <w:lang w:val="en-AU"/>
        </w:rPr>
        <w:t>Clinical t</w:t>
      </w:r>
      <w:r w:rsidR="00B75236" w:rsidRPr="00C93F5F">
        <w:rPr>
          <w:noProof/>
          <w:color w:val="auto"/>
          <w:szCs w:val="16"/>
          <w:lang w:val="en-AU"/>
        </w:rPr>
        <w:t>rials</w:t>
      </w:r>
      <w:r w:rsidR="00BA3986" w:rsidRPr="00C93F5F">
        <w:rPr>
          <w:noProof/>
          <w:color w:val="auto"/>
          <w:szCs w:val="16"/>
          <w:lang w:val="en-AU"/>
        </w:rPr>
        <w:t>).</w:t>
      </w:r>
    </w:p>
    <w:p w14:paraId="17167FC4" w14:textId="77777777" w:rsidR="001A3992" w:rsidRPr="00C93F5F" w:rsidRDefault="001A3992" w:rsidP="00C879F2">
      <w:pPr>
        <w:pStyle w:val="Heading3"/>
        <w:numPr>
          <w:ilvl w:val="0"/>
          <w:numId w:val="0"/>
        </w:numPr>
        <w:ind w:left="680" w:hanging="680"/>
        <w:rPr>
          <w:lang w:val="en-AU"/>
        </w:rPr>
      </w:pPr>
      <w:r w:rsidRPr="00C93F5F">
        <w:rPr>
          <w:lang w:val="en-AU"/>
        </w:rPr>
        <w:t>Paediatric use</w:t>
      </w:r>
    </w:p>
    <w:p w14:paraId="55305346" w14:textId="2BA16AC4" w:rsidR="00BA3986" w:rsidRPr="00C93F5F" w:rsidRDefault="00BA3986" w:rsidP="00BA3986">
      <w:pPr>
        <w:jc w:val="both"/>
        <w:rPr>
          <w:color w:val="auto"/>
          <w:lang w:val="en-AU"/>
        </w:rPr>
      </w:pPr>
      <w:r w:rsidRPr="00C93F5F">
        <w:rPr>
          <w:color w:val="auto"/>
          <w:lang w:val="en-AU"/>
        </w:rPr>
        <w:t xml:space="preserve">Safety and effectiveness of </w:t>
      </w:r>
      <w:r w:rsidR="000D1B52" w:rsidRPr="00C93F5F">
        <w:rPr>
          <w:color w:val="auto"/>
          <w:lang w:val="en-AU"/>
        </w:rPr>
        <w:t xml:space="preserve">Fluzone High-Dose Quadrivalent </w:t>
      </w:r>
      <w:r w:rsidRPr="00C93F5F">
        <w:rPr>
          <w:color w:val="auto"/>
          <w:lang w:val="en-AU"/>
        </w:rPr>
        <w:t xml:space="preserve">in </w:t>
      </w:r>
      <w:r w:rsidR="00187766" w:rsidRPr="00C93F5F">
        <w:rPr>
          <w:color w:val="auto"/>
          <w:lang w:val="en-AU"/>
        </w:rPr>
        <w:t>children less than 18</w:t>
      </w:r>
      <w:r w:rsidRPr="00C93F5F">
        <w:rPr>
          <w:color w:val="auto"/>
          <w:lang w:val="en-AU"/>
        </w:rPr>
        <w:t xml:space="preserve"> years of age have not been established.</w:t>
      </w:r>
    </w:p>
    <w:p w14:paraId="39F792CD" w14:textId="77777777" w:rsidR="001A3992" w:rsidRPr="00C93F5F" w:rsidRDefault="001A3992" w:rsidP="00C879F2">
      <w:pPr>
        <w:pStyle w:val="Heading3"/>
        <w:numPr>
          <w:ilvl w:val="0"/>
          <w:numId w:val="0"/>
        </w:numPr>
        <w:ind w:left="680" w:hanging="680"/>
        <w:rPr>
          <w:lang w:val="en-AU"/>
        </w:rPr>
      </w:pPr>
      <w:r w:rsidRPr="00C93F5F">
        <w:rPr>
          <w:lang w:val="en-AU"/>
        </w:rPr>
        <w:lastRenderedPageBreak/>
        <w:t>Effects on laboratory tests</w:t>
      </w:r>
    </w:p>
    <w:p w14:paraId="69C78B4D" w14:textId="6A89BA11" w:rsidR="00BA3986" w:rsidRPr="00C93F5F" w:rsidRDefault="00BA3986" w:rsidP="00BA3986">
      <w:pPr>
        <w:jc w:val="both"/>
        <w:rPr>
          <w:color w:val="auto"/>
          <w:lang w:val="en-AU"/>
        </w:rPr>
      </w:pPr>
      <w:r w:rsidRPr="00C93F5F">
        <w:rPr>
          <w:color w:val="auto"/>
          <w:lang w:val="en-AU"/>
        </w:rPr>
        <w:t xml:space="preserve">Interference of </w:t>
      </w:r>
      <w:r w:rsidR="000D1B52" w:rsidRPr="00C93F5F">
        <w:rPr>
          <w:color w:val="auto"/>
          <w:lang w:val="en-AU"/>
        </w:rPr>
        <w:t xml:space="preserve">Fluzone High-Dose Quadrivalent </w:t>
      </w:r>
      <w:r w:rsidRPr="00C93F5F">
        <w:rPr>
          <w:color w:val="auto"/>
          <w:lang w:val="en-AU"/>
        </w:rPr>
        <w:t>with laboratory and/or diagnostic tests has not been studied.</w:t>
      </w:r>
    </w:p>
    <w:p w14:paraId="2737F818" w14:textId="77777777" w:rsidR="00BA3986" w:rsidRPr="00D83FD5" w:rsidRDefault="00BA3986" w:rsidP="00BA3986">
      <w:pPr>
        <w:jc w:val="both"/>
        <w:rPr>
          <w:color w:val="auto"/>
          <w:lang w:val="en-AU"/>
        </w:rPr>
      </w:pPr>
      <w:r w:rsidRPr="00D83FD5">
        <w:rPr>
          <w:color w:val="auto"/>
          <w:lang w:val="en-AU"/>
        </w:rPr>
        <w:t>Following influenza vaccination, false positive results in serology tests using the ELISA method to detect antibodies against HIV1, hepatitis C, and especially HTLV1 have been observed. An appropriate Western Blot test should be used to confirm or disprove the results of the ELISA test. The transient false-positive reactions could be due to a non-specific IgM response induced by the vaccine.</w:t>
      </w:r>
    </w:p>
    <w:p w14:paraId="29357282" w14:textId="77777777" w:rsidR="001A3992" w:rsidRPr="00D83FD5" w:rsidRDefault="001A3992" w:rsidP="00C879F2">
      <w:pPr>
        <w:pStyle w:val="Heading2"/>
        <w:rPr>
          <w:lang w:val="en-AU"/>
        </w:rPr>
      </w:pPr>
      <w:bookmarkStart w:id="5" w:name="_Hlk32997930"/>
      <w:r w:rsidRPr="00D83FD5">
        <w:rPr>
          <w:lang w:val="en-AU"/>
        </w:rPr>
        <w:t>Interactions with other medicines and other forms of interactions</w:t>
      </w:r>
    </w:p>
    <w:bookmarkEnd w:id="5"/>
    <w:p w14:paraId="0276AB24" w14:textId="40B40859" w:rsidR="005E1DD4" w:rsidRPr="00C93F5F" w:rsidRDefault="000D1B52" w:rsidP="00C879F2">
      <w:pPr>
        <w:rPr>
          <w:color w:val="auto"/>
          <w:lang w:val="en-AU"/>
        </w:rPr>
      </w:pPr>
      <w:r w:rsidRPr="00D83FD5">
        <w:rPr>
          <w:lang w:val="en-AU"/>
        </w:rPr>
        <w:t>Fluzone High-Dose</w:t>
      </w:r>
      <w:r>
        <w:rPr>
          <w:lang w:val="en-AU"/>
        </w:rPr>
        <w:t xml:space="preserve"> </w:t>
      </w:r>
      <w:r w:rsidRPr="00C93F5F">
        <w:rPr>
          <w:color w:val="auto"/>
          <w:lang w:val="en-AU"/>
        </w:rPr>
        <w:t xml:space="preserve">Quadrivalent </w:t>
      </w:r>
      <w:r w:rsidR="005E1DD4" w:rsidRPr="00C93F5F">
        <w:rPr>
          <w:color w:val="auto"/>
          <w:lang w:val="en-AU"/>
        </w:rPr>
        <w:t>should not be mixed with any other vaccine in the same syringe or vial.</w:t>
      </w:r>
    </w:p>
    <w:p w14:paraId="11EF0E5E" w14:textId="55B126EE" w:rsidR="004D6D6F" w:rsidRPr="00C93F5F" w:rsidRDefault="005E1DD4" w:rsidP="004D6D6F">
      <w:pPr>
        <w:rPr>
          <w:color w:val="auto"/>
          <w:lang w:val="en-AU"/>
        </w:rPr>
      </w:pPr>
      <w:bookmarkStart w:id="6" w:name="_Hlk32997915"/>
      <w:r w:rsidRPr="00C93F5F">
        <w:rPr>
          <w:color w:val="auto"/>
          <w:lang w:val="en-AU"/>
        </w:rPr>
        <w:t xml:space="preserve">There are no data to assess the concomitant administration of </w:t>
      </w:r>
      <w:r w:rsidR="000D1B52" w:rsidRPr="00C93F5F">
        <w:rPr>
          <w:color w:val="auto"/>
          <w:lang w:val="en-AU"/>
        </w:rPr>
        <w:t xml:space="preserve">Fluzone High-Dose Quadrivalent </w:t>
      </w:r>
      <w:r w:rsidRPr="00C93F5F">
        <w:rPr>
          <w:color w:val="auto"/>
          <w:lang w:val="en-AU"/>
        </w:rPr>
        <w:t>with other vaccines.</w:t>
      </w:r>
      <w:r w:rsidR="004D6D6F" w:rsidRPr="00C93F5F">
        <w:rPr>
          <w:color w:val="auto"/>
          <w:lang w:val="en-AU"/>
        </w:rPr>
        <w:t xml:space="preserve"> Refer to the current Immunisation Handbook for more information.</w:t>
      </w:r>
      <w:r w:rsidR="004D6D6F" w:rsidRPr="00C93F5F">
        <w:rPr>
          <w:color w:val="auto"/>
          <w:szCs w:val="22"/>
          <w:lang w:val="en-AU"/>
        </w:rPr>
        <w:t xml:space="preserve">  </w:t>
      </w:r>
      <w:r w:rsidR="004D6D6F" w:rsidRPr="00C93F5F">
        <w:rPr>
          <w:color w:val="auto"/>
          <w:lang w:val="en-AU"/>
        </w:rPr>
        <w:t xml:space="preserve"> </w:t>
      </w:r>
    </w:p>
    <w:bookmarkEnd w:id="6"/>
    <w:p w14:paraId="3DA5174F" w14:textId="082F682F" w:rsidR="005E1DD4" w:rsidRPr="00C93F5F" w:rsidRDefault="005E1DD4" w:rsidP="00C879F2">
      <w:pPr>
        <w:rPr>
          <w:color w:val="auto"/>
          <w:lang w:val="en-AU"/>
        </w:rPr>
      </w:pPr>
      <w:r w:rsidRPr="00C93F5F">
        <w:rPr>
          <w:color w:val="auto"/>
          <w:lang w:val="en-AU"/>
        </w:rPr>
        <w:t xml:space="preserve">If </w:t>
      </w:r>
      <w:r w:rsidR="000D1B52" w:rsidRPr="00C93F5F">
        <w:rPr>
          <w:color w:val="auto"/>
          <w:lang w:val="en-AU"/>
        </w:rPr>
        <w:t xml:space="preserve">Fluzone High-Dose Quadrivalent </w:t>
      </w:r>
      <w:r w:rsidRPr="00C93F5F">
        <w:rPr>
          <w:color w:val="auto"/>
          <w:lang w:val="en-AU"/>
        </w:rPr>
        <w:t>is to be given at the same time as another injectable vaccine, the vaccines should always be administered at different injection sites.</w:t>
      </w:r>
    </w:p>
    <w:p w14:paraId="017C0001" w14:textId="77777777" w:rsidR="005E1DD4" w:rsidRPr="00D83FD5" w:rsidRDefault="005E1DD4" w:rsidP="00C879F2">
      <w:pPr>
        <w:rPr>
          <w:lang w:val="en-AU"/>
        </w:rPr>
      </w:pPr>
      <w:r w:rsidRPr="00C93F5F">
        <w:rPr>
          <w:color w:val="auto"/>
          <w:lang w:val="en-AU"/>
        </w:rPr>
        <w:t xml:space="preserve">If the vaccine is used in individuals deficient in producing </w:t>
      </w:r>
      <w:r w:rsidRPr="00D83FD5">
        <w:rPr>
          <w:lang w:val="en-AU"/>
        </w:rPr>
        <w:t>antibodies due to immunosuppressive therapy, the expected immune response may not be obtained.</w:t>
      </w:r>
    </w:p>
    <w:p w14:paraId="0D18D2B9" w14:textId="77777777" w:rsidR="001A3992" w:rsidRPr="00D83FD5" w:rsidRDefault="001A3992" w:rsidP="00C879F2">
      <w:pPr>
        <w:pStyle w:val="Heading2"/>
        <w:rPr>
          <w:lang w:val="en-AU"/>
        </w:rPr>
      </w:pPr>
      <w:r w:rsidRPr="00D83FD5">
        <w:rPr>
          <w:lang w:val="en-AU"/>
        </w:rPr>
        <w:t xml:space="preserve">Fertility, pregnancy and lactation </w:t>
      </w:r>
    </w:p>
    <w:p w14:paraId="0C58CB11" w14:textId="77777777" w:rsidR="001A3992" w:rsidRPr="00D83FD5" w:rsidRDefault="001A3992" w:rsidP="00C879F2">
      <w:pPr>
        <w:pStyle w:val="Heading3"/>
        <w:numPr>
          <w:ilvl w:val="0"/>
          <w:numId w:val="0"/>
        </w:numPr>
        <w:rPr>
          <w:lang w:val="en-AU"/>
        </w:rPr>
      </w:pPr>
      <w:r w:rsidRPr="00D83FD5">
        <w:rPr>
          <w:lang w:val="en-AU"/>
        </w:rPr>
        <w:t>Effects on fertility</w:t>
      </w:r>
    </w:p>
    <w:p w14:paraId="45731192" w14:textId="10A92250" w:rsidR="005E1DD4" w:rsidRPr="00C93F5F" w:rsidRDefault="000D1B52" w:rsidP="005E1DD4">
      <w:pPr>
        <w:rPr>
          <w:color w:val="auto"/>
          <w:lang w:val="en-AU"/>
        </w:rPr>
      </w:pPr>
      <w:r w:rsidRPr="00D83FD5">
        <w:rPr>
          <w:lang w:val="en-AU"/>
        </w:rPr>
        <w:t>Fluzone High-Dose</w:t>
      </w:r>
      <w:r>
        <w:rPr>
          <w:lang w:val="en-AU"/>
        </w:rPr>
        <w:t xml:space="preserve"> </w:t>
      </w:r>
      <w:r w:rsidRPr="00C93F5F">
        <w:rPr>
          <w:color w:val="auto"/>
          <w:lang w:val="en-AU"/>
        </w:rPr>
        <w:t xml:space="preserve">Quadrivalent </w:t>
      </w:r>
      <w:r w:rsidR="005E1DD4" w:rsidRPr="00C93F5F">
        <w:rPr>
          <w:color w:val="auto"/>
          <w:lang w:val="en-AU"/>
        </w:rPr>
        <w:t>has not been evaluated for possible effects on human fertility.</w:t>
      </w:r>
    </w:p>
    <w:p w14:paraId="6A75EDAF" w14:textId="09D6D248" w:rsidR="001A3992" w:rsidRPr="00C93F5F" w:rsidRDefault="001A3992" w:rsidP="00C879F2">
      <w:pPr>
        <w:pStyle w:val="Heading3"/>
        <w:numPr>
          <w:ilvl w:val="0"/>
          <w:numId w:val="0"/>
        </w:numPr>
        <w:rPr>
          <w:lang w:val="en-AU"/>
        </w:rPr>
      </w:pPr>
      <w:r w:rsidRPr="00C93F5F">
        <w:rPr>
          <w:lang w:val="en-AU"/>
        </w:rPr>
        <w:t xml:space="preserve">Use in pregnancy </w:t>
      </w:r>
      <w:r w:rsidR="005E1DD4" w:rsidRPr="00C93F5F">
        <w:rPr>
          <w:lang w:val="en-AU"/>
        </w:rPr>
        <w:t xml:space="preserve">(Category </w:t>
      </w:r>
      <w:r w:rsidR="00C02C21">
        <w:rPr>
          <w:lang w:val="en-AU"/>
        </w:rPr>
        <w:t>B2</w:t>
      </w:r>
      <w:r w:rsidR="005E1DD4" w:rsidRPr="00C93F5F">
        <w:rPr>
          <w:lang w:val="en-AU"/>
        </w:rPr>
        <w:t>)</w:t>
      </w:r>
    </w:p>
    <w:p w14:paraId="492C3A6D" w14:textId="6CFCCEDD" w:rsidR="005E1DD4" w:rsidRPr="00C93F5F" w:rsidRDefault="005E1DD4" w:rsidP="005E1DD4">
      <w:pPr>
        <w:jc w:val="both"/>
        <w:rPr>
          <w:color w:val="auto"/>
          <w:lang w:val="en-AU"/>
        </w:rPr>
      </w:pPr>
      <w:r w:rsidRPr="00C93F5F">
        <w:rPr>
          <w:color w:val="auto"/>
          <w:lang w:val="en-AU"/>
        </w:rPr>
        <w:t xml:space="preserve">Animal reproduction studies have not been conducted with </w:t>
      </w:r>
      <w:r w:rsidR="000D1B52" w:rsidRPr="00C93F5F">
        <w:rPr>
          <w:color w:val="auto"/>
          <w:lang w:val="en-AU"/>
        </w:rPr>
        <w:t>Fluzone High-Dose Quadrivalent</w:t>
      </w:r>
      <w:r w:rsidRPr="00C93F5F">
        <w:rPr>
          <w:color w:val="auto"/>
          <w:lang w:val="en-AU"/>
        </w:rPr>
        <w:t xml:space="preserve">. It is also not known whether </w:t>
      </w:r>
      <w:r w:rsidR="000D1B52" w:rsidRPr="00C93F5F">
        <w:rPr>
          <w:color w:val="auto"/>
          <w:lang w:val="en-AU"/>
        </w:rPr>
        <w:t xml:space="preserve">Fluzone High-Dose Quadrivalent </w:t>
      </w:r>
      <w:r w:rsidRPr="00C93F5F">
        <w:rPr>
          <w:color w:val="auto"/>
          <w:lang w:val="en-AU"/>
        </w:rPr>
        <w:t xml:space="preserve">can cause </w:t>
      </w:r>
      <w:proofErr w:type="spellStart"/>
      <w:r w:rsidRPr="00C93F5F">
        <w:rPr>
          <w:color w:val="auto"/>
          <w:lang w:val="en-AU"/>
        </w:rPr>
        <w:t>fetal</w:t>
      </w:r>
      <w:proofErr w:type="spellEnd"/>
      <w:r w:rsidRPr="00C93F5F">
        <w:rPr>
          <w:color w:val="auto"/>
          <w:lang w:val="en-AU"/>
        </w:rPr>
        <w:t xml:space="preserve"> harm when administered to a pregnant woman or can affect reproduction capacity. </w:t>
      </w:r>
    </w:p>
    <w:p w14:paraId="40CA37FF" w14:textId="3998EE45" w:rsidR="005E1DD4" w:rsidRPr="00C93F5F" w:rsidRDefault="0056499C" w:rsidP="005E1DD4">
      <w:pPr>
        <w:jc w:val="both"/>
        <w:rPr>
          <w:color w:val="auto"/>
          <w:lang w:val="en-AU"/>
        </w:rPr>
      </w:pPr>
      <w:r w:rsidRPr="00C93F5F">
        <w:rPr>
          <w:color w:val="auto"/>
          <w:lang w:val="en-AU"/>
        </w:rPr>
        <w:t xml:space="preserve">Data on the use of influenza high dose vaccine in pregnant women are limited. </w:t>
      </w:r>
      <w:r w:rsidR="000D1B52" w:rsidRPr="00C93F5F">
        <w:rPr>
          <w:color w:val="auto"/>
          <w:lang w:val="en-AU"/>
        </w:rPr>
        <w:t>Fluzone High-Dose Quadrivalent</w:t>
      </w:r>
      <w:r w:rsidR="005E1DD4" w:rsidRPr="00C93F5F">
        <w:rPr>
          <w:color w:val="auto"/>
          <w:lang w:val="en-AU"/>
        </w:rPr>
        <w:t xml:space="preserve"> should be given to pregnant wom</w:t>
      </w:r>
      <w:r w:rsidRPr="00C93F5F">
        <w:rPr>
          <w:color w:val="auto"/>
          <w:lang w:val="en-AU"/>
        </w:rPr>
        <w:t xml:space="preserve">en only if clearly needed and following an assessment of the risks and benefits. </w:t>
      </w:r>
    </w:p>
    <w:p w14:paraId="28D307A8" w14:textId="77777777" w:rsidR="001A3992" w:rsidRPr="00C93F5F" w:rsidRDefault="001A3992" w:rsidP="00C879F2">
      <w:pPr>
        <w:pStyle w:val="Heading3"/>
        <w:numPr>
          <w:ilvl w:val="0"/>
          <w:numId w:val="0"/>
        </w:numPr>
        <w:rPr>
          <w:lang w:val="en-AU"/>
        </w:rPr>
      </w:pPr>
      <w:r w:rsidRPr="00C93F5F">
        <w:rPr>
          <w:lang w:val="en-AU"/>
        </w:rPr>
        <w:lastRenderedPageBreak/>
        <w:t>Use in</w:t>
      </w:r>
      <w:r w:rsidR="005E1DD4" w:rsidRPr="00C93F5F">
        <w:rPr>
          <w:lang w:val="en-AU"/>
        </w:rPr>
        <w:t xml:space="preserve"> lactation</w:t>
      </w:r>
    </w:p>
    <w:p w14:paraId="42D97F97" w14:textId="3AF99BD1" w:rsidR="005E1DD4" w:rsidRPr="00C93F5F" w:rsidRDefault="005E1DD4" w:rsidP="005E1DD4">
      <w:pPr>
        <w:rPr>
          <w:color w:val="auto"/>
          <w:lang w:val="en-AU"/>
        </w:rPr>
      </w:pPr>
      <w:r w:rsidRPr="00C93F5F">
        <w:rPr>
          <w:color w:val="auto"/>
          <w:lang w:val="en-AU"/>
        </w:rPr>
        <w:t xml:space="preserve">It is not known whether </w:t>
      </w:r>
      <w:r w:rsidR="000D1B52" w:rsidRPr="00C93F5F">
        <w:rPr>
          <w:color w:val="auto"/>
          <w:lang w:val="en-AU"/>
        </w:rPr>
        <w:t xml:space="preserve">Fluzone High-Dose Quadrivalent </w:t>
      </w:r>
      <w:r w:rsidRPr="00C93F5F">
        <w:rPr>
          <w:color w:val="auto"/>
          <w:lang w:val="en-AU"/>
        </w:rPr>
        <w:t>is excreted in human milk hence, caution should be used when administering the vaccine to breastfeeding women.</w:t>
      </w:r>
    </w:p>
    <w:p w14:paraId="2D00893E" w14:textId="77777777" w:rsidR="001A3992" w:rsidRPr="00C93F5F" w:rsidRDefault="001A3992" w:rsidP="00C879F2">
      <w:pPr>
        <w:pStyle w:val="Heading2"/>
        <w:rPr>
          <w:lang w:val="en-AU"/>
        </w:rPr>
      </w:pPr>
      <w:r w:rsidRPr="00C93F5F">
        <w:rPr>
          <w:lang w:val="en-AU"/>
        </w:rPr>
        <w:t xml:space="preserve">Effects on ability to drive and use machines </w:t>
      </w:r>
    </w:p>
    <w:p w14:paraId="35C12D7F" w14:textId="0DA6AD39" w:rsidR="008527C7" w:rsidRPr="00C93F5F" w:rsidRDefault="008527C7" w:rsidP="005E1DD4">
      <w:pPr>
        <w:rPr>
          <w:color w:val="auto"/>
          <w:lang w:val="en-AU"/>
        </w:rPr>
      </w:pPr>
      <w:r w:rsidRPr="00C93F5F">
        <w:rPr>
          <w:color w:val="auto"/>
          <w:lang w:val="en-AU"/>
        </w:rPr>
        <w:t>No studies on the effects on the ability to drive or use machines have been performed.</w:t>
      </w:r>
    </w:p>
    <w:p w14:paraId="2873DB7B" w14:textId="77777777" w:rsidR="001A3992" w:rsidRPr="00C93F5F" w:rsidRDefault="001A3992" w:rsidP="00C879F2">
      <w:pPr>
        <w:pStyle w:val="Heading2"/>
        <w:rPr>
          <w:lang w:val="en-AU"/>
        </w:rPr>
      </w:pPr>
      <w:r w:rsidRPr="00C93F5F">
        <w:rPr>
          <w:lang w:val="en-AU"/>
        </w:rPr>
        <w:t>Adverse effects (Undesirable effects)</w:t>
      </w:r>
    </w:p>
    <w:p w14:paraId="6D2295C3" w14:textId="108C6020" w:rsidR="006E7B6C" w:rsidRPr="00C93F5F" w:rsidRDefault="006E7B6C" w:rsidP="000151D7">
      <w:pPr>
        <w:rPr>
          <w:color w:val="auto"/>
          <w:lang w:val="en-AU"/>
        </w:rPr>
      </w:pPr>
      <w:r w:rsidRPr="00C93F5F">
        <w:rPr>
          <w:color w:val="auto"/>
          <w:lang w:val="en-AU"/>
        </w:rPr>
        <w:t xml:space="preserve">Adverse event information is derived from one clinical trial with </w:t>
      </w:r>
      <w:r w:rsidR="000D1B52" w:rsidRPr="00C93F5F">
        <w:rPr>
          <w:color w:val="auto"/>
          <w:lang w:val="en-AU"/>
        </w:rPr>
        <w:t>Fluzone High-Dose Quadrivalent</w:t>
      </w:r>
      <w:r w:rsidRPr="00C93F5F">
        <w:rPr>
          <w:color w:val="auto"/>
          <w:lang w:val="en-AU"/>
        </w:rPr>
        <w:t xml:space="preserve"> and from worldwide </w:t>
      </w:r>
      <w:proofErr w:type="spellStart"/>
      <w:r w:rsidRPr="00C93F5F">
        <w:rPr>
          <w:color w:val="auto"/>
          <w:lang w:val="en-AU"/>
        </w:rPr>
        <w:t>postmarketing</w:t>
      </w:r>
      <w:proofErr w:type="spellEnd"/>
      <w:r w:rsidRPr="00C93F5F">
        <w:rPr>
          <w:color w:val="auto"/>
          <w:lang w:val="en-AU"/>
        </w:rPr>
        <w:t xml:space="preserve"> experience with Fluzone High-Dose </w:t>
      </w:r>
      <w:r w:rsidR="00173722" w:rsidRPr="00C93F5F">
        <w:rPr>
          <w:color w:val="auto"/>
          <w:lang w:val="en-AU"/>
        </w:rPr>
        <w:t>(inactivated trivalent influenza vaccine, TIV-HD)</w:t>
      </w:r>
      <w:r w:rsidRPr="00C93F5F">
        <w:rPr>
          <w:color w:val="auto"/>
          <w:lang w:val="en-AU"/>
        </w:rPr>
        <w:t>.</w:t>
      </w:r>
    </w:p>
    <w:p w14:paraId="2167C54B" w14:textId="271DFD80" w:rsidR="006E7B6C" w:rsidRPr="00D83FD5" w:rsidRDefault="006E7B6C" w:rsidP="000151D7">
      <w:pPr>
        <w:rPr>
          <w:color w:val="auto"/>
          <w:lang w:val="en-AU"/>
        </w:rPr>
      </w:pPr>
      <w:r w:rsidRPr="00D83FD5">
        <w:rPr>
          <w:color w:val="auto"/>
          <w:lang w:val="en-AU"/>
        </w:rPr>
        <w:t>Within each system organ class, the adverse reactions are ranked under headings of frequencies, using the following convention:</w:t>
      </w:r>
    </w:p>
    <w:p w14:paraId="6138AC96" w14:textId="5D2D662D" w:rsidR="006E7B6C" w:rsidRPr="00D83FD5" w:rsidRDefault="006E7B6C" w:rsidP="000151D7">
      <w:pPr>
        <w:rPr>
          <w:color w:val="auto"/>
          <w:lang w:val="en-AU"/>
        </w:rPr>
      </w:pPr>
      <w:r w:rsidRPr="00D83FD5">
        <w:rPr>
          <w:color w:val="auto"/>
          <w:lang w:val="en-AU"/>
        </w:rPr>
        <w:t>Very common ≥</w:t>
      </w:r>
      <w:r w:rsidR="0019771C" w:rsidRPr="00D83FD5">
        <w:rPr>
          <w:color w:val="auto"/>
          <w:lang w:val="en-AU"/>
        </w:rPr>
        <w:t>10%; Common</w:t>
      </w:r>
      <w:r w:rsidRPr="00D83FD5">
        <w:rPr>
          <w:color w:val="auto"/>
          <w:lang w:val="en-AU"/>
        </w:rPr>
        <w:t xml:space="preserve"> ≥1 and &lt; 10%; Uncommon ≥ 0.1 and &lt; 1%; Rare ≥ 0.01 and &lt; 0.1%; Very rare </w:t>
      </w:r>
      <w:r w:rsidR="0019771C" w:rsidRPr="00D83FD5">
        <w:rPr>
          <w:color w:val="auto"/>
          <w:lang w:val="en-AU"/>
        </w:rPr>
        <w:t xml:space="preserve">&lt; </w:t>
      </w:r>
      <w:r w:rsidRPr="00D83FD5">
        <w:rPr>
          <w:color w:val="auto"/>
          <w:lang w:val="en-AU"/>
        </w:rPr>
        <w:t>0.01%; Not known (cannot be estimated from available data).</w:t>
      </w:r>
    </w:p>
    <w:p w14:paraId="7FB7D8B8" w14:textId="77777777" w:rsidR="005E1DD4" w:rsidRPr="00D83FD5" w:rsidRDefault="005E1DD4" w:rsidP="00C879F2">
      <w:pPr>
        <w:pStyle w:val="Heading3"/>
        <w:numPr>
          <w:ilvl w:val="0"/>
          <w:numId w:val="0"/>
        </w:numPr>
        <w:rPr>
          <w:lang w:val="en-AU"/>
        </w:rPr>
      </w:pPr>
      <w:r w:rsidRPr="00D83FD5">
        <w:rPr>
          <w:lang w:val="en-AU"/>
        </w:rPr>
        <w:t>Clinical Trials Experience</w:t>
      </w:r>
    </w:p>
    <w:p w14:paraId="469639D4" w14:textId="3ECF97A2" w:rsidR="0019771C" w:rsidRPr="005971E1" w:rsidRDefault="0019771C" w:rsidP="000151D7">
      <w:pPr>
        <w:rPr>
          <w:color w:val="auto"/>
          <w:lang w:val="en-AU"/>
        </w:rPr>
      </w:pPr>
      <w:r w:rsidRPr="00D83FD5">
        <w:rPr>
          <w:color w:val="auto"/>
          <w:lang w:val="en-AU"/>
        </w:rPr>
        <w:t xml:space="preserve">The safety of </w:t>
      </w:r>
      <w:r w:rsidR="000D1B52" w:rsidRPr="00D83FD5">
        <w:rPr>
          <w:lang w:val="en-AU"/>
        </w:rPr>
        <w:t>Fluzone High-Dose</w:t>
      </w:r>
      <w:r w:rsidR="000D1B52">
        <w:rPr>
          <w:lang w:val="en-AU"/>
        </w:rPr>
        <w:t xml:space="preserve"> </w:t>
      </w:r>
      <w:r w:rsidR="000D1B52" w:rsidRPr="005971E1">
        <w:rPr>
          <w:color w:val="auto"/>
          <w:lang w:val="en-AU"/>
        </w:rPr>
        <w:t xml:space="preserve">Quadrivalent </w:t>
      </w:r>
      <w:r w:rsidRPr="005971E1">
        <w:rPr>
          <w:color w:val="auto"/>
          <w:lang w:val="en-AU"/>
        </w:rPr>
        <w:t xml:space="preserve">was assessed in one randomised, active-controlled, modified double-blind Phase III clinical trial conducted in the US (NCT 03282240) in which 2670 adults over 65 years of age received one dose (0.7 mL) of </w:t>
      </w:r>
      <w:r w:rsidR="000D1B52" w:rsidRPr="005971E1">
        <w:rPr>
          <w:color w:val="auto"/>
          <w:lang w:val="en-AU"/>
        </w:rPr>
        <w:t>Fluzone High-Dose Quadrivalent</w:t>
      </w:r>
      <w:r w:rsidRPr="005971E1">
        <w:rPr>
          <w:color w:val="auto"/>
          <w:lang w:val="en-AU"/>
        </w:rPr>
        <w:t xml:space="preserve">. The study compared the safety and immunogenicity of </w:t>
      </w:r>
      <w:r w:rsidR="000D1B52" w:rsidRPr="005971E1">
        <w:rPr>
          <w:color w:val="auto"/>
          <w:lang w:val="en-AU"/>
        </w:rPr>
        <w:t xml:space="preserve">Fluzone High-Dose Quadrivalent </w:t>
      </w:r>
      <w:r w:rsidRPr="005971E1">
        <w:rPr>
          <w:color w:val="auto"/>
          <w:lang w:val="en-AU"/>
        </w:rPr>
        <w:t>to those of TIV</w:t>
      </w:r>
      <w:r w:rsidR="00A50F74" w:rsidRPr="005971E1">
        <w:rPr>
          <w:color w:val="auto"/>
          <w:lang w:val="en-AU"/>
        </w:rPr>
        <w:t>-</w:t>
      </w:r>
      <w:r w:rsidRPr="005971E1">
        <w:rPr>
          <w:color w:val="auto"/>
          <w:lang w:val="en-AU"/>
        </w:rPr>
        <w:t xml:space="preserve">HD. The safety analysis set included 1777 </w:t>
      </w:r>
      <w:r w:rsidR="000D1B52" w:rsidRPr="005971E1">
        <w:rPr>
          <w:color w:val="auto"/>
          <w:lang w:val="en-AU"/>
        </w:rPr>
        <w:t>Fluzone High-Dose Quadrivalent</w:t>
      </w:r>
      <w:r w:rsidRPr="005971E1">
        <w:rPr>
          <w:color w:val="auto"/>
          <w:lang w:val="en-AU"/>
        </w:rPr>
        <w:t xml:space="preserve"> recipients, 443 TIV</w:t>
      </w:r>
      <w:r w:rsidR="00A50F74" w:rsidRPr="005971E1">
        <w:rPr>
          <w:color w:val="auto"/>
          <w:lang w:val="en-AU"/>
        </w:rPr>
        <w:t>-</w:t>
      </w:r>
      <w:r w:rsidRPr="005971E1">
        <w:rPr>
          <w:color w:val="auto"/>
          <w:lang w:val="en-AU"/>
        </w:rPr>
        <w:t>HD recipients, and 450 TIV</w:t>
      </w:r>
      <w:r w:rsidR="00A50F74" w:rsidRPr="005971E1">
        <w:rPr>
          <w:color w:val="auto"/>
          <w:lang w:val="en-AU"/>
        </w:rPr>
        <w:t>-</w:t>
      </w:r>
      <w:r w:rsidRPr="005971E1">
        <w:rPr>
          <w:color w:val="auto"/>
          <w:lang w:val="en-AU"/>
        </w:rPr>
        <w:t>HD containing the alternate B influenza strain recipients. Safety results for the TIV</w:t>
      </w:r>
      <w:r w:rsidR="00A50F74" w:rsidRPr="005971E1">
        <w:rPr>
          <w:color w:val="auto"/>
          <w:lang w:val="en-AU"/>
        </w:rPr>
        <w:t>-</w:t>
      </w:r>
      <w:r w:rsidRPr="005971E1">
        <w:rPr>
          <w:color w:val="auto"/>
          <w:lang w:val="en-AU"/>
        </w:rPr>
        <w:t>HD and investigational TIV</w:t>
      </w:r>
      <w:r w:rsidR="00A50F74" w:rsidRPr="005971E1">
        <w:rPr>
          <w:color w:val="auto"/>
          <w:lang w:val="en-AU"/>
        </w:rPr>
        <w:t>-</w:t>
      </w:r>
      <w:r w:rsidRPr="005971E1">
        <w:rPr>
          <w:color w:val="auto"/>
          <w:lang w:val="en-AU"/>
        </w:rPr>
        <w:t>HD containing the alternate B influenza strain recipients were pooled for the analysis. For all subjects, safety evaluations were performed during the first 28 days following vaccination. Serious adverse reactions were collected during six months of follow-up.</w:t>
      </w:r>
    </w:p>
    <w:p w14:paraId="0C3553A2" w14:textId="3CF8F4A6" w:rsidR="0019771C" w:rsidRPr="005971E1" w:rsidRDefault="0019771C" w:rsidP="000151D7">
      <w:pPr>
        <w:rPr>
          <w:color w:val="auto"/>
          <w:lang w:val="en-AU"/>
        </w:rPr>
      </w:pPr>
      <w:r w:rsidRPr="005971E1">
        <w:rPr>
          <w:color w:val="auto"/>
          <w:lang w:val="en-AU"/>
        </w:rPr>
        <w:t xml:space="preserve">The overall safety profile of </w:t>
      </w:r>
      <w:r w:rsidR="000D1B52" w:rsidRPr="005971E1">
        <w:rPr>
          <w:color w:val="auto"/>
          <w:lang w:val="en-AU"/>
        </w:rPr>
        <w:t xml:space="preserve">Fluzone High-Dose Quadrivalent </w:t>
      </w:r>
      <w:r w:rsidRPr="005971E1">
        <w:rPr>
          <w:color w:val="auto"/>
          <w:lang w:val="en-AU"/>
        </w:rPr>
        <w:t>was comparable to TIV</w:t>
      </w:r>
      <w:r w:rsidR="00A50F74" w:rsidRPr="005971E1">
        <w:rPr>
          <w:color w:val="auto"/>
          <w:lang w:val="en-AU"/>
        </w:rPr>
        <w:t>-</w:t>
      </w:r>
      <w:r w:rsidRPr="005971E1">
        <w:rPr>
          <w:color w:val="auto"/>
          <w:lang w:val="en-AU"/>
        </w:rPr>
        <w:t>HD.</w:t>
      </w:r>
    </w:p>
    <w:p w14:paraId="24C5B36C" w14:textId="35CE5321" w:rsidR="0019771C" w:rsidRPr="005971E1" w:rsidRDefault="0019771C" w:rsidP="000151D7">
      <w:pPr>
        <w:rPr>
          <w:color w:val="auto"/>
          <w:lang w:val="en-AU"/>
        </w:rPr>
      </w:pPr>
      <w:r w:rsidRPr="005971E1">
        <w:rPr>
          <w:color w:val="auto"/>
          <w:lang w:val="en-AU"/>
        </w:rPr>
        <w:t xml:space="preserve">The most common reactions occurring after </w:t>
      </w:r>
      <w:r w:rsidR="000D1B52" w:rsidRPr="005971E1">
        <w:rPr>
          <w:color w:val="auto"/>
          <w:lang w:val="en-AU"/>
        </w:rPr>
        <w:t xml:space="preserve">Fluzone High-Dose Quadrivalent </w:t>
      </w:r>
      <w:r w:rsidRPr="005971E1">
        <w:rPr>
          <w:color w:val="auto"/>
          <w:lang w:val="en-AU"/>
        </w:rPr>
        <w:t>administration were injection site pain (41.3%), myalgia (22.7%), headache (14.4%) and malaise (13.2%). Onset usually occurred within the first 3 days after vaccination. The majority of solicited reactions resolved within three days of vaccination.</w:t>
      </w:r>
    </w:p>
    <w:p w14:paraId="3F82D094" w14:textId="4757F620" w:rsidR="0019771C" w:rsidRPr="00D83FD5" w:rsidRDefault="005E1DD4" w:rsidP="000151D7">
      <w:pPr>
        <w:autoSpaceDE w:val="0"/>
        <w:autoSpaceDN w:val="0"/>
        <w:adjustRightInd w:val="0"/>
        <w:rPr>
          <w:color w:val="auto"/>
          <w:lang w:val="en-AU"/>
        </w:rPr>
      </w:pPr>
      <w:r w:rsidRPr="005971E1">
        <w:rPr>
          <w:color w:val="auto"/>
          <w:lang w:val="en-AU"/>
        </w:rPr>
        <w:fldChar w:fldCharType="begin"/>
      </w:r>
      <w:r w:rsidRPr="005971E1">
        <w:rPr>
          <w:color w:val="auto"/>
          <w:lang w:val="en-AU"/>
        </w:rPr>
        <w:instrText xml:space="preserve"> REF _Ref493508699 \h  \* MERGEFORMAT </w:instrText>
      </w:r>
      <w:r w:rsidRPr="005971E1">
        <w:rPr>
          <w:color w:val="auto"/>
          <w:lang w:val="en-AU"/>
        </w:rPr>
      </w:r>
      <w:r w:rsidRPr="005971E1">
        <w:rPr>
          <w:color w:val="auto"/>
          <w:lang w:val="en-AU"/>
        </w:rPr>
        <w:fldChar w:fldCharType="separate"/>
      </w:r>
      <w:r w:rsidR="00CE4B4A" w:rsidRPr="005971E1">
        <w:rPr>
          <w:color w:val="auto"/>
          <w:lang w:val="en-AU"/>
        </w:rPr>
        <w:t>Table 2</w:t>
      </w:r>
      <w:r w:rsidRPr="005971E1">
        <w:rPr>
          <w:color w:val="auto"/>
          <w:lang w:val="en-AU"/>
        </w:rPr>
        <w:fldChar w:fldCharType="end"/>
      </w:r>
      <w:r w:rsidRPr="005971E1">
        <w:rPr>
          <w:color w:val="auto"/>
          <w:lang w:val="en-AU"/>
        </w:rPr>
        <w:t xml:space="preserve"> </w:t>
      </w:r>
      <w:r w:rsidR="0019771C" w:rsidRPr="005971E1">
        <w:rPr>
          <w:color w:val="auto"/>
          <w:lang w:val="en-AU"/>
        </w:rPr>
        <w:t xml:space="preserve">displays solicited adverse reactions for </w:t>
      </w:r>
      <w:r w:rsidR="000D1B52" w:rsidRPr="005971E1">
        <w:rPr>
          <w:color w:val="auto"/>
          <w:lang w:val="en-AU"/>
        </w:rPr>
        <w:t xml:space="preserve">Fluzone High-Dose Quadrivalent </w:t>
      </w:r>
      <w:r w:rsidR="0019771C" w:rsidRPr="00D83FD5">
        <w:rPr>
          <w:color w:val="auto"/>
          <w:lang w:val="en-AU"/>
        </w:rPr>
        <w:t>compared to TIV</w:t>
      </w:r>
      <w:r w:rsidR="00A50F74">
        <w:rPr>
          <w:color w:val="auto"/>
          <w:lang w:val="en-AU"/>
        </w:rPr>
        <w:t>-</w:t>
      </w:r>
      <w:r w:rsidR="0019771C" w:rsidRPr="00D83FD5">
        <w:rPr>
          <w:color w:val="auto"/>
          <w:lang w:val="en-AU"/>
        </w:rPr>
        <w:t xml:space="preserve">HD reported within 7 days after vaccination and collected using standardized diary cards. </w:t>
      </w:r>
    </w:p>
    <w:p w14:paraId="2CE5B2F8" w14:textId="1489FB00" w:rsidR="005E1DD4" w:rsidRPr="00D83FD5" w:rsidRDefault="005E1DD4" w:rsidP="005E1DD4">
      <w:pPr>
        <w:pStyle w:val="Caption"/>
        <w:rPr>
          <w:lang w:val="en-AU"/>
        </w:rPr>
      </w:pPr>
      <w:bookmarkStart w:id="7" w:name="_Ref493508699"/>
      <w:r w:rsidRPr="00D83FD5">
        <w:rPr>
          <w:lang w:val="en-AU"/>
        </w:rPr>
        <w:lastRenderedPageBreak/>
        <w:t>Table </w:t>
      </w:r>
      <w:r w:rsidRPr="00D83FD5">
        <w:rPr>
          <w:lang w:val="en-AU"/>
        </w:rPr>
        <w:fldChar w:fldCharType="begin"/>
      </w:r>
      <w:r w:rsidRPr="00D83FD5">
        <w:rPr>
          <w:lang w:val="en-AU"/>
        </w:rPr>
        <w:instrText xml:space="preserve"> SEQ Table \* ARABIC </w:instrText>
      </w:r>
      <w:r w:rsidRPr="00D83FD5">
        <w:rPr>
          <w:lang w:val="en-AU"/>
        </w:rPr>
        <w:fldChar w:fldCharType="separate"/>
      </w:r>
      <w:r w:rsidR="00CE4B4A" w:rsidRPr="00D83FD5">
        <w:rPr>
          <w:noProof/>
          <w:lang w:val="en-AU"/>
        </w:rPr>
        <w:t>2</w:t>
      </w:r>
      <w:r w:rsidRPr="00D83FD5">
        <w:rPr>
          <w:lang w:val="en-AU"/>
        </w:rPr>
        <w:fldChar w:fldCharType="end"/>
      </w:r>
      <w:bookmarkEnd w:id="7"/>
      <w:r w:rsidRPr="00D83FD5">
        <w:rPr>
          <w:lang w:val="en-AU"/>
        </w:rPr>
        <w:t xml:space="preserve"> ­ Frequency of Solicited Injection-Site Reactions and Systemic Adverse Events Within 7 Days After Vaccination with </w:t>
      </w:r>
      <w:r w:rsidRPr="00D83FD5">
        <w:rPr>
          <w:noProof/>
          <w:szCs w:val="16"/>
          <w:lang w:val="en-AU"/>
        </w:rPr>
        <w:t>Fluzone High-Dose</w:t>
      </w:r>
      <w:r w:rsidR="000D1B52">
        <w:rPr>
          <w:noProof/>
          <w:szCs w:val="16"/>
          <w:lang w:val="en-AU"/>
        </w:rPr>
        <w:t xml:space="preserve"> </w:t>
      </w:r>
      <w:r w:rsidR="000D1B52" w:rsidRPr="005971E1">
        <w:rPr>
          <w:noProof/>
          <w:szCs w:val="16"/>
          <w:lang w:val="en-AU"/>
        </w:rPr>
        <w:t>Quadrivalent</w:t>
      </w:r>
      <w:r w:rsidRPr="00D83FD5">
        <w:rPr>
          <w:lang w:val="en-AU"/>
        </w:rPr>
        <w:t xml:space="preserve"> </w:t>
      </w:r>
      <w:r w:rsidR="0019771C" w:rsidRPr="00D83FD5">
        <w:rPr>
          <w:lang w:val="en-AU"/>
        </w:rPr>
        <w:t>compared to TIV</w:t>
      </w:r>
      <w:r w:rsidR="00A50F74">
        <w:rPr>
          <w:lang w:val="en-AU"/>
        </w:rPr>
        <w:t>-</w:t>
      </w:r>
      <w:r w:rsidR="0019771C" w:rsidRPr="00D83FD5">
        <w:rPr>
          <w:lang w:val="en-AU"/>
        </w:rPr>
        <w:t xml:space="preserve">HD, in </w:t>
      </w:r>
      <w:r w:rsidRPr="00D83FD5">
        <w:rPr>
          <w:lang w:val="en-AU"/>
        </w:rPr>
        <w:t>Adults 65 Years of Age and Older</w:t>
      </w:r>
    </w:p>
    <w:tbl>
      <w:tblPr>
        <w:tblW w:w="9639" w:type="dxa"/>
        <w:tblCellMar>
          <w:left w:w="0" w:type="dxa"/>
          <w:right w:w="0" w:type="dxa"/>
        </w:tblCellMar>
        <w:tblLook w:val="0600" w:firstRow="0" w:lastRow="0" w:firstColumn="0" w:lastColumn="0" w:noHBand="1" w:noVBand="1"/>
      </w:tblPr>
      <w:tblGrid>
        <w:gridCol w:w="3301"/>
        <w:gridCol w:w="992"/>
        <w:gridCol w:w="992"/>
        <w:gridCol w:w="1240"/>
        <w:gridCol w:w="972"/>
        <w:gridCol w:w="681"/>
        <w:gridCol w:w="1461"/>
      </w:tblGrid>
      <w:tr w:rsidR="000151D7" w:rsidRPr="00D83FD5" w14:paraId="4A634E34" w14:textId="77777777" w:rsidTr="000151D7">
        <w:trPr>
          <w:trHeight w:val="556"/>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4BB44A93" w14:textId="77777777"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 </w:t>
            </w:r>
          </w:p>
        </w:tc>
        <w:tc>
          <w:tcPr>
            <w:tcW w:w="3224" w:type="dxa"/>
            <w:gridSpan w:val="3"/>
            <w:tcBorders>
              <w:top w:val="single" w:sz="4" w:space="0" w:color="auto"/>
              <w:left w:val="single" w:sz="4" w:space="0" w:color="auto"/>
              <w:bottom w:val="single" w:sz="4" w:space="0" w:color="auto"/>
              <w:right w:val="single" w:sz="4" w:space="0" w:color="auto"/>
            </w:tcBorders>
            <w:vAlign w:val="bottom"/>
          </w:tcPr>
          <w:p w14:paraId="5E9DD54C" w14:textId="0C6EEC85"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 xml:space="preserve">Fluzone High-dose </w:t>
            </w:r>
            <w:r w:rsidR="000D1B52" w:rsidRPr="005971E1">
              <w:rPr>
                <w:rFonts w:eastAsia="Times New Roman"/>
                <w:b/>
                <w:color w:val="auto"/>
                <w:sz w:val="18"/>
                <w:szCs w:val="20"/>
              </w:rPr>
              <w:t xml:space="preserve">Quadrivalent </w:t>
            </w:r>
            <w:r w:rsidRPr="00D83FD5">
              <w:rPr>
                <w:rFonts w:eastAsia="Times New Roman"/>
                <w:b/>
                <w:color w:val="auto"/>
                <w:sz w:val="18"/>
                <w:szCs w:val="20"/>
              </w:rPr>
              <w:t>(N=1777)</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680CB407" w14:textId="15AD08DF" w:rsidR="000151D7" w:rsidRPr="00D83FD5" w:rsidRDefault="000151D7" w:rsidP="00A50F74">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TIV</w:t>
            </w:r>
            <w:r w:rsidR="00A50F74">
              <w:rPr>
                <w:rFonts w:eastAsia="Times New Roman"/>
                <w:b/>
                <w:color w:val="auto"/>
                <w:sz w:val="18"/>
                <w:szCs w:val="20"/>
              </w:rPr>
              <w:t>-</w:t>
            </w:r>
            <w:r w:rsidRPr="00D83FD5">
              <w:rPr>
                <w:rFonts w:eastAsia="Times New Roman"/>
                <w:b/>
                <w:color w:val="auto"/>
                <w:sz w:val="18"/>
                <w:szCs w:val="20"/>
              </w:rPr>
              <w:t>HD</w:t>
            </w:r>
            <w:r w:rsidRPr="00D83FD5">
              <w:rPr>
                <w:rFonts w:eastAsia="Times New Roman"/>
                <w:b/>
                <w:color w:val="auto"/>
                <w:sz w:val="18"/>
                <w:szCs w:val="20"/>
              </w:rPr>
              <w:br/>
              <w:t>(N=893)</w:t>
            </w:r>
          </w:p>
        </w:tc>
      </w:tr>
      <w:tr w:rsidR="000151D7" w:rsidRPr="00D83FD5" w14:paraId="1BC04253"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5EBBFCAD"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Subjects experiencing at least one:</w:t>
            </w:r>
          </w:p>
        </w:tc>
        <w:tc>
          <w:tcPr>
            <w:tcW w:w="992" w:type="dxa"/>
            <w:tcBorders>
              <w:top w:val="single" w:sz="4" w:space="0" w:color="auto"/>
              <w:left w:val="single" w:sz="4" w:space="0" w:color="auto"/>
              <w:bottom w:val="single" w:sz="4" w:space="0" w:color="auto"/>
              <w:right w:val="single" w:sz="4" w:space="0" w:color="auto"/>
            </w:tcBorders>
            <w:vAlign w:val="bottom"/>
          </w:tcPr>
          <w:p w14:paraId="6CD9663E" w14:textId="77777777"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n/M</w:t>
            </w:r>
          </w:p>
        </w:tc>
        <w:tc>
          <w:tcPr>
            <w:tcW w:w="992" w:type="dxa"/>
            <w:tcBorders>
              <w:top w:val="single" w:sz="4" w:space="0" w:color="auto"/>
              <w:left w:val="single" w:sz="4" w:space="0" w:color="auto"/>
              <w:bottom w:val="single" w:sz="4" w:space="0" w:color="auto"/>
              <w:right w:val="single" w:sz="4" w:space="0" w:color="auto"/>
            </w:tcBorders>
            <w:vAlign w:val="bottom"/>
          </w:tcPr>
          <w:p w14:paraId="6B3439DA" w14:textId="77777777"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w:t>
            </w:r>
          </w:p>
        </w:tc>
        <w:tc>
          <w:tcPr>
            <w:tcW w:w="1240" w:type="dxa"/>
            <w:tcBorders>
              <w:top w:val="single" w:sz="4" w:space="0" w:color="auto"/>
              <w:left w:val="single" w:sz="4" w:space="0" w:color="auto"/>
              <w:bottom w:val="single" w:sz="4" w:space="0" w:color="auto"/>
              <w:right w:val="single" w:sz="4" w:space="0" w:color="auto"/>
            </w:tcBorders>
            <w:vAlign w:val="bottom"/>
          </w:tcPr>
          <w:p w14:paraId="4D9C5E99" w14:textId="77777777"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Frequency</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02E5FDE9" w14:textId="77777777"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n/M</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4C4A7D74" w14:textId="77777777"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60BBB29E" w14:textId="77777777" w:rsidR="000151D7" w:rsidRPr="00D83FD5" w:rsidRDefault="000151D7" w:rsidP="000151D7">
            <w:pPr>
              <w:keepNext/>
              <w:widowControl w:val="0"/>
              <w:autoSpaceDE w:val="0"/>
              <w:autoSpaceDN w:val="0"/>
              <w:spacing w:before="120" w:after="120"/>
              <w:jc w:val="center"/>
              <w:rPr>
                <w:rFonts w:eastAsia="Times New Roman"/>
                <w:b/>
                <w:color w:val="auto"/>
                <w:sz w:val="18"/>
                <w:szCs w:val="20"/>
              </w:rPr>
            </w:pPr>
            <w:r w:rsidRPr="00D83FD5">
              <w:rPr>
                <w:rFonts w:eastAsia="Times New Roman"/>
                <w:b/>
                <w:color w:val="auto"/>
                <w:sz w:val="18"/>
                <w:szCs w:val="20"/>
              </w:rPr>
              <w:t>Frequency</w:t>
            </w:r>
          </w:p>
        </w:tc>
      </w:tr>
      <w:tr w:rsidR="000151D7" w:rsidRPr="00D83FD5" w14:paraId="412019CE" w14:textId="77777777" w:rsidTr="000151D7">
        <w:trPr>
          <w:trHeight w:val="556"/>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39BD2559"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General disorders and administration site conditions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84E8DD7"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8A44805"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016BDCA2"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21FBED26"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58C58A6B"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2D5C1861"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r>
      <w:tr w:rsidR="000151D7" w:rsidRPr="00D83FD5" w14:paraId="387E40CF"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78AC224" w14:textId="167462AA" w:rsidR="000151D7" w:rsidRPr="005971E1" w:rsidRDefault="000561E0" w:rsidP="000151D7">
            <w:pPr>
              <w:widowControl w:val="0"/>
              <w:numPr>
                <w:ilvl w:val="0"/>
                <w:numId w:val="42"/>
              </w:numPr>
              <w:autoSpaceDE w:val="0"/>
              <w:autoSpaceDN w:val="0"/>
              <w:spacing w:before="40" w:after="40"/>
              <w:rPr>
                <w:rFonts w:eastAsia="Times New Roman"/>
                <w:b/>
                <w:i/>
                <w:strike/>
                <w:color w:val="auto"/>
                <w:sz w:val="18"/>
                <w:szCs w:val="20"/>
              </w:rPr>
            </w:pPr>
            <w:r w:rsidRPr="005971E1">
              <w:rPr>
                <w:rFonts w:eastAsia="Times New Roman"/>
                <w:b/>
                <w:iCs/>
                <w:color w:val="auto"/>
                <w:sz w:val="18"/>
                <w:szCs w:val="20"/>
              </w:rPr>
              <w:t>Overall local reactions</w:t>
            </w:r>
          </w:p>
        </w:tc>
        <w:tc>
          <w:tcPr>
            <w:tcW w:w="992" w:type="dxa"/>
            <w:tcBorders>
              <w:top w:val="single" w:sz="4" w:space="0" w:color="auto"/>
              <w:left w:val="single" w:sz="4" w:space="0" w:color="auto"/>
              <w:bottom w:val="single" w:sz="4" w:space="0" w:color="auto"/>
              <w:right w:val="single" w:sz="4" w:space="0" w:color="auto"/>
            </w:tcBorders>
          </w:tcPr>
          <w:p w14:paraId="71468B6F" w14:textId="33A08B6F"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779/1768</w:t>
            </w:r>
          </w:p>
        </w:tc>
        <w:tc>
          <w:tcPr>
            <w:tcW w:w="992" w:type="dxa"/>
            <w:tcBorders>
              <w:top w:val="single" w:sz="4" w:space="0" w:color="auto"/>
              <w:left w:val="single" w:sz="4" w:space="0" w:color="auto"/>
              <w:bottom w:val="single" w:sz="4" w:space="0" w:color="auto"/>
              <w:right w:val="single" w:sz="4" w:space="0" w:color="auto"/>
            </w:tcBorders>
          </w:tcPr>
          <w:p w14:paraId="3A600F8B" w14:textId="657DFFD8"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44.1</w:t>
            </w:r>
          </w:p>
        </w:tc>
        <w:tc>
          <w:tcPr>
            <w:tcW w:w="1240" w:type="dxa"/>
            <w:tcBorders>
              <w:top w:val="single" w:sz="4" w:space="0" w:color="auto"/>
              <w:left w:val="single" w:sz="4" w:space="0" w:color="auto"/>
              <w:bottom w:val="single" w:sz="4" w:space="0" w:color="auto"/>
              <w:right w:val="single" w:sz="4" w:space="0" w:color="auto"/>
            </w:tcBorders>
          </w:tcPr>
          <w:p w14:paraId="124128D5" w14:textId="14F8EE74"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Very 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8C824FB" w14:textId="5D6F6A5E"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354/889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13F9476" w14:textId="707A8BF2"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39.8</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F2F668E" w14:textId="4D38B679"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Very common</w:t>
            </w:r>
          </w:p>
        </w:tc>
      </w:tr>
      <w:tr w:rsidR="000151D7" w:rsidRPr="00D83FD5" w14:paraId="317FD113"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E891C44" w14:textId="77777777" w:rsidR="000151D7" w:rsidRPr="005971E1" w:rsidRDefault="000151D7" w:rsidP="000151D7">
            <w:pPr>
              <w:widowControl w:val="0"/>
              <w:autoSpaceDE w:val="0"/>
              <w:autoSpaceDN w:val="0"/>
              <w:spacing w:before="40" w:after="40"/>
              <w:rPr>
                <w:rFonts w:eastAsia="Times New Roman"/>
                <w:b/>
                <w:color w:val="auto"/>
                <w:sz w:val="18"/>
                <w:szCs w:val="20"/>
              </w:rPr>
            </w:pPr>
            <w:r w:rsidRPr="005971E1">
              <w:rPr>
                <w:rFonts w:eastAsia="Times New Roman"/>
                <w:b/>
                <w:color w:val="auto"/>
                <w:sz w:val="18"/>
                <w:szCs w:val="20"/>
              </w:rPr>
              <w:t>    Injection Site Pain</w:t>
            </w:r>
          </w:p>
        </w:tc>
        <w:tc>
          <w:tcPr>
            <w:tcW w:w="992" w:type="dxa"/>
            <w:tcBorders>
              <w:top w:val="single" w:sz="4" w:space="0" w:color="auto"/>
              <w:left w:val="single" w:sz="4" w:space="0" w:color="auto"/>
              <w:bottom w:val="single" w:sz="4" w:space="0" w:color="auto"/>
              <w:right w:val="single" w:sz="4" w:space="0" w:color="auto"/>
            </w:tcBorders>
          </w:tcPr>
          <w:p w14:paraId="4D0E3917"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731/1768</w:t>
            </w:r>
          </w:p>
        </w:tc>
        <w:tc>
          <w:tcPr>
            <w:tcW w:w="992" w:type="dxa"/>
            <w:tcBorders>
              <w:top w:val="single" w:sz="4" w:space="0" w:color="auto"/>
              <w:left w:val="single" w:sz="4" w:space="0" w:color="auto"/>
              <w:bottom w:val="single" w:sz="4" w:space="0" w:color="auto"/>
              <w:right w:val="single" w:sz="4" w:space="0" w:color="auto"/>
            </w:tcBorders>
          </w:tcPr>
          <w:p w14:paraId="35B0FFC6"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41.3</w:t>
            </w:r>
          </w:p>
        </w:tc>
        <w:tc>
          <w:tcPr>
            <w:tcW w:w="1240" w:type="dxa"/>
            <w:tcBorders>
              <w:top w:val="single" w:sz="4" w:space="0" w:color="auto"/>
              <w:left w:val="single" w:sz="4" w:space="0" w:color="auto"/>
              <w:bottom w:val="single" w:sz="4" w:space="0" w:color="auto"/>
              <w:right w:val="single" w:sz="4" w:space="0" w:color="auto"/>
            </w:tcBorders>
          </w:tcPr>
          <w:p w14:paraId="62510F4B"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Very 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5AC48B35"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324/889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11D5DB9"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36.4</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1EA16A82"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Very common</w:t>
            </w:r>
          </w:p>
        </w:tc>
      </w:tr>
      <w:tr w:rsidR="000151D7" w:rsidRPr="00D83FD5" w14:paraId="23CB6E2A"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F848332" w14:textId="77777777" w:rsidR="000151D7" w:rsidRPr="005971E1" w:rsidRDefault="000151D7" w:rsidP="000151D7">
            <w:pPr>
              <w:widowControl w:val="0"/>
              <w:autoSpaceDE w:val="0"/>
              <w:autoSpaceDN w:val="0"/>
              <w:spacing w:before="40" w:after="40"/>
              <w:rPr>
                <w:rFonts w:eastAsia="Times New Roman"/>
                <w:b/>
                <w:color w:val="auto"/>
                <w:sz w:val="18"/>
                <w:szCs w:val="20"/>
              </w:rPr>
            </w:pPr>
            <w:r w:rsidRPr="005971E1">
              <w:rPr>
                <w:rFonts w:eastAsia="Times New Roman"/>
                <w:b/>
                <w:color w:val="auto"/>
                <w:sz w:val="18"/>
                <w:szCs w:val="20"/>
              </w:rPr>
              <w:t>    Injection Site Erythema</w:t>
            </w:r>
          </w:p>
        </w:tc>
        <w:tc>
          <w:tcPr>
            <w:tcW w:w="992" w:type="dxa"/>
            <w:tcBorders>
              <w:top w:val="single" w:sz="4" w:space="0" w:color="auto"/>
              <w:left w:val="single" w:sz="4" w:space="0" w:color="auto"/>
              <w:bottom w:val="single" w:sz="4" w:space="0" w:color="auto"/>
              <w:right w:val="single" w:sz="4" w:space="0" w:color="auto"/>
            </w:tcBorders>
          </w:tcPr>
          <w:p w14:paraId="69A9DEF7"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110/1768</w:t>
            </w:r>
          </w:p>
        </w:tc>
        <w:tc>
          <w:tcPr>
            <w:tcW w:w="992" w:type="dxa"/>
            <w:tcBorders>
              <w:top w:val="single" w:sz="4" w:space="0" w:color="auto"/>
              <w:left w:val="single" w:sz="4" w:space="0" w:color="auto"/>
              <w:bottom w:val="single" w:sz="4" w:space="0" w:color="auto"/>
              <w:right w:val="single" w:sz="4" w:space="0" w:color="auto"/>
            </w:tcBorders>
          </w:tcPr>
          <w:p w14:paraId="34DBA6B6"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6.2</w:t>
            </w:r>
          </w:p>
        </w:tc>
        <w:tc>
          <w:tcPr>
            <w:tcW w:w="1240" w:type="dxa"/>
            <w:tcBorders>
              <w:top w:val="single" w:sz="4" w:space="0" w:color="auto"/>
              <w:left w:val="single" w:sz="4" w:space="0" w:color="auto"/>
              <w:bottom w:val="single" w:sz="4" w:space="0" w:color="auto"/>
              <w:right w:val="single" w:sz="4" w:space="0" w:color="auto"/>
            </w:tcBorders>
          </w:tcPr>
          <w:p w14:paraId="69976D0E"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13FA33A"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51/889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165CC8D"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5.7</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9650707"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r>
      <w:tr w:rsidR="000151D7" w:rsidRPr="00D83FD5" w14:paraId="4A1F29C0"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E4DF3D5" w14:textId="77777777" w:rsidR="000151D7" w:rsidRPr="005971E1" w:rsidRDefault="000151D7" w:rsidP="000151D7">
            <w:pPr>
              <w:widowControl w:val="0"/>
              <w:autoSpaceDE w:val="0"/>
              <w:autoSpaceDN w:val="0"/>
              <w:spacing w:before="40" w:after="40"/>
              <w:rPr>
                <w:rFonts w:eastAsia="Times New Roman"/>
                <w:b/>
                <w:color w:val="auto"/>
                <w:sz w:val="18"/>
                <w:szCs w:val="20"/>
              </w:rPr>
            </w:pPr>
            <w:r w:rsidRPr="005971E1">
              <w:rPr>
                <w:rFonts w:eastAsia="Times New Roman"/>
                <w:b/>
                <w:color w:val="auto"/>
                <w:sz w:val="18"/>
                <w:szCs w:val="20"/>
              </w:rPr>
              <w:t>    Injection Site Swelling</w:t>
            </w:r>
          </w:p>
        </w:tc>
        <w:tc>
          <w:tcPr>
            <w:tcW w:w="992" w:type="dxa"/>
            <w:tcBorders>
              <w:top w:val="single" w:sz="4" w:space="0" w:color="auto"/>
              <w:left w:val="single" w:sz="4" w:space="0" w:color="auto"/>
              <w:bottom w:val="single" w:sz="4" w:space="0" w:color="auto"/>
              <w:right w:val="single" w:sz="4" w:space="0" w:color="auto"/>
            </w:tcBorders>
          </w:tcPr>
          <w:p w14:paraId="1F902386"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86/1766</w:t>
            </w:r>
          </w:p>
        </w:tc>
        <w:tc>
          <w:tcPr>
            <w:tcW w:w="992" w:type="dxa"/>
            <w:tcBorders>
              <w:top w:val="single" w:sz="4" w:space="0" w:color="auto"/>
              <w:left w:val="single" w:sz="4" w:space="0" w:color="auto"/>
              <w:bottom w:val="single" w:sz="4" w:space="0" w:color="auto"/>
              <w:right w:val="single" w:sz="4" w:space="0" w:color="auto"/>
            </w:tcBorders>
          </w:tcPr>
          <w:p w14:paraId="77AF89CB"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4.9</w:t>
            </w:r>
          </w:p>
        </w:tc>
        <w:tc>
          <w:tcPr>
            <w:tcW w:w="1240" w:type="dxa"/>
            <w:tcBorders>
              <w:top w:val="single" w:sz="4" w:space="0" w:color="auto"/>
              <w:left w:val="single" w:sz="4" w:space="0" w:color="auto"/>
              <w:bottom w:val="single" w:sz="4" w:space="0" w:color="auto"/>
              <w:right w:val="single" w:sz="4" w:space="0" w:color="auto"/>
            </w:tcBorders>
          </w:tcPr>
          <w:p w14:paraId="244620D7"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166A7C1"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42/887</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A3E742D"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4.7</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8FBACC0"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r>
      <w:tr w:rsidR="000151D7" w:rsidRPr="00D83FD5" w14:paraId="2E98058D"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8918916" w14:textId="77777777" w:rsidR="000151D7" w:rsidRPr="005971E1" w:rsidRDefault="000151D7" w:rsidP="000151D7">
            <w:pPr>
              <w:widowControl w:val="0"/>
              <w:autoSpaceDE w:val="0"/>
              <w:autoSpaceDN w:val="0"/>
              <w:spacing w:before="40" w:after="40"/>
              <w:rPr>
                <w:rFonts w:eastAsia="Times New Roman"/>
                <w:b/>
                <w:color w:val="auto"/>
                <w:sz w:val="18"/>
                <w:szCs w:val="20"/>
              </w:rPr>
            </w:pPr>
            <w:r w:rsidRPr="005971E1">
              <w:rPr>
                <w:rFonts w:eastAsia="Times New Roman"/>
                <w:b/>
                <w:color w:val="auto"/>
                <w:sz w:val="18"/>
                <w:szCs w:val="20"/>
              </w:rPr>
              <w:t>    Injection Site Induration</w:t>
            </w:r>
          </w:p>
        </w:tc>
        <w:tc>
          <w:tcPr>
            <w:tcW w:w="992" w:type="dxa"/>
            <w:tcBorders>
              <w:top w:val="single" w:sz="4" w:space="0" w:color="auto"/>
              <w:left w:val="single" w:sz="4" w:space="0" w:color="auto"/>
              <w:bottom w:val="single" w:sz="4" w:space="0" w:color="auto"/>
              <w:right w:val="single" w:sz="4" w:space="0" w:color="auto"/>
            </w:tcBorders>
          </w:tcPr>
          <w:p w14:paraId="7244DEC4"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66/1766</w:t>
            </w:r>
          </w:p>
        </w:tc>
        <w:tc>
          <w:tcPr>
            <w:tcW w:w="992" w:type="dxa"/>
            <w:tcBorders>
              <w:top w:val="single" w:sz="4" w:space="0" w:color="auto"/>
              <w:left w:val="single" w:sz="4" w:space="0" w:color="auto"/>
              <w:bottom w:val="single" w:sz="4" w:space="0" w:color="auto"/>
              <w:right w:val="single" w:sz="4" w:space="0" w:color="auto"/>
            </w:tcBorders>
          </w:tcPr>
          <w:p w14:paraId="5722F3DF"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3.7</w:t>
            </w:r>
          </w:p>
        </w:tc>
        <w:tc>
          <w:tcPr>
            <w:tcW w:w="1240" w:type="dxa"/>
            <w:tcBorders>
              <w:top w:val="single" w:sz="4" w:space="0" w:color="auto"/>
              <w:left w:val="single" w:sz="4" w:space="0" w:color="auto"/>
              <w:bottom w:val="single" w:sz="4" w:space="0" w:color="auto"/>
              <w:right w:val="single" w:sz="4" w:space="0" w:color="auto"/>
            </w:tcBorders>
          </w:tcPr>
          <w:p w14:paraId="72F296CA"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5F8FA8FC"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31/887</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552B114"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3.5</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0600476"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r>
      <w:tr w:rsidR="000151D7" w:rsidRPr="00D83FD5" w14:paraId="44A80353"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1919AE3E" w14:textId="77777777" w:rsidR="000151D7" w:rsidRPr="005971E1" w:rsidRDefault="000151D7" w:rsidP="000151D7">
            <w:pPr>
              <w:widowControl w:val="0"/>
              <w:autoSpaceDE w:val="0"/>
              <w:autoSpaceDN w:val="0"/>
              <w:spacing w:before="40" w:after="40"/>
              <w:rPr>
                <w:rFonts w:eastAsia="Times New Roman"/>
                <w:b/>
                <w:color w:val="auto"/>
                <w:sz w:val="18"/>
                <w:szCs w:val="20"/>
              </w:rPr>
            </w:pPr>
            <w:r w:rsidRPr="005971E1">
              <w:rPr>
                <w:rFonts w:eastAsia="Times New Roman"/>
                <w:b/>
                <w:color w:val="auto"/>
                <w:sz w:val="18"/>
                <w:szCs w:val="20"/>
              </w:rPr>
              <w:t>    Injection Site Bruising</w:t>
            </w:r>
          </w:p>
        </w:tc>
        <w:tc>
          <w:tcPr>
            <w:tcW w:w="992" w:type="dxa"/>
            <w:tcBorders>
              <w:top w:val="single" w:sz="4" w:space="0" w:color="auto"/>
              <w:left w:val="single" w:sz="4" w:space="0" w:color="auto"/>
              <w:bottom w:val="single" w:sz="4" w:space="0" w:color="auto"/>
              <w:right w:val="single" w:sz="4" w:space="0" w:color="auto"/>
            </w:tcBorders>
          </w:tcPr>
          <w:p w14:paraId="093E46F6"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23/1765</w:t>
            </w:r>
          </w:p>
        </w:tc>
        <w:tc>
          <w:tcPr>
            <w:tcW w:w="992" w:type="dxa"/>
            <w:tcBorders>
              <w:top w:val="single" w:sz="4" w:space="0" w:color="auto"/>
              <w:left w:val="single" w:sz="4" w:space="0" w:color="auto"/>
              <w:bottom w:val="single" w:sz="4" w:space="0" w:color="auto"/>
              <w:right w:val="single" w:sz="4" w:space="0" w:color="auto"/>
            </w:tcBorders>
          </w:tcPr>
          <w:p w14:paraId="3534F4F4"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1.3</w:t>
            </w:r>
          </w:p>
        </w:tc>
        <w:tc>
          <w:tcPr>
            <w:tcW w:w="1240" w:type="dxa"/>
            <w:tcBorders>
              <w:top w:val="single" w:sz="4" w:space="0" w:color="auto"/>
              <w:left w:val="single" w:sz="4" w:space="0" w:color="auto"/>
              <w:bottom w:val="single" w:sz="4" w:space="0" w:color="auto"/>
              <w:right w:val="single" w:sz="4" w:space="0" w:color="auto"/>
            </w:tcBorders>
          </w:tcPr>
          <w:p w14:paraId="4BA60736"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B6F82E7"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10/887</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FFD9B0E"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1.1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F323855" w14:textId="77777777"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Common</w:t>
            </w:r>
          </w:p>
        </w:tc>
      </w:tr>
      <w:tr w:rsidR="000151D7" w:rsidRPr="00D83FD5" w14:paraId="65C1E034"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C945719" w14:textId="09F9DE04" w:rsidR="000151D7" w:rsidRPr="005971E1" w:rsidRDefault="000561E0" w:rsidP="000151D7">
            <w:pPr>
              <w:widowControl w:val="0"/>
              <w:numPr>
                <w:ilvl w:val="0"/>
                <w:numId w:val="42"/>
              </w:numPr>
              <w:autoSpaceDE w:val="0"/>
              <w:autoSpaceDN w:val="0"/>
              <w:spacing w:before="40" w:after="40"/>
              <w:rPr>
                <w:rFonts w:eastAsia="Times New Roman"/>
                <w:b/>
                <w:strike/>
                <w:color w:val="auto"/>
                <w:sz w:val="18"/>
                <w:szCs w:val="20"/>
              </w:rPr>
            </w:pPr>
            <w:r w:rsidRPr="005971E1">
              <w:rPr>
                <w:rFonts w:eastAsia="Times New Roman"/>
                <w:b/>
                <w:iCs/>
                <w:color w:val="auto"/>
                <w:sz w:val="18"/>
                <w:szCs w:val="20"/>
              </w:rPr>
              <w:t>Overall systemic reactions</w:t>
            </w:r>
          </w:p>
        </w:tc>
        <w:tc>
          <w:tcPr>
            <w:tcW w:w="992" w:type="dxa"/>
            <w:tcBorders>
              <w:top w:val="single" w:sz="4" w:space="0" w:color="auto"/>
              <w:left w:val="single" w:sz="4" w:space="0" w:color="auto"/>
              <w:bottom w:val="single" w:sz="4" w:space="0" w:color="auto"/>
              <w:right w:val="single" w:sz="4" w:space="0" w:color="auto"/>
            </w:tcBorders>
          </w:tcPr>
          <w:p w14:paraId="61DE5304" w14:textId="6C3C1BEA"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 </w:t>
            </w:r>
            <w:r w:rsidR="000561E0" w:rsidRPr="005971E1">
              <w:rPr>
                <w:rFonts w:eastAsia="Times New Roman"/>
                <w:color w:val="auto"/>
                <w:sz w:val="18"/>
                <w:szCs w:val="20"/>
              </w:rPr>
              <w:t>548/1768</w:t>
            </w:r>
          </w:p>
        </w:tc>
        <w:tc>
          <w:tcPr>
            <w:tcW w:w="992" w:type="dxa"/>
            <w:tcBorders>
              <w:top w:val="single" w:sz="4" w:space="0" w:color="auto"/>
              <w:left w:val="single" w:sz="4" w:space="0" w:color="auto"/>
              <w:bottom w:val="single" w:sz="4" w:space="0" w:color="auto"/>
              <w:right w:val="single" w:sz="4" w:space="0" w:color="auto"/>
            </w:tcBorders>
          </w:tcPr>
          <w:p w14:paraId="2923A0E3" w14:textId="3E5B29D9" w:rsidR="000151D7" w:rsidRPr="005971E1" w:rsidRDefault="000151D7"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 </w:t>
            </w:r>
            <w:r w:rsidR="000561E0" w:rsidRPr="005971E1">
              <w:rPr>
                <w:rFonts w:eastAsia="Times New Roman"/>
                <w:color w:val="auto"/>
                <w:sz w:val="18"/>
                <w:szCs w:val="20"/>
              </w:rPr>
              <w:t>31.0</w:t>
            </w:r>
          </w:p>
        </w:tc>
        <w:tc>
          <w:tcPr>
            <w:tcW w:w="1240" w:type="dxa"/>
            <w:tcBorders>
              <w:top w:val="single" w:sz="4" w:space="0" w:color="auto"/>
              <w:left w:val="single" w:sz="4" w:space="0" w:color="auto"/>
              <w:bottom w:val="single" w:sz="4" w:space="0" w:color="auto"/>
              <w:right w:val="single" w:sz="4" w:space="0" w:color="auto"/>
            </w:tcBorders>
          </w:tcPr>
          <w:p w14:paraId="56DFF589" w14:textId="062F5DAC"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Very 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8DB7723" w14:textId="72115B8E"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264/889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67668E9" w14:textId="2593862C"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29.7</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7A37B66" w14:textId="36801337" w:rsidR="000151D7" w:rsidRPr="005971E1" w:rsidRDefault="000561E0" w:rsidP="000151D7">
            <w:pPr>
              <w:widowControl w:val="0"/>
              <w:autoSpaceDE w:val="0"/>
              <w:autoSpaceDN w:val="0"/>
              <w:spacing w:before="40" w:after="40"/>
              <w:rPr>
                <w:rFonts w:eastAsia="Times New Roman"/>
                <w:color w:val="auto"/>
                <w:sz w:val="18"/>
                <w:szCs w:val="20"/>
              </w:rPr>
            </w:pPr>
            <w:r w:rsidRPr="005971E1">
              <w:rPr>
                <w:rFonts w:eastAsia="Times New Roman"/>
                <w:color w:val="auto"/>
                <w:sz w:val="18"/>
                <w:szCs w:val="20"/>
              </w:rPr>
              <w:t>Very common</w:t>
            </w:r>
          </w:p>
        </w:tc>
      </w:tr>
      <w:tr w:rsidR="000151D7" w:rsidRPr="00D83FD5" w14:paraId="5D8E114F"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9C31729"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    Malaise</w:t>
            </w:r>
          </w:p>
        </w:tc>
        <w:tc>
          <w:tcPr>
            <w:tcW w:w="992" w:type="dxa"/>
            <w:tcBorders>
              <w:top w:val="single" w:sz="4" w:space="0" w:color="auto"/>
              <w:left w:val="single" w:sz="4" w:space="0" w:color="auto"/>
              <w:bottom w:val="single" w:sz="4" w:space="0" w:color="auto"/>
              <w:right w:val="single" w:sz="4" w:space="0" w:color="auto"/>
            </w:tcBorders>
          </w:tcPr>
          <w:p w14:paraId="2C5C6BCB"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233/1768</w:t>
            </w:r>
          </w:p>
        </w:tc>
        <w:tc>
          <w:tcPr>
            <w:tcW w:w="992" w:type="dxa"/>
            <w:tcBorders>
              <w:top w:val="single" w:sz="4" w:space="0" w:color="auto"/>
              <w:left w:val="single" w:sz="4" w:space="0" w:color="auto"/>
              <w:bottom w:val="single" w:sz="4" w:space="0" w:color="auto"/>
              <w:right w:val="single" w:sz="4" w:space="0" w:color="auto"/>
            </w:tcBorders>
          </w:tcPr>
          <w:p w14:paraId="70A013CC"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13.2</w:t>
            </w:r>
          </w:p>
        </w:tc>
        <w:tc>
          <w:tcPr>
            <w:tcW w:w="1240" w:type="dxa"/>
            <w:tcBorders>
              <w:top w:val="single" w:sz="4" w:space="0" w:color="auto"/>
              <w:left w:val="single" w:sz="4" w:space="0" w:color="auto"/>
              <w:bottom w:val="single" w:sz="4" w:space="0" w:color="auto"/>
              <w:right w:val="single" w:sz="4" w:space="0" w:color="auto"/>
            </w:tcBorders>
          </w:tcPr>
          <w:p w14:paraId="48247D22"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Very 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AE15D4A"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119/889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2C4B4D9"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13.4</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F5AE848"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Very common</w:t>
            </w:r>
          </w:p>
        </w:tc>
      </w:tr>
      <w:tr w:rsidR="000151D7" w:rsidRPr="00D83FD5" w14:paraId="1FD90C0A"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E3AE6FB"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    Shivering</w:t>
            </w:r>
          </w:p>
        </w:tc>
        <w:tc>
          <w:tcPr>
            <w:tcW w:w="992" w:type="dxa"/>
            <w:tcBorders>
              <w:top w:val="single" w:sz="4" w:space="0" w:color="auto"/>
              <w:left w:val="single" w:sz="4" w:space="0" w:color="auto"/>
              <w:bottom w:val="single" w:sz="4" w:space="0" w:color="auto"/>
              <w:right w:val="single" w:sz="4" w:space="0" w:color="auto"/>
            </w:tcBorders>
          </w:tcPr>
          <w:p w14:paraId="24BBF883"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95/1768</w:t>
            </w:r>
          </w:p>
        </w:tc>
        <w:tc>
          <w:tcPr>
            <w:tcW w:w="992" w:type="dxa"/>
            <w:tcBorders>
              <w:top w:val="single" w:sz="4" w:space="0" w:color="auto"/>
              <w:left w:val="single" w:sz="4" w:space="0" w:color="auto"/>
              <w:bottom w:val="single" w:sz="4" w:space="0" w:color="auto"/>
              <w:right w:val="single" w:sz="4" w:space="0" w:color="auto"/>
            </w:tcBorders>
          </w:tcPr>
          <w:p w14:paraId="5A397E73"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5.4</w:t>
            </w:r>
          </w:p>
        </w:tc>
        <w:tc>
          <w:tcPr>
            <w:tcW w:w="1240" w:type="dxa"/>
            <w:tcBorders>
              <w:top w:val="single" w:sz="4" w:space="0" w:color="auto"/>
              <w:left w:val="single" w:sz="4" w:space="0" w:color="auto"/>
              <w:bottom w:val="single" w:sz="4" w:space="0" w:color="auto"/>
              <w:right w:val="single" w:sz="4" w:space="0" w:color="auto"/>
            </w:tcBorders>
          </w:tcPr>
          <w:p w14:paraId="6AB4D8D7"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6EFB2DB"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42/889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4AD53FA"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4.7</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87B5E2F"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Common</w:t>
            </w:r>
          </w:p>
        </w:tc>
      </w:tr>
      <w:tr w:rsidR="000151D7" w:rsidRPr="00D83FD5" w14:paraId="258B88A2"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4AFA2BD"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    Fever</w:t>
            </w:r>
          </w:p>
        </w:tc>
        <w:tc>
          <w:tcPr>
            <w:tcW w:w="992" w:type="dxa"/>
            <w:tcBorders>
              <w:top w:val="single" w:sz="4" w:space="0" w:color="auto"/>
              <w:left w:val="single" w:sz="4" w:space="0" w:color="auto"/>
              <w:bottom w:val="single" w:sz="4" w:space="0" w:color="auto"/>
              <w:right w:val="single" w:sz="4" w:space="0" w:color="auto"/>
            </w:tcBorders>
          </w:tcPr>
          <w:p w14:paraId="410314F6"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7/1761</w:t>
            </w:r>
          </w:p>
        </w:tc>
        <w:tc>
          <w:tcPr>
            <w:tcW w:w="992" w:type="dxa"/>
            <w:tcBorders>
              <w:top w:val="single" w:sz="4" w:space="0" w:color="auto"/>
              <w:left w:val="single" w:sz="4" w:space="0" w:color="auto"/>
              <w:bottom w:val="single" w:sz="4" w:space="0" w:color="auto"/>
              <w:right w:val="single" w:sz="4" w:space="0" w:color="auto"/>
            </w:tcBorders>
          </w:tcPr>
          <w:p w14:paraId="2E47F537"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0.4</w:t>
            </w:r>
          </w:p>
        </w:tc>
        <w:tc>
          <w:tcPr>
            <w:tcW w:w="1240" w:type="dxa"/>
            <w:tcBorders>
              <w:top w:val="single" w:sz="4" w:space="0" w:color="auto"/>
              <w:left w:val="single" w:sz="4" w:space="0" w:color="auto"/>
              <w:bottom w:val="single" w:sz="4" w:space="0" w:color="auto"/>
              <w:right w:val="single" w:sz="4" w:space="0" w:color="auto"/>
            </w:tcBorders>
          </w:tcPr>
          <w:p w14:paraId="1996FC46"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Uncommon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5058D33C"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8/885</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AAC7B69"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0.9</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6076A73"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Uncommon</w:t>
            </w:r>
          </w:p>
        </w:tc>
      </w:tr>
      <w:tr w:rsidR="000151D7" w:rsidRPr="00D83FD5" w14:paraId="747051B3"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750573EF"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Nervous system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D3D83CB"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BF5F935"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566646D6"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2CB85ED4" w14:textId="77777777" w:rsidR="000151D7" w:rsidRPr="00D83FD5" w:rsidRDefault="000151D7" w:rsidP="000151D7">
            <w:pPr>
              <w:widowControl w:val="0"/>
              <w:autoSpaceDE w:val="0"/>
              <w:autoSpaceDN w:val="0"/>
              <w:spacing w:before="40" w:after="40"/>
              <w:rPr>
                <w:rFonts w:eastAsia="Times New Roman"/>
                <w:color w:val="auto"/>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381AB1C0"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7321D835"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r>
      <w:tr w:rsidR="000151D7" w:rsidRPr="00D83FD5" w14:paraId="3C907219"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13FB4853"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    Headache</w:t>
            </w:r>
          </w:p>
        </w:tc>
        <w:tc>
          <w:tcPr>
            <w:tcW w:w="992" w:type="dxa"/>
            <w:tcBorders>
              <w:top w:val="single" w:sz="4" w:space="0" w:color="auto"/>
              <w:left w:val="single" w:sz="4" w:space="0" w:color="auto"/>
              <w:bottom w:val="single" w:sz="4" w:space="0" w:color="auto"/>
              <w:right w:val="single" w:sz="4" w:space="0" w:color="auto"/>
            </w:tcBorders>
          </w:tcPr>
          <w:p w14:paraId="2A125B37"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254/1768</w:t>
            </w:r>
          </w:p>
        </w:tc>
        <w:tc>
          <w:tcPr>
            <w:tcW w:w="992" w:type="dxa"/>
            <w:tcBorders>
              <w:top w:val="single" w:sz="4" w:space="0" w:color="auto"/>
              <w:left w:val="single" w:sz="4" w:space="0" w:color="auto"/>
              <w:bottom w:val="single" w:sz="4" w:space="0" w:color="auto"/>
              <w:right w:val="single" w:sz="4" w:space="0" w:color="auto"/>
            </w:tcBorders>
          </w:tcPr>
          <w:p w14:paraId="1D421643"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14.4</w:t>
            </w:r>
          </w:p>
        </w:tc>
        <w:tc>
          <w:tcPr>
            <w:tcW w:w="1240" w:type="dxa"/>
            <w:tcBorders>
              <w:top w:val="single" w:sz="4" w:space="0" w:color="auto"/>
              <w:left w:val="single" w:sz="4" w:space="0" w:color="auto"/>
              <w:bottom w:val="single" w:sz="4" w:space="0" w:color="auto"/>
              <w:right w:val="single" w:sz="4" w:space="0" w:color="auto"/>
            </w:tcBorders>
          </w:tcPr>
          <w:p w14:paraId="0B5CD48C"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Very 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0352A7ED"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121/889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1500D0E5"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13.6</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B5A9199"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Very common</w:t>
            </w:r>
          </w:p>
        </w:tc>
      </w:tr>
      <w:tr w:rsidR="000151D7" w:rsidRPr="00D83FD5" w14:paraId="016B489E" w14:textId="77777777" w:rsidTr="000151D7">
        <w:trPr>
          <w:trHeight w:val="556"/>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0C7608EB"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Musculoskeletal and connective tissue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740DF10"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EBA2B6C"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4720BA6E"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4D9CF2E4" w14:textId="77777777" w:rsidR="000151D7" w:rsidRPr="00D83FD5" w:rsidRDefault="000151D7" w:rsidP="000151D7">
            <w:pPr>
              <w:widowControl w:val="0"/>
              <w:autoSpaceDE w:val="0"/>
              <w:autoSpaceDN w:val="0"/>
              <w:spacing w:before="40" w:after="40"/>
              <w:rPr>
                <w:rFonts w:eastAsia="Times New Roman"/>
                <w:color w:val="auto"/>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191EE202"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50D11DA6"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 </w:t>
            </w:r>
          </w:p>
        </w:tc>
      </w:tr>
      <w:tr w:rsidR="000151D7" w:rsidRPr="00D83FD5" w14:paraId="052347C3"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BCD8AAD" w14:textId="77777777" w:rsidR="000151D7" w:rsidRPr="00D83FD5" w:rsidRDefault="000151D7" w:rsidP="000151D7">
            <w:pPr>
              <w:widowControl w:val="0"/>
              <w:autoSpaceDE w:val="0"/>
              <w:autoSpaceDN w:val="0"/>
              <w:spacing w:before="40" w:after="40"/>
              <w:rPr>
                <w:rFonts w:eastAsia="Times New Roman"/>
                <w:b/>
                <w:color w:val="auto"/>
                <w:sz w:val="18"/>
                <w:szCs w:val="20"/>
              </w:rPr>
            </w:pPr>
            <w:r w:rsidRPr="00D83FD5">
              <w:rPr>
                <w:rFonts w:eastAsia="Times New Roman"/>
                <w:b/>
                <w:color w:val="auto"/>
                <w:sz w:val="18"/>
                <w:szCs w:val="20"/>
              </w:rPr>
              <w:t>    Myalgia</w:t>
            </w:r>
          </w:p>
        </w:tc>
        <w:tc>
          <w:tcPr>
            <w:tcW w:w="992" w:type="dxa"/>
            <w:tcBorders>
              <w:top w:val="single" w:sz="4" w:space="0" w:color="auto"/>
              <w:left w:val="single" w:sz="4" w:space="0" w:color="auto"/>
              <w:bottom w:val="single" w:sz="4" w:space="0" w:color="auto"/>
              <w:right w:val="single" w:sz="4" w:space="0" w:color="auto"/>
            </w:tcBorders>
          </w:tcPr>
          <w:p w14:paraId="674DC7F1"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402/1768</w:t>
            </w:r>
          </w:p>
        </w:tc>
        <w:tc>
          <w:tcPr>
            <w:tcW w:w="992" w:type="dxa"/>
            <w:tcBorders>
              <w:top w:val="single" w:sz="4" w:space="0" w:color="auto"/>
              <w:left w:val="single" w:sz="4" w:space="0" w:color="auto"/>
              <w:bottom w:val="single" w:sz="4" w:space="0" w:color="auto"/>
              <w:right w:val="single" w:sz="4" w:space="0" w:color="auto"/>
            </w:tcBorders>
          </w:tcPr>
          <w:p w14:paraId="2DFC5DA1"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22.7</w:t>
            </w:r>
          </w:p>
        </w:tc>
        <w:tc>
          <w:tcPr>
            <w:tcW w:w="1240" w:type="dxa"/>
            <w:tcBorders>
              <w:top w:val="single" w:sz="4" w:space="0" w:color="auto"/>
              <w:left w:val="single" w:sz="4" w:space="0" w:color="auto"/>
              <w:bottom w:val="single" w:sz="4" w:space="0" w:color="auto"/>
              <w:right w:val="single" w:sz="4" w:space="0" w:color="auto"/>
            </w:tcBorders>
          </w:tcPr>
          <w:p w14:paraId="45A0A907"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Very 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F814C95"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168/889</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E63BE34"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18.9</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384B512" w14:textId="77777777" w:rsidR="000151D7" w:rsidRPr="00D83FD5" w:rsidRDefault="000151D7" w:rsidP="000151D7">
            <w:pPr>
              <w:widowControl w:val="0"/>
              <w:autoSpaceDE w:val="0"/>
              <w:autoSpaceDN w:val="0"/>
              <w:spacing w:before="40" w:after="40"/>
              <w:rPr>
                <w:rFonts w:eastAsia="Times New Roman"/>
                <w:color w:val="auto"/>
                <w:sz w:val="18"/>
                <w:szCs w:val="20"/>
              </w:rPr>
            </w:pPr>
            <w:r w:rsidRPr="00D83FD5">
              <w:rPr>
                <w:rFonts w:eastAsia="Times New Roman"/>
                <w:color w:val="auto"/>
                <w:sz w:val="18"/>
                <w:szCs w:val="20"/>
              </w:rPr>
              <w:t>Very common</w:t>
            </w:r>
          </w:p>
        </w:tc>
      </w:tr>
    </w:tbl>
    <w:p w14:paraId="07927AC2" w14:textId="77777777" w:rsidR="000151D7" w:rsidRPr="00D83FD5" w:rsidRDefault="000151D7" w:rsidP="000151D7">
      <w:pPr>
        <w:rPr>
          <w:sz w:val="18"/>
          <w:szCs w:val="18"/>
        </w:rPr>
      </w:pPr>
      <w:r w:rsidRPr="00D83FD5">
        <w:rPr>
          <w:sz w:val="18"/>
          <w:szCs w:val="18"/>
        </w:rPr>
        <w:t>n: number of subjects experiencing the endpoint listed in the first column.</w:t>
      </w:r>
    </w:p>
    <w:p w14:paraId="197C188E" w14:textId="77777777" w:rsidR="000151D7" w:rsidRPr="00D83FD5" w:rsidRDefault="000151D7" w:rsidP="000151D7">
      <w:pPr>
        <w:rPr>
          <w:sz w:val="18"/>
          <w:szCs w:val="18"/>
        </w:rPr>
      </w:pPr>
      <w:r w:rsidRPr="00D83FD5">
        <w:rPr>
          <w:sz w:val="18"/>
          <w:szCs w:val="18"/>
        </w:rPr>
        <w:t>M: number of subjects with available data for the relevant endpoint.</w:t>
      </w:r>
    </w:p>
    <w:p w14:paraId="2A3A0547" w14:textId="51C6F327" w:rsidR="000151D7" w:rsidRPr="005971E1" w:rsidRDefault="000151D7" w:rsidP="000151D7">
      <w:pPr>
        <w:jc w:val="both"/>
        <w:rPr>
          <w:color w:val="auto"/>
        </w:rPr>
      </w:pPr>
      <w:r w:rsidRPr="00D83FD5">
        <w:fldChar w:fldCharType="begin"/>
      </w:r>
      <w:r w:rsidRPr="00D83FD5">
        <w:instrText xml:space="preserve"> REF Table_20181023_111644WBYJ \h  \* MERGEFORMAT </w:instrText>
      </w:r>
      <w:r w:rsidRPr="00D83FD5">
        <w:fldChar w:fldCharType="separate"/>
      </w:r>
      <w:r w:rsidRPr="00D83FD5">
        <w:rPr>
          <w:b/>
        </w:rPr>
        <w:t xml:space="preserve">Table </w:t>
      </w:r>
      <w:r w:rsidRPr="00D83FD5">
        <w:rPr>
          <w:b/>
          <w:noProof/>
        </w:rPr>
        <w:t>3</w:t>
      </w:r>
      <w:r w:rsidRPr="00D83FD5">
        <w:fldChar w:fldCharType="end"/>
      </w:r>
      <w:r w:rsidRPr="00D83FD5">
        <w:t xml:space="preserve"> displays unsolicited adverse reactions for </w:t>
      </w:r>
      <w:r w:rsidR="000D1B52" w:rsidRPr="00D83FD5">
        <w:rPr>
          <w:lang w:val="en-AU"/>
        </w:rPr>
        <w:t>Fluzone High-Dose</w:t>
      </w:r>
      <w:r w:rsidR="000D1B52">
        <w:rPr>
          <w:lang w:val="en-AU"/>
        </w:rPr>
        <w:t xml:space="preserve"> </w:t>
      </w:r>
      <w:r w:rsidR="000D1B52" w:rsidRPr="005971E1">
        <w:rPr>
          <w:color w:val="auto"/>
          <w:lang w:val="en-AU"/>
        </w:rPr>
        <w:t>Quadrivalent</w:t>
      </w:r>
      <w:r w:rsidRPr="005971E1">
        <w:rPr>
          <w:color w:val="auto"/>
        </w:rPr>
        <w:t xml:space="preserve"> compared to TIV</w:t>
      </w:r>
      <w:r w:rsidR="00A50F74" w:rsidRPr="005971E1">
        <w:rPr>
          <w:color w:val="auto"/>
        </w:rPr>
        <w:t>-</w:t>
      </w:r>
      <w:r w:rsidRPr="005971E1">
        <w:rPr>
          <w:color w:val="auto"/>
        </w:rPr>
        <w:t>HD reported within 28 days after vaccination.</w:t>
      </w:r>
    </w:p>
    <w:p w14:paraId="0EE9365C" w14:textId="586B05BE" w:rsidR="000151D7" w:rsidRPr="005971E1" w:rsidRDefault="000151D7" w:rsidP="000151D7">
      <w:pPr>
        <w:pStyle w:val="Caption"/>
      </w:pPr>
      <w:bookmarkStart w:id="8" w:name="Table_20181023_111644WBYJ"/>
      <w:bookmarkStart w:id="9" w:name="_Toc514670601"/>
      <w:r w:rsidRPr="005971E1">
        <w:t xml:space="preserve">Table </w:t>
      </w:r>
      <w:r w:rsidRPr="005971E1">
        <w:rPr>
          <w:noProof/>
        </w:rPr>
        <w:fldChar w:fldCharType="begin"/>
      </w:r>
      <w:r w:rsidRPr="005971E1">
        <w:rPr>
          <w:noProof/>
        </w:rPr>
        <w:instrText xml:space="preserve"> SEQ Table \* ARABIC </w:instrText>
      </w:r>
      <w:r w:rsidRPr="005971E1">
        <w:rPr>
          <w:noProof/>
        </w:rPr>
        <w:fldChar w:fldCharType="separate"/>
      </w:r>
      <w:r w:rsidRPr="005971E1">
        <w:rPr>
          <w:noProof/>
        </w:rPr>
        <w:t>3</w:t>
      </w:r>
      <w:r w:rsidRPr="005971E1">
        <w:rPr>
          <w:noProof/>
        </w:rPr>
        <w:fldChar w:fldCharType="end"/>
      </w:r>
      <w:bookmarkEnd w:id="8"/>
      <w:r w:rsidRPr="005971E1">
        <w:t xml:space="preserve">: Frequency of Unsolicited Adverse Reactions Within 28 Days After Vaccination with </w:t>
      </w:r>
      <w:r w:rsidR="000D1B52" w:rsidRPr="005971E1">
        <w:rPr>
          <w:noProof/>
          <w:szCs w:val="16"/>
          <w:lang w:val="en-AU"/>
        </w:rPr>
        <w:t>Fluzone High-Dose Quadrivalent</w:t>
      </w:r>
      <w:r w:rsidR="000D1B52" w:rsidRPr="005971E1">
        <w:rPr>
          <w:lang w:val="en-AU"/>
        </w:rPr>
        <w:t xml:space="preserve"> </w:t>
      </w:r>
      <w:r w:rsidRPr="005971E1">
        <w:t>compared to TIV</w:t>
      </w:r>
      <w:r w:rsidR="00A50F74" w:rsidRPr="005971E1">
        <w:t>-</w:t>
      </w:r>
      <w:r w:rsidRPr="005971E1">
        <w:t>HD, in Adults 65 Years of Age and Older</w:t>
      </w:r>
      <w:r w:rsidR="00F96E40">
        <w:fldChar w:fldCharType="begin"/>
      </w:r>
      <w:r w:rsidR="00F96E40">
        <w:instrText xml:space="preserve"> DOCVARIABLE vault_nd_4d3e968a-316c-454d-ab27-4221a7bae639 \* MERGEFORMAT </w:instrText>
      </w:r>
      <w:r w:rsidR="00F96E40">
        <w:fldChar w:fldCharType="separate"/>
      </w:r>
      <w:r w:rsidRPr="005971E1">
        <w:t xml:space="preserve"> </w:t>
      </w:r>
      <w:r w:rsidR="00F96E40">
        <w:fldChar w:fldCharType="end"/>
      </w:r>
    </w:p>
    <w:tbl>
      <w:tblPr>
        <w:tblW w:w="9639" w:type="dxa"/>
        <w:tblCellMar>
          <w:left w:w="0" w:type="dxa"/>
          <w:right w:w="0" w:type="dxa"/>
        </w:tblCellMar>
        <w:tblLook w:val="0600" w:firstRow="0" w:lastRow="0" w:firstColumn="0" w:lastColumn="0" w:noHBand="1" w:noVBand="1"/>
      </w:tblPr>
      <w:tblGrid>
        <w:gridCol w:w="3301"/>
        <w:gridCol w:w="992"/>
        <w:gridCol w:w="992"/>
        <w:gridCol w:w="1240"/>
        <w:gridCol w:w="972"/>
        <w:gridCol w:w="681"/>
        <w:gridCol w:w="1461"/>
      </w:tblGrid>
      <w:tr w:rsidR="005971E1" w:rsidRPr="005971E1" w14:paraId="1D201B67" w14:textId="77777777" w:rsidTr="000151D7">
        <w:trPr>
          <w:trHeight w:val="556"/>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23D7186D" w14:textId="77777777" w:rsidR="000151D7" w:rsidRPr="005971E1" w:rsidRDefault="000151D7" w:rsidP="000151D7">
            <w:pPr>
              <w:keepNext/>
              <w:spacing w:before="120" w:after="120"/>
              <w:jc w:val="center"/>
              <w:rPr>
                <w:b/>
                <w:color w:val="auto"/>
                <w:sz w:val="18"/>
                <w:szCs w:val="20"/>
              </w:rPr>
            </w:pPr>
            <w:r w:rsidRPr="005971E1">
              <w:rPr>
                <w:b/>
                <w:color w:val="auto"/>
                <w:sz w:val="18"/>
                <w:szCs w:val="20"/>
              </w:rPr>
              <w:t> </w:t>
            </w:r>
          </w:p>
        </w:tc>
        <w:tc>
          <w:tcPr>
            <w:tcW w:w="3224" w:type="dxa"/>
            <w:gridSpan w:val="3"/>
            <w:tcBorders>
              <w:top w:val="single" w:sz="4" w:space="0" w:color="auto"/>
              <w:left w:val="single" w:sz="4" w:space="0" w:color="auto"/>
              <w:bottom w:val="single" w:sz="4" w:space="0" w:color="auto"/>
              <w:right w:val="single" w:sz="4" w:space="0" w:color="auto"/>
            </w:tcBorders>
            <w:vAlign w:val="bottom"/>
          </w:tcPr>
          <w:p w14:paraId="0DD0DF7F" w14:textId="1CC83D6A" w:rsidR="000151D7" w:rsidRPr="005971E1" w:rsidRDefault="000D1B52" w:rsidP="000151D7">
            <w:pPr>
              <w:keepNext/>
              <w:spacing w:before="120" w:after="120"/>
              <w:jc w:val="center"/>
              <w:rPr>
                <w:b/>
                <w:color w:val="auto"/>
                <w:sz w:val="18"/>
                <w:szCs w:val="20"/>
              </w:rPr>
            </w:pPr>
            <w:r w:rsidRPr="005971E1">
              <w:rPr>
                <w:rFonts w:eastAsia="Times New Roman"/>
                <w:b/>
                <w:color w:val="auto"/>
                <w:sz w:val="18"/>
                <w:szCs w:val="20"/>
              </w:rPr>
              <w:t>Fluzone High-dose Quadrivalent</w:t>
            </w:r>
            <w:r w:rsidR="000151D7" w:rsidRPr="005971E1">
              <w:rPr>
                <w:b/>
                <w:color w:val="auto"/>
                <w:sz w:val="18"/>
                <w:szCs w:val="20"/>
              </w:rPr>
              <w:br/>
              <w:t>(N=1777)</w:t>
            </w: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211AD312" w14:textId="26455A55" w:rsidR="000151D7" w:rsidRPr="005971E1" w:rsidRDefault="000151D7" w:rsidP="00A50F74">
            <w:pPr>
              <w:keepNext/>
              <w:spacing w:before="120" w:after="120"/>
              <w:jc w:val="center"/>
              <w:rPr>
                <w:b/>
                <w:color w:val="auto"/>
                <w:sz w:val="18"/>
                <w:szCs w:val="20"/>
              </w:rPr>
            </w:pPr>
            <w:r w:rsidRPr="005971E1">
              <w:rPr>
                <w:b/>
                <w:color w:val="auto"/>
                <w:sz w:val="18"/>
                <w:szCs w:val="20"/>
              </w:rPr>
              <w:t>TIV</w:t>
            </w:r>
            <w:r w:rsidR="00A50F74" w:rsidRPr="005971E1">
              <w:rPr>
                <w:b/>
                <w:color w:val="auto"/>
                <w:sz w:val="18"/>
                <w:szCs w:val="20"/>
              </w:rPr>
              <w:t>-</w:t>
            </w:r>
            <w:r w:rsidRPr="005971E1">
              <w:rPr>
                <w:b/>
                <w:color w:val="auto"/>
                <w:sz w:val="18"/>
                <w:szCs w:val="20"/>
              </w:rPr>
              <w:t>HD</w:t>
            </w:r>
            <w:r w:rsidRPr="005971E1">
              <w:rPr>
                <w:b/>
                <w:color w:val="auto"/>
                <w:sz w:val="18"/>
                <w:szCs w:val="20"/>
              </w:rPr>
              <w:br/>
              <w:t>(N=893)</w:t>
            </w:r>
          </w:p>
        </w:tc>
      </w:tr>
      <w:tr w:rsidR="000151D7" w:rsidRPr="00D83FD5" w14:paraId="5AAAAFC5"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73C80B4B" w14:textId="77777777" w:rsidR="000151D7" w:rsidRPr="00D83FD5" w:rsidRDefault="000151D7" w:rsidP="000151D7">
            <w:pPr>
              <w:spacing w:before="40" w:after="40"/>
              <w:rPr>
                <w:b/>
                <w:sz w:val="18"/>
                <w:szCs w:val="20"/>
              </w:rPr>
            </w:pPr>
            <w:r w:rsidRPr="00D83FD5">
              <w:rPr>
                <w:b/>
                <w:sz w:val="18"/>
                <w:szCs w:val="20"/>
              </w:rPr>
              <w:t>Subjects experiencing at least one:</w:t>
            </w:r>
          </w:p>
        </w:tc>
        <w:tc>
          <w:tcPr>
            <w:tcW w:w="992" w:type="dxa"/>
            <w:tcBorders>
              <w:top w:val="single" w:sz="4" w:space="0" w:color="auto"/>
              <w:left w:val="single" w:sz="4" w:space="0" w:color="auto"/>
              <w:bottom w:val="single" w:sz="4" w:space="0" w:color="auto"/>
              <w:right w:val="single" w:sz="4" w:space="0" w:color="auto"/>
            </w:tcBorders>
            <w:vAlign w:val="bottom"/>
          </w:tcPr>
          <w:p w14:paraId="5C662405" w14:textId="77777777" w:rsidR="000151D7" w:rsidRPr="00D83FD5" w:rsidRDefault="000151D7" w:rsidP="000151D7">
            <w:pPr>
              <w:keepNext/>
              <w:spacing w:before="120" w:after="120"/>
              <w:jc w:val="center"/>
              <w:rPr>
                <w:b/>
                <w:sz w:val="18"/>
                <w:szCs w:val="20"/>
              </w:rPr>
            </w:pPr>
            <w:r w:rsidRPr="00D83FD5">
              <w:rPr>
                <w:b/>
                <w:sz w:val="18"/>
                <w:szCs w:val="20"/>
              </w:rPr>
              <w:t>n</w:t>
            </w:r>
          </w:p>
        </w:tc>
        <w:tc>
          <w:tcPr>
            <w:tcW w:w="992" w:type="dxa"/>
            <w:tcBorders>
              <w:top w:val="single" w:sz="4" w:space="0" w:color="auto"/>
              <w:left w:val="single" w:sz="4" w:space="0" w:color="auto"/>
              <w:bottom w:val="single" w:sz="4" w:space="0" w:color="auto"/>
              <w:right w:val="single" w:sz="4" w:space="0" w:color="auto"/>
            </w:tcBorders>
            <w:vAlign w:val="bottom"/>
          </w:tcPr>
          <w:p w14:paraId="5580C3AF" w14:textId="77777777" w:rsidR="000151D7" w:rsidRPr="00D83FD5" w:rsidRDefault="000151D7" w:rsidP="000151D7">
            <w:pPr>
              <w:keepNext/>
              <w:spacing w:before="120" w:after="120"/>
              <w:jc w:val="center"/>
              <w:rPr>
                <w:b/>
                <w:sz w:val="18"/>
                <w:szCs w:val="20"/>
              </w:rPr>
            </w:pPr>
            <w:r w:rsidRPr="00D83FD5">
              <w:rPr>
                <w:b/>
                <w:sz w:val="18"/>
                <w:szCs w:val="20"/>
              </w:rPr>
              <w:t>%</w:t>
            </w:r>
          </w:p>
        </w:tc>
        <w:tc>
          <w:tcPr>
            <w:tcW w:w="1240" w:type="dxa"/>
            <w:tcBorders>
              <w:top w:val="single" w:sz="4" w:space="0" w:color="auto"/>
              <w:left w:val="single" w:sz="4" w:space="0" w:color="auto"/>
              <w:bottom w:val="single" w:sz="4" w:space="0" w:color="auto"/>
              <w:right w:val="single" w:sz="4" w:space="0" w:color="auto"/>
            </w:tcBorders>
            <w:vAlign w:val="bottom"/>
          </w:tcPr>
          <w:p w14:paraId="47DFF1AE" w14:textId="77777777" w:rsidR="000151D7" w:rsidRPr="00D83FD5" w:rsidRDefault="000151D7" w:rsidP="000151D7">
            <w:pPr>
              <w:keepNext/>
              <w:spacing w:before="120" w:after="120"/>
              <w:jc w:val="center"/>
              <w:rPr>
                <w:b/>
                <w:sz w:val="18"/>
                <w:szCs w:val="20"/>
              </w:rPr>
            </w:pPr>
            <w:r w:rsidRPr="00D83FD5">
              <w:rPr>
                <w:b/>
                <w:sz w:val="18"/>
                <w:szCs w:val="20"/>
              </w:rPr>
              <w:t>Frequency</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754789A2" w14:textId="77777777" w:rsidR="000151D7" w:rsidRPr="00D83FD5" w:rsidRDefault="000151D7" w:rsidP="000151D7">
            <w:pPr>
              <w:keepNext/>
              <w:spacing w:before="120" w:after="120"/>
              <w:jc w:val="center"/>
              <w:rPr>
                <w:b/>
                <w:sz w:val="18"/>
                <w:szCs w:val="20"/>
              </w:rPr>
            </w:pPr>
            <w:r w:rsidRPr="00D83FD5">
              <w:rPr>
                <w:b/>
                <w:sz w:val="18"/>
                <w:szCs w:val="20"/>
              </w:rPr>
              <w:t>n</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5477FB7E" w14:textId="77777777" w:rsidR="000151D7" w:rsidRPr="00D83FD5" w:rsidRDefault="000151D7" w:rsidP="000151D7">
            <w:pPr>
              <w:keepNext/>
              <w:spacing w:before="120" w:after="120"/>
              <w:jc w:val="center"/>
              <w:rPr>
                <w:b/>
                <w:sz w:val="18"/>
                <w:szCs w:val="20"/>
              </w:rPr>
            </w:pPr>
            <w:r w:rsidRPr="00D83FD5">
              <w:rPr>
                <w:b/>
                <w:sz w:val="18"/>
                <w:szCs w:val="20"/>
              </w:rPr>
              <w:t>%</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vAlign w:val="bottom"/>
            <w:hideMark/>
          </w:tcPr>
          <w:p w14:paraId="19F8037E" w14:textId="77777777" w:rsidR="000151D7" w:rsidRPr="00D83FD5" w:rsidRDefault="000151D7" w:rsidP="000151D7">
            <w:pPr>
              <w:keepNext/>
              <w:spacing w:before="120" w:after="120"/>
              <w:jc w:val="center"/>
              <w:rPr>
                <w:b/>
                <w:sz w:val="18"/>
                <w:szCs w:val="20"/>
              </w:rPr>
            </w:pPr>
            <w:r w:rsidRPr="00D83FD5">
              <w:rPr>
                <w:b/>
                <w:sz w:val="18"/>
                <w:szCs w:val="20"/>
              </w:rPr>
              <w:t>Frequency</w:t>
            </w:r>
          </w:p>
        </w:tc>
      </w:tr>
      <w:tr w:rsidR="000151D7" w:rsidRPr="00D83FD5" w14:paraId="1005492D" w14:textId="77777777" w:rsidTr="000151D7">
        <w:trPr>
          <w:trHeight w:val="556"/>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6125FED8" w14:textId="77777777" w:rsidR="000151D7" w:rsidRPr="00D83FD5" w:rsidRDefault="000151D7" w:rsidP="000151D7">
            <w:pPr>
              <w:spacing w:before="40" w:after="40"/>
              <w:rPr>
                <w:b/>
                <w:sz w:val="18"/>
                <w:szCs w:val="20"/>
              </w:rPr>
            </w:pPr>
            <w:r w:rsidRPr="00D83FD5">
              <w:rPr>
                <w:b/>
                <w:sz w:val="18"/>
                <w:szCs w:val="20"/>
              </w:rPr>
              <w:t>General disorders and administration site conditions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9AE7BFD"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5D75262"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3080394B"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4222B4DC" w14:textId="77777777" w:rsidR="000151D7" w:rsidRPr="00D83FD5" w:rsidRDefault="000151D7" w:rsidP="000151D7">
            <w:pPr>
              <w:spacing w:before="40" w:after="40"/>
              <w:rPr>
                <w:sz w:val="18"/>
                <w:szCs w:val="20"/>
              </w:rPr>
            </w:pPr>
            <w:r w:rsidRPr="00D83FD5">
              <w:rPr>
                <w:sz w:val="18"/>
                <w:szCs w:val="20"/>
              </w:rPr>
              <w:t> </w:t>
            </w: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488121C1"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1CF8CE0B" w14:textId="77777777" w:rsidR="000151D7" w:rsidRPr="00D83FD5" w:rsidRDefault="000151D7" w:rsidP="000151D7">
            <w:pPr>
              <w:spacing w:before="40" w:after="40"/>
              <w:rPr>
                <w:sz w:val="18"/>
                <w:szCs w:val="20"/>
              </w:rPr>
            </w:pPr>
            <w:r w:rsidRPr="00D83FD5">
              <w:rPr>
                <w:sz w:val="18"/>
                <w:szCs w:val="20"/>
              </w:rPr>
              <w:t> </w:t>
            </w:r>
          </w:p>
        </w:tc>
      </w:tr>
      <w:tr w:rsidR="000151D7" w:rsidRPr="00D83FD5" w14:paraId="3482FC66"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5D4FA45" w14:textId="77777777" w:rsidR="000151D7" w:rsidRPr="00D83FD5" w:rsidRDefault="000151D7" w:rsidP="000151D7">
            <w:pPr>
              <w:widowControl w:val="0"/>
              <w:numPr>
                <w:ilvl w:val="0"/>
                <w:numId w:val="42"/>
              </w:numPr>
              <w:autoSpaceDE w:val="0"/>
              <w:autoSpaceDN w:val="0"/>
              <w:spacing w:before="40" w:after="40"/>
              <w:rPr>
                <w:b/>
                <w:i/>
                <w:sz w:val="18"/>
                <w:szCs w:val="20"/>
              </w:rPr>
            </w:pPr>
            <w:r w:rsidRPr="00D83FD5">
              <w:rPr>
                <w:b/>
                <w:i/>
                <w:sz w:val="18"/>
                <w:szCs w:val="20"/>
              </w:rPr>
              <w:t>Local reactions</w:t>
            </w:r>
          </w:p>
        </w:tc>
        <w:tc>
          <w:tcPr>
            <w:tcW w:w="992" w:type="dxa"/>
            <w:tcBorders>
              <w:top w:val="single" w:sz="4" w:space="0" w:color="auto"/>
              <w:left w:val="single" w:sz="4" w:space="0" w:color="auto"/>
              <w:bottom w:val="single" w:sz="4" w:space="0" w:color="auto"/>
              <w:right w:val="single" w:sz="4" w:space="0" w:color="auto"/>
            </w:tcBorders>
          </w:tcPr>
          <w:p w14:paraId="46920860"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tcPr>
          <w:p w14:paraId="6B582683"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tcPr>
          <w:p w14:paraId="2FCA4F0D"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F476914" w14:textId="77777777" w:rsidR="000151D7" w:rsidRPr="00D83FD5" w:rsidRDefault="000151D7" w:rsidP="000151D7">
            <w:pPr>
              <w:spacing w:before="40" w:after="40"/>
              <w:rPr>
                <w:sz w:val="18"/>
                <w:szCs w:val="20"/>
              </w:rPr>
            </w:pPr>
            <w:r w:rsidRPr="00D83FD5">
              <w:rPr>
                <w:sz w:val="18"/>
                <w:szCs w:val="20"/>
              </w:rPr>
              <w:t> </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1972FC8"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010EDE3" w14:textId="77777777" w:rsidR="000151D7" w:rsidRPr="00D83FD5" w:rsidRDefault="000151D7" w:rsidP="000151D7">
            <w:pPr>
              <w:spacing w:before="40" w:after="40"/>
              <w:rPr>
                <w:sz w:val="18"/>
                <w:szCs w:val="20"/>
              </w:rPr>
            </w:pPr>
            <w:r w:rsidRPr="00D83FD5">
              <w:rPr>
                <w:sz w:val="18"/>
                <w:szCs w:val="20"/>
              </w:rPr>
              <w:t> </w:t>
            </w:r>
          </w:p>
        </w:tc>
      </w:tr>
      <w:tr w:rsidR="000151D7" w:rsidRPr="00D83FD5" w14:paraId="59DD26BB"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019B437" w14:textId="77777777" w:rsidR="000151D7" w:rsidRPr="00D83FD5" w:rsidRDefault="000151D7" w:rsidP="000151D7">
            <w:pPr>
              <w:spacing w:before="40" w:after="40"/>
              <w:rPr>
                <w:b/>
                <w:sz w:val="18"/>
                <w:szCs w:val="20"/>
              </w:rPr>
            </w:pPr>
            <w:r w:rsidRPr="00D83FD5">
              <w:rPr>
                <w:b/>
                <w:sz w:val="18"/>
                <w:szCs w:val="20"/>
              </w:rPr>
              <w:t>    Injection Site Pruritus</w:t>
            </w:r>
          </w:p>
        </w:tc>
        <w:tc>
          <w:tcPr>
            <w:tcW w:w="992" w:type="dxa"/>
            <w:tcBorders>
              <w:top w:val="single" w:sz="4" w:space="0" w:color="auto"/>
              <w:left w:val="single" w:sz="4" w:space="0" w:color="auto"/>
              <w:bottom w:val="single" w:sz="4" w:space="0" w:color="auto"/>
              <w:right w:val="single" w:sz="4" w:space="0" w:color="auto"/>
            </w:tcBorders>
          </w:tcPr>
          <w:p w14:paraId="15236FAF" w14:textId="77777777" w:rsidR="000151D7" w:rsidRPr="00D83FD5" w:rsidRDefault="000151D7" w:rsidP="000151D7">
            <w:pPr>
              <w:spacing w:before="40" w:after="40"/>
              <w:rPr>
                <w:sz w:val="18"/>
                <w:szCs w:val="20"/>
              </w:rPr>
            </w:pPr>
            <w:r w:rsidRPr="00D83FD5">
              <w:rPr>
                <w:sz w:val="18"/>
                <w:szCs w:val="20"/>
              </w:rPr>
              <w:t>8</w:t>
            </w:r>
          </w:p>
        </w:tc>
        <w:tc>
          <w:tcPr>
            <w:tcW w:w="992" w:type="dxa"/>
            <w:tcBorders>
              <w:top w:val="single" w:sz="4" w:space="0" w:color="auto"/>
              <w:left w:val="single" w:sz="4" w:space="0" w:color="auto"/>
              <w:bottom w:val="single" w:sz="4" w:space="0" w:color="auto"/>
              <w:right w:val="single" w:sz="4" w:space="0" w:color="auto"/>
            </w:tcBorders>
          </w:tcPr>
          <w:p w14:paraId="0B804DEA" w14:textId="77777777" w:rsidR="000151D7" w:rsidRPr="00D83FD5" w:rsidRDefault="000151D7" w:rsidP="000151D7">
            <w:pPr>
              <w:spacing w:before="40" w:after="40"/>
              <w:rPr>
                <w:sz w:val="18"/>
                <w:szCs w:val="20"/>
              </w:rPr>
            </w:pPr>
            <w:r w:rsidRPr="00D83FD5">
              <w:rPr>
                <w:sz w:val="18"/>
                <w:szCs w:val="20"/>
              </w:rPr>
              <w:t>0.5</w:t>
            </w:r>
          </w:p>
        </w:tc>
        <w:tc>
          <w:tcPr>
            <w:tcW w:w="1240" w:type="dxa"/>
            <w:tcBorders>
              <w:top w:val="single" w:sz="4" w:space="0" w:color="auto"/>
              <w:left w:val="single" w:sz="4" w:space="0" w:color="auto"/>
              <w:bottom w:val="single" w:sz="4" w:space="0" w:color="auto"/>
              <w:right w:val="single" w:sz="4" w:space="0" w:color="auto"/>
            </w:tcBorders>
          </w:tcPr>
          <w:p w14:paraId="5439CC78" w14:textId="77777777" w:rsidR="000151D7" w:rsidRPr="00D83FD5" w:rsidRDefault="000151D7" w:rsidP="000151D7">
            <w:pPr>
              <w:spacing w:before="40" w:after="40"/>
              <w:rPr>
                <w:sz w:val="18"/>
                <w:szCs w:val="20"/>
              </w:rPr>
            </w:pPr>
            <w:r w:rsidRPr="00D83FD5">
              <w:rPr>
                <w:sz w:val="18"/>
                <w:szCs w:val="20"/>
              </w:rPr>
              <w:t>Uncommon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4865F5DA"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A95995F"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8297794"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284C630F"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1423B618" w14:textId="77777777" w:rsidR="000151D7" w:rsidRPr="00D83FD5" w:rsidRDefault="000151D7" w:rsidP="000151D7">
            <w:pPr>
              <w:widowControl w:val="0"/>
              <w:numPr>
                <w:ilvl w:val="0"/>
                <w:numId w:val="42"/>
              </w:numPr>
              <w:autoSpaceDE w:val="0"/>
              <w:autoSpaceDN w:val="0"/>
              <w:spacing w:before="40" w:after="40"/>
              <w:rPr>
                <w:b/>
                <w:sz w:val="18"/>
                <w:szCs w:val="20"/>
              </w:rPr>
            </w:pPr>
            <w:r w:rsidRPr="00D83FD5">
              <w:rPr>
                <w:b/>
                <w:i/>
                <w:sz w:val="18"/>
                <w:szCs w:val="20"/>
              </w:rPr>
              <w:t>Systemic reactions</w:t>
            </w:r>
          </w:p>
        </w:tc>
        <w:tc>
          <w:tcPr>
            <w:tcW w:w="992" w:type="dxa"/>
            <w:tcBorders>
              <w:top w:val="single" w:sz="4" w:space="0" w:color="auto"/>
              <w:left w:val="single" w:sz="4" w:space="0" w:color="auto"/>
              <w:bottom w:val="single" w:sz="4" w:space="0" w:color="auto"/>
              <w:right w:val="single" w:sz="4" w:space="0" w:color="auto"/>
            </w:tcBorders>
          </w:tcPr>
          <w:p w14:paraId="390D683F"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tcPr>
          <w:p w14:paraId="52651533"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tcPr>
          <w:p w14:paraId="0AEB16FA"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7DD394D"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CEC3FEC"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E5D31CE" w14:textId="77777777" w:rsidR="000151D7" w:rsidRPr="00D83FD5" w:rsidRDefault="000151D7" w:rsidP="000151D7">
            <w:pPr>
              <w:spacing w:before="40" w:after="40"/>
              <w:rPr>
                <w:sz w:val="18"/>
                <w:szCs w:val="20"/>
              </w:rPr>
            </w:pPr>
            <w:r w:rsidRPr="00D83FD5">
              <w:rPr>
                <w:sz w:val="18"/>
                <w:szCs w:val="20"/>
              </w:rPr>
              <w:t> </w:t>
            </w:r>
          </w:p>
        </w:tc>
      </w:tr>
      <w:tr w:rsidR="000151D7" w:rsidRPr="00D83FD5" w14:paraId="4B75F793"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15810B45" w14:textId="77777777" w:rsidR="000151D7" w:rsidRPr="00D83FD5" w:rsidRDefault="000151D7" w:rsidP="000151D7">
            <w:pPr>
              <w:spacing w:before="40" w:after="40"/>
              <w:ind w:left="142"/>
              <w:rPr>
                <w:b/>
                <w:sz w:val="18"/>
                <w:szCs w:val="20"/>
              </w:rPr>
            </w:pPr>
            <w:r w:rsidRPr="00D83FD5">
              <w:rPr>
                <w:b/>
                <w:sz w:val="18"/>
                <w:szCs w:val="20"/>
              </w:rPr>
              <w:t>Fatigue</w:t>
            </w:r>
          </w:p>
        </w:tc>
        <w:tc>
          <w:tcPr>
            <w:tcW w:w="992" w:type="dxa"/>
            <w:tcBorders>
              <w:top w:val="single" w:sz="4" w:space="0" w:color="auto"/>
              <w:left w:val="single" w:sz="4" w:space="0" w:color="auto"/>
              <w:bottom w:val="single" w:sz="4" w:space="0" w:color="auto"/>
              <w:right w:val="single" w:sz="4" w:space="0" w:color="auto"/>
            </w:tcBorders>
          </w:tcPr>
          <w:p w14:paraId="129A2139"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3DF9424D"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1E715F76"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E680363"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756DEC7" w14:textId="77777777" w:rsidR="000151D7" w:rsidRPr="00D83FD5" w:rsidRDefault="000151D7" w:rsidP="000151D7">
            <w:pPr>
              <w:spacing w:before="40" w:after="40"/>
              <w:rPr>
                <w:sz w:val="18"/>
                <w:szCs w:val="20"/>
              </w:rPr>
            </w:pPr>
            <w:r w:rsidRPr="00D83FD5">
              <w:rPr>
                <w:sz w:val="18"/>
                <w:szCs w:val="20"/>
              </w:rPr>
              <w:t>&lt;0.1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5AAD7532" w14:textId="77777777" w:rsidR="000151D7" w:rsidRPr="00D83FD5" w:rsidRDefault="000151D7" w:rsidP="000151D7">
            <w:pPr>
              <w:spacing w:before="40" w:after="40"/>
              <w:rPr>
                <w:sz w:val="18"/>
                <w:szCs w:val="20"/>
              </w:rPr>
            </w:pPr>
            <w:r w:rsidRPr="00D83FD5">
              <w:rPr>
                <w:sz w:val="18"/>
                <w:szCs w:val="20"/>
              </w:rPr>
              <w:t>Rare</w:t>
            </w:r>
          </w:p>
        </w:tc>
      </w:tr>
      <w:tr w:rsidR="000151D7" w:rsidRPr="00D83FD5" w14:paraId="13352780"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07A79846" w14:textId="77777777" w:rsidR="000151D7" w:rsidRPr="00D83FD5" w:rsidRDefault="000151D7" w:rsidP="000151D7">
            <w:pPr>
              <w:spacing w:before="40" w:after="40"/>
              <w:ind w:left="142"/>
              <w:rPr>
                <w:b/>
                <w:sz w:val="18"/>
                <w:szCs w:val="20"/>
              </w:rPr>
            </w:pPr>
            <w:r w:rsidRPr="00D83FD5">
              <w:rPr>
                <w:b/>
                <w:sz w:val="18"/>
                <w:szCs w:val="20"/>
              </w:rPr>
              <w:t>Asthenia</w:t>
            </w:r>
          </w:p>
        </w:tc>
        <w:tc>
          <w:tcPr>
            <w:tcW w:w="992" w:type="dxa"/>
            <w:tcBorders>
              <w:top w:val="single" w:sz="4" w:space="0" w:color="auto"/>
              <w:left w:val="single" w:sz="4" w:space="0" w:color="auto"/>
              <w:bottom w:val="single" w:sz="4" w:space="0" w:color="auto"/>
              <w:right w:val="single" w:sz="4" w:space="0" w:color="auto"/>
            </w:tcBorders>
          </w:tcPr>
          <w:p w14:paraId="43896F0D" w14:textId="77777777" w:rsidR="000151D7" w:rsidRPr="00D83FD5" w:rsidRDefault="000151D7" w:rsidP="000151D7">
            <w:pPr>
              <w:spacing w:before="40" w:after="40"/>
              <w:rPr>
                <w:sz w:val="18"/>
                <w:szCs w:val="20"/>
              </w:rPr>
            </w:pPr>
            <w:r w:rsidRPr="00D83FD5">
              <w:rPr>
                <w:sz w:val="18"/>
                <w:szCs w:val="20"/>
              </w:rPr>
              <w:t>0</w:t>
            </w:r>
          </w:p>
        </w:tc>
        <w:tc>
          <w:tcPr>
            <w:tcW w:w="992" w:type="dxa"/>
            <w:tcBorders>
              <w:top w:val="single" w:sz="4" w:space="0" w:color="auto"/>
              <w:left w:val="single" w:sz="4" w:space="0" w:color="auto"/>
              <w:bottom w:val="single" w:sz="4" w:space="0" w:color="auto"/>
              <w:right w:val="single" w:sz="4" w:space="0" w:color="auto"/>
            </w:tcBorders>
          </w:tcPr>
          <w:p w14:paraId="0A76135A" w14:textId="77777777" w:rsidR="000151D7" w:rsidRPr="00D83FD5" w:rsidRDefault="000151D7" w:rsidP="000151D7">
            <w:pPr>
              <w:spacing w:before="40" w:after="40"/>
              <w:rPr>
                <w:sz w:val="18"/>
                <w:szCs w:val="20"/>
              </w:rPr>
            </w:pPr>
            <w:r w:rsidRPr="00D83FD5">
              <w:rPr>
                <w:sz w:val="18"/>
                <w:szCs w:val="20"/>
              </w:rPr>
              <w:t>0.0</w:t>
            </w:r>
          </w:p>
        </w:tc>
        <w:tc>
          <w:tcPr>
            <w:tcW w:w="1240" w:type="dxa"/>
            <w:tcBorders>
              <w:top w:val="single" w:sz="4" w:space="0" w:color="auto"/>
              <w:left w:val="single" w:sz="4" w:space="0" w:color="auto"/>
              <w:bottom w:val="single" w:sz="4" w:space="0" w:color="auto"/>
              <w:right w:val="single" w:sz="4" w:space="0" w:color="auto"/>
            </w:tcBorders>
          </w:tcPr>
          <w:p w14:paraId="6ED11E10" w14:textId="77777777" w:rsidR="000151D7" w:rsidRPr="00D83FD5" w:rsidRDefault="000151D7" w:rsidP="000151D7">
            <w:pPr>
              <w:spacing w:before="40" w:after="40"/>
              <w:rPr>
                <w:sz w:val="18"/>
                <w:szCs w:val="20"/>
              </w:rPr>
            </w:pPr>
            <w:r w:rsidRPr="00D83FD5">
              <w:rPr>
                <w:sz w:val="18"/>
                <w:szCs w:val="20"/>
              </w:rPr>
              <w:t>-</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77B38C2"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D3D4882"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313A1DB"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6610B9E7"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79392446" w14:textId="77777777" w:rsidR="000151D7" w:rsidRPr="00D83FD5" w:rsidRDefault="000151D7" w:rsidP="000151D7">
            <w:pPr>
              <w:spacing w:before="40" w:after="40"/>
              <w:rPr>
                <w:b/>
                <w:sz w:val="18"/>
                <w:szCs w:val="20"/>
              </w:rPr>
            </w:pPr>
            <w:r w:rsidRPr="00D83FD5">
              <w:rPr>
                <w:b/>
                <w:sz w:val="18"/>
                <w:szCs w:val="20"/>
              </w:rPr>
              <w:lastRenderedPageBreak/>
              <w:t>Gastrointestinal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0319C46"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A44F33C"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32341B6A"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140C8A73"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4028288E"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5FA8B410" w14:textId="77777777" w:rsidR="000151D7" w:rsidRPr="00D83FD5" w:rsidRDefault="000151D7" w:rsidP="000151D7">
            <w:pPr>
              <w:spacing w:before="40" w:after="40"/>
              <w:rPr>
                <w:sz w:val="18"/>
                <w:szCs w:val="20"/>
              </w:rPr>
            </w:pPr>
            <w:r w:rsidRPr="00D83FD5">
              <w:rPr>
                <w:sz w:val="18"/>
                <w:szCs w:val="20"/>
              </w:rPr>
              <w:t> </w:t>
            </w:r>
          </w:p>
        </w:tc>
      </w:tr>
      <w:tr w:rsidR="000151D7" w:rsidRPr="00D83FD5" w14:paraId="0A6C3269"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AB8C8EF" w14:textId="77777777" w:rsidR="000151D7" w:rsidRPr="00D83FD5" w:rsidRDefault="000151D7" w:rsidP="000151D7">
            <w:pPr>
              <w:spacing w:before="40" w:after="40"/>
              <w:rPr>
                <w:b/>
                <w:sz w:val="18"/>
                <w:szCs w:val="20"/>
              </w:rPr>
            </w:pPr>
            <w:r w:rsidRPr="00D83FD5">
              <w:rPr>
                <w:b/>
                <w:sz w:val="18"/>
                <w:szCs w:val="20"/>
              </w:rPr>
              <w:t>    Diarrhea</w:t>
            </w:r>
          </w:p>
        </w:tc>
        <w:tc>
          <w:tcPr>
            <w:tcW w:w="992" w:type="dxa"/>
            <w:tcBorders>
              <w:top w:val="single" w:sz="4" w:space="0" w:color="auto"/>
              <w:left w:val="single" w:sz="4" w:space="0" w:color="auto"/>
              <w:bottom w:val="single" w:sz="4" w:space="0" w:color="auto"/>
              <w:right w:val="single" w:sz="4" w:space="0" w:color="auto"/>
            </w:tcBorders>
          </w:tcPr>
          <w:p w14:paraId="0E012F86" w14:textId="77777777" w:rsidR="000151D7" w:rsidRPr="00D83FD5" w:rsidRDefault="000151D7" w:rsidP="000151D7">
            <w:pPr>
              <w:spacing w:before="40" w:after="40"/>
              <w:rPr>
                <w:sz w:val="18"/>
                <w:szCs w:val="20"/>
              </w:rPr>
            </w:pPr>
            <w:r w:rsidRPr="00D83FD5">
              <w:rPr>
                <w:sz w:val="18"/>
                <w:szCs w:val="20"/>
              </w:rPr>
              <w:t>2</w:t>
            </w:r>
          </w:p>
        </w:tc>
        <w:tc>
          <w:tcPr>
            <w:tcW w:w="992" w:type="dxa"/>
            <w:tcBorders>
              <w:top w:val="single" w:sz="4" w:space="0" w:color="auto"/>
              <w:left w:val="single" w:sz="4" w:space="0" w:color="auto"/>
              <w:bottom w:val="single" w:sz="4" w:space="0" w:color="auto"/>
              <w:right w:val="single" w:sz="4" w:space="0" w:color="auto"/>
            </w:tcBorders>
          </w:tcPr>
          <w:p w14:paraId="5E88F215" w14:textId="77777777" w:rsidR="000151D7" w:rsidRPr="00D83FD5" w:rsidRDefault="000151D7" w:rsidP="000151D7">
            <w:pPr>
              <w:spacing w:before="40" w:after="40"/>
              <w:rPr>
                <w:sz w:val="18"/>
                <w:szCs w:val="20"/>
              </w:rPr>
            </w:pPr>
            <w:r w:rsidRPr="00D83FD5">
              <w:rPr>
                <w:sz w:val="18"/>
                <w:szCs w:val="20"/>
              </w:rPr>
              <w:t>0.1</w:t>
            </w:r>
          </w:p>
        </w:tc>
        <w:tc>
          <w:tcPr>
            <w:tcW w:w="1240" w:type="dxa"/>
            <w:tcBorders>
              <w:top w:val="single" w:sz="4" w:space="0" w:color="auto"/>
              <w:left w:val="single" w:sz="4" w:space="0" w:color="auto"/>
              <w:bottom w:val="single" w:sz="4" w:space="0" w:color="auto"/>
              <w:right w:val="single" w:sz="4" w:space="0" w:color="auto"/>
            </w:tcBorders>
          </w:tcPr>
          <w:p w14:paraId="46BBF7A1" w14:textId="77777777" w:rsidR="000151D7" w:rsidRPr="00D83FD5" w:rsidRDefault="000151D7" w:rsidP="000151D7">
            <w:pPr>
              <w:spacing w:before="40" w:after="40"/>
              <w:rPr>
                <w:sz w:val="18"/>
                <w:szCs w:val="20"/>
              </w:rPr>
            </w:pPr>
            <w:r w:rsidRPr="00D83FD5">
              <w:rPr>
                <w:sz w:val="18"/>
                <w:szCs w:val="20"/>
              </w:rPr>
              <w:t>Uncommon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417B9D3" w14:textId="77777777" w:rsidR="000151D7" w:rsidRPr="00D83FD5" w:rsidRDefault="000151D7" w:rsidP="000151D7">
            <w:pPr>
              <w:spacing w:before="40" w:after="40"/>
              <w:rPr>
                <w:sz w:val="18"/>
                <w:szCs w:val="20"/>
              </w:rPr>
            </w:pPr>
            <w:r w:rsidRPr="00D83FD5">
              <w:rPr>
                <w:sz w:val="18"/>
                <w:szCs w:val="20"/>
              </w:rPr>
              <w:t>2</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D40A16E" w14:textId="77777777" w:rsidR="000151D7" w:rsidRPr="00D83FD5" w:rsidRDefault="000151D7" w:rsidP="000151D7">
            <w:pPr>
              <w:spacing w:before="40" w:after="40"/>
              <w:rPr>
                <w:sz w:val="18"/>
                <w:szCs w:val="20"/>
              </w:rPr>
            </w:pPr>
            <w:r w:rsidRPr="00D83FD5">
              <w:rPr>
                <w:sz w:val="18"/>
                <w:szCs w:val="20"/>
              </w:rPr>
              <w:t>0.2</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37DC145"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6D9E75A4"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3D69E6A" w14:textId="77777777" w:rsidR="000151D7" w:rsidRPr="00D83FD5" w:rsidRDefault="000151D7" w:rsidP="000151D7">
            <w:pPr>
              <w:spacing w:before="40" w:after="40"/>
              <w:rPr>
                <w:b/>
                <w:sz w:val="18"/>
                <w:szCs w:val="20"/>
              </w:rPr>
            </w:pPr>
            <w:r w:rsidRPr="00D83FD5">
              <w:rPr>
                <w:b/>
                <w:sz w:val="18"/>
                <w:szCs w:val="20"/>
              </w:rPr>
              <w:t>    Nausea</w:t>
            </w:r>
          </w:p>
        </w:tc>
        <w:tc>
          <w:tcPr>
            <w:tcW w:w="992" w:type="dxa"/>
            <w:tcBorders>
              <w:top w:val="single" w:sz="4" w:space="0" w:color="auto"/>
              <w:left w:val="single" w:sz="4" w:space="0" w:color="auto"/>
              <w:bottom w:val="single" w:sz="4" w:space="0" w:color="auto"/>
              <w:right w:val="single" w:sz="4" w:space="0" w:color="auto"/>
            </w:tcBorders>
          </w:tcPr>
          <w:p w14:paraId="0B883229" w14:textId="77777777" w:rsidR="000151D7" w:rsidRPr="00D83FD5" w:rsidRDefault="000151D7" w:rsidP="000151D7">
            <w:pPr>
              <w:spacing w:before="40" w:after="40"/>
              <w:rPr>
                <w:sz w:val="18"/>
                <w:szCs w:val="20"/>
              </w:rPr>
            </w:pPr>
            <w:r w:rsidRPr="00D83FD5">
              <w:rPr>
                <w:sz w:val="18"/>
                <w:szCs w:val="20"/>
              </w:rPr>
              <w:t>2</w:t>
            </w:r>
          </w:p>
        </w:tc>
        <w:tc>
          <w:tcPr>
            <w:tcW w:w="992" w:type="dxa"/>
            <w:tcBorders>
              <w:top w:val="single" w:sz="4" w:space="0" w:color="auto"/>
              <w:left w:val="single" w:sz="4" w:space="0" w:color="auto"/>
              <w:bottom w:val="single" w:sz="4" w:space="0" w:color="auto"/>
              <w:right w:val="single" w:sz="4" w:space="0" w:color="auto"/>
            </w:tcBorders>
          </w:tcPr>
          <w:p w14:paraId="02F906DF" w14:textId="77777777" w:rsidR="000151D7" w:rsidRPr="00D83FD5" w:rsidRDefault="000151D7" w:rsidP="000151D7">
            <w:pPr>
              <w:spacing w:before="40" w:after="40"/>
              <w:rPr>
                <w:sz w:val="18"/>
                <w:szCs w:val="20"/>
              </w:rPr>
            </w:pPr>
            <w:r w:rsidRPr="00D83FD5">
              <w:rPr>
                <w:sz w:val="18"/>
                <w:szCs w:val="20"/>
              </w:rPr>
              <w:t>0.1</w:t>
            </w:r>
          </w:p>
        </w:tc>
        <w:tc>
          <w:tcPr>
            <w:tcW w:w="1240" w:type="dxa"/>
            <w:tcBorders>
              <w:top w:val="single" w:sz="4" w:space="0" w:color="auto"/>
              <w:left w:val="single" w:sz="4" w:space="0" w:color="auto"/>
              <w:bottom w:val="single" w:sz="4" w:space="0" w:color="auto"/>
              <w:right w:val="single" w:sz="4" w:space="0" w:color="auto"/>
            </w:tcBorders>
          </w:tcPr>
          <w:p w14:paraId="2689406D" w14:textId="77777777" w:rsidR="000151D7" w:rsidRPr="00D83FD5" w:rsidRDefault="000151D7" w:rsidP="000151D7">
            <w:pPr>
              <w:spacing w:before="40" w:after="40"/>
              <w:rPr>
                <w:sz w:val="18"/>
                <w:szCs w:val="20"/>
              </w:rPr>
            </w:pPr>
            <w:r w:rsidRPr="00D83FD5">
              <w:rPr>
                <w:sz w:val="18"/>
                <w:szCs w:val="20"/>
              </w:rPr>
              <w:t>Uncommon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7A795DE7" w14:textId="77777777" w:rsidR="000151D7" w:rsidRPr="00D83FD5" w:rsidRDefault="000151D7" w:rsidP="000151D7">
            <w:pPr>
              <w:spacing w:before="40" w:after="40"/>
              <w:rPr>
                <w:sz w:val="18"/>
                <w:szCs w:val="20"/>
              </w:rPr>
            </w:pPr>
            <w:r w:rsidRPr="00D83FD5">
              <w:rPr>
                <w:sz w:val="18"/>
                <w:szCs w:val="20"/>
              </w:rPr>
              <w:t>3</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1D1462A1" w14:textId="77777777" w:rsidR="000151D7" w:rsidRPr="00D83FD5" w:rsidRDefault="000151D7" w:rsidP="000151D7">
            <w:pPr>
              <w:spacing w:before="40" w:after="40"/>
              <w:rPr>
                <w:sz w:val="18"/>
                <w:szCs w:val="20"/>
              </w:rPr>
            </w:pPr>
            <w:r w:rsidRPr="00D83FD5">
              <w:rPr>
                <w:sz w:val="18"/>
                <w:szCs w:val="20"/>
              </w:rPr>
              <w:t>0.3</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21869C5"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4299F6B8"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31414ED" w14:textId="77777777" w:rsidR="000151D7" w:rsidRPr="00D83FD5" w:rsidRDefault="000151D7" w:rsidP="000151D7">
            <w:pPr>
              <w:spacing w:before="40" w:after="40"/>
              <w:rPr>
                <w:b/>
                <w:sz w:val="18"/>
                <w:szCs w:val="20"/>
              </w:rPr>
            </w:pPr>
            <w:r w:rsidRPr="00D83FD5">
              <w:rPr>
                <w:b/>
                <w:sz w:val="18"/>
                <w:szCs w:val="20"/>
              </w:rPr>
              <w:t>    Vomiting</w:t>
            </w:r>
          </w:p>
        </w:tc>
        <w:tc>
          <w:tcPr>
            <w:tcW w:w="992" w:type="dxa"/>
            <w:tcBorders>
              <w:top w:val="single" w:sz="4" w:space="0" w:color="auto"/>
              <w:left w:val="single" w:sz="4" w:space="0" w:color="auto"/>
              <w:bottom w:val="single" w:sz="4" w:space="0" w:color="auto"/>
              <w:right w:val="single" w:sz="4" w:space="0" w:color="auto"/>
            </w:tcBorders>
          </w:tcPr>
          <w:p w14:paraId="6473CE24"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49B839A2"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3B87CDAD"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3EA26CF" w14:textId="77777777" w:rsidR="000151D7" w:rsidRPr="00D83FD5" w:rsidRDefault="000151D7" w:rsidP="000151D7">
            <w:pPr>
              <w:spacing w:before="40" w:after="40"/>
              <w:rPr>
                <w:sz w:val="18"/>
                <w:szCs w:val="20"/>
              </w:rPr>
            </w:pPr>
            <w:r w:rsidRPr="00D83FD5">
              <w:rPr>
                <w:sz w:val="18"/>
                <w:szCs w:val="20"/>
              </w:rPr>
              <w:t>0</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8DFBF8C" w14:textId="77777777" w:rsidR="000151D7" w:rsidRPr="00D83FD5" w:rsidRDefault="000151D7" w:rsidP="000151D7">
            <w:pPr>
              <w:spacing w:before="40" w:after="40"/>
              <w:rPr>
                <w:sz w:val="18"/>
                <w:szCs w:val="20"/>
              </w:rPr>
            </w:pPr>
            <w:r w:rsidRPr="00D83FD5">
              <w:rPr>
                <w:sz w:val="18"/>
                <w:szCs w:val="20"/>
              </w:rPr>
              <w:t>0.0</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AC42A5D" w14:textId="77777777" w:rsidR="000151D7" w:rsidRPr="00D83FD5" w:rsidRDefault="000151D7" w:rsidP="000151D7">
            <w:pPr>
              <w:spacing w:before="40" w:after="40"/>
              <w:rPr>
                <w:sz w:val="18"/>
                <w:szCs w:val="20"/>
              </w:rPr>
            </w:pPr>
            <w:r w:rsidRPr="00D83FD5">
              <w:rPr>
                <w:sz w:val="18"/>
                <w:szCs w:val="20"/>
              </w:rPr>
              <w:t>-</w:t>
            </w:r>
          </w:p>
        </w:tc>
      </w:tr>
      <w:tr w:rsidR="000151D7" w:rsidRPr="00D83FD5" w14:paraId="3209CA07"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79ACEE1" w14:textId="77777777" w:rsidR="000151D7" w:rsidRPr="00D83FD5" w:rsidRDefault="000151D7" w:rsidP="000151D7">
            <w:pPr>
              <w:spacing w:before="40" w:after="40"/>
              <w:ind w:left="142"/>
              <w:rPr>
                <w:b/>
                <w:sz w:val="18"/>
                <w:szCs w:val="20"/>
              </w:rPr>
            </w:pPr>
            <w:r w:rsidRPr="00D83FD5">
              <w:rPr>
                <w:b/>
                <w:sz w:val="18"/>
                <w:szCs w:val="20"/>
              </w:rPr>
              <w:t>Dyspepsia</w:t>
            </w:r>
          </w:p>
        </w:tc>
        <w:tc>
          <w:tcPr>
            <w:tcW w:w="992" w:type="dxa"/>
            <w:tcBorders>
              <w:top w:val="single" w:sz="4" w:space="0" w:color="auto"/>
              <w:left w:val="single" w:sz="4" w:space="0" w:color="auto"/>
              <w:bottom w:val="single" w:sz="4" w:space="0" w:color="auto"/>
              <w:right w:val="single" w:sz="4" w:space="0" w:color="auto"/>
            </w:tcBorders>
          </w:tcPr>
          <w:p w14:paraId="78FF6600" w14:textId="77777777" w:rsidR="000151D7" w:rsidRPr="00D83FD5" w:rsidRDefault="000151D7" w:rsidP="000151D7">
            <w:pPr>
              <w:spacing w:before="40" w:after="40"/>
              <w:rPr>
                <w:sz w:val="18"/>
                <w:szCs w:val="20"/>
              </w:rPr>
            </w:pPr>
            <w:r w:rsidRPr="00D83FD5">
              <w:rPr>
                <w:sz w:val="18"/>
                <w:szCs w:val="20"/>
              </w:rPr>
              <w:t>0</w:t>
            </w:r>
          </w:p>
        </w:tc>
        <w:tc>
          <w:tcPr>
            <w:tcW w:w="992" w:type="dxa"/>
            <w:tcBorders>
              <w:top w:val="single" w:sz="4" w:space="0" w:color="auto"/>
              <w:left w:val="single" w:sz="4" w:space="0" w:color="auto"/>
              <w:bottom w:val="single" w:sz="4" w:space="0" w:color="auto"/>
              <w:right w:val="single" w:sz="4" w:space="0" w:color="auto"/>
            </w:tcBorders>
          </w:tcPr>
          <w:p w14:paraId="78F90D26" w14:textId="77777777" w:rsidR="000151D7" w:rsidRPr="00D83FD5" w:rsidRDefault="000151D7" w:rsidP="000151D7">
            <w:pPr>
              <w:spacing w:before="40" w:after="40"/>
              <w:rPr>
                <w:sz w:val="18"/>
                <w:szCs w:val="20"/>
              </w:rPr>
            </w:pPr>
            <w:r w:rsidRPr="00D83FD5">
              <w:rPr>
                <w:sz w:val="18"/>
                <w:szCs w:val="20"/>
              </w:rPr>
              <w:t>0.0</w:t>
            </w:r>
          </w:p>
        </w:tc>
        <w:tc>
          <w:tcPr>
            <w:tcW w:w="1240" w:type="dxa"/>
            <w:tcBorders>
              <w:top w:val="single" w:sz="4" w:space="0" w:color="auto"/>
              <w:left w:val="single" w:sz="4" w:space="0" w:color="auto"/>
              <w:bottom w:val="single" w:sz="4" w:space="0" w:color="auto"/>
              <w:right w:val="single" w:sz="4" w:space="0" w:color="auto"/>
            </w:tcBorders>
          </w:tcPr>
          <w:p w14:paraId="057A7474" w14:textId="77777777" w:rsidR="000151D7" w:rsidRPr="00D83FD5" w:rsidRDefault="000151D7" w:rsidP="000151D7">
            <w:pPr>
              <w:spacing w:before="40" w:after="40"/>
              <w:rPr>
                <w:sz w:val="18"/>
                <w:szCs w:val="20"/>
              </w:rPr>
            </w:pPr>
            <w:r w:rsidRPr="00D83FD5">
              <w:rPr>
                <w:sz w:val="18"/>
                <w:szCs w:val="20"/>
              </w:rPr>
              <w:t>-</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45D22D2E"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B1C098A"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DA6C613"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5E1F8A41"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3C984396" w14:textId="77777777" w:rsidR="000151D7" w:rsidRPr="00D83FD5" w:rsidRDefault="000151D7" w:rsidP="000151D7">
            <w:pPr>
              <w:spacing w:before="40" w:after="40"/>
              <w:rPr>
                <w:b/>
                <w:sz w:val="18"/>
                <w:szCs w:val="20"/>
              </w:rPr>
            </w:pPr>
            <w:r w:rsidRPr="00D83FD5">
              <w:rPr>
                <w:b/>
                <w:sz w:val="18"/>
                <w:szCs w:val="20"/>
              </w:rPr>
              <w:t>Nervous system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865B18D"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05942D1"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6B652889"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22D0FD18"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468A35CB"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3F3E8FCD" w14:textId="77777777" w:rsidR="000151D7" w:rsidRPr="00D83FD5" w:rsidRDefault="000151D7" w:rsidP="000151D7">
            <w:pPr>
              <w:spacing w:before="40" w:after="40"/>
              <w:rPr>
                <w:sz w:val="18"/>
                <w:szCs w:val="20"/>
              </w:rPr>
            </w:pPr>
            <w:r w:rsidRPr="00D83FD5">
              <w:rPr>
                <w:sz w:val="18"/>
                <w:szCs w:val="20"/>
              </w:rPr>
              <w:t> </w:t>
            </w:r>
          </w:p>
        </w:tc>
      </w:tr>
      <w:tr w:rsidR="000151D7" w:rsidRPr="00D83FD5" w14:paraId="582374AB"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7B07D732" w14:textId="77777777" w:rsidR="000151D7" w:rsidRPr="00D83FD5" w:rsidRDefault="000151D7" w:rsidP="000151D7">
            <w:pPr>
              <w:spacing w:before="40" w:after="40"/>
              <w:rPr>
                <w:b/>
                <w:sz w:val="18"/>
                <w:szCs w:val="20"/>
              </w:rPr>
            </w:pPr>
            <w:r w:rsidRPr="00D83FD5">
              <w:rPr>
                <w:b/>
                <w:sz w:val="18"/>
                <w:szCs w:val="20"/>
              </w:rPr>
              <w:t>    Dizziness</w:t>
            </w:r>
          </w:p>
        </w:tc>
        <w:tc>
          <w:tcPr>
            <w:tcW w:w="992" w:type="dxa"/>
            <w:tcBorders>
              <w:top w:val="single" w:sz="4" w:space="0" w:color="auto"/>
              <w:left w:val="single" w:sz="4" w:space="0" w:color="auto"/>
              <w:bottom w:val="single" w:sz="4" w:space="0" w:color="auto"/>
              <w:right w:val="single" w:sz="4" w:space="0" w:color="auto"/>
            </w:tcBorders>
          </w:tcPr>
          <w:p w14:paraId="76D79578"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478E039F"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2E2DBB50"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B77A9A8" w14:textId="77777777" w:rsidR="000151D7" w:rsidRPr="00D83FD5" w:rsidRDefault="000151D7" w:rsidP="000151D7">
            <w:pPr>
              <w:spacing w:before="40" w:after="40"/>
              <w:rPr>
                <w:sz w:val="18"/>
                <w:szCs w:val="20"/>
              </w:rPr>
            </w:pPr>
            <w:r w:rsidRPr="00D83FD5">
              <w:rPr>
                <w:sz w:val="18"/>
                <w:szCs w:val="20"/>
              </w:rPr>
              <w:t>0</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8B45159" w14:textId="77777777" w:rsidR="000151D7" w:rsidRPr="00D83FD5" w:rsidRDefault="000151D7" w:rsidP="000151D7">
            <w:pPr>
              <w:spacing w:before="40" w:after="40"/>
              <w:rPr>
                <w:sz w:val="18"/>
                <w:szCs w:val="20"/>
              </w:rPr>
            </w:pPr>
            <w:r w:rsidRPr="00D83FD5">
              <w:rPr>
                <w:sz w:val="18"/>
                <w:szCs w:val="20"/>
              </w:rPr>
              <w:t>0.0</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8A18977" w14:textId="77777777" w:rsidR="000151D7" w:rsidRPr="00D83FD5" w:rsidRDefault="000151D7" w:rsidP="000151D7">
            <w:pPr>
              <w:spacing w:before="40" w:after="40"/>
              <w:rPr>
                <w:sz w:val="18"/>
                <w:szCs w:val="20"/>
              </w:rPr>
            </w:pPr>
            <w:r w:rsidRPr="00D83FD5">
              <w:rPr>
                <w:sz w:val="18"/>
                <w:szCs w:val="20"/>
              </w:rPr>
              <w:t>-</w:t>
            </w:r>
          </w:p>
        </w:tc>
      </w:tr>
      <w:tr w:rsidR="000151D7" w:rsidRPr="00D83FD5" w14:paraId="116F2221"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33FA72D" w14:textId="77777777" w:rsidR="000151D7" w:rsidRPr="00D83FD5" w:rsidRDefault="000151D7" w:rsidP="000151D7">
            <w:pPr>
              <w:spacing w:before="40" w:after="40"/>
              <w:ind w:left="142"/>
              <w:rPr>
                <w:b/>
                <w:sz w:val="18"/>
                <w:szCs w:val="20"/>
              </w:rPr>
            </w:pPr>
            <w:r w:rsidRPr="00D83FD5">
              <w:rPr>
                <w:b/>
                <w:sz w:val="18"/>
                <w:szCs w:val="20"/>
              </w:rPr>
              <w:t>Lethargy</w:t>
            </w:r>
          </w:p>
        </w:tc>
        <w:tc>
          <w:tcPr>
            <w:tcW w:w="992" w:type="dxa"/>
            <w:tcBorders>
              <w:top w:val="single" w:sz="4" w:space="0" w:color="auto"/>
              <w:left w:val="single" w:sz="4" w:space="0" w:color="auto"/>
              <w:bottom w:val="single" w:sz="4" w:space="0" w:color="auto"/>
              <w:right w:val="single" w:sz="4" w:space="0" w:color="auto"/>
            </w:tcBorders>
          </w:tcPr>
          <w:p w14:paraId="1BFD4822" w14:textId="77777777" w:rsidR="000151D7" w:rsidRPr="00D83FD5" w:rsidRDefault="000151D7" w:rsidP="000151D7">
            <w:pPr>
              <w:spacing w:before="40" w:after="40"/>
              <w:rPr>
                <w:sz w:val="18"/>
                <w:szCs w:val="20"/>
              </w:rPr>
            </w:pPr>
            <w:r w:rsidRPr="00D83FD5">
              <w:rPr>
                <w:sz w:val="18"/>
                <w:szCs w:val="20"/>
              </w:rPr>
              <w:t>0</w:t>
            </w:r>
          </w:p>
        </w:tc>
        <w:tc>
          <w:tcPr>
            <w:tcW w:w="992" w:type="dxa"/>
            <w:tcBorders>
              <w:top w:val="single" w:sz="4" w:space="0" w:color="auto"/>
              <w:left w:val="single" w:sz="4" w:space="0" w:color="auto"/>
              <w:bottom w:val="single" w:sz="4" w:space="0" w:color="auto"/>
              <w:right w:val="single" w:sz="4" w:space="0" w:color="auto"/>
            </w:tcBorders>
          </w:tcPr>
          <w:p w14:paraId="5EC51193" w14:textId="77777777" w:rsidR="000151D7" w:rsidRPr="00D83FD5" w:rsidRDefault="000151D7" w:rsidP="000151D7">
            <w:pPr>
              <w:spacing w:before="40" w:after="40"/>
              <w:rPr>
                <w:sz w:val="18"/>
                <w:szCs w:val="20"/>
              </w:rPr>
            </w:pPr>
            <w:r w:rsidRPr="00D83FD5">
              <w:rPr>
                <w:sz w:val="18"/>
                <w:szCs w:val="20"/>
              </w:rPr>
              <w:t>0.0</w:t>
            </w:r>
          </w:p>
        </w:tc>
        <w:tc>
          <w:tcPr>
            <w:tcW w:w="1240" w:type="dxa"/>
            <w:tcBorders>
              <w:top w:val="single" w:sz="4" w:space="0" w:color="auto"/>
              <w:left w:val="single" w:sz="4" w:space="0" w:color="auto"/>
              <w:bottom w:val="single" w:sz="4" w:space="0" w:color="auto"/>
              <w:right w:val="single" w:sz="4" w:space="0" w:color="auto"/>
            </w:tcBorders>
          </w:tcPr>
          <w:p w14:paraId="49400A58" w14:textId="77777777" w:rsidR="000151D7" w:rsidRPr="00D83FD5" w:rsidRDefault="000151D7" w:rsidP="000151D7">
            <w:pPr>
              <w:spacing w:before="40" w:after="40"/>
              <w:rPr>
                <w:sz w:val="18"/>
                <w:szCs w:val="20"/>
              </w:rPr>
            </w:pPr>
            <w:r w:rsidRPr="00D83FD5">
              <w:rPr>
                <w:sz w:val="18"/>
                <w:szCs w:val="20"/>
              </w:rPr>
              <w:t>-</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8D9B8EC"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1397FF3E"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4927A844"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77BEAEB2"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6F7D1544" w14:textId="77777777" w:rsidR="000151D7" w:rsidRPr="00D83FD5" w:rsidRDefault="000151D7" w:rsidP="000151D7">
            <w:pPr>
              <w:spacing w:before="40" w:after="40"/>
              <w:rPr>
                <w:b/>
                <w:sz w:val="18"/>
                <w:szCs w:val="20"/>
              </w:rPr>
            </w:pPr>
            <w:r w:rsidRPr="00D83FD5">
              <w:rPr>
                <w:b/>
                <w:sz w:val="18"/>
                <w:szCs w:val="20"/>
              </w:rPr>
              <w:t>Vascular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CA5C445"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E675A90"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0E0A3BCE"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39A4FA1F"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091C3827"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1AA2EF2F" w14:textId="77777777" w:rsidR="000151D7" w:rsidRPr="00D83FD5" w:rsidRDefault="000151D7" w:rsidP="000151D7">
            <w:pPr>
              <w:spacing w:before="40" w:after="40"/>
              <w:rPr>
                <w:sz w:val="18"/>
                <w:szCs w:val="20"/>
              </w:rPr>
            </w:pPr>
            <w:r w:rsidRPr="00D83FD5">
              <w:rPr>
                <w:sz w:val="18"/>
                <w:szCs w:val="20"/>
              </w:rPr>
              <w:t> </w:t>
            </w:r>
          </w:p>
        </w:tc>
      </w:tr>
      <w:tr w:rsidR="000151D7" w:rsidRPr="00D83FD5" w14:paraId="423AC438"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940CD96" w14:textId="77777777" w:rsidR="000151D7" w:rsidRPr="00D83FD5" w:rsidRDefault="000151D7" w:rsidP="000151D7">
            <w:pPr>
              <w:spacing w:before="40" w:after="40"/>
              <w:rPr>
                <w:b/>
                <w:sz w:val="18"/>
                <w:szCs w:val="20"/>
              </w:rPr>
            </w:pPr>
            <w:r w:rsidRPr="00D83FD5">
              <w:rPr>
                <w:b/>
                <w:sz w:val="18"/>
                <w:szCs w:val="20"/>
              </w:rPr>
              <w:t>    Flushing</w:t>
            </w:r>
          </w:p>
        </w:tc>
        <w:tc>
          <w:tcPr>
            <w:tcW w:w="992" w:type="dxa"/>
            <w:tcBorders>
              <w:top w:val="single" w:sz="4" w:space="0" w:color="auto"/>
              <w:left w:val="single" w:sz="4" w:space="0" w:color="auto"/>
              <w:bottom w:val="single" w:sz="4" w:space="0" w:color="auto"/>
              <w:right w:val="single" w:sz="4" w:space="0" w:color="auto"/>
            </w:tcBorders>
          </w:tcPr>
          <w:p w14:paraId="761BD51F"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24CBFA1A"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40468A64"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D37FB16" w14:textId="77777777" w:rsidR="000151D7" w:rsidRPr="00D83FD5" w:rsidRDefault="000151D7" w:rsidP="000151D7">
            <w:pPr>
              <w:spacing w:before="40" w:after="40"/>
              <w:rPr>
                <w:sz w:val="18"/>
                <w:szCs w:val="20"/>
              </w:rPr>
            </w:pPr>
            <w:r w:rsidRPr="00D83FD5">
              <w:rPr>
                <w:sz w:val="18"/>
                <w:szCs w:val="20"/>
              </w:rPr>
              <w:t>0</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17A87641" w14:textId="77777777" w:rsidR="000151D7" w:rsidRPr="00D83FD5" w:rsidRDefault="000151D7" w:rsidP="000151D7">
            <w:pPr>
              <w:spacing w:before="40" w:after="40"/>
              <w:rPr>
                <w:sz w:val="18"/>
                <w:szCs w:val="20"/>
              </w:rPr>
            </w:pPr>
            <w:r w:rsidRPr="00D83FD5">
              <w:rPr>
                <w:sz w:val="18"/>
                <w:szCs w:val="20"/>
              </w:rPr>
              <w:t>0.0</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4CD4773" w14:textId="77777777" w:rsidR="000151D7" w:rsidRPr="00D83FD5" w:rsidRDefault="000151D7" w:rsidP="000151D7">
            <w:pPr>
              <w:spacing w:before="40" w:after="40"/>
              <w:rPr>
                <w:sz w:val="18"/>
                <w:szCs w:val="20"/>
              </w:rPr>
            </w:pPr>
            <w:r w:rsidRPr="00D83FD5">
              <w:rPr>
                <w:sz w:val="18"/>
                <w:szCs w:val="20"/>
              </w:rPr>
              <w:t>-</w:t>
            </w:r>
          </w:p>
        </w:tc>
      </w:tr>
      <w:tr w:rsidR="000151D7" w:rsidRPr="00D83FD5" w14:paraId="69FD226A"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63867015" w14:textId="77777777" w:rsidR="000151D7" w:rsidRPr="00D83FD5" w:rsidRDefault="000151D7" w:rsidP="000151D7">
            <w:pPr>
              <w:spacing w:before="40" w:after="40"/>
              <w:rPr>
                <w:b/>
                <w:sz w:val="18"/>
                <w:szCs w:val="20"/>
              </w:rPr>
            </w:pPr>
            <w:r w:rsidRPr="00D83FD5">
              <w:rPr>
                <w:b/>
                <w:sz w:val="18"/>
                <w:szCs w:val="20"/>
              </w:rPr>
              <w:t>Immune system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86CA5E"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90E51D6"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456668D7"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04D0E1BE"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5C70DD22"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70E05A82" w14:textId="77777777" w:rsidR="000151D7" w:rsidRPr="00D83FD5" w:rsidRDefault="000151D7" w:rsidP="000151D7">
            <w:pPr>
              <w:spacing w:before="40" w:after="40"/>
              <w:rPr>
                <w:sz w:val="18"/>
                <w:szCs w:val="20"/>
              </w:rPr>
            </w:pPr>
            <w:r w:rsidRPr="00D83FD5">
              <w:rPr>
                <w:sz w:val="18"/>
                <w:szCs w:val="20"/>
              </w:rPr>
              <w:t> </w:t>
            </w:r>
          </w:p>
        </w:tc>
      </w:tr>
      <w:tr w:rsidR="000151D7" w:rsidRPr="00D83FD5" w14:paraId="42C59C37"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F1E19A5" w14:textId="77777777" w:rsidR="000151D7" w:rsidRPr="00D83FD5" w:rsidRDefault="000151D7" w:rsidP="000151D7">
            <w:pPr>
              <w:spacing w:before="40" w:after="40"/>
              <w:rPr>
                <w:b/>
                <w:sz w:val="18"/>
                <w:szCs w:val="20"/>
              </w:rPr>
            </w:pPr>
            <w:r w:rsidRPr="00D83FD5">
              <w:rPr>
                <w:b/>
                <w:sz w:val="18"/>
                <w:szCs w:val="20"/>
              </w:rPr>
              <w:t>    Pruritus</w:t>
            </w:r>
          </w:p>
        </w:tc>
        <w:tc>
          <w:tcPr>
            <w:tcW w:w="992" w:type="dxa"/>
            <w:tcBorders>
              <w:top w:val="single" w:sz="4" w:space="0" w:color="auto"/>
              <w:left w:val="single" w:sz="4" w:space="0" w:color="auto"/>
              <w:bottom w:val="single" w:sz="4" w:space="0" w:color="auto"/>
              <w:right w:val="single" w:sz="4" w:space="0" w:color="auto"/>
            </w:tcBorders>
          </w:tcPr>
          <w:p w14:paraId="30CAA051"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687500F1"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6BB1FC42"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6276098"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FB1815B"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7BC6D9A"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00A7DB05"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206B9B5" w14:textId="77777777" w:rsidR="000151D7" w:rsidRPr="00D83FD5" w:rsidRDefault="000151D7" w:rsidP="000151D7">
            <w:pPr>
              <w:spacing w:before="40" w:after="40"/>
              <w:rPr>
                <w:b/>
                <w:sz w:val="18"/>
                <w:szCs w:val="20"/>
              </w:rPr>
            </w:pPr>
            <w:r w:rsidRPr="00D83FD5">
              <w:rPr>
                <w:b/>
                <w:sz w:val="18"/>
                <w:szCs w:val="20"/>
              </w:rPr>
              <w:t>    Urticaria</w:t>
            </w:r>
          </w:p>
        </w:tc>
        <w:tc>
          <w:tcPr>
            <w:tcW w:w="992" w:type="dxa"/>
            <w:tcBorders>
              <w:top w:val="single" w:sz="4" w:space="0" w:color="auto"/>
              <w:left w:val="single" w:sz="4" w:space="0" w:color="auto"/>
              <w:bottom w:val="single" w:sz="4" w:space="0" w:color="auto"/>
              <w:right w:val="single" w:sz="4" w:space="0" w:color="auto"/>
            </w:tcBorders>
          </w:tcPr>
          <w:p w14:paraId="470F126B"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28427F85"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1A22D355"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45121854" w14:textId="77777777" w:rsidR="000151D7" w:rsidRPr="00D83FD5" w:rsidRDefault="000151D7" w:rsidP="000151D7">
            <w:pPr>
              <w:spacing w:before="40" w:after="40"/>
              <w:rPr>
                <w:sz w:val="18"/>
                <w:szCs w:val="20"/>
              </w:rPr>
            </w:pPr>
            <w:r w:rsidRPr="00D83FD5">
              <w:rPr>
                <w:sz w:val="18"/>
                <w:szCs w:val="20"/>
              </w:rPr>
              <w:t>0</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23C2E0C" w14:textId="77777777" w:rsidR="000151D7" w:rsidRPr="00D83FD5" w:rsidRDefault="000151D7" w:rsidP="000151D7">
            <w:pPr>
              <w:spacing w:before="40" w:after="40"/>
              <w:rPr>
                <w:sz w:val="18"/>
                <w:szCs w:val="20"/>
              </w:rPr>
            </w:pPr>
            <w:r w:rsidRPr="00D83FD5">
              <w:rPr>
                <w:sz w:val="18"/>
                <w:szCs w:val="20"/>
              </w:rPr>
              <w:t>0.0</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9BF72E7" w14:textId="77777777" w:rsidR="000151D7" w:rsidRPr="00D83FD5" w:rsidRDefault="000151D7" w:rsidP="000151D7">
            <w:pPr>
              <w:spacing w:before="40" w:after="40"/>
              <w:rPr>
                <w:sz w:val="18"/>
                <w:szCs w:val="20"/>
              </w:rPr>
            </w:pPr>
            <w:r w:rsidRPr="00D83FD5">
              <w:rPr>
                <w:sz w:val="18"/>
                <w:szCs w:val="20"/>
              </w:rPr>
              <w:t>-</w:t>
            </w:r>
          </w:p>
        </w:tc>
      </w:tr>
      <w:tr w:rsidR="000151D7" w:rsidRPr="00D83FD5" w14:paraId="2D02A250"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4289ECCA" w14:textId="77777777" w:rsidR="000151D7" w:rsidRPr="00D83FD5" w:rsidRDefault="000151D7" w:rsidP="000151D7">
            <w:pPr>
              <w:spacing w:before="40" w:after="40"/>
              <w:ind w:left="142"/>
              <w:rPr>
                <w:b/>
                <w:sz w:val="18"/>
                <w:szCs w:val="20"/>
              </w:rPr>
            </w:pPr>
            <w:r w:rsidRPr="00D83FD5">
              <w:rPr>
                <w:b/>
                <w:sz w:val="18"/>
                <w:szCs w:val="20"/>
              </w:rPr>
              <w:t>Night sweats</w:t>
            </w:r>
          </w:p>
        </w:tc>
        <w:tc>
          <w:tcPr>
            <w:tcW w:w="992" w:type="dxa"/>
            <w:tcBorders>
              <w:top w:val="single" w:sz="4" w:space="0" w:color="auto"/>
              <w:left w:val="single" w:sz="4" w:space="0" w:color="auto"/>
              <w:bottom w:val="single" w:sz="4" w:space="0" w:color="auto"/>
              <w:right w:val="single" w:sz="4" w:space="0" w:color="auto"/>
            </w:tcBorders>
          </w:tcPr>
          <w:p w14:paraId="404DCE09" w14:textId="77777777" w:rsidR="000151D7" w:rsidRPr="00D83FD5" w:rsidRDefault="000151D7" w:rsidP="000151D7">
            <w:pPr>
              <w:spacing w:before="40" w:after="40"/>
              <w:rPr>
                <w:sz w:val="18"/>
                <w:szCs w:val="20"/>
              </w:rPr>
            </w:pPr>
            <w:r w:rsidRPr="00D83FD5">
              <w:rPr>
                <w:sz w:val="18"/>
                <w:szCs w:val="20"/>
              </w:rPr>
              <w:t>0</w:t>
            </w:r>
          </w:p>
        </w:tc>
        <w:tc>
          <w:tcPr>
            <w:tcW w:w="992" w:type="dxa"/>
            <w:tcBorders>
              <w:top w:val="single" w:sz="4" w:space="0" w:color="auto"/>
              <w:left w:val="single" w:sz="4" w:space="0" w:color="auto"/>
              <w:bottom w:val="single" w:sz="4" w:space="0" w:color="auto"/>
              <w:right w:val="single" w:sz="4" w:space="0" w:color="auto"/>
            </w:tcBorders>
          </w:tcPr>
          <w:p w14:paraId="03E60D9C" w14:textId="77777777" w:rsidR="000151D7" w:rsidRPr="00D83FD5" w:rsidRDefault="000151D7" w:rsidP="000151D7">
            <w:pPr>
              <w:spacing w:before="40" w:after="40"/>
              <w:rPr>
                <w:sz w:val="18"/>
                <w:szCs w:val="20"/>
              </w:rPr>
            </w:pPr>
            <w:r w:rsidRPr="00D83FD5">
              <w:rPr>
                <w:sz w:val="18"/>
                <w:szCs w:val="20"/>
              </w:rPr>
              <w:t>0.0</w:t>
            </w:r>
          </w:p>
        </w:tc>
        <w:tc>
          <w:tcPr>
            <w:tcW w:w="1240" w:type="dxa"/>
            <w:tcBorders>
              <w:top w:val="single" w:sz="4" w:space="0" w:color="auto"/>
              <w:left w:val="single" w:sz="4" w:space="0" w:color="auto"/>
              <w:bottom w:val="single" w:sz="4" w:space="0" w:color="auto"/>
              <w:right w:val="single" w:sz="4" w:space="0" w:color="auto"/>
            </w:tcBorders>
          </w:tcPr>
          <w:p w14:paraId="2BA4C116" w14:textId="77777777" w:rsidR="000151D7" w:rsidRPr="00D83FD5" w:rsidRDefault="000151D7" w:rsidP="000151D7">
            <w:pPr>
              <w:spacing w:before="40" w:after="40"/>
              <w:rPr>
                <w:sz w:val="18"/>
                <w:szCs w:val="20"/>
              </w:rPr>
            </w:pPr>
            <w:r w:rsidRPr="00D83FD5">
              <w:rPr>
                <w:sz w:val="18"/>
                <w:szCs w:val="20"/>
              </w:rPr>
              <w:t>-</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A90314C"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8C01550"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BFE7CB3"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0AB026E7"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5919B53F" w14:textId="77777777" w:rsidR="000151D7" w:rsidRPr="00D83FD5" w:rsidRDefault="000151D7" w:rsidP="000151D7">
            <w:pPr>
              <w:spacing w:before="40" w:after="40"/>
              <w:ind w:left="142"/>
              <w:rPr>
                <w:b/>
                <w:sz w:val="18"/>
                <w:szCs w:val="20"/>
              </w:rPr>
            </w:pPr>
            <w:r w:rsidRPr="00D83FD5">
              <w:rPr>
                <w:b/>
                <w:sz w:val="18"/>
                <w:szCs w:val="20"/>
              </w:rPr>
              <w:t>Rash</w:t>
            </w:r>
          </w:p>
        </w:tc>
        <w:tc>
          <w:tcPr>
            <w:tcW w:w="992" w:type="dxa"/>
            <w:tcBorders>
              <w:top w:val="single" w:sz="4" w:space="0" w:color="auto"/>
              <w:left w:val="single" w:sz="4" w:space="0" w:color="auto"/>
              <w:bottom w:val="single" w:sz="4" w:space="0" w:color="auto"/>
              <w:right w:val="single" w:sz="4" w:space="0" w:color="auto"/>
            </w:tcBorders>
          </w:tcPr>
          <w:p w14:paraId="4A4B1817" w14:textId="77777777" w:rsidR="000151D7" w:rsidRPr="00D83FD5" w:rsidRDefault="000151D7" w:rsidP="000151D7">
            <w:pPr>
              <w:spacing w:before="40" w:after="40"/>
              <w:rPr>
                <w:sz w:val="18"/>
                <w:szCs w:val="20"/>
              </w:rPr>
            </w:pPr>
            <w:r w:rsidRPr="00D83FD5">
              <w:rPr>
                <w:sz w:val="18"/>
                <w:szCs w:val="20"/>
              </w:rPr>
              <w:t>0</w:t>
            </w:r>
          </w:p>
        </w:tc>
        <w:tc>
          <w:tcPr>
            <w:tcW w:w="992" w:type="dxa"/>
            <w:tcBorders>
              <w:top w:val="single" w:sz="4" w:space="0" w:color="auto"/>
              <w:left w:val="single" w:sz="4" w:space="0" w:color="auto"/>
              <w:bottom w:val="single" w:sz="4" w:space="0" w:color="auto"/>
              <w:right w:val="single" w:sz="4" w:space="0" w:color="auto"/>
            </w:tcBorders>
          </w:tcPr>
          <w:p w14:paraId="3DE7FAE7" w14:textId="77777777" w:rsidR="000151D7" w:rsidRPr="00D83FD5" w:rsidRDefault="000151D7" w:rsidP="000151D7">
            <w:pPr>
              <w:spacing w:before="40" w:after="40"/>
              <w:rPr>
                <w:sz w:val="18"/>
                <w:szCs w:val="20"/>
              </w:rPr>
            </w:pPr>
            <w:r w:rsidRPr="00D83FD5">
              <w:rPr>
                <w:sz w:val="18"/>
                <w:szCs w:val="20"/>
              </w:rPr>
              <w:t>0.0</w:t>
            </w:r>
          </w:p>
        </w:tc>
        <w:tc>
          <w:tcPr>
            <w:tcW w:w="1240" w:type="dxa"/>
            <w:tcBorders>
              <w:top w:val="single" w:sz="4" w:space="0" w:color="auto"/>
              <w:left w:val="single" w:sz="4" w:space="0" w:color="auto"/>
              <w:bottom w:val="single" w:sz="4" w:space="0" w:color="auto"/>
              <w:right w:val="single" w:sz="4" w:space="0" w:color="auto"/>
            </w:tcBorders>
          </w:tcPr>
          <w:p w14:paraId="079153E0" w14:textId="77777777" w:rsidR="000151D7" w:rsidRPr="00D83FD5" w:rsidRDefault="000151D7" w:rsidP="000151D7">
            <w:pPr>
              <w:spacing w:before="40" w:after="40"/>
              <w:rPr>
                <w:sz w:val="18"/>
                <w:szCs w:val="20"/>
              </w:rPr>
            </w:pPr>
            <w:r w:rsidRPr="00D83FD5">
              <w:rPr>
                <w:sz w:val="18"/>
                <w:szCs w:val="20"/>
              </w:rPr>
              <w:t>-</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D4B77B0"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033B8770"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1DC787C4"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5BC50761" w14:textId="77777777" w:rsidTr="000151D7">
        <w:trPr>
          <w:trHeight w:val="556"/>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22D114FB" w14:textId="77777777" w:rsidR="000151D7" w:rsidRPr="00D83FD5" w:rsidRDefault="000151D7" w:rsidP="000151D7">
            <w:pPr>
              <w:spacing w:before="40" w:after="40"/>
              <w:rPr>
                <w:b/>
                <w:sz w:val="18"/>
                <w:szCs w:val="20"/>
              </w:rPr>
            </w:pPr>
            <w:r w:rsidRPr="00D83FD5">
              <w:rPr>
                <w:b/>
                <w:sz w:val="18"/>
                <w:szCs w:val="20"/>
              </w:rPr>
              <w:t>Musculoskeletal and connective tissue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A1EA957"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5534560"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36993464"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2E7BA2DE"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5823DD83"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72F5D3A3" w14:textId="77777777" w:rsidR="000151D7" w:rsidRPr="00D83FD5" w:rsidRDefault="000151D7" w:rsidP="000151D7">
            <w:pPr>
              <w:spacing w:before="40" w:after="40"/>
              <w:rPr>
                <w:sz w:val="18"/>
                <w:szCs w:val="20"/>
              </w:rPr>
            </w:pPr>
            <w:r w:rsidRPr="00D83FD5">
              <w:rPr>
                <w:sz w:val="18"/>
                <w:szCs w:val="20"/>
              </w:rPr>
              <w:t> </w:t>
            </w:r>
          </w:p>
        </w:tc>
      </w:tr>
      <w:tr w:rsidR="000151D7" w:rsidRPr="00D83FD5" w14:paraId="38555FD2"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0B8F51F" w14:textId="77777777" w:rsidR="000151D7" w:rsidRPr="00D83FD5" w:rsidRDefault="000151D7" w:rsidP="000151D7">
            <w:pPr>
              <w:spacing w:before="40" w:after="40"/>
              <w:rPr>
                <w:b/>
                <w:sz w:val="18"/>
                <w:szCs w:val="20"/>
              </w:rPr>
            </w:pPr>
            <w:r w:rsidRPr="00D83FD5">
              <w:rPr>
                <w:b/>
                <w:sz w:val="18"/>
                <w:szCs w:val="20"/>
              </w:rPr>
              <w:t>    Arthralgia</w:t>
            </w:r>
          </w:p>
        </w:tc>
        <w:tc>
          <w:tcPr>
            <w:tcW w:w="992" w:type="dxa"/>
            <w:tcBorders>
              <w:top w:val="single" w:sz="4" w:space="0" w:color="auto"/>
              <w:left w:val="single" w:sz="4" w:space="0" w:color="auto"/>
              <w:bottom w:val="single" w:sz="4" w:space="0" w:color="auto"/>
              <w:right w:val="single" w:sz="4" w:space="0" w:color="auto"/>
            </w:tcBorders>
          </w:tcPr>
          <w:p w14:paraId="42A07AC8"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2193204D"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244AF50E"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AA7CDB6" w14:textId="77777777" w:rsidR="000151D7" w:rsidRPr="00D83FD5" w:rsidRDefault="000151D7" w:rsidP="000151D7">
            <w:pPr>
              <w:spacing w:before="40" w:after="40"/>
              <w:rPr>
                <w:sz w:val="18"/>
                <w:szCs w:val="20"/>
              </w:rPr>
            </w:pPr>
            <w:r w:rsidRPr="00D83FD5">
              <w:rPr>
                <w:sz w:val="18"/>
                <w:szCs w:val="20"/>
              </w:rPr>
              <w:t>0</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28B9EBA" w14:textId="77777777" w:rsidR="000151D7" w:rsidRPr="00D83FD5" w:rsidRDefault="000151D7" w:rsidP="000151D7">
            <w:pPr>
              <w:spacing w:before="40" w:after="40"/>
              <w:rPr>
                <w:sz w:val="18"/>
                <w:szCs w:val="20"/>
              </w:rPr>
            </w:pPr>
            <w:r w:rsidRPr="00D83FD5">
              <w:rPr>
                <w:sz w:val="18"/>
                <w:szCs w:val="20"/>
              </w:rPr>
              <w:t>0.0</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15516B9" w14:textId="77777777" w:rsidR="000151D7" w:rsidRPr="00D83FD5" w:rsidRDefault="000151D7" w:rsidP="000151D7">
            <w:pPr>
              <w:spacing w:before="40" w:after="40"/>
              <w:rPr>
                <w:sz w:val="18"/>
                <w:szCs w:val="20"/>
              </w:rPr>
            </w:pPr>
            <w:r w:rsidRPr="00D83FD5">
              <w:rPr>
                <w:sz w:val="18"/>
                <w:szCs w:val="20"/>
              </w:rPr>
              <w:t>-</w:t>
            </w:r>
          </w:p>
        </w:tc>
      </w:tr>
      <w:tr w:rsidR="000151D7" w:rsidRPr="00D83FD5" w14:paraId="7BB283A1"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E49C000" w14:textId="77777777" w:rsidR="000151D7" w:rsidRPr="00D83FD5" w:rsidRDefault="000151D7" w:rsidP="000151D7">
            <w:pPr>
              <w:spacing w:before="40" w:after="40"/>
              <w:rPr>
                <w:b/>
                <w:sz w:val="18"/>
                <w:szCs w:val="20"/>
              </w:rPr>
            </w:pPr>
            <w:r w:rsidRPr="00D83FD5">
              <w:rPr>
                <w:b/>
                <w:sz w:val="18"/>
                <w:szCs w:val="20"/>
              </w:rPr>
              <w:t>    Pain in extremity</w:t>
            </w:r>
          </w:p>
        </w:tc>
        <w:tc>
          <w:tcPr>
            <w:tcW w:w="992" w:type="dxa"/>
            <w:tcBorders>
              <w:top w:val="single" w:sz="4" w:space="0" w:color="auto"/>
              <w:left w:val="single" w:sz="4" w:space="0" w:color="auto"/>
              <w:bottom w:val="single" w:sz="4" w:space="0" w:color="auto"/>
              <w:right w:val="single" w:sz="4" w:space="0" w:color="auto"/>
            </w:tcBorders>
          </w:tcPr>
          <w:p w14:paraId="2E579498" w14:textId="77777777" w:rsidR="000151D7" w:rsidRPr="00D83FD5" w:rsidRDefault="000151D7" w:rsidP="000151D7">
            <w:pPr>
              <w:spacing w:before="40" w:after="40"/>
              <w:rPr>
                <w:sz w:val="18"/>
                <w:szCs w:val="20"/>
              </w:rPr>
            </w:pPr>
            <w:r w:rsidRPr="00D83FD5">
              <w:rPr>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70EC67D4" w14:textId="77777777" w:rsidR="000151D7" w:rsidRPr="00D83FD5" w:rsidRDefault="000151D7" w:rsidP="000151D7">
            <w:pPr>
              <w:spacing w:before="40" w:after="40"/>
              <w:rPr>
                <w:sz w:val="18"/>
                <w:szCs w:val="20"/>
              </w:rPr>
            </w:pPr>
            <w:r w:rsidRPr="00D83FD5">
              <w:rPr>
                <w:sz w:val="18"/>
                <w:szCs w:val="20"/>
              </w:rPr>
              <w:t>&lt;0.1</w:t>
            </w:r>
          </w:p>
        </w:tc>
        <w:tc>
          <w:tcPr>
            <w:tcW w:w="1240" w:type="dxa"/>
            <w:tcBorders>
              <w:top w:val="single" w:sz="4" w:space="0" w:color="auto"/>
              <w:left w:val="single" w:sz="4" w:space="0" w:color="auto"/>
              <w:bottom w:val="single" w:sz="4" w:space="0" w:color="auto"/>
              <w:right w:val="single" w:sz="4" w:space="0" w:color="auto"/>
            </w:tcBorders>
          </w:tcPr>
          <w:p w14:paraId="38581D56" w14:textId="77777777" w:rsidR="000151D7" w:rsidRPr="00D83FD5" w:rsidRDefault="000151D7" w:rsidP="000151D7">
            <w:pPr>
              <w:spacing w:before="40" w:after="40"/>
              <w:rPr>
                <w:sz w:val="18"/>
                <w:szCs w:val="20"/>
              </w:rPr>
            </w:pPr>
            <w:r w:rsidRPr="00D83FD5">
              <w:rPr>
                <w:sz w:val="18"/>
                <w:szCs w:val="20"/>
              </w:rPr>
              <w:t>Rare</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276A46AF" w14:textId="77777777" w:rsidR="000151D7" w:rsidRPr="00D83FD5" w:rsidRDefault="000151D7" w:rsidP="000151D7">
            <w:pPr>
              <w:spacing w:before="40" w:after="40"/>
              <w:rPr>
                <w:sz w:val="18"/>
                <w:szCs w:val="20"/>
              </w:rPr>
            </w:pPr>
            <w:r w:rsidRPr="00D83FD5">
              <w:rPr>
                <w:sz w:val="18"/>
                <w:szCs w:val="20"/>
              </w:rPr>
              <w:t>0</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3266444" w14:textId="77777777" w:rsidR="000151D7" w:rsidRPr="00D83FD5" w:rsidRDefault="000151D7" w:rsidP="000151D7">
            <w:pPr>
              <w:spacing w:before="40" w:after="40"/>
              <w:rPr>
                <w:sz w:val="18"/>
                <w:szCs w:val="20"/>
              </w:rPr>
            </w:pPr>
            <w:r w:rsidRPr="00D83FD5">
              <w:rPr>
                <w:sz w:val="18"/>
                <w:szCs w:val="20"/>
              </w:rPr>
              <w:t>0.0</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2E1637C" w14:textId="77777777" w:rsidR="000151D7" w:rsidRPr="00D83FD5" w:rsidRDefault="000151D7" w:rsidP="000151D7">
            <w:pPr>
              <w:spacing w:before="40" w:after="40"/>
              <w:rPr>
                <w:sz w:val="18"/>
                <w:szCs w:val="20"/>
              </w:rPr>
            </w:pPr>
            <w:r w:rsidRPr="00D83FD5">
              <w:rPr>
                <w:sz w:val="18"/>
                <w:szCs w:val="20"/>
              </w:rPr>
              <w:t>-</w:t>
            </w:r>
          </w:p>
        </w:tc>
      </w:tr>
      <w:tr w:rsidR="000151D7" w:rsidRPr="00D83FD5" w14:paraId="6B447E3A"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0A70B3CC" w14:textId="77777777" w:rsidR="000151D7" w:rsidRPr="00D83FD5" w:rsidRDefault="000151D7" w:rsidP="000151D7">
            <w:pPr>
              <w:spacing w:before="40" w:after="40"/>
              <w:ind w:left="142"/>
              <w:rPr>
                <w:b/>
                <w:sz w:val="18"/>
                <w:szCs w:val="20"/>
              </w:rPr>
            </w:pPr>
            <w:r w:rsidRPr="00D83FD5">
              <w:rPr>
                <w:b/>
                <w:sz w:val="18"/>
                <w:szCs w:val="20"/>
              </w:rPr>
              <w:t>Muscular weakness</w:t>
            </w:r>
          </w:p>
        </w:tc>
        <w:tc>
          <w:tcPr>
            <w:tcW w:w="992" w:type="dxa"/>
            <w:tcBorders>
              <w:top w:val="single" w:sz="4" w:space="0" w:color="auto"/>
              <w:left w:val="single" w:sz="4" w:space="0" w:color="auto"/>
              <w:bottom w:val="single" w:sz="4" w:space="0" w:color="auto"/>
              <w:right w:val="single" w:sz="4" w:space="0" w:color="auto"/>
            </w:tcBorders>
          </w:tcPr>
          <w:p w14:paraId="20AE59C6" w14:textId="77777777" w:rsidR="000151D7" w:rsidRPr="00D83FD5" w:rsidRDefault="000151D7" w:rsidP="000151D7">
            <w:pPr>
              <w:spacing w:before="40" w:after="40"/>
              <w:rPr>
                <w:sz w:val="18"/>
                <w:szCs w:val="20"/>
              </w:rPr>
            </w:pPr>
            <w:r w:rsidRPr="00D83FD5">
              <w:rPr>
                <w:sz w:val="18"/>
                <w:szCs w:val="20"/>
              </w:rPr>
              <w:t>0</w:t>
            </w:r>
          </w:p>
        </w:tc>
        <w:tc>
          <w:tcPr>
            <w:tcW w:w="992" w:type="dxa"/>
            <w:tcBorders>
              <w:top w:val="single" w:sz="4" w:space="0" w:color="auto"/>
              <w:left w:val="single" w:sz="4" w:space="0" w:color="auto"/>
              <w:bottom w:val="single" w:sz="4" w:space="0" w:color="auto"/>
              <w:right w:val="single" w:sz="4" w:space="0" w:color="auto"/>
            </w:tcBorders>
          </w:tcPr>
          <w:p w14:paraId="5BB6D167" w14:textId="77777777" w:rsidR="000151D7" w:rsidRPr="00D83FD5" w:rsidRDefault="000151D7" w:rsidP="000151D7">
            <w:pPr>
              <w:spacing w:before="40" w:after="40"/>
              <w:rPr>
                <w:sz w:val="18"/>
                <w:szCs w:val="20"/>
              </w:rPr>
            </w:pPr>
            <w:r w:rsidRPr="00D83FD5">
              <w:rPr>
                <w:sz w:val="18"/>
                <w:szCs w:val="20"/>
              </w:rPr>
              <w:t>0.0</w:t>
            </w:r>
          </w:p>
        </w:tc>
        <w:tc>
          <w:tcPr>
            <w:tcW w:w="1240" w:type="dxa"/>
            <w:tcBorders>
              <w:top w:val="single" w:sz="4" w:space="0" w:color="auto"/>
              <w:left w:val="single" w:sz="4" w:space="0" w:color="auto"/>
              <w:bottom w:val="single" w:sz="4" w:space="0" w:color="auto"/>
              <w:right w:val="single" w:sz="4" w:space="0" w:color="auto"/>
            </w:tcBorders>
          </w:tcPr>
          <w:p w14:paraId="0F8C3968" w14:textId="77777777" w:rsidR="000151D7" w:rsidRPr="00D83FD5" w:rsidRDefault="000151D7" w:rsidP="000151D7">
            <w:pPr>
              <w:spacing w:before="40" w:after="40"/>
              <w:rPr>
                <w:sz w:val="18"/>
                <w:szCs w:val="20"/>
              </w:rPr>
            </w:pPr>
            <w:r w:rsidRPr="00D83FD5">
              <w:rPr>
                <w:sz w:val="18"/>
                <w:szCs w:val="20"/>
              </w:rPr>
              <w:t>-</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11830E38"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6BC5401A"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09390369"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22138C51" w14:textId="77777777" w:rsidTr="000151D7">
        <w:trPr>
          <w:trHeight w:val="556"/>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3DAB61EB" w14:textId="77777777" w:rsidR="000151D7" w:rsidRPr="00D83FD5" w:rsidRDefault="000151D7" w:rsidP="000151D7">
            <w:pPr>
              <w:spacing w:before="40" w:after="40"/>
              <w:rPr>
                <w:b/>
                <w:sz w:val="18"/>
                <w:szCs w:val="20"/>
              </w:rPr>
            </w:pPr>
            <w:r w:rsidRPr="00D83FD5">
              <w:rPr>
                <w:b/>
                <w:sz w:val="18"/>
                <w:szCs w:val="20"/>
              </w:rPr>
              <w:t xml:space="preserve">Respiratory, thoracic and mediastinal disorders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2D84F1B"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F5FBDBC"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46FECA1C"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379C74E8"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083DAEDE"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416A322C" w14:textId="77777777" w:rsidR="000151D7" w:rsidRPr="00D83FD5" w:rsidRDefault="000151D7" w:rsidP="000151D7">
            <w:pPr>
              <w:spacing w:before="40" w:after="40"/>
              <w:rPr>
                <w:sz w:val="18"/>
                <w:szCs w:val="20"/>
              </w:rPr>
            </w:pPr>
            <w:r w:rsidRPr="00D83FD5">
              <w:rPr>
                <w:sz w:val="18"/>
                <w:szCs w:val="20"/>
              </w:rPr>
              <w:t> </w:t>
            </w:r>
          </w:p>
        </w:tc>
      </w:tr>
      <w:tr w:rsidR="000151D7" w:rsidRPr="00D83FD5" w14:paraId="6E16FBF9"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62FABA18" w14:textId="77777777" w:rsidR="000151D7" w:rsidRPr="00D83FD5" w:rsidRDefault="000151D7" w:rsidP="000151D7">
            <w:pPr>
              <w:spacing w:before="40" w:after="40"/>
              <w:rPr>
                <w:b/>
                <w:sz w:val="18"/>
                <w:szCs w:val="20"/>
              </w:rPr>
            </w:pPr>
            <w:r w:rsidRPr="00D83FD5">
              <w:rPr>
                <w:b/>
                <w:sz w:val="18"/>
                <w:szCs w:val="20"/>
              </w:rPr>
              <w:t>    Cough</w:t>
            </w:r>
          </w:p>
        </w:tc>
        <w:tc>
          <w:tcPr>
            <w:tcW w:w="992" w:type="dxa"/>
            <w:tcBorders>
              <w:top w:val="single" w:sz="4" w:space="0" w:color="auto"/>
              <w:left w:val="single" w:sz="4" w:space="0" w:color="auto"/>
              <w:bottom w:val="single" w:sz="4" w:space="0" w:color="auto"/>
              <w:right w:val="single" w:sz="4" w:space="0" w:color="auto"/>
            </w:tcBorders>
          </w:tcPr>
          <w:p w14:paraId="47C20D2D" w14:textId="77777777" w:rsidR="000151D7" w:rsidRPr="00D83FD5" w:rsidRDefault="000151D7" w:rsidP="000151D7">
            <w:pPr>
              <w:spacing w:before="40" w:after="40"/>
              <w:rPr>
                <w:sz w:val="18"/>
                <w:szCs w:val="20"/>
              </w:rPr>
            </w:pPr>
            <w:r w:rsidRPr="00D83FD5">
              <w:rPr>
                <w:sz w:val="18"/>
                <w:szCs w:val="20"/>
              </w:rPr>
              <w:t>3</w:t>
            </w:r>
          </w:p>
        </w:tc>
        <w:tc>
          <w:tcPr>
            <w:tcW w:w="992" w:type="dxa"/>
            <w:tcBorders>
              <w:top w:val="single" w:sz="4" w:space="0" w:color="auto"/>
              <w:left w:val="single" w:sz="4" w:space="0" w:color="auto"/>
              <w:bottom w:val="single" w:sz="4" w:space="0" w:color="auto"/>
              <w:right w:val="single" w:sz="4" w:space="0" w:color="auto"/>
            </w:tcBorders>
          </w:tcPr>
          <w:p w14:paraId="7A8044BF" w14:textId="77777777" w:rsidR="000151D7" w:rsidRPr="00D83FD5" w:rsidRDefault="000151D7" w:rsidP="000151D7">
            <w:pPr>
              <w:spacing w:before="40" w:after="40"/>
              <w:rPr>
                <w:sz w:val="18"/>
                <w:szCs w:val="20"/>
              </w:rPr>
            </w:pPr>
            <w:r w:rsidRPr="00D83FD5">
              <w:rPr>
                <w:sz w:val="18"/>
                <w:szCs w:val="20"/>
              </w:rPr>
              <w:t>0.2</w:t>
            </w:r>
          </w:p>
        </w:tc>
        <w:tc>
          <w:tcPr>
            <w:tcW w:w="1240" w:type="dxa"/>
            <w:tcBorders>
              <w:top w:val="single" w:sz="4" w:space="0" w:color="auto"/>
              <w:left w:val="single" w:sz="4" w:space="0" w:color="auto"/>
              <w:bottom w:val="single" w:sz="4" w:space="0" w:color="auto"/>
              <w:right w:val="single" w:sz="4" w:space="0" w:color="auto"/>
            </w:tcBorders>
          </w:tcPr>
          <w:p w14:paraId="25DA4594" w14:textId="77777777" w:rsidR="000151D7" w:rsidRPr="00D83FD5" w:rsidRDefault="000151D7" w:rsidP="000151D7">
            <w:pPr>
              <w:spacing w:before="40" w:after="40"/>
              <w:rPr>
                <w:sz w:val="18"/>
                <w:szCs w:val="20"/>
              </w:rPr>
            </w:pPr>
            <w:r w:rsidRPr="00D83FD5">
              <w:rPr>
                <w:sz w:val="18"/>
                <w:szCs w:val="20"/>
              </w:rPr>
              <w:t>Uncommon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41AC11B6" w14:textId="77777777" w:rsidR="000151D7" w:rsidRPr="00D83FD5" w:rsidRDefault="000151D7" w:rsidP="000151D7">
            <w:pPr>
              <w:spacing w:before="40" w:after="40"/>
              <w:rPr>
                <w:sz w:val="18"/>
                <w:szCs w:val="20"/>
              </w:rPr>
            </w:pPr>
            <w:r w:rsidRPr="00D83FD5">
              <w:rPr>
                <w:sz w:val="18"/>
                <w:szCs w:val="20"/>
              </w:rPr>
              <w:t>1</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01304FE2" w14:textId="77777777" w:rsidR="000151D7" w:rsidRPr="00D83FD5" w:rsidRDefault="000151D7" w:rsidP="000151D7">
            <w:pPr>
              <w:spacing w:before="40" w:after="40"/>
              <w:rPr>
                <w:sz w:val="18"/>
                <w:szCs w:val="20"/>
              </w:rPr>
            </w:pPr>
            <w:r w:rsidRPr="00D83FD5">
              <w:rPr>
                <w:sz w:val="18"/>
                <w:szCs w:val="20"/>
              </w:rPr>
              <w:t>0.1</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35753FA2" w14:textId="77777777" w:rsidR="000151D7" w:rsidRPr="00D83FD5" w:rsidRDefault="000151D7" w:rsidP="000151D7">
            <w:pPr>
              <w:spacing w:before="40" w:after="40"/>
              <w:rPr>
                <w:sz w:val="18"/>
                <w:szCs w:val="20"/>
              </w:rPr>
            </w:pPr>
            <w:r w:rsidRPr="00D83FD5">
              <w:rPr>
                <w:sz w:val="18"/>
                <w:szCs w:val="20"/>
              </w:rPr>
              <w:t>Uncommon</w:t>
            </w:r>
          </w:p>
        </w:tc>
      </w:tr>
      <w:tr w:rsidR="000151D7" w:rsidRPr="00D83FD5" w14:paraId="3D53E2D8" w14:textId="77777777" w:rsidTr="000151D7">
        <w:trPr>
          <w:trHeight w:val="424"/>
        </w:trPr>
        <w:tc>
          <w:tcPr>
            <w:tcW w:w="330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02CD67C3" w14:textId="77777777" w:rsidR="000151D7" w:rsidRPr="00D83FD5" w:rsidRDefault="000151D7" w:rsidP="000151D7">
            <w:pPr>
              <w:spacing w:before="40" w:after="40"/>
              <w:rPr>
                <w:b/>
                <w:sz w:val="18"/>
                <w:szCs w:val="20"/>
              </w:rPr>
            </w:pPr>
            <w:r w:rsidRPr="00D83FD5">
              <w:rPr>
                <w:b/>
                <w:sz w:val="18"/>
                <w:szCs w:val="20"/>
              </w:rPr>
              <w:t>Ear and labyrinth disorders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D125153" w14:textId="77777777" w:rsidR="000151D7" w:rsidRPr="00D83FD5" w:rsidRDefault="000151D7" w:rsidP="000151D7">
            <w:pPr>
              <w:spacing w:before="40" w:after="40"/>
              <w:rPr>
                <w:sz w:val="18"/>
                <w:szCs w:val="20"/>
              </w:rPr>
            </w:pPr>
            <w:r w:rsidRPr="00D83FD5">
              <w:rPr>
                <w:sz w:val="18"/>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2C69A72" w14:textId="77777777" w:rsidR="000151D7" w:rsidRPr="00D83FD5" w:rsidRDefault="000151D7" w:rsidP="000151D7">
            <w:pPr>
              <w:spacing w:before="40" w:after="40"/>
              <w:rPr>
                <w:sz w:val="18"/>
                <w:szCs w:val="20"/>
              </w:rPr>
            </w:pPr>
            <w:r w:rsidRPr="00D83FD5">
              <w:rPr>
                <w:sz w:val="18"/>
                <w:szCs w:val="20"/>
              </w:rPr>
              <w:t> </w:t>
            </w:r>
          </w:p>
        </w:tc>
        <w:tc>
          <w:tcPr>
            <w:tcW w:w="1240" w:type="dxa"/>
            <w:tcBorders>
              <w:top w:val="single" w:sz="4" w:space="0" w:color="auto"/>
              <w:left w:val="single" w:sz="4" w:space="0" w:color="auto"/>
              <w:bottom w:val="single" w:sz="4" w:space="0" w:color="auto"/>
              <w:right w:val="single" w:sz="4" w:space="0" w:color="auto"/>
            </w:tcBorders>
            <w:shd w:val="clear" w:color="auto" w:fill="D9D9D9"/>
          </w:tcPr>
          <w:p w14:paraId="781FE838" w14:textId="77777777" w:rsidR="000151D7" w:rsidRPr="00D83FD5" w:rsidRDefault="000151D7" w:rsidP="000151D7">
            <w:pPr>
              <w:spacing w:before="40" w:after="40"/>
              <w:rPr>
                <w:sz w:val="18"/>
                <w:szCs w:val="20"/>
              </w:rPr>
            </w:pPr>
            <w:r w:rsidRPr="00D83FD5">
              <w:rPr>
                <w:sz w:val="18"/>
                <w:szCs w:val="20"/>
              </w:rPr>
              <w:t>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tcPr>
          <w:p w14:paraId="7B1CA041" w14:textId="77777777" w:rsidR="000151D7" w:rsidRPr="00D83FD5" w:rsidRDefault="000151D7" w:rsidP="000151D7">
            <w:pPr>
              <w:spacing w:before="40" w:after="40"/>
              <w:rPr>
                <w:sz w:val="18"/>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143CDDD2" w14:textId="77777777" w:rsidR="000151D7" w:rsidRPr="00D83FD5" w:rsidRDefault="000151D7" w:rsidP="000151D7">
            <w:pPr>
              <w:spacing w:before="40" w:after="40"/>
              <w:rPr>
                <w:sz w:val="18"/>
                <w:szCs w:val="20"/>
              </w:rPr>
            </w:pPr>
            <w:r w:rsidRPr="00D83FD5">
              <w:rPr>
                <w:sz w:val="18"/>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D9D9D9"/>
            <w:tcMar>
              <w:top w:w="15" w:type="dxa"/>
              <w:left w:w="40" w:type="dxa"/>
              <w:bottom w:w="0" w:type="dxa"/>
              <w:right w:w="40" w:type="dxa"/>
            </w:tcMar>
            <w:hideMark/>
          </w:tcPr>
          <w:p w14:paraId="7E166CAB" w14:textId="77777777" w:rsidR="000151D7" w:rsidRPr="00D83FD5" w:rsidRDefault="000151D7" w:rsidP="000151D7">
            <w:pPr>
              <w:spacing w:before="40" w:after="40"/>
              <w:rPr>
                <w:sz w:val="18"/>
                <w:szCs w:val="20"/>
              </w:rPr>
            </w:pPr>
            <w:r w:rsidRPr="00D83FD5">
              <w:rPr>
                <w:sz w:val="18"/>
                <w:szCs w:val="20"/>
              </w:rPr>
              <w:t> </w:t>
            </w:r>
          </w:p>
        </w:tc>
      </w:tr>
      <w:tr w:rsidR="000151D7" w:rsidRPr="00D83FD5" w14:paraId="453ACEE1" w14:textId="77777777" w:rsidTr="000151D7">
        <w:trPr>
          <w:trHeight w:val="278"/>
        </w:trPr>
        <w:tc>
          <w:tcPr>
            <w:tcW w:w="330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563242B9" w14:textId="77777777" w:rsidR="000151D7" w:rsidRPr="00D83FD5" w:rsidRDefault="000151D7" w:rsidP="000151D7">
            <w:pPr>
              <w:spacing w:before="40" w:after="40"/>
              <w:rPr>
                <w:b/>
                <w:sz w:val="18"/>
                <w:szCs w:val="20"/>
              </w:rPr>
            </w:pPr>
            <w:r w:rsidRPr="00D83FD5">
              <w:rPr>
                <w:b/>
                <w:sz w:val="18"/>
                <w:szCs w:val="20"/>
              </w:rPr>
              <w:t>    Vertigo</w:t>
            </w:r>
          </w:p>
        </w:tc>
        <w:tc>
          <w:tcPr>
            <w:tcW w:w="992" w:type="dxa"/>
            <w:tcBorders>
              <w:top w:val="single" w:sz="4" w:space="0" w:color="auto"/>
              <w:left w:val="single" w:sz="4" w:space="0" w:color="auto"/>
              <w:bottom w:val="single" w:sz="4" w:space="0" w:color="auto"/>
              <w:right w:val="single" w:sz="4" w:space="0" w:color="auto"/>
            </w:tcBorders>
          </w:tcPr>
          <w:p w14:paraId="61368D45" w14:textId="77777777" w:rsidR="000151D7" w:rsidRPr="00D83FD5" w:rsidRDefault="000151D7" w:rsidP="000151D7">
            <w:pPr>
              <w:spacing w:before="40" w:after="40"/>
              <w:rPr>
                <w:sz w:val="18"/>
                <w:szCs w:val="20"/>
              </w:rPr>
            </w:pPr>
            <w:r w:rsidRPr="00D83FD5">
              <w:rPr>
                <w:sz w:val="18"/>
                <w:szCs w:val="20"/>
              </w:rPr>
              <w:t>2</w:t>
            </w:r>
          </w:p>
        </w:tc>
        <w:tc>
          <w:tcPr>
            <w:tcW w:w="992" w:type="dxa"/>
            <w:tcBorders>
              <w:top w:val="single" w:sz="4" w:space="0" w:color="auto"/>
              <w:left w:val="single" w:sz="4" w:space="0" w:color="auto"/>
              <w:bottom w:val="single" w:sz="4" w:space="0" w:color="auto"/>
              <w:right w:val="single" w:sz="4" w:space="0" w:color="auto"/>
            </w:tcBorders>
          </w:tcPr>
          <w:p w14:paraId="04D676A6" w14:textId="77777777" w:rsidR="000151D7" w:rsidRPr="00D83FD5" w:rsidRDefault="000151D7" w:rsidP="000151D7">
            <w:pPr>
              <w:spacing w:before="40" w:after="40"/>
              <w:rPr>
                <w:sz w:val="18"/>
                <w:szCs w:val="20"/>
              </w:rPr>
            </w:pPr>
            <w:r w:rsidRPr="00D83FD5">
              <w:rPr>
                <w:sz w:val="18"/>
                <w:szCs w:val="20"/>
              </w:rPr>
              <w:t>0.1</w:t>
            </w:r>
          </w:p>
        </w:tc>
        <w:tc>
          <w:tcPr>
            <w:tcW w:w="1240" w:type="dxa"/>
            <w:tcBorders>
              <w:top w:val="single" w:sz="4" w:space="0" w:color="auto"/>
              <w:left w:val="single" w:sz="4" w:space="0" w:color="auto"/>
              <w:bottom w:val="single" w:sz="4" w:space="0" w:color="auto"/>
              <w:right w:val="single" w:sz="4" w:space="0" w:color="auto"/>
            </w:tcBorders>
          </w:tcPr>
          <w:p w14:paraId="329264F8" w14:textId="77777777" w:rsidR="000151D7" w:rsidRPr="00D83FD5" w:rsidRDefault="000151D7" w:rsidP="000151D7">
            <w:pPr>
              <w:spacing w:before="40" w:after="40"/>
              <w:rPr>
                <w:sz w:val="18"/>
                <w:szCs w:val="20"/>
              </w:rPr>
            </w:pPr>
            <w:r w:rsidRPr="00D83FD5">
              <w:rPr>
                <w:sz w:val="18"/>
                <w:szCs w:val="20"/>
              </w:rPr>
              <w:t>Uncommon</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tcPr>
          <w:p w14:paraId="35384D72" w14:textId="77777777" w:rsidR="000151D7" w:rsidRPr="00D83FD5" w:rsidRDefault="000151D7" w:rsidP="000151D7">
            <w:pPr>
              <w:spacing w:before="40" w:after="40"/>
              <w:rPr>
                <w:sz w:val="18"/>
                <w:szCs w:val="20"/>
              </w:rPr>
            </w:pPr>
            <w:r w:rsidRPr="00D83FD5">
              <w:rPr>
                <w:sz w:val="18"/>
                <w:szCs w:val="20"/>
              </w:rPr>
              <w:t>0</w:t>
            </w:r>
          </w:p>
        </w:tc>
        <w:tc>
          <w:tcPr>
            <w:tcW w:w="68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4BFFCF9A" w14:textId="77777777" w:rsidR="000151D7" w:rsidRPr="00D83FD5" w:rsidRDefault="000151D7" w:rsidP="000151D7">
            <w:pPr>
              <w:spacing w:before="40" w:after="40"/>
              <w:rPr>
                <w:sz w:val="18"/>
                <w:szCs w:val="20"/>
              </w:rPr>
            </w:pPr>
            <w:r w:rsidRPr="00D83FD5">
              <w:rPr>
                <w:sz w:val="18"/>
                <w:szCs w:val="20"/>
              </w:rPr>
              <w:t>0.0</w:t>
            </w:r>
          </w:p>
        </w:tc>
        <w:tc>
          <w:tcPr>
            <w:tcW w:w="1461" w:type="dxa"/>
            <w:tcBorders>
              <w:top w:val="single" w:sz="4" w:space="0" w:color="auto"/>
              <w:left w:val="single" w:sz="4" w:space="0" w:color="auto"/>
              <w:bottom w:val="single" w:sz="4" w:space="0" w:color="auto"/>
              <w:right w:val="single" w:sz="4" w:space="0" w:color="auto"/>
            </w:tcBorders>
            <w:shd w:val="clear" w:color="auto" w:fill="auto"/>
            <w:tcMar>
              <w:top w:w="15" w:type="dxa"/>
              <w:left w:w="40" w:type="dxa"/>
              <w:bottom w:w="0" w:type="dxa"/>
              <w:right w:w="40" w:type="dxa"/>
            </w:tcMar>
            <w:hideMark/>
          </w:tcPr>
          <w:p w14:paraId="2FCC21D6" w14:textId="77777777" w:rsidR="000151D7" w:rsidRPr="00D83FD5" w:rsidRDefault="000151D7" w:rsidP="000151D7">
            <w:pPr>
              <w:spacing w:before="40" w:after="40"/>
              <w:rPr>
                <w:sz w:val="18"/>
                <w:szCs w:val="20"/>
              </w:rPr>
            </w:pPr>
            <w:r w:rsidRPr="00D83FD5">
              <w:rPr>
                <w:sz w:val="18"/>
                <w:szCs w:val="20"/>
              </w:rPr>
              <w:t>-</w:t>
            </w:r>
          </w:p>
        </w:tc>
      </w:tr>
    </w:tbl>
    <w:p w14:paraId="5E9E4A5D" w14:textId="77777777" w:rsidR="000151D7" w:rsidRPr="00D83FD5" w:rsidRDefault="000151D7" w:rsidP="000151D7">
      <w:pPr>
        <w:rPr>
          <w:sz w:val="18"/>
          <w:szCs w:val="18"/>
        </w:rPr>
      </w:pPr>
      <w:r w:rsidRPr="00D83FD5">
        <w:rPr>
          <w:sz w:val="18"/>
          <w:szCs w:val="18"/>
        </w:rPr>
        <w:t>n: number of subjects experiencing the endpoint.</w:t>
      </w:r>
    </w:p>
    <w:bookmarkEnd w:id="9"/>
    <w:p w14:paraId="7D81E1F7" w14:textId="1A66A932" w:rsidR="000151D7" w:rsidRPr="00D83FD5" w:rsidRDefault="000151D7" w:rsidP="000151D7">
      <w:pPr>
        <w:rPr>
          <w:color w:val="auto"/>
          <w:lang w:val="en-AU"/>
        </w:rPr>
      </w:pPr>
      <w:r w:rsidRPr="00D83FD5">
        <w:t>B</w:t>
      </w:r>
      <w:proofErr w:type="spellStart"/>
      <w:r w:rsidRPr="00D83FD5">
        <w:rPr>
          <w:color w:val="auto"/>
          <w:lang w:val="en-AU"/>
        </w:rPr>
        <w:t>ased</w:t>
      </w:r>
      <w:proofErr w:type="spellEnd"/>
      <w:r w:rsidRPr="00D83FD5">
        <w:rPr>
          <w:color w:val="auto"/>
          <w:lang w:val="en-AU"/>
        </w:rPr>
        <w:t xml:space="preserve"> on data from TIV</w:t>
      </w:r>
      <w:r w:rsidR="00A50F74">
        <w:rPr>
          <w:color w:val="auto"/>
          <w:lang w:val="en-AU"/>
        </w:rPr>
        <w:t>-</w:t>
      </w:r>
      <w:r w:rsidRPr="00D83FD5">
        <w:rPr>
          <w:color w:val="auto"/>
          <w:lang w:val="en-AU"/>
        </w:rPr>
        <w:t>HD, solicited injection site reactions and systemic adverse reactions were slightly more frequent after vaccination with TIV</w:t>
      </w:r>
      <w:r w:rsidR="00A50F74">
        <w:rPr>
          <w:color w:val="auto"/>
          <w:lang w:val="en-AU"/>
        </w:rPr>
        <w:t>-</w:t>
      </w:r>
      <w:r w:rsidRPr="00D83FD5">
        <w:rPr>
          <w:color w:val="auto"/>
          <w:lang w:val="en-AU"/>
        </w:rPr>
        <w:t xml:space="preserve">HD compared to a standard dose vaccine. </w:t>
      </w:r>
    </w:p>
    <w:p w14:paraId="7E4EFA4E" w14:textId="77777777" w:rsidR="005E1DD4" w:rsidRPr="00D83FD5" w:rsidRDefault="005E1DD4" w:rsidP="00C879F2">
      <w:pPr>
        <w:pStyle w:val="Heading3"/>
        <w:numPr>
          <w:ilvl w:val="0"/>
          <w:numId w:val="0"/>
        </w:numPr>
        <w:ind w:left="680" w:hanging="680"/>
        <w:rPr>
          <w:lang w:val="en-AU"/>
        </w:rPr>
      </w:pPr>
      <w:r w:rsidRPr="00D83FD5">
        <w:rPr>
          <w:lang w:val="en-AU"/>
        </w:rPr>
        <w:t>Adverse Reactions from Post-Marketing Surveillance</w:t>
      </w:r>
    </w:p>
    <w:p w14:paraId="2B5BC0D9" w14:textId="11E86C10" w:rsidR="000151D7" w:rsidRPr="00D83FD5" w:rsidRDefault="005E1DD4" w:rsidP="005E1DD4">
      <w:pPr>
        <w:rPr>
          <w:color w:val="auto"/>
          <w:lang w:val="en-AU"/>
        </w:rPr>
      </w:pPr>
      <w:r w:rsidRPr="00D83FD5">
        <w:rPr>
          <w:color w:val="auto"/>
          <w:lang w:val="en-AU"/>
        </w:rPr>
        <w:t xml:space="preserve">The following events have been spontaneously reported during the post-approval use of </w:t>
      </w:r>
      <w:r w:rsidR="000151D7" w:rsidRPr="00D83FD5">
        <w:rPr>
          <w:color w:val="auto"/>
          <w:lang w:val="en-AU"/>
        </w:rPr>
        <w:t>TIV</w:t>
      </w:r>
      <w:r w:rsidR="00A50F74">
        <w:rPr>
          <w:color w:val="auto"/>
          <w:lang w:val="en-AU"/>
        </w:rPr>
        <w:t>-</w:t>
      </w:r>
      <w:r w:rsidR="000151D7" w:rsidRPr="00D83FD5">
        <w:rPr>
          <w:color w:val="auto"/>
          <w:lang w:val="en-AU"/>
        </w:rPr>
        <w:t xml:space="preserve">HD, and may occur in people receiving </w:t>
      </w:r>
      <w:r w:rsidR="000D1B52" w:rsidRPr="00D83FD5">
        <w:rPr>
          <w:lang w:val="en-AU"/>
        </w:rPr>
        <w:t>Fluzone High-Dose</w:t>
      </w:r>
      <w:r w:rsidR="000D1B52">
        <w:rPr>
          <w:lang w:val="en-AU"/>
        </w:rPr>
        <w:t xml:space="preserve"> </w:t>
      </w:r>
      <w:r w:rsidR="000D1B52" w:rsidRPr="005971E1">
        <w:rPr>
          <w:color w:val="auto"/>
          <w:lang w:val="en-AU"/>
        </w:rPr>
        <w:t>Quadrivalent</w:t>
      </w:r>
      <w:r w:rsidR="000151D7" w:rsidRPr="005971E1">
        <w:rPr>
          <w:color w:val="auto"/>
          <w:lang w:val="en-AU"/>
        </w:rPr>
        <w:t>.</w:t>
      </w:r>
    </w:p>
    <w:p w14:paraId="1E51F3EF" w14:textId="77777777"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Blood and Lymphatic System Disorders</w:t>
      </w:r>
      <w:r w:rsidRPr="00D83FD5">
        <w:rPr>
          <w:color w:val="auto"/>
          <w:lang w:val="en-AU"/>
        </w:rPr>
        <w:t>: Thrombocytopaenia, lymphadenopathy</w:t>
      </w:r>
    </w:p>
    <w:p w14:paraId="4907D411" w14:textId="47636EE2"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Immune System Disorders:</w:t>
      </w:r>
      <w:r w:rsidRPr="00D83FD5">
        <w:rPr>
          <w:color w:val="auto"/>
          <w:lang w:val="en-AU"/>
        </w:rPr>
        <w:t xml:space="preserve"> Anaphylaxis, other allergic/hypersensitivity reactions (including angioedema)</w:t>
      </w:r>
    </w:p>
    <w:p w14:paraId="4C5F6B83" w14:textId="77777777"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Eye Disorders</w:t>
      </w:r>
      <w:r w:rsidRPr="00D83FD5">
        <w:rPr>
          <w:color w:val="auto"/>
          <w:lang w:val="en-AU"/>
        </w:rPr>
        <w:t>: Ocular hyperaemia</w:t>
      </w:r>
    </w:p>
    <w:p w14:paraId="03AC6A8B" w14:textId="190B8659"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Nervous System Disorders:</w:t>
      </w:r>
      <w:r w:rsidRPr="00D83FD5">
        <w:rPr>
          <w:color w:val="auto"/>
          <w:lang w:val="en-AU"/>
        </w:rPr>
        <w:t xml:space="preserve"> Guillain-Barré syndrome (GBS), convulsions, febrile convulsions, myelitis (including encephalomyelitis and transverse myelitis), facial </w:t>
      </w:r>
      <w:r w:rsidRPr="00D83FD5">
        <w:rPr>
          <w:color w:val="auto"/>
          <w:lang w:val="en-AU"/>
        </w:rPr>
        <w:lastRenderedPageBreak/>
        <w:t>palsy (Bell’s palsy), optic neuritis/neuropathy, brachial neuritis, syncope (shortly after vaccination), paraesthesia</w:t>
      </w:r>
    </w:p>
    <w:p w14:paraId="088003D5" w14:textId="017C761A"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Vascular Disorders:</w:t>
      </w:r>
      <w:r w:rsidRPr="00D83FD5">
        <w:rPr>
          <w:color w:val="auto"/>
          <w:lang w:val="en-AU"/>
        </w:rPr>
        <w:t xml:space="preserve"> Vasculitis, vasodilatation</w:t>
      </w:r>
    </w:p>
    <w:p w14:paraId="1ECB775F" w14:textId="7EAF4CA1" w:rsidR="000151D7" w:rsidRPr="00D83FD5" w:rsidRDefault="000151D7" w:rsidP="000F103C">
      <w:pPr>
        <w:numPr>
          <w:ilvl w:val="0"/>
          <w:numId w:val="11"/>
        </w:numPr>
        <w:spacing w:before="120"/>
        <w:ind w:left="714" w:hanging="357"/>
        <w:jc w:val="both"/>
        <w:rPr>
          <w:color w:val="auto"/>
          <w:lang w:val="en-AU"/>
        </w:rPr>
      </w:pPr>
      <w:r w:rsidRPr="00D83FD5">
        <w:rPr>
          <w:i/>
          <w:color w:val="auto"/>
          <w:lang w:val="en-AU"/>
        </w:rPr>
        <w:t>Gastrointestinal Disorders</w:t>
      </w:r>
      <w:r w:rsidRPr="00D83FD5">
        <w:rPr>
          <w:color w:val="auto"/>
          <w:lang w:val="en-AU"/>
        </w:rPr>
        <w:t>: Vomiting</w:t>
      </w:r>
    </w:p>
    <w:p w14:paraId="321FB1BC" w14:textId="1AE5A921"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Respiratory, Thoracic and Mediastinal Disorders:</w:t>
      </w:r>
      <w:r w:rsidRPr="00D83FD5">
        <w:rPr>
          <w:color w:val="auto"/>
          <w:lang w:val="en-AU"/>
        </w:rPr>
        <w:t xml:space="preserve"> Dyspnoea, wheezing, throat tightness</w:t>
      </w:r>
      <w:r w:rsidR="000151D7" w:rsidRPr="00D83FD5">
        <w:rPr>
          <w:color w:val="auto"/>
          <w:lang w:val="en-AU"/>
        </w:rPr>
        <w:t>, oropharyngeal pain, and rhinorrhoea</w:t>
      </w:r>
    </w:p>
    <w:p w14:paraId="04F24B59" w14:textId="77777777"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Skin and Subcutaneous Tissue Disorders:</w:t>
      </w:r>
      <w:r w:rsidRPr="00D83FD5">
        <w:rPr>
          <w:color w:val="auto"/>
          <w:lang w:val="en-AU"/>
        </w:rPr>
        <w:t xml:space="preserve"> Stevens-Johnson syndrome</w:t>
      </w:r>
    </w:p>
    <w:p w14:paraId="5E4144D6" w14:textId="1076FB85" w:rsidR="005E1DD4" w:rsidRPr="00D83FD5" w:rsidRDefault="005E1DD4" w:rsidP="000F103C">
      <w:pPr>
        <w:numPr>
          <w:ilvl w:val="0"/>
          <w:numId w:val="11"/>
        </w:numPr>
        <w:spacing w:before="120"/>
        <w:ind w:left="714" w:hanging="357"/>
        <w:jc w:val="both"/>
        <w:rPr>
          <w:color w:val="auto"/>
          <w:lang w:val="en-AU"/>
        </w:rPr>
      </w:pPr>
      <w:r w:rsidRPr="00D83FD5">
        <w:rPr>
          <w:i/>
          <w:color w:val="auto"/>
          <w:lang w:val="en-AU"/>
        </w:rPr>
        <w:t>General Disorders and Administration Site Conditions:</w:t>
      </w:r>
      <w:r w:rsidRPr="00D83FD5">
        <w:rPr>
          <w:color w:val="auto"/>
          <w:lang w:val="en-AU"/>
        </w:rPr>
        <w:t xml:space="preserve"> </w:t>
      </w:r>
      <w:r w:rsidR="00955620" w:rsidRPr="00D83FD5">
        <w:rPr>
          <w:color w:val="auto"/>
          <w:lang w:val="en-AU"/>
        </w:rPr>
        <w:t>A</w:t>
      </w:r>
      <w:r w:rsidRPr="00D83FD5">
        <w:rPr>
          <w:color w:val="auto"/>
          <w:lang w:val="en-AU"/>
        </w:rPr>
        <w:t>sthenia, chest pain</w:t>
      </w:r>
    </w:p>
    <w:p w14:paraId="560BD80B" w14:textId="77777777" w:rsidR="00F27464" w:rsidRPr="00D83FD5" w:rsidRDefault="00F27464" w:rsidP="00F27464">
      <w:pPr>
        <w:jc w:val="both"/>
        <w:rPr>
          <w:rFonts w:ascii="Arial" w:eastAsia="MS Gothic" w:hAnsi="Arial" w:cs="Arial"/>
          <w:b/>
          <w:noProof/>
          <w:color w:val="auto"/>
          <w:kern w:val="32"/>
          <w:sz w:val="22"/>
          <w:szCs w:val="26"/>
          <w:lang w:val="en-AU"/>
        </w:rPr>
      </w:pPr>
      <w:r w:rsidRPr="00D83FD5">
        <w:rPr>
          <w:rFonts w:ascii="Arial" w:eastAsia="MS Gothic" w:hAnsi="Arial" w:cs="Arial"/>
          <w:b/>
          <w:noProof/>
          <w:color w:val="auto"/>
          <w:kern w:val="32"/>
          <w:sz w:val="22"/>
          <w:szCs w:val="26"/>
          <w:lang w:val="en-AU"/>
        </w:rPr>
        <w:t>Reporting suspected adverse effects</w:t>
      </w:r>
    </w:p>
    <w:p w14:paraId="1F6C14D6" w14:textId="10B4AF01" w:rsidR="00F27464" w:rsidRPr="00D83FD5" w:rsidRDefault="00F27464" w:rsidP="00D22F49">
      <w:pPr>
        <w:rPr>
          <w:color w:val="auto"/>
          <w:lang w:val="en-AU"/>
        </w:rPr>
      </w:pPr>
      <w:r w:rsidRPr="00D83FD5">
        <w:rPr>
          <w:color w:val="auto"/>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7" w:history="1">
        <w:r w:rsidRPr="00D83FD5">
          <w:rPr>
            <w:rStyle w:val="Hyperlink"/>
            <w:color w:val="auto"/>
            <w:u w:val="none"/>
            <w:lang w:val="en-AU"/>
          </w:rPr>
          <w:t>www.tga.gov.au/reporting-problems</w:t>
        </w:r>
      </w:hyperlink>
      <w:r w:rsidRPr="00D83FD5">
        <w:rPr>
          <w:color w:val="auto"/>
          <w:lang w:val="en-AU"/>
        </w:rPr>
        <w:t>.</w:t>
      </w:r>
    </w:p>
    <w:p w14:paraId="3625C4E6" w14:textId="77777777" w:rsidR="001A3992" w:rsidRPr="00D83FD5" w:rsidRDefault="001A3992" w:rsidP="00C879F2">
      <w:pPr>
        <w:pStyle w:val="Heading2"/>
        <w:rPr>
          <w:lang w:val="en-AU"/>
        </w:rPr>
      </w:pPr>
      <w:r w:rsidRPr="00D83FD5">
        <w:rPr>
          <w:lang w:val="en-AU"/>
        </w:rPr>
        <w:t>Overdose</w:t>
      </w:r>
    </w:p>
    <w:p w14:paraId="488CCA71" w14:textId="4FAD7E5D" w:rsidR="00D22F49" w:rsidRPr="00D83FD5" w:rsidRDefault="00D22F49" w:rsidP="00D22F49">
      <w:r w:rsidRPr="00D83FD5">
        <w:t>Cases of administration of more than the recommended dose have been reported with TIV</w:t>
      </w:r>
      <w:r w:rsidR="00A50F74">
        <w:t>-</w:t>
      </w:r>
      <w:r w:rsidRPr="00D83FD5">
        <w:t>HD associated with inadvertent use in the population below 65 years of age due to medication error. When adverse reactions were reported, the information was consistent with the known safety profile of TIV</w:t>
      </w:r>
      <w:r w:rsidR="00A50F74">
        <w:t>-</w:t>
      </w:r>
      <w:r w:rsidRPr="00D83FD5">
        <w:t>HD.</w:t>
      </w:r>
    </w:p>
    <w:p w14:paraId="4AC76A88" w14:textId="497A2DD5" w:rsidR="00186FEC" w:rsidRPr="00D83FD5" w:rsidRDefault="00B80316" w:rsidP="00186FEC">
      <w:pPr>
        <w:jc w:val="both"/>
        <w:rPr>
          <w:rFonts w:eastAsia="Times New Roman"/>
          <w:noProof/>
          <w:color w:val="auto"/>
          <w:szCs w:val="20"/>
          <w:lang w:val="en-AU"/>
        </w:rPr>
      </w:pPr>
      <w:r w:rsidRPr="00D83FD5">
        <w:rPr>
          <w:color w:val="auto"/>
          <w:lang w:val="en-AU"/>
        </w:rPr>
        <w:t>For information on the management of overdose, contact the Poisons Information Centre on 13 11 26</w:t>
      </w:r>
      <w:r w:rsidR="00186FEC" w:rsidRPr="00D83FD5">
        <w:rPr>
          <w:noProof/>
          <w:color w:val="auto"/>
          <w:lang w:val="en-AU"/>
        </w:rPr>
        <w:t>.</w:t>
      </w:r>
    </w:p>
    <w:p w14:paraId="1FCA869A" w14:textId="77777777" w:rsidR="001A3992" w:rsidRPr="00D83FD5" w:rsidRDefault="001A3992" w:rsidP="00C879F2">
      <w:pPr>
        <w:pStyle w:val="Heading1"/>
        <w:pageBreakBefore w:val="0"/>
        <w:rPr>
          <w:lang w:val="en-AU"/>
        </w:rPr>
      </w:pPr>
      <w:r w:rsidRPr="00D83FD5">
        <w:rPr>
          <w:lang w:val="en-AU"/>
        </w:rPr>
        <w:t>Pharmacological properties</w:t>
      </w:r>
    </w:p>
    <w:p w14:paraId="379A8C46" w14:textId="77777777" w:rsidR="001A3992" w:rsidRPr="00D83FD5" w:rsidRDefault="001A3992" w:rsidP="00C879F2">
      <w:pPr>
        <w:pStyle w:val="Heading2"/>
        <w:rPr>
          <w:lang w:val="en-AU"/>
        </w:rPr>
      </w:pPr>
      <w:r w:rsidRPr="00D83FD5">
        <w:rPr>
          <w:lang w:val="en-AU"/>
        </w:rPr>
        <w:t xml:space="preserve">Pharmacodynamic properties </w:t>
      </w:r>
    </w:p>
    <w:p w14:paraId="3F043A76" w14:textId="77777777" w:rsidR="00B80316" w:rsidRPr="00D83FD5" w:rsidRDefault="00B80316" w:rsidP="00B80316">
      <w:pPr>
        <w:rPr>
          <w:noProof/>
          <w:color w:val="auto"/>
          <w:szCs w:val="16"/>
          <w:lang w:val="en-AU"/>
        </w:rPr>
      </w:pPr>
      <w:r w:rsidRPr="00D83FD5">
        <w:rPr>
          <w:noProof/>
          <w:color w:val="auto"/>
          <w:szCs w:val="16"/>
          <w:lang w:val="en-AU"/>
        </w:rPr>
        <w:t>Pharmacotherapeutic group: Influenza vaccine, ATC code: J07BB</w:t>
      </w:r>
    </w:p>
    <w:p w14:paraId="2043A353" w14:textId="77777777" w:rsidR="001A3992" w:rsidRPr="00D83FD5" w:rsidRDefault="001A3992" w:rsidP="00C879F2">
      <w:pPr>
        <w:pStyle w:val="Heading3"/>
        <w:numPr>
          <w:ilvl w:val="0"/>
          <w:numId w:val="0"/>
        </w:numPr>
        <w:ind w:left="680" w:hanging="680"/>
        <w:rPr>
          <w:lang w:val="en-AU"/>
        </w:rPr>
      </w:pPr>
      <w:r w:rsidRPr="00D83FD5">
        <w:rPr>
          <w:lang w:val="en-AU"/>
        </w:rPr>
        <w:t>Mechanism of action</w:t>
      </w:r>
    </w:p>
    <w:p w14:paraId="654FF2B8" w14:textId="0CFB43D9" w:rsidR="00D22F49" w:rsidRPr="00D83FD5" w:rsidRDefault="00D22F49" w:rsidP="00D22F49">
      <w:pPr>
        <w:rPr>
          <w:color w:val="auto"/>
          <w:lang w:val="en-AU"/>
        </w:rPr>
      </w:pPr>
      <w:r w:rsidRPr="00D83FD5">
        <w:t>I</w:t>
      </w:r>
      <w:proofErr w:type="spellStart"/>
      <w:r w:rsidRPr="00D83FD5">
        <w:rPr>
          <w:color w:val="auto"/>
          <w:lang w:val="en-AU"/>
        </w:rPr>
        <w:t>nfluenza</w:t>
      </w:r>
      <w:proofErr w:type="spellEnd"/>
      <w:r w:rsidRPr="00D83FD5">
        <w:rPr>
          <w:color w:val="auto"/>
          <w:lang w:val="en-AU"/>
        </w:rPr>
        <w:t xml:space="preserve"> illness and its complications like primary viral or secondary bacterial pneumonia, serious cardiac events, and neurologic complications as well as exacerbation of underlying conditions like congestive heart failure, chronic obstructive pulmonary disease (COPD), asthma, and diabetes follow infection with influenza viruses. Global surveillance of influenza identifies yearly antigenic variants. For example, since 1977, antigenic variants of influenza A (H1N1 and H3N2) viruses and influenza B viruses have been in global circulation. Specific levels of hemagglutination inhibition (HAI) antibody titr</w:t>
      </w:r>
      <w:r w:rsidR="00E259C1" w:rsidRPr="00D83FD5">
        <w:rPr>
          <w:color w:val="auto"/>
          <w:lang w:val="en-AU"/>
        </w:rPr>
        <w:t>e</w:t>
      </w:r>
      <w:r w:rsidRPr="00D83FD5">
        <w:rPr>
          <w:color w:val="auto"/>
          <w:lang w:val="en-AU"/>
        </w:rPr>
        <w:t xml:space="preserve"> post-vaccination with inactivated influenza virus vaccines have not been correlated with protection from influenza virus infection. </w:t>
      </w:r>
    </w:p>
    <w:p w14:paraId="185308FD" w14:textId="77777777" w:rsidR="00D22F49" w:rsidRPr="00D83FD5" w:rsidRDefault="00D22F49" w:rsidP="00D22F49">
      <w:pPr>
        <w:rPr>
          <w:color w:val="auto"/>
          <w:lang w:val="en-AU"/>
        </w:rPr>
      </w:pPr>
      <w:r w:rsidRPr="00D83FD5">
        <w:lastRenderedPageBreak/>
        <w:t>A</w:t>
      </w:r>
      <w:proofErr w:type="spellStart"/>
      <w:r w:rsidRPr="00D83FD5">
        <w:rPr>
          <w:color w:val="auto"/>
          <w:lang w:val="en-AU"/>
        </w:rPr>
        <w:t>ntibodies</w:t>
      </w:r>
      <w:proofErr w:type="spellEnd"/>
      <w:r w:rsidRPr="00D83FD5">
        <w:rPr>
          <w:color w:val="auto"/>
          <w:lang w:val="en-AU"/>
        </w:rPr>
        <w:t xml:space="preserve"> against one influenza virus type or subtype confer limited or no protection against another. Furthermore, antibodies to one antigenic variant of influenza virus might not protect against a new antigenic variant of the same type or subtype. Frequent development of antigenic variants through antigenic drift is the virological basis for seasonal epidemics and the reason for the usual change of one or more strains in each year’s influenza vaccine. Therefore, influenza vaccines are standardized to contain the hemagglutinins of influenza virus strains representing the influenza viruses likely to be circulating in the upcoming season. </w:t>
      </w:r>
    </w:p>
    <w:p w14:paraId="68730D7E" w14:textId="6258456C" w:rsidR="00D22F49" w:rsidRPr="00D83FD5" w:rsidRDefault="00D22F49" w:rsidP="00D22F49">
      <w:pPr>
        <w:pStyle w:val="Heading3"/>
        <w:numPr>
          <w:ilvl w:val="0"/>
          <w:numId w:val="0"/>
        </w:numPr>
        <w:spacing w:before="240"/>
        <w:rPr>
          <w:rFonts w:ascii="Times New Roman" w:eastAsia="MS Mincho" w:hAnsi="Times New Roman" w:cs="Times New Roman"/>
          <w:b w:val="0"/>
          <w:kern w:val="0"/>
          <w:sz w:val="24"/>
          <w:szCs w:val="24"/>
          <w:lang w:val="en-AU"/>
        </w:rPr>
      </w:pPr>
      <w:r w:rsidRPr="00D83FD5">
        <w:rPr>
          <w:rFonts w:ascii="Times New Roman" w:eastAsia="MS Mincho" w:hAnsi="Times New Roman" w:cs="Times New Roman"/>
          <w:b w:val="0"/>
          <w:kern w:val="0"/>
          <w:sz w:val="24"/>
          <w:szCs w:val="24"/>
          <w:lang w:val="en-AU"/>
        </w:rPr>
        <w:t>Annual influenza vaccination is recommended because immunity during the year after vaccination declines and because circulating strains of influenza virus change from year to year.</w:t>
      </w:r>
    </w:p>
    <w:p w14:paraId="33F08249" w14:textId="48CDA850" w:rsidR="00D22F49" w:rsidRPr="007B75F7" w:rsidRDefault="00D22F49" w:rsidP="00D22F49">
      <w:pPr>
        <w:rPr>
          <w:color w:val="auto"/>
          <w:lang w:val="en-AU"/>
        </w:rPr>
      </w:pPr>
      <w:r w:rsidRPr="007B75F7">
        <w:rPr>
          <w:color w:val="auto"/>
          <w:lang w:val="en-AU"/>
        </w:rPr>
        <w:t xml:space="preserve">The indication of </w:t>
      </w:r>
      <w:r w:rsidR="000D1B52" w:rsidRPr="00D83FD5">
        <w:rPr>
          <w:lang w:val="en-AU"/>
        </w:rPr>
        <w:t>Fluzone High-Dose</w:t>
      </w:r>
      <w:r w:rsidR="000D1B52">
        <w:rPr>
          <w:lang w:val="en-AU"/>
        </w:rPr>
        <w:t xml:space="preserve"> </w:t>
      </w:r>
      <w:r w:rsidR="000D1B52" w:rsidRPr="005971E1">
        <w:rPr>
          <w:color w:val="auto"/>
          <w:lang w:val="en-AU"/>
        </w:rPr>
        <w:t xml:space="preserve">Quadrivalent </w:t>
      </w:r>
      <w:r w:rsidRPr="005971E1">
        <w:rPr>
          <w:color w:val="auto"/>
          <w:lang w:val="en-AU"/>
        </w:rPr>
        <w:t xml:space="preserve">is based on the demonstration of noninferior immunogenicity between </w:t>
      </w:r>
      <w:r w:rsidR="000D1B52" w:rsidRPr="005971E1">
        <w:rPr>
          <w:color w:val="auto"/>
          <w:lang w:val="en-AU"/>
        </w:rPr>
        <w:t xml:space="preserve">Fluzone High-Dose Quadrivalent </w:t>
      </w:r>
      <w:r w:rsidRPr="005971E1">
        <w:rPr>
          <w:color w:val="auto"/>
          <w:lang w:val="en-AU"/>
        </w:rPr>
        <w:t>and TIV</w:t>
      </w:r>
      <w:r w:rsidR="00A50F74" w:rsidRPr="005971E1">
        <w:rPr>
          <w:color w:val="auto"/>
          <w:lang w:val="en-AU"/>
        </w:rPr>
        <w:t>-</w:t>
      </w:r>
      <w:r w:rsidRPr="005971E1">
        <w:rPr>
          <w:color w:val="auto"/>
          <w:lang w:val="en-AU"/>
        </w:rPr>
        <w:t xml:space="preserve">HD which allows the efficacy of </w:t>
      </w:r>
      <w:r w:rsidR="000D1B52" w:rsidRPr="005971E1">
        <w:rPr>
          <w:color w:val="auto"/>
          <w:lang w:val="en-AU"/>
        </w:rPr>
        <w:t xml:space="preserve">Fluzone High-Dose Quadrivalent </w:t>
      </w:r>
      <w:r w:rsidRPr="005971E1">
        <w:rPr>
          <w:color w:val="auto"/>
          <w:lang w:val="en-AU"/>
        </w:rPr>
        <w:t>to be inferred from that for TIV</w:t>
      </w:r>
      <w:r w:rsidR="00A50F74" w:rsidRPr="005971E1">
        <w:rPr>
          <w:color w:val="auto"/>
          <w:lang w:val="en-AU"/>
        </w:rPr>
        <w:t>-</w:t>
      </w:r>
      <w:r w:rsidRPr="005971E1">
        <w:rPr>
          <w:color w:val="auto"/>
          <w:lang w:val="en-AU"/>
        </w:rPr>
        <w:t xml:space="preserve">HD. Similarly, the effectiveness for </w:t>
      </w:r>
      <w:r w:rsidR="000D1B52" w:rsidRPr="005971E1">
        <w:rPr>
          <w:color w:val="auto"/>
          <w:lang w:val="en-AU"/>
        </w:rPr>
        <w:t xml:space="preserve">Fluzone High-Dose Quadrivalent </w:t>
      </w:r>
      <w:r w:rsidRPr="007B75F7">
        <w:rPr>
          <w:color w:val="auto"/>
          <w:lang w:val="en-AU"/>
        </w:rPr>
        <w:t>can also be inferred from the data generated for TIV</w:t>
      </w:r>
      <w:r w:rsidR="00A50F74" w:rsidRPr="007B75F7">
        <w:rPr>
          <w:color w:val="auto"/>
          <w:lang w:val="en-AU"/>
        </w:rPr>
        <w:t>-</w:t>
      </w:r>
      <w:r w:rsidRPr="007B75F7">
        <w:rPr>
          <w:color w:val="auto"/>
          <w:lang w:val="en-AU"/>
        </w:rPr>
        <w:t>HD.</w:t>
      </w:r>
    </w:p>
    <w:p w14:paraId="4F857ADD" w14:textId="02AEB9F0" w:rsidR="00D22F49" w:rsidRPr="002750DC" w:rsidRDefault="00D22F49" w:rsidP="00D22F49">
      <w:pPr>
        <w:rPr>
          <w:color w:val="auto"/>
          <w:lang w:val="en-AU"/>
        </w:rPr>
      </w:pPr>
      <w:r w:rsidRPr="002750DC">
        <w:rPr>
          <w:color w:val="auto"/>
          <w:lang w:val="en-AU"/>
        </w:rPr>
        <w:t xml:space="preserve">Thus, </w:t>
      </w:r>
      <w:r w:rsidR="000D1B52" w:rsidRPr="00D83FD5">
        <w:rPr>
          <w:lang w:val="en-AU"/>
        </w:rPr>
        <w:t>Fluzone High-Dose</w:t>
      </w:r>
      <w:r w:rsidR="000D1B52">
        <w:rPr>
          <w:lang w:val="en-AU"/>
        </w:rPr>
        <w:t xml:space="preserve"> </w:t>
      </w:r>
      <w:r w:rsidR="000D1B52" w:rsidRPr="005971E1">
        <w:rPr>
          <w:color w:val="auto"/>
          <w:lang w:val="en-AU"/>
        </w:rPr>
        <w:t xml:space="preserve">Quadrivalent </w:t>
      </w:r>
      <w:r w:rsidRPr="002750DC">
        <w:rPr>
          <w:color w:val="auto"/>
          <w:lang w:val="en-AU"/>
        </w:rPr>
        <w:t>is inferred to be more effective in preventing influenza and its complications,</w:t>
      </w:r>
      <w:r w:rsidR="005971E1">
        <w:rPr>
          <w:color w:val="auto"/>
          <w:lang w:val="en-AU"/>
        </w:rPr>
        <w:t xml:space="preserve"> </w:t>
      </w:r>
      <w:r w:rsidRPr="002750DC">
        <w:rPr>
          <w:color w:val="auto"/>
          <w:lang w:val="en-AU"/>
        </w:rPr>
        <w:t>compared to standard dose inactivated influenza vaccine (15 micrograms of each of the strains) in adults 65 years of age and older.</w:t>
      </w:r>
    </w:p>
    <w:p w14:paraId="13CD376B" w14:textId="77777777" w:rsidR="001A3992" w:rsidRPr="00D83FD5" w:rsidRDefault="001A3992" w:rsidP="00C879F2">
      <w:pPr>
        <w:pStyle w:val="Heading3"/>
        <w:numPr>
          <w:ilvl w:val="0"/>
          <w:numId w:val="0"/>
        </w:numPr>
        <w:ind w:left="680" w:hanging="680"/>
        <w:rPr>
          <w:lang w:val="en-AU"/>
        </w:rPr>
      </w:pPr>
      <w:r w:rsidRPr="00D83FD5">
        <w:rPr>
          <w:lang w:val="en-AU"/>
        </w:rPr>
        <w:t>Clinical trials</w:t>
      </w:r>
    </w:p>
    <w:p w14:paraId="4E252EE7" w14:textId="510055A5" w:rsidR="00B80316" w:rsidRPr="00D83FD5" w:rsidRDefault="00B80316" w:rsidP="00FF0777">
      <w:pPr>
        <w:pStyle w:val="Heading4"/>
        <w:numPr>
          <w:ilvl w:val="0"/>
          <w:numId w:val="0"/>
        </w:numPr>
        <w:ind w:left="862" w:hanging="862"/>
        <w:rPr>
          <w:lang w:val="en-AU"/>
        </w:rPr>
      </w:pPr>
      <w:r w:rsidRPr="00D83FD5">
        <w:rPr>
          <w:lang w:val="en-AU"/>
        </w:rPr>
        <w:t xml:space="preserve">Immunogenicity </w:t>
      </w:r>
    </w:p>
    <w:p w14:paraId="622239E2" w14:textId="77777777" w:rsidR="00D22F49" w:rsidRPr="00D83FD5" w:rsidRDefault="00D22F49" w:rsidP="00D22F49">
      <w:pPr>
        <w:pStyle w:val="wcpSubHeading"/>
        <w:rPr>
          <w:b w:val="0"/>
          <w:i w:val="0"/>
          <w:u w:val="single"/>
        </w:rPr>
      </w:pPr>
      <w:r w:rsidRPr="00D83FD5">
        <w:rPr>
          <w:b w:val="0"/>
          <w:i w:val="0"/>
          <w:u w:val="single"/>
        </w:rPr>
        <w:t>QHD00013</w:t>
      </w:r>
    </w:p>
    <w:p w14:paraId="4726B318" w14:textId="58CCDB77" w:rsidR="00D22F49" w:rsidRPr="00D83FD5" w:rsidRDefault="00D22F49" w:rsidP="00D22F49">
      <w:pPr>
        <w:rPr>
          <w:color w:val="auto"/>
          <w:lang w:val="en-AU"/>
        </w:rPr>
      </w:pPr>
      <w:r w:rsidRPr="00D83FD5">
        <w:rPr>
          <w:color w:val="auto"/>
          <w:lang w:val="en-AU"/>
        </w:rPr>
        <w:t>QHD00013 was a randomised, active-controlled, modified double-blind Phase III clinical trial conducted in the US (NCT 03282240) in adults 65 years and older.</w:t>
      </w:r>
    </w:p>
    <w:p w14:paraId="5FAD9C4E" w14:textId="041FE6A3" w:rsidR="00D22F49" w:rsidRPr="00D83FD5" w:rsidRDefault="00D22F49" w:rsidP="00D22F49">
      <w:pPr>
        <w:rPr>
          <w:color w:val="auto"/>
          <w:lang w:val="en-AU"/>
        </w:rPr>
      </w:pPr>
      <w:r w:rsidRPr="00D83FD5">
        <w:rPr>
          <w:color w:val="auto"/>
          <w:lang w:val="en-AU"/>
        </w:rPr>
        <w:t xml:space="preserve">The objective was to demonstrate the noninferiority of </w:t>
      </w:r>
      <w:r w:rsidR="000D1B52" w:rsidRPr="00D83FD5">
        <w:rPr>
          <w:lang w:val="en-AU"/>
        </w:rPr>
        <w:t>Fluzone High-Dose</w:t>
      </w:r>
      <w:r w:rsidR="000D1B52">
        <w:rPr>
          <w:lang w:val="en-AU"/>
        </w:rPr>
        <w:t xml:space="preserve"> </w:t>
      </w:r>
      <w:r w:rsidR="000D1B52" w:rsidRPr="005971E1">
        <w:rPr>
          <w:color w:val="auto"/>
          <w:lang w:val="en-AU"/>
        </w:rPr>
        <w:t xml:space="preserve">Quadrivalent </w:t>
      </w:r>
      <w:r w:rsidRPr="00D83FD5">
        <w:rPr>
          <w:color w:val="auto"/>
          <w:lang w:val="en-AU"/>
        </w:rPr>
        <w:t>over TIV</w:t>
      </w:r>
      <w:r w:rsidR="00A50F74">
        <w:rPr>
          <w:color w:val="auto"/>
          <w:lang w:val="en-AU"/>
        </w:rPr>
        <w:t>-</w:t>
      </w:r>
      <w:r w:rsidRPr="00D83FD5">
        <w:rPr>
          <w:color w:val="auto"/>
          <w:lang w:val="en-AU"/>
        </w:rPr>
        <w:t>HD, as assessed by HAI (hemagglutinin inhibition) Geometric mean antibody titr</w:t>
      </w:r>
      <w:r w:rsidR="00E259C1" w:rsidRPr="00D83FD5">
        <w:rPr>
          <w:color w:val="auto"/>
          <w:lang w:val="en-AU"/>
        </w:rPr>
        <w:t>e</w:t>
      </w:r>
      <w:r w:rsidRPr="00D83FD5">
        <w:rPr>
          <w:color w:val="auto"/>
          <w:lang w:val="en-AU"/>
        </w:rPr>
        <w:t>s (GMTs) at Day 28 and seroconversion rates.</w:t>
      </w:r>
    </w:p>
    <w:p w14:paraId="4B843983" w14:textId="24ACA70D" w:rsidR="00D22F49" w:rsidRPr="00D83FD5" w:rsidRDefault="00D22F49" w:rsidP="00D22F49">
      <w:pPr>
        <w:jc w:val="both"/>
      </w:pPr>
      <w:r w:rsidRPr="00D83FD5">
        <w:t xml:space="preserve">A total of 2670 adults from 65 years of age were </w:t>
      </w:r>
      <w:proofErr w:type="spellStart"/>
      <w:r w:rsidRPr="00D83FD5">
        <w:t>randomi</w:t>
      </w:r>
      <w:r w:rsidR="00D91E97" w:rsidRPr="00D83FD5">
        <w:t>s</w:t>
      </w:r>
      <w:r w:rsidRPr="00D83FD5">
        <w:t>ed</w:t>
      </w:r>
      <w:proofErr w:type="spellEnd"/>
      <w:r w:rsidRPr="00D83FD5">
        <w:t xml:space="preserve"> to receive either one dose of </w:t>
      </w:r>
      <w:r w:rsidR="000D1B52" w:rsidRPr="00D83FD5">
        <w:rPr>
          <w:lang w:val="en-AU"/>
        </w:rPr>
        <w:t>Fluzone High-Dose</w:t>
      </w:r>
      <w:r w:rsidR="000D1B52">
        <w:rPr>
          <w:lang w:val="en-AU"/>
        </w:rPr>
        <w:t xml:space="preserve"> </w:t>
      </w:r>
      <w:r w:rsidR="000D1B52" w:rsidRPr="005971E1">
        <w:rPr>
          <w:color w:val="auto"/>
          <w:lang w:val="en-AU"/>
        </w:rPr>
        <w:t xml:space="preserve">Quadrivalent </w:t>
      </w:r>
      <w:r w:rsidRPr="005971E1">
        <w:rPr>
          <w:color w:val="auto"/>
        </w:rPr>
        <w:t>or one dose of TIV</w:t>
      </w:r>
      <w:r w:rsidR="00A50F74" w:rsidRPr="005971E1">
        <w:rPr>
          <w:color w:val="auto"/>
        </w:rPr>
        <w:t>-</w:t>
      </w:r>
      <w:r w:rsidRPr="005971E1">
        <w:rPr>
          <w:color w:val="auto"/>
        </w:rPr>
        <w:t>HD (one of two formulations of comparator vaccine [TIV-HD1 or TIV-HD2]); each TIV</w:t>
      </w:r>
      <w:r w:rsidR="00A50F74" w:rsidRPr="005971E1">
        <w:rPr>
          <w:color w:val="auto"/>
        </w:rPr>
        <w:t>-</w:t>
      </w:r>
      <w:r w:rsidRPr="005971E1">
        <w:rPr>
          <w:color w:val="auto"/>
        </w:rPr>
        <w:t xml:space="preserve">HD formulation contained a B strain that corresponds to one of the two B strains in </w:t>
      </w:r>
      <w:r w:rsidR="000D1B52" w:rsidRPr="005971E1">
        <w:rPr>
          <w:color w:val="auto"/>
          <w:lang w:val="en-AU"/>
        </w:rPr>
        <w:t xml:space="preserve">Fluzone High-Dose Quadrivalent </w:t>
      </w:r>
      <w:r w:rsidRPr="005971E1">
        <w:rPr>
          <w:color w:val="auto"/>
        </w:rPr>
        <w:t>(either a B strain of the Yamagata lineage or a B strain of the Victoria lineage)</w:t>
      </w:r>
      <w:bookmarkStart w:id="10" w:name="Table_20160118_155109SNPH"/>
      <w:bookmarkStart w:id="11" w:name="_Toc475630626"/>
      <w:r w:rsidRPr="005971E1">
        <w:rPr>
          <w:color w:val="auto"/>
        </w:rPr>
        <w:t xml:space="preserve">. The mean age was 72.9 years in the </w:t>
      </w:r>
      <w:r w:rsidR="000D1B52" w:rsidRPr="005971E1">
        <w:rPr>
          <w:color w:val="auto"/>
          <w:lang w:val="en-AU"/>
        </w:rPr>
        <w:t xml:space="preserve">Fluzone High-Dose Quadrivalent </w:t>
      </w:r>
      <w:r w:rsidRPr="005971E1">
        <w:rPr>
          <w:color w:val="auto"/>
        </w:rPr>
        <w:t>group (ranged from 65 through 100 years) and the mean age was 73.0 in the TIV</w:t>
      </w:r>
      <w:r w:rsidR="00A50F74" w:rsidRPr="005971E1">
        <w:rPr>
          <w:color w:val="auto"/>
        </w:rPr>
        <w:t>-</w:t>
      </w:r>
      <w:r w:rsidRPr="005971E1">
        <w:rPr>
          <w:color w:val="auto"/>
        </w:rPr>
        <w:t xml:space="preserve">HD group (ranged from 65 through 95 years).  35.4% of participants in the </w:t>
      </w:r>
      <w:r w:rsidR="000D1B52" w:rsidRPr="005971E1">
        <w:rPr>
          <w:color w:val="auto"/>
          <w:lang w:val="en-AU"/>
        </w:rPr>
        <w:t xml:space="preserve">Fluzone High-Dose Quadrivalent </w:t>
      </w:r>
      <w:r w:rsidRPr="005971E1">
        <w:rPr>
          <w:color w:val="auto"/>
        </w:rPr>
        <w:t xml:space="preserve">group </w:t>
      </w:r>
      <w:r w:rsidRPr="00D83FD5">
        <w:t>and 35.8% of participants in the TIV</w:t>
      </w:r>
      <w:r w:rsidR="00A50F74">
        <w:t>-</w:t>
      </w:r>
      <w:r w:rsidRPr="00D83FD5">
        <w:t>HD group were 75 years of age or older.</w:t>
      </w:r>
    </w:p>
    <w:p w14:paraId="3A39A4CE" w14:textId="7B575B7E" w:rsidR="00D22F49" w:rsidRPr="005971E1" w:rsidRDefault="00D22F49" w:rsidP="00D22F49">
      <w:pPr>
        <w:jc w:val="both"/>
        <w:rPr>
          <w:color w:val="auto"/>
        </w:rPr>
      </w:pPr>
      <w:r w:rsidRPr="00D83FD5">
        <w:t xml:space="preserve">The immunogenicity results of </w:t>
      </w:r>
      <w:r w:rsidR="000D1B52" w:rsidRPr="00D83FD5">
        <w:rPr>
          <w:lang w:val="en-AU"/>
        </w:rPr>
        <w:t>Fluzone High-Dose</w:t>
      </w:r>
      <w:r w:rsidR="000D1B52">
        <w:rPr>
          <w:lang w:val="en-AU"/>
        </w:rPr>
        <w:t xml:space="preserve"> </w:t>
      </w:r>
      <w:r w:rsidR="000D1B52" w:rsidRPr="005971E1">
        <w:rPr>
          <w:color w:val="auto"/>
          <w:lang w:val="en-AU"/>
        </w:rPr>
        <w:t xml:space="preserve">Quadrivalent </w:t>
      </w:r>
      <w:r w:rsidRPr="005971E1">
        <w:rPr>
          <w:color w:val="auto"/>
        </w:rPr>
        <w:t xml:space="preserve">in the QHD00013 study are </w:t>
      </w:r>
      <w:proofErr w:type="spellStart"/>
      <w:r w:rsidRPr="005971E1">
        <w:rPr>
          <w:color w:val="auto"/>
        </w:rPr>
        <w:t>summari</w:t>
      </w:r>
      <w:r w:rsidR="008527C7" w:rsidRPr="005971E1">
        <w:rPr>
          <w:color w:val="auto"/>
        </w:rPr>
        <w:t>s</w:t>
      </w:r>
      <w:r w:rsidRPr="005971E1">
        <w:rPr>
          <w:color w:val="auto"/>
        </w:rPr>
        <w:t>ed</w:t>
      </w:r>
      <w:proofErr w:type="spellEnd"/>
      <w:r w:rsidRPr="005971E1">
        <w:rPr>
          <w:color w:val="auto"/>
        </w:rPr>
        <w:t xml:space="preserve"> below in </w:t>
      </w:r>
      <w:r w:rsidRPr="005971E1">
        <w:rPr>
          <w:b/>
          <w:color w:val="auto"/>
        </w:rPr>
        <w:fldChar w:fldCharType="begin"/>
      </w:r>
      <w:r w:rsidRPr="005971E1">
        <w:rPr>
          <w:b/>
          <w:color w:val="auto"/>
        </w:rPr>
        <w:instrText xml:space="preserve"> REF Table_20181023_111604WUJZ \h  \* MERGEFORMAT </w:instrText>
      </w:r>
      <w:r w:rsidRPr="005971E1">
        <w:rPr>
          <w:b/>
          <w:color w:val="auto"/>
        </w:rPr>
      </w:r>
      <w:r w:rsidRPr="005971E1">
        <w:rPr>
          <w:b/>
          <w:color w:val="auto"/>
        </w:rPr>
        <w:fldChar w:fldCharType="separate"/>
      </w:r>
      <w:r w:rsidRPr="005971E1">
        <w:rPr>
          <w:b/>
          <w:color w:val="auto"/>
        </w:rPr>
        <w:t>Table 4</w:t>
      </w:r>
      <w:r w:rsidRPr="005971E1">
        <w:rPr>
          <w:b/>
          <w:color w:val="auto"/>
        </w:rPr>
        <w:fldChar w:fldCharType="end"/>
      </w:r>
      <w:r w:rsidRPr="005971E1">
        <w:rPr>
          <w:color w:val="auto"/>
        </w:rPr>
        <w:t>.</w:t>
      </w:r>
    </w:p>
    <w:p w14:paraId="5074343F" w14:textId="615DF159" w:rsidR="00D22F49" w:rsidRPr="00D83FD5" w:rsidRDefault="00D22F49" w:rsidP="00D22F49">
      <w:pPr>
        <w:pStyle w:val="Caption"/>
      </w:pPr>
      <w:bookmarkStart w:id="12" w:name="Table_20181023_111604WUJZ"/>
      <w:r w:rsidRPr="005971E1">
        <w:lastRenderedPageBreak/>
        <w:t xml:space="preserve">Table </w:t>
      </w:r>
      <w:r w:rsidRPr="005971E1">
        <w:rPr>
          <w:noProof/>
        </w:rPr>
        <w:fldChar w:fldCharType="begin"/>
      </w:r>
      <w:r w:rsidRPr="005971E1">
        <w:rPr>
          <w:noProof/>
        </w:rPr>
        <w:instrText xml:space="preserve"> SEQ Table \* ARABIC </w:instrText>
      </w:r>
      <w:r w:rsidRPr="005971E1">
        <w:rPr>
          <w:noProof/>
        </w:rPr>
        <w:fldChar w:fldCharType="separate"/>
      </w:r>
      <w:r w:rsidRPr="005971E1">
        <w:rPr>
          <w:noProof/>
        </w:rPr>
        <w:t>4</w:t>
      </w:r>
      <w:r w:rsidRPr="005971E1">
        <w:rPr>
          <w:noProof/>
        </w:rPr>
        <w:fldChar w:fldCharType="end"/>
      </w:r>
      <w:bookmarkEnd w:id="12"/>
      <w:r w:rsidRPr="005971E1">
        <w:t>: Study 1</w:t>
      </w:r>
      <w:r w:rsidRPr="005971E1">
        <w:rPr>
          <w:vertAlign w:val="superscript"/>
        </w:rPr>
        <w:t>a</w:t>
      </w:r>
      <w:r w:rsidRPr="005971E1">
        <w:t xml:space="preserve">: Analyses of Noninferiority of </w:t>
      </w:r>
      <w:r w:rsidR="000D1B52" w:rsidRPr="005971E1">
        <w:rPr>
          <w:noProof/>
          <w:szCs w:val="16"/>
          <w:lang w:val="en-AU"/>
        </w:rPr>
        <w:t>Fluzone High-Dose Quadrivalent</w:t>
      </w:r>
      <w:r w:rsidR="000D1B52" w:rsidRPr="005971E1">
        <w:rPr>
          <w:lang w:val="en-AU"/>
        </w:rPr>
        <w:t xml:space="preserve"> </w:t>
      </w:r>
      <w:r w:rsidRPr="00D83FD5">
        <w:t>Relative to TIV-HD by Post-Vaccination HAI Antibody GMTs and Seroconversion Rates in Adults 65 Years of Age and Older, Per-Protocol Analysis Set</w:t>
      </w:r>
      <w:r w:rsidR="00F96E40">
        <w:fldChar w:fldCharType="begin"/>
      </w:r>
      <w:r w:rsidR="00F96E40">
        <w:instrText xml:space="preserve"> DOCVARIABLE vault_nd_3f2dd565-3b2d-4cfb-a551-79d60a5b1ccf \* MERGEFORMAT </w:instrText>
      </w:r>
      <w:r w:rsidR="00F96E40">
        <w:fldChar w:fldCharType="separate"/>
      </w:r>
      <w:r w:rsidRPr="00D83FD5">
        <w:t xml:space="preserve"> </w:t>
      </w:r>
      <w:r w:rsidR="00F96E40">
        <w:fldChar w:fldCharType="end"/>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09"/>
        <w:gridCol w:w="851"/>
        <w:gridCol w:w="992"/>
        <w:gridCol w:w="992"/>
        <w:gridCol w:w="796"/>
        <w:gridCol w:w="1008"/>
        <w:gridCol w:w="1071"/>
        <w:gridCol w:w="952"/>
        <w:gridCol w:w="1252"/>
      </w:tblGrid>
      <w:tr w:rsidR="00D22F49" w:rsidRPr="00D83FD5" w14:paraId="2CBCD9E8" w14:textId="77777777" w:rsidTr="000F103C">
        <w:trPr>
          <w:trHeight w:val="589"/>
        </w:trPr>
        <w:tc>
          <w:tcPr>
            <w:tcW w:w="1129" w:type="dxa"/>
            <w:vMerge w:val="restart"/>
            <w:tcBorders>
              <w:top w:val="single" w:sz="4" w:space="0" w:color="auto"/>
              <w:right w:val="single" w:sz="4" w:space="0" w:color="auto"/>
            </w:tcBorders>
            <w:shd w:val="clear" w:color="auto" w:fill="auto"/>
            <w:vAlign w:val="center"/>
          </w:tcPr>
          <w:p w14:paraId="150544AF" w14:textId="77777777" w:rsidR="00D22F49" w:rsidRPr="00D83FD5" w:rsidRDefault="00D22F49" w:rsidP="00173722">
            <w:pPr>
              <w:pStyle w:val="wcpTableRowHeader"/>
              <w:jc w:val="center"/>
              <w:rPr>
                <w:sz w:val="16"/>
                <w:szCs w:val="16"/>
              </w:rPr>
            </w:pPr>
            <w:r w:rsidRPr="00D83FD5">
              <w:rPr>
                <w:sz w:val="16"/>
                <w:szCs w:val="16"/>
              </w:rPr>
              <w:t>Influenza Strain</w:t>
            </w:r>
          </w:p>
        </w:tc>
        <w:tc>
          <w:tcPr>
            <w:tcW w:w="2552" w:type="dxa"/>
            <w:gridSpan w:val="3"/>
            <w:tcBorders>
              <w:top w:val="single" w:sz="4" w:space="0" w:color="auto"/>
              <w:bottom w:val="single" w:sz="4" w:space="0" w:color="auto"/>
            </w:tcBorders>
            <w:shd w:val="clear" w:color="auto" w:fill="auto"/>
          </w:tcPr>
          <w:p w14:paraId="0628A15B" w14:textId="77777777" w:rsidR="00D22F49" w:rsidRPr="00D83FD5" w:rsidRDefault="00D22F49" w:rsidP="00173722">
            <w:pPr>
              <w:pStyle w:val="wcpTableColHeader"/>
              <w:rPr>
                <w:sz w:val="16"/>
                <w:szCs w:val="16"/>
              </w:rPr>
            </w:pPr>
            <w:r w:rsidRPr="00D83FD5">
              <w:rPr>
                <w:sz w:val="16"/>
                <w:szCs w:val="16"/>
              </w:rPr>
              <w:t>GMT</w:t>
            </w:r>
          </w:p>
          <w:p w14:paraId="5FC2C0E0" w14:textId="77777777" w:rsidR="00D22F49" w:rsidRPr="00D83FD5" w:rsidRDefault="00D22F49" w:rsidP="00173722">
            <w:pPr>
              <w:pStyle w:val="wcpTableColHeader"/>
              <w:rPr>
                <w:sz w:val="16"/>
                <w:szCs w:val="16"/>
              </w:rPr>
            </w:pPr>
          </w:p>
        </w:tc>
        <w:tc>
          <w:tcPr>
            <w:tcW w:w="992" w:type="dxa"/>
            <w:tcBorders>
              <w:top w:val="single" w:sz="4" w:space="0" w:color="auto"/>
              <w:bottom w:val="single" w:sz="4" w:space="0" w:color="auto"/>
            </w:tcBorders>
            <w:shd w:val="clear" w:color="auto" w:fill="auto"/>
          </w:tcPr>
          <w:p w14:paraId="4D6E40A5" w14:textId="77777777" w:rsidR="00D22F49" w:rsidRPr="00D83FD5" w:rsidRDefault="00D22F49" w:rsidP="00173722">
            <w:pPr>
              <w:pStyle w:val="wcpTableColHeader"/>
              <w:rPr>
                <w:sz w:val="16"/>
                <w:szCs w:val="16"/>
              </w:rPr>
            </w:pPr>
            <w:r w:rsidRPr="00D83FD5">
              <w:rPr>
                <w:sz w:val="16"/>
                <w:szCs w:val="16"/>
              </w:rPr>
              <w:t>GMT</w:t>
            </w:r>
            <w:r w:rsidRPr="00D83FD5">
              <w:rPr>
                <w:sz w:val="16"/>
                <w:szCs w:val="16"/>
              </w:rPr>
              <w:br/>
              <w:t>Ratio</w:t>
            </w:r>
          </w:p>
        </w:tc>
        <w:tc>
          <w:tcPr>
            <w:tcW w:w="2875" w:type="dxa"/>
            <w:gridSpan w:val="3"/>
            <w:tcBorders>
              <w:top w:val="single" w:sz="4" w:space="0" w:color="auto"/>
              <w:bottom w:val="single" w:sz="4" w:space="0" w:color="auto"/>
              <w:right w:val="single" w:sz="4" w:space="0" w:color="auto"/>
            </w:tcBorders>
            <w:shd w:val="clear" w:color="auto" w:fill="auto"/>
          </w:tcPr>
          <w:p w14:paraId="19B2C9AB" w14:textId="77777777" w:rsidR="00D22F49" w:rsidRPr="00D83FD5" w:rsidRDefault="00D22F49" w:rsidP="00173722">
            <w:pPr>
              <w:pStyle w:val="wcpTableColHeader"/>
              <w:rPr>
                <w:sz w:val="16"/>
                <w:szCs w:val="16"/>
              </w:rPr>
            </w:pPr>
            <w:r w:rsidRPr="00D83FD5">
              <w:rPr>
                <w:sz w:val="16"/>
                <w:szCs w:val="16"/>
              </w:rPr>
              <w:t>Seroconversion Rate (Percentage)</w:t>
            </w:r>
            <w:r w:rsidRPr="00D83FD5">
              <w:rPr>
                <w:sz w:val="16"/>
                <w:szCs w:val="16"/>
                <w:vertAlign w:val="superscript"/>
              </w:rPr>
              <w:t>b</w:t>
            </w:r>
          </w:p>
          <w:p w14:paraId="7AEF62C9" w14:textId="77777777" w:rsidR="00D22F49" w:rsidRPr="00D83FD5" w:rsidRDefault="00D22F49" w:rsidP="00173722">
            <w:pPr>
              <w:pStyle w:val="wcpTableColHeader"/>
              <w:rPr>
                <w:sz w:val="16"/>
                <w:szCs w:val="16"/>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4CADA5AA" w14:textId="77777777" w:rsidR="00D22F49" w:rsidRPr="00D83FD5" w:rsidRDefault="00D22F49" w:rsidP="00173722">
            <w:pPr>
              <w:pStyle w:val="wcpTableColHeader"/>
              <w:rPr>
                <w:sz w:val="16"/>
                <w:szCs w:val="16"/>
              </w:rPr>
            </w:pPr>
            <w:r w:rsidRPr="00D83FD5">
              <w:rPr>
                <w:sz w:val="16"/>
                <w:szCs w:val="16"/>
              </w:rPr>
              <w:t>Difference of Seroconversion Rates</w:t>
            </w:r>
          </w:p>
        </w:tc>
        <w:tc>
          <w:tcPr>
            <w:tcW w:w="1252" w:type="dxa"/>
            <w:vMerge w:val="restart"/>
            <w:tcBorders>
              <w:top w:val="single" w:sz="4" w:space="0" w:color="auto"/>
              <w:left w:val="single" w:sz="4" w:space="0" w:color="auto"/>
              <w:right w:val="single" w:sz="4" w:space="0" w:color="auto"/>
            </w:tcBorders>
            <w:shd w:val="clear" w:color="auto" w:fill="auto"/>
            <w:vAlign w:val="center"/>
          </w:tcPr>
          <w:p w14:paraId="3CB95349" w14:textId="77777777" w:rsidR="00D22F49" w:rsidRPr="00D83FD5" w:rsidRDefault="00D22F49" w:rsidP="00173722">
            <w:pPr>
              <w:pStyle w:val="wcpTableColHeader"/>
              <w:rPr>
                <w:sz w:val="16"/>
                <w:szCs w:val="16"/>
              </w:rPr>
            </w:pPr>
            <w:r w:rsidRPr="00D83FD5">
              <w:rPr>
                <w:sz w:val="16"/>
                <w:szCs w:val="16"/>
              </w:rPr>
              <w:t xml:space="preserve">Met  Pre-defined </w:t>
            </w:r>
            <w:proofErr w:type="spellStart"/>
            <w:r w:rsidRPr="00D83FD5">
              <w:rPr>
                <w:sz w:val="16"/>
                <w:szCs w:val="16"/>
              </w:rPr>
              <w:t>Noninferiority</w:t>
            </w:r>
            <w:proofErr w:type="spellEnd"/>
            <w:r w:rsidRPr="00D83FD5">
              <w:rPr>
                <w:sz w:val="16"/>
                <w:szCs w:val="16"/>
              </w:rPr>
              <w:t xml:space="preserve"> </w:t>
            </w:r>
            <w:proofErr w:type="spellStart"/>
            <w:r w:rsidRPr="00D83FD5">
              <w:rPr>
                <w:sz w:val="16"/>
                <w:szCs w:val="16"/>
              </w:rPr>
              <w:t>Criteria</w:t>
            </w:r>
            <w:r w:rsidRPr="00D83FD5">
              <w:rPr>
                <w:sz w:val="16"/>
                <w:szCs w:val="16"/>
                <w:vertAlign w:val="superscript"/>
              </w:rPr>
              <w:t>f</w:t>
            </w:r>
            <w:proofErr w:type="spellEnd"/>
          </w:p>
        </w:tc>
      </w:tr>
      <w:tr w:rsidR="00D22F49" w:rsidRPr="00D83FD5" w14:paraId="36E2195E" w14:textId="77777777" w:rsidTr="000F103C">
        <w:trPr>
          <w:trHeight w:val="587"/>
        </w:trPr>
        <w:tc>
          <w:tcPr>
            <w:tcW w:w="1129" w:type="dxa"/>
            <w:vMerge/>
            <w:tcBorders>
              <w:bottom w:val="single" w:sz="4" w:space="0" w:color="auto"/>
              <w:right w:val="single" w:sz="4" w:space="0" w:color="auto"/>
            </w:tcBorders>
            <w:shd w:val="clear" w:color="auto" w:fill="auto"/>
            <w:vAlign w:val="center"/>
          </w:tcPr>
          <w:p w14:paraId="64007092" w14:textId="77777777" w:rsidR="00D22F49" w:rsidRPr="00D83FD5" w:rsidRDefault="00D22F49" w:rsidP="00173722">
            <w:pPr>
              <w:pStyle w:val="wcpTableRowHeader"/>
              <w:rPr>
                <w:sz w:val="16"/>
                <w:szCs w:val="16"/>
              </w:rPr>
            </w:pPr>
          </w:p>
        </w:tc>
        <w:tc>
          <w:tcPr>
            <w:tcW w:w="709" w:type="dxa"/>
            <w:tcBorders>
              <w:bottom w:val="single" w:sz="4" w:space="0" w:color="auto"/>
            </w:tcBorders>
            <w:shd w:val="clear" w:color="auto" w:fill="auto"/>
          </w:tcPr>
          <w:p w14:paraId="7FEB8254" w14:textId="77777777" w:rsidR="00D22F49" w:rsidRPr="00D83FD5" w:rsidRDefault="00D22F49" w:rsidP="00173722">
            <w:pPr>
              <w:pStyle w:val="wcpTableColHeader"/>
              <w:rPr>
                <w:sz w:val="16"/>
                <w:szCs w:val="16"/>
              </w:rPr>
            </w:pPr>
            <w:r w:rsidRPr="00D83FD5">
              <w:rPr>
                <w:bCs/>
                <w:sz w:val="16"/>
                <w:szCs w:val="16"/>
              </w:rPr>
              <w:t>QIV-HD</w:t>
            </w:r>
          </w:p>
          <w:p w14:paraId="08F3C2EF" w14:textId="77777777" w:rsidR="00D22F49" w:rsidRPr="00D83FD5" w:rsidRDefault="00D22F49" w:rsidP="00173722">
            <w:pPr>
              <w:pStyle w:val="wcpTableColHeader"/>
              <w:rPr>
                <w:bCs/>
                <w:sz w:val="16"/>
                <w:szCs w:val="16"/>
              </w:rPr>
            </w:pPr>
            <w:r w:rsidRPr="00D83FD5">
              <w:rPr>
                <w:sz w:val="16"/>
                <w:szCs w:val="16"/>
              </w:rPr>
              <w:br/>
              <w:t>N</w:t>
            </w:r>
            <w:r w:rsidRPr="00D83FD5">
              <w:rPr>
                <w:sz w:val="16"/>
                <w:szCs w:val="16"/>
                <w:vertAlign w:val="superscript"/>
              </w:rPr>
              <w:t>c</w:t>
            </w:r>
            <w:r w:rsidRPr="00D83FD5">
              <w:rPr>
                <w:sz w:val="16"/>
                <w:szCs w:val="16"/>
              </w:rPr>
              <w:t>=1679-1680</w:t>
            </w:r>
          </w:p>
        </w:tc>
        <w:tc>
          <w:tcPr>
            <w:tcW w:w="851" w:type="dxa"/>
            <w:tcBorders>
              <w:bottom w:val="single" w:sz="4" w:space="0" w:color="auto"/>
            </w:tcBorders>
            <w:shd w:val="clear" w:color="auto" w:fill="auto"/>
          </w:tcPr>
          <w:p w14:paraId="0A8A0C64" w14:textId="77777777" w:rsidR="00D22F49" w:rsidRPr="00D83FD5" w:rsidRDefault="00D22F49" w:rsidP="00173722">
            <w:pPr>
              <w:pStyle w:val="wcpTableColHeader"/>
              <w:rPr>
                <w:sz w:val="16"/>
                <w:szCs w:val="16"/>
              </w:rPr>
            </w:pPr>
            <w:r w:rsidRPr="00D83FD5">
              <w:rPr>
                <w:sz w:val="16"/>
                <w:szCs w:val="16"/>
              </w:rPr>
              <w:t>TIV-HD1</w:t>
            </w:r>
            <w:r w:rsidRPr="00D83FD5">
              <w:rPr>
                <w:sz w:val="16"/>
                <w:szCs w:val="16"/>
                <w:vertAlign w:val="superscript"/>
              </w:rPr>
              <w:t>d</w:t>
            </w:r>
            <w:r w:rsidRPr="00D83FD5">
              <w:rPr>
                <w:sz w:val="16"/>
                <w:szCs w:val="16"/>
              </w:rPr>
              <w:br/>
              <w:t>(B1 Victoria)</w:t>
            </w:r>
          </w:p>
          <w:p w14:paraId="6D0A0954" w14:textId="77777777" w:rsidR="00D22F49" w:rsidRPr="00D83FD5" w:rsidRDefault="00D22F49" w:rsidP="00173722">
            <w:pPr>
              <w:pStyle w:val="wcpTableColHeader"/>
              <w:rPr>
                <w:bCs/>
                <w:sz w:val="16"/>
                <w:szCs w:val="16"/>
              </w:rPr>
            </w:pPr>
            <w:r w:rsidRPr="00D83FD5">
              <w:rPr>
                <w:sz w:val="16"/>
                <w:szCs w:val="16"/>
              </w:rPr>
              <w:t>N</w:t>
            </w:r>
            <w:r w:rsidRPr="00D83FD5">
              <w:rPr>
                <w:sz w:val="16"/>
                <w:szCs w:val="16"/>
                <w:vertAlign w:val="superscript"/>
              </w:rPr>
              <w:t>c</w:t>
            </w:r>
            <w:r w:rsidRPr="00D83FD5">
              <w:rPr>
                <w:sz w:val="16"/>
                <w:szCs w:val="16"/>
              </w:rPr>
              <w:t>=423</w:t>
            </w:r>
          </w:p>
        </w:tc>
        <w:tc>
          <w:tcPr>
            <w:tcW w:w="992" w:type="dxa"/>
            <w:tcBorders>
              <w:bottom w:val="single" w:sz="4" w:space="0" w:color="auto"/>
            </w:tcBorders>
          </w:tcPr>
          <w:p w14:paraId="3514D3C7" w14:textId="77777777" w:rsidR="00D22F49" w:rsidRPr="00D83FD5" w:rsidRDefault="00D22F49" w:rsidP="00173722">
            <w:pPr>
              <w:pStyle w:val="wcpTableColHeader"/>
              <w:rPr>
                <w:sz w:val="16"/>
                <w:szCs w:val="16"/>
              </w:rPr>
            </w:pPr>
            <w:r w:rsidRPr="00D83FD5">
              <w:rPr>
                <w:sz w:val="16"/>
                <w:szCs w:val="16"/>
              </w:rPr>
              <w:t>TIV-HD2</w:t>
            </w:r>
            <w:r w:rsidRPr="00D83FD5">
              <w:rPr>
                <w:sz w:val="16"/>
                <w:szCs w:val="16"/>
                <w:vertAlign w:val="superscript"/>
              </w:rPr>
              <w:t>e</w:t>
            </w:r>
            <w:r w:rsidRPr="00D83FD5">
              <w:rPr>
                <w:sz w:val="16"/>
                <w:szCs w:val="16"/>
              </w:rPr>
              <w:br/>
              <w:t>(B2 Yamagata)</w:t>
            </w:r>
          </w:p>
          <w:p w14:paraId="7B0D414C" w14:textId="77777777" w:rsidR="00D22F49" w:rsidRPr="00D83FD5" w:rsidRDefault="00D22F49" w:rsidP="00173722">
            <w:pPr>
              <w:pStyle w:val="wcpTableColHeader"/>
              <w:rPr>
                <w:sz w:val="16"/>
                <w:szCs w:val="16"/>
              </w:rPr>
            </w:pPr>
            <w:r w:rsidRPr="00D83FD5">
              <w:rPr>
                <w:sz w:val="16"/>
                <w:szCs w:val="16"/>
              </w:rPr>
              <w:t>N</w:t>
            </w:r>
            <w:r w:rsidRPr="00D83FD5">
              <w:rPr>
                <w:sz w:val="16"/>
                <w:szCs w:val="16"/>
                <w:vertAlign w:val="superscript"/>
              </w:rPr>
              <w:t>c</w:t>
            </w:r>
            <w:r w:rsidRPr="00D83FD5">
              <w:rPr>
                <w:sz w:val="16"/>
                <w:szCs w:val="16"/>
              </w:rPr>
              <w:t>=430</w:t>
            </w:r>
          </w:p>
        </w:tc>
        <w:tc>
          <w:tcPr>
            <w:tcW w:w="992" w:type="dxa"/>
            <w:tcBorders>
              <w:bottom w:val="single" w:sz="4" w:space="0" w:color="auto"/>
            </w:tcBorders>
            <w:shd w:val="clear" w:color="auto" w:fill="auto"/>
          </w:tcPr>
          <w:p w14:paraId="468EEFCE" w14:textId="77777777" w:rsidR="00D22F49" w:rsidRPr="00D83FD5" w:rsidRDefault="00D22F49" w:rsidP="00173722">
            <w:pPr>
              <w:pStyle w:val="wcpTableColHeader"/>
              <w:rPr>
                <w:bCs/>
                <w:sz w:val="16"/>
                <w:szCs w:val="16"/>
              </w:rPr>
            </w:pPr>
            <w:r w:rsidRPr="00D83FD5">
              <w:rPr>
                <w:sz w:val="16"/>
                <w:szCs w:val="16"/>
              </w:rPr>
              <w:t xml:space="preserve">QIV-HD over </w:t>
            </w:r>
            <w:r w:rsidRPr="00D83FD5">
              <w:rPr>
                <w:sz w:val="16"/>
                <w:szCs w:val="16"/>
              </w:rPr>
              <w:br/>
              <w:t>TIV-HD</w:t>
            </w:r>
            <w:r w:rsidRPr="00D83FD5">
              <w:rPr>
                <w:sz w:val="16"/>
                <w:szCs w:val="16"/>
              </w:rPr>
              <w:br/>
              <w:t>(95% CI)</w:t>
            </w:r>
          </w:p>
        </w:tc>
        <w:tc>
          <w:tcPr>
            <w:tcW w:w="796" w:type="dxa"/>
            <w:tcBorders>
              <w:left w:val="single" w:sz="4" w:space="0" w:color="auto"/>
              <w:bottom w:val="single" w:sz="4" w:space="0" w:color="auto"/>
              <w:right w:val="single" w:sz="4" w:space="0" w:color="auto"/>
            </w:tcBorders>
            <w:shd w:val="clear" w:color="auto" w:fill="auto"/>
          </w:tcPr>
          <w:p w14:paraId="74927A97" w14:textId="77777777" w:rsidR="00D22F49" w:rsidRPr="00D83FD5" w:rsidRDefault="00D22F49" w:rsidP="00173722">
            <w:pPr>
              <w:pStyle w:val="wcpTableColHeader"/>
              <w:rPr>
                <w:sz w:val="16"/>
                <w:szCs w:val="16"/>
              </w:rPr>
            </w:pPr>
            <w:r w:rsidRPr="00D83FD5">
              <w:rPr>
                <w:bCs/>
                <w:sz w:val="16"/>
                <w:szCs w:val="16"/>
              </w:rPr>
              <w:t>QIV-HD</w:t>
            </w:r>
          </w:p>
          <w:p w14:paraId="3275DB02" w14:textId="77777777" w:rsidR="00D22F49" w:rsidRPr="00D83FD5" w:rsidRDefault="00D22F49" w:rsidP="00173722">
            <w:pPr>
              <w:pStyle w:val="wcpTableColHeader"/>
              <w:rPr>
                <w:sz w:val="16"/>
                <w:szCs w:val="16"/>
              </w:rPr>
            </w:pPr>
            <w:r w:rsidRPr="00D83FD5">
              <w:rPr>
                <w:sz w:val="16"/>
                <w:szCs w:val="16"/>
              </w:rPr>
              <w:br/>
              <w:t>N</w:t>
            </w:r>
            <w:r w:rsidRPr="00D83FD5">
              <w:rPr>
                <w:sz w:val="16"/>
                <w:szCs w:val="16"/>
                <w:vertAlign w:val="superscript"/>
              </w:rPr>
              <w:t>c</w:t>
            </w:r>
            <w:r w:rsidRPr="00D83FD5">
              <w:rPr>
                <w:sz w:val="16"/>
                <w:szCs w:val="16"/>
              </w:rPr>
              <w:t>=1668-1669</w:t>
            </w:r>
          </w:p>
        </w:tc>
        <w:tc>
          <w:tcPr>
            <w:tcW w:w="1008" w:type="dxa"/>
            <w:tcBorders>
              <w:left w:val="single" w:sz="4" w:space="0" w:color="auto"/>
              <w:bottom w:val="single" w:sz="4" w:space="0" w:color="auto"/>
              <w:right w:val="single" w:sz="4" w:space="0" w:color="auto"/>
            </w:tcBorders>
            <w:shd w:val="clear" w:color="auto" w:fill="auto"/>
          </w:tcPr>
          <w:p w14:paraId="6E5FA1C8" w14:textId="77777777" w:rsidR="00D22F49" w:rsidRPr="00D83FD5" w:rsidRDefault="00D22F49" w:rsidP="00173722">
            <w:pPr>
              <w:pStyle w:val="wcpTableColHeader"/>
              <w:rPr>
                <w:sz w:val="16"/>
                <w:szCs w:val="16"/>
              </w:rPr>
            </w:pPr>
            <w:r w:rsidRPr="00D83FD5">
              <w:rPr>
                <w:sz w:val="16"/>
                <w:szCs w:val="16"/>
              </w:rPr>
              <w:t>TIV-HD1</w:t>
            </w:r>
            <w:r w:rsidRPr="00D83FD5">
              <w:rPr>
                <w:sz w:val="16"/>
                <w:szCs w:val="16"/>
                <w:vertAlign w:val="superscript"/>
              </w:rPr>
              <w:t>d</w:t>
            </w:r>
            <w:r w:rsidRPr="00D83FD5">
              <w:rPr>
                <w:sz w:val="16"/>
                <w:szCs w:val="16"/>
              </w:rPr>
              <w:br/>
              <w:t>(B1 Victoria)</w:t>
            </w:r>
          </w:p>
          <w:p w14:paraId="65CE6F7D" w14:textId="77777777" w:rsidR="00D22F49" w:rsidRPr="00D83FD5" w:rsidRDefault="00D22F49" w:rsidP="00173722">
            <w:pPr>
              <w:pStyle w:val="wcpTableColHeader"/>
              <w:rPr>
                <w:sz w:val="16"/>
                <w:szCs w:val="16"/>
              </w:rPr>
            </w:pPr>
            <w:r w:rsidRPr="00D83FD5">
              <w:rPr>
                <w:sz w:val="16"/>
                <w:szCs w:val="16"/>
              </w:rPr>
              <w:t>N</w:t>
            </w:r>
            <w:r w:rsidRPr="00D83FD5">
              <w:rPr>
                <w:sz w:val="16"/>
                <w:szCs w:val="16"/>
                <w:vertAlign w:val="superscript"/>
              </w:rPr>
              <w:t>c</w:t>
            </w:r>
            <w:r w:rsidRPr="00D83FD5">
              <w:rPr>
                <w:sz w:val="16"/>
                <w:szCs w:val="16"/>
              </w:rPr>
              <w:t>=420-421</w:t>
            </w:r>
          </w:p>
        </w:tc>
        <w:tc>
          <w:tcPr>
            <w:tcW w:w="1071" w:type="dxa"/>
            <w:tcBorders>
              <w:left w:val="single" w:sz="4" w:space="0" w:color="auto"/>
              <w:bottom w:val="single" w:sz="4" w:space="0" w:color="auto"/>
              <w:right w:val="single" w:sz="4" w:space="0" w:color="auto"/>
            </w:tcBorders>
          </w:tcPr>
          <w:p w14:paraId="3B97F5BD" w14:textId="77777777" w:rsidR="00D22F49" w:rsidRPr="00D83FD5" w:rsidRDefault="00D22F49" w:rsidP="00173722">
            <w:pPr>
              <w:pStyle w:val="wcpTableColHeader"/>
              <w:rPr>
                <w:sz w:val="16"/>
                <w:szCs w:val="16"/>
              </w:rPr>
            </w:pPr>
            <w:r w:rsidRPr="00D83FD5">
              <w:rPr>
                <w:sz w:val="16"/>
                <w:szCs w:val="16"/>
              </w:rPr>
              <w:t>TIV-HD2</w:t>
            </w:r>
            <w:r w:rsidRPr="00D83FD5">
              <w:rPr>
                <w:sz w:val="16"/>
                <w:szCs w:val="16"/>
                <w:vertAlign w:val="superscript"/>
              </w:rPr>
              <w:t>e</w:t>
            </w:r>
            <w:r w:rsidRPr="00D83FD5">
              <w:rPr>
                <w:sz w:val="16"/>
                <w:szCs w:val="16"/>
              </w:rPr>
              <w:br/>
              <w:t>(B2 Yamagata)</w:t>
            </w:r>
          </w:p>
          <w:p w14:paraId="4FBB19A4" w14:textId="77777777" w:rsidR="00D22F49" w:rsidRPr="00D83FD5" w:rsidRDefault="00D22F49" w:rsidP="00173722">
            <w:pPr>
              <w:pStyle w:val="wcpTableColHeader"/>
              <w:rPr>
                <w:sz w:val="16"/>
                <w:szCs w:val="16"/>
              </w:rPr>
            </w:pPr>
            <w:r w:rsidRPr="00D83FD5">
              <w:rPr>
                <w:sz w:val="16"/>
                <w:szCs w:val="16"/>
              </w:rPr>
              <w:t>N</w:t>
            </w:r>
            <w:r w:rsidRPr="00D83FD5">
              <w:rPr>
                <w:sz w:val="16"/>
                <w:szCs w:val="16"/>
                <w:vertAlign w:val="superscript"/>
              </w:rPr>
              <w:t>c</w:t>
            </w:r>
            <w:r w:rsidRPr="00D83FD5">
              <w:rPr>
                <w:sz w:val="16"/>
                <w:szCs w:val="16"/>
              </w:rPr>
              <w:t>=428</w:t>
            </w:r>
          </w:p>
        </w:tc>
        <w:tc>
          <w:tcPr>
            <w:tcW w:w="952" w:type="dxa"/>
            <w:tcBorders>
              <w:left w:val="single" w:sz="4" w:space="0" w:color="auto"/>
              <w:bottom w:val="single" w:sz="4" w:space="0" w:color="auto"/>
              <w:right w:val="single" w:sz="4" w:space="0" w:color="auto"/>
            </w:tcBorders>
            <w:shd w:val="clear" w:color="auto" w:fill="auto"/>
          </w:tcPr>
          <w:p w14:paraId="57D39B71" w14:textId="77777777" w:rsidR="00D22F49" w:rsidRPr="00D83FD5" w:rsidRDefault="00D22F49" w:rsidP="00173722">
            <w:pPr>
              <w:pStyle w:val="wcpTableColHeader"/>
              <w:rPr>
                <w:sz w:val="16"/>
                <w:szCs w:val="16"/>
              </w:rPr>
            </w:pPr>
            <w:r w:rsidRPr="00D83FD5">
              <w:rPr>
                <w:bCs/>
                <w:sz w:val="16"/>
                <w:szCs w:val="16"/>
              </w:rPr>
              <w:t>QIV-HD</w:t>
            </w:r>
            <w:r w:rsidRPr="00D83FD5">
              <w:rPr>
                <w:sz w:val="16"/>
                <w:szCs w:val="16"/>
              </w:rPr>
              <w:t xml:space="preserve"> minus </w:t>
            </w:r>
            <w:r w:rsidRPr="00D83FD5">
              <w:rPr>
                <w:sz w:val="16"/>
                <w:szCs w:val="16"/>
              </w:rPr>
              <w:br/>
              <w:t>TIV-HD</w:t>
            </w:r>
            <w:r w:rsidRPr="00D83FD5">
              <w:rPr>
                <w:sz w:val="16"/>
                <w:szCs w:val="16"/>
              </w:rPr>
              <w:br/>
              <w:t>(95% CI)</w:t>
            </w:r>
          </w:p>
        </w:tc>
        <w:tc>
          <w:tcPr>
            <w:tcW w:w="1252" w:type="dxa"/>
            <w:vMerge/>
            <w:tcBorders>
              <w:left w:val="single" w:sz="4" w:space="0" w:color="auto"/>
              <w:bottom w:val="single" w:sz="4" w:space="0" w:color="auto"/>
              <w:right w:val="single" w:sz="4" w:space="0" w:color="auto"/>
            </w:tcBorders>
            <w:shd w:val="clear" w:color="auto" w:fill="auto"/>
          </w:tcPr>
          <w:p w14:paraId="6BFF2959" w14:textId="77777777" w:rsidR="00D22F49" w:rsidRPr="00D83FD5" w:rsidRDefault="00D22F49" w:rsidP="00173722">
            <w:pPr>
              <w:pStyle w:val="wcpTableContent"/>
              <w:rPr>
                <w:sz w:val="16"/>
                <w:szCs w:val="16"/>
              </w:rPr>
            </w:pPr>
          </w:p>
        </w:tc>
      </w:tr>
      <w:tr w:rsidR="00D22F49" w:rsidRPr="00D83FD5" w14:paraId="4FF6D9AF" w14:textId="77777777" w:rsidTr="000F103C">
        <w:trPr>
          <w:trHeight w:val="829"/>
        </w:trPr>
        <w:tc>
          <w:tcPr>
            <w:tcW w:w="1129" w:type="dxa"/>
            <w:tcBorders>
              <w:bottom w:val="single" w:sz="4" w:space="0" w:color="auto"/>
              <w:right w:val="single" w:sz="4" w:space="0" w:color="auto"/>
            </w:tcBorders>
            <w:shd w:val="clear" w:color="auto" w:fill="auto"/>
            <w:vAlign w:val="center"/>
          </w:tcPr>
          <w:p w14:paraId="1AF4037E" w14:textId="77777777" w:rsidR="00D22F49" w:rsidRPr="00D83FD5" w:rsidRDefault="00D22F49" w:rsidP="00173722">
            <w:pPr>
              <w:pStyle w:val="wcpTableRowHeader"/>
              <w:rPr>
                <w:sz w:val="16"/>
                <w:szCs w:val="16"/>
              </w:rPr>
            </w:pPr>
            <w:r w:rsidRPr="00D83FD5">
              <w:rPr>
                <w:sz w:val="16"/>
                <w:szCs w:val="16"/>
              </w:rPr>
              <w:t xml:space="preserve">A (H1N1) </w:t>
            </w:r>
            <w:r w:rsidRPr="00D83FD5">
              <w:rPr>
                <w:sz w:val="16"/>
                <w:szCs w:val="16"/>
                <w:vertAlign w:val="superscript"/>
              </w:rPr>
              <w:t>g</w:t>
            </w:r>
          </w:p>
        </w:tc>
        <w:tc>
          <w:tcPr>
            <w:tcW w:w="709" w:type="dxa"/>
            <w:tcBorders>
              <w:bottom w:val="single" w:sz="4" w:space="0" w:color="auto"/>
            </w:tcBorders>
            <w:shd w:val="clear" w:color="auto" w:fill="auto"/>
            <w:vAlign w:val="center"/>
          </w:tcPr>
          <w:p w14:paraId="1E36B22C" w14:textId="77777777" w:rsidR="00D22F49" w:rsidRPr="00D83FD5" w:rsidRDefault="00D22F49" w:rsidP="00173722">
            <w:pPr>
              <w:pStyle w:val="wcpTableContent"/>
              <w:jc w:val="center"/>
              <w:rPr>
                <w:sz w:val="16"/>
                <w:szCs w:val="16"/>
              </w:rPr>
            </w:pPr>
            <w:r w:rsidRPr="00D83FD5">
              <w:rPr>
                <w:sz w:val="16"/>
                <w:szCs w:val="16"/>
              </w:rPr>
              <w:t>312</w:t>
            </w:r>
          </w:p>
        </w:tc>
        <w:tc>
          <w:tcPr>
            <w:tcW w:w="1843" w:type="dxa"/>
            <w:gridSpan w:val="2"/>
            <w:tcBorders>
              <w:bottom w:val="single" w:sz="4" w:space="0" w:color="auto"/>
            </w:tcBorders>
            <w:shd w:val="clear" w:color="auto" w:fill="auto"/>
            <w:vAlign w:val="center"/>
          </w:tcPr>
          <w:p w14:paraId="335DFAB5" w14:textId="77777777" w:rsidR="00D22F49" w:rsidRPr="00D83FD5" w:rsidRDefault="00D22F49" w:rsidP="00173722">
            <w:pPr>
              <w:pStyle w:val="wcpTableContent"/>
              <w:jc w:val="center"/>
              <w:rPr>
                <w:sz w:val="16"/>
                <w:szCs w:val="16"/>
              </w:rPr>
            </w:pPr>
            <w:r w:rsidRPr="00D83FD5">
              <w:rPr>
                <w:sz w:val="16"/>
                <w:szCs w:val="16"/>
              </w:rPr>
              <w:t>374</w:t>
            </w:r>
          </w:p>
        </w:tc>
        <w:tc>
          <w:tcPr>
            <w:tcW w:w="992" w:type="dxa"/>
            <w:tcBorders>
              <w:bottom w:val="single" w:sz="4" w:space="0" w:color="auto"/>
            </w:tcBorders>
            <w:shd w:val="clear" w:color="auto" w:fill="auto"/>
            <w:vAlign w:val="center"/>
          </w:tcPr>
          <w:p w14:paraId="3767B87D" w14:textId="77777777" w:rsidR="00D22F49" w:rsidRPr="00D83FD5" w:rsidRDefault="00D22F49" w:rsidP="00173722">
            <w:pPr>
              <w:pStyle w:val="wcpTableContent"/>
              <w:jc w:val="center"/>
              <w:rPr>
                <w:sz w:val="16"/>
                <w:szCs w:val="16"/>
              </w:rPr>
            </w:pPr>
            <w:r w:rsidRPr="00D83FD5">
              <w:rPr>
                <w:sz w:val="16"/>
                <w:szCs w:val="16"/>
              </w:rPr>
              <w:t>0.83</w:t>
            </w:r>
          </w:p>
          <w:p w14:paraId="211D58DF" w14:textId="77777777" w:rsidR="00D22F49" w:rsidRPr="00D83FD5" w:rsidRDefault="00D22F49" w:rsidP="00173722">
            <w:pPr>
              <w:pStyle w:val="wcpTableContent"/>
              <w:jc w:val="center"/>
              <w:rPr>
                <w:sz w:val="16"/>
                <w:szCs w:val="16"/>
              </w:rPr>
            </w:pPr>
            <w:r w:rsidRPr="00D83FD5">
              <w:rPr>
                <w:sz w:val="16"/>
                <w:szCs w:val="16"/>
              </w:rPr>
              <w:t>(0.744; 0.932)</w:t>
            </w:r>
          </w:p>
        </w:tc>
        <w:tc>
          <w:tcPr>
            <w:tcW w:w="796" w:type="dxa"/>
            <w:tcBorders>
              <w:left w:val="single" w:sz="4" w:space="0" w:color="auto"/>
              <w:bottom w:val="single" w:sz="4" w:space="0" w:color="auto"/>
              <w:right w:val="single" w:sz="4" w:space="0" w:color="auto"/>
            </w:tcBorders>
            <w:shd w:val="clear" w:color="auto" w:fill="auto"/>
            <w:vAlign w:val="center"/>
          </w:tcPr>
          <w:p w14:paraId="7DE72518" w14:textId="77777777" w:rsidR="00D22F49" w:rsidRPr="00D83FD5" w:rsidRDefault="00D22F49" w:rsidP="00173722">
            <w:pPr>
              <w:pStyle w:val="wcpTableContent"/>
              <w:jc w:val="center"/>
              <w:rPr>
                <w:sz w:val="16"/>
                <w:szCs w:val="16"/>
              </w:rPr>
            </w:pPr>
            <w:r w:rsidRPr="00D83FD5">
              <w:rPr>
                <w:sz w:val="16"/>
                <w:szCs w:val="16"/>
              </w:rPr>
              <w:t>50.4</w:t>
            </w:r>
          </w:p>
        </w:tc>
        <w:tc>
          <w:tcPr>
            <w:tcW w:w="2079" w:type="dxa"/>
            <w:gridSpan w:val="2"/>
            <w:tcBorders>
              <w:left w:val="single" w:sz="4" w:space="0" w:color="auto"/>
              <w:bottom w:val="single" w:sz="4" w:space="0" w:color="auto"/>
              <w:right w:val="single" w:sz="4" w:space="0" w:color="auto"/>
            </w:tcBorders>
            <w:shd w:val="clear" w:color="auto" w:fill="auto"/>
            <w:vAlign w:val="center"/>
          </w:tcPr>
          <w:p w14:paraId="278711DE" w14:textId="77777777" w:rsidR="00D22F49" w:rsidRPr="00D83FD5" w:rsidRDefault="00D22F49" w:rsidP="00173722">
            <w:pPr>
              <w:pStyle w:val="wcpTableContent"/>
              <w:jc w:val="center"/>
              <w:rPr>
                <w:sz w:val="16"/>
                <w:szCs w:val="16"/>
              </w:rPr>
            </w:pPr>
            <w:r w:rsidRPr="00D83FD5">
              <w:rPr>
                <w:sz w:val="16"/>
                <w:szCs w:val="16"/>
              </w:rPr>
              <w:t>53.7</w:t>
            </w:r>
          </w:p>
        </w:tc>
        <w:tc>
          <w:tcPr>
            <w:tcW w:w="952" w:type="dxa"/>
            <w:tcBorders>
              <w:left w:val="single" w:sz="4" w:space="0" w:color="auto"/>
              <w:bottom w:val="single" w:sz="4" w:space="0" w:color="auto"/>
              <w:right w:val="single" w:sz="4" w:space="0" w:color="auto"/>
            </w:tcBorders>
            <w:shd w:val="clear" w:color="auto" w:fill="auto"/>
            <w:vAlign w:val="center"/>
          </w:tcPr>
          <w:p w14:paraId="03C526C7" w14:textId="77777777" w:rsidR="00D22F49" w:rsidRPr="00D83FD5" w:rsidRDefault="00D22F49" w:rsidP="00173722">
            <w:pPr>
              <w:pStyle w:val="wcpTableContent"/>
              <w:jc w:val="center"/>
              <w:rPr>
                <w:sz w:val="16"/>
                <w:szCs w:val="16"/>
              </w:rPr>
            </w:pPr>
            <w:r w:rsidRPr="00D83FD5">
              <w:rPr>
                <w:sz w:val="16"/>
                <w:szCs w:val="16"/>
              </w:rPr>
              <w:t>-3.27</w:t>
            </w:r>
          </w:p>
          <w:p w14:paraId="3D6D4B74" w14:textId="77777777" w:rsidR="00D22F49" w:rsidRPr="00D83FD5" w:rsidRDefault="00D22F49" w:rsidP="00173722">
            <w:pPr>
              <w:pStyle w:val="wcpTableContent"/>
              <w:jc w:val="center"/>
              <w:rPr>
                <w:sz w:val="16"/>
                <w:szCs w:val="16"/>
              </w:rPr>
            </w:pPr>
            <w:r w:rsidRPr="00D83FD5">
              <w:rPr>
                <w:sz w:val="16"/>
                <w:szCs w:val="16"/>
              </w:rPr>
              <w:t>(-7.37; 0.86)</w:t>
            </w:r>
          </w:p>
        </w:tc>
        <w:tc>
          <w:tcPr>
            <w:tcW w:w="1252" w:type="dxa"/>
            <w:tcBorders>
              <w:left w:val="single" w:sz="4" w:space="0" w:color="auto"/>
              <w:bottom w:val="single" w:sz="4" w:space="0" w:color="auto"/>
              <w:right w:val="single" w:sz="4" w:space="0" w:color="auto"/>
            </w:tcBorders>
            <w:shd w:val="clear" w:color="auto" w:fill="auto"/>
            <w:vAlign w:val="center"/>
          </w:tcPr>
          <w:p w14:paraId="24F46C98" w14:textId="77777777" w:rsidR="00D22F49" w:rsidRPr="00D83FD5" w:rsidRDefault="00D22F49" w:rsidP="00173722">
            <w:pPr>
              <w:pStyle w:val="wcpTableContent"/>
              <w:jc w:val="center"/>
              <w:rPr>
                <w:sz w:val="16"/>
                <w:szCs w:val="16"/>
              </w:rPr>
            </w:pPr>
            <w:r w:rsidRPr="00D83FD5">
              <w:rPr>
                <w:sz w:val="16"/>
                <w:szCs w:val="16"/>
              </w:rPr>
              <w:t>Yes</w:t>
            </w:r>
          </w:p>
        </w:tc>
      </w:tr>
      <w:tr w:rsidR="00D22F49" w:rsidRPr="00D83FD5" w14:paraId="4E3B683E" w14:textId="77777777" w:rsidTr="000F103C">
        <w:trPr>
          <w:trHeight w:val="816"/>
        </w:trPr>
        <w:tc>
          <w:tcPr>
            <w:tcW w:w="1129" w:type="dxa"/>
            <w:tcBorders>
              <w:top w:val="single" w:sz="4" w:space="0" w:color="auto"/>
              <w:bottom w:val="single" w:sz="4" w:space="0" w:color="auto"/>
              <w:right w:val="single" w:sz="4" w:space="0" w:color="auto"/>
            </w:tcBorders>
            <w:shd w:val="clear" w:color="auto" w:fill="auto"/>
            <w:vAlign w:val="center"/>
          </w:tcPr>
          <w:p w14:paraId="4C09FFF1" w14:textId="77777777" w:rsidR="00D22F49" w:rsidRPr="00D83FD5" w:rsidRDefault="00D22F49" w:rsidP="00173722">
            <w:pPr>
              <w:pStyle w:val="wcpTableRowHeader"/>
              <w:rPr>
                <w:sz w:val="16"/>
                <w:szCs w:val="16"/>
              </w:rPr>
            </w:pPr>
            <w:r w:rsidRPr="00D83FD5">
              <w:rPr>
                <w:sz w:val="16"/>
                <w:szCs w:val="16"/>
              </w:rPr>
              <w:t xml:space="preserve">A (H3N2) </w:t>
            </w:r>
            <w:r w:rsidRPr="00D83FD5">
              <w:rPr>
                <w:sz w:val="16"/>
                <w:szCs w:val="16"/>
                <w:vertAlign w:val="superscript"/>
              </w:rPr>
              <w:t>g</w:t>
            </w:r>
          </w:p>
        </w:tc>
        <w:tc>
          <w:tcPr>
            <w:tcW w:w="709" w:type="dxa"/>
            <w:tcBorders>
              <w:top w:val="single" w:sz="4" w:space="0" w:color="auto"/>
              <w:bottom w:val="single" w:sz="4" w:space="0" w:color="auto"/>
            </w:tcBorders>
            <w:shd w:val="clear" w:color="auto" w:fill="auto"/>
            <w:vAlign w:val="center"/>
          </w:tcPr>
          <w:p w14:paraId="36AC9392" w14:textId="77777777" w:rsidR="00D22F49" w:rsidRPr="00D83FD5" w:rsidRDefault="00D22F49" w:rsidP="00173722">
            <w:pPr>
              <w:pStyle w:val="wcpTableContent"/>
              <w:jc w:val="center"/>
              <w:rPr>
                <w:sz w:val="16"/>
                <w:szCs w:val="16"/>
              </w:rPr>
            </w:pPr>
            <w:r w:rsidRPr="00D83FD5">
              <w:rPr>
                <w:sz w:val="16"/>
                <w:szCs w:val="16"/>
              </w:rPr>
              <w:t>563</w:t>
            </w:r>
          </w:p>
        </w:tc>
        <w:tc>
          <w:tcPr>
            <w:tcW w:w="1843" w:type="dxa"/>
            <w:gridSpan w:val="2"/>
            <w:tcBorders>
              <w:top w:val="single" w:sz="4" w:space="0" w:color="auto"/>
              <w:bottom w:val="single" w:sz="4" w:space="0" w:color="auto"/>
            </w:tcBorders>
            <w:shd w:val="clear" w:color="auto" w:fill="auto"/>
            <w:vAlign w:val="center"/>
          </w:tcPr>
          <w:p w14:paraId="15A62BC6" w14:textId="77777777" w:rsidR="00D22F49" w:rsidRPr="00D83FD5" w:rsidRDefault="00D22F49" w:rsidP="00173722">
            <w:pPr>
              <w:pStyle w:val="wcpTableContent"/>
              <w:jc w:val="center"/>
              <w:rPr>
                <w:sz w:val="16"/>
                <w:szCs w:val="16"/>
              </w:rPr>
            </w:pPr>
            <w:r w:rsidRPr="00D83FD5">
              <w:rPr>
                <w:sz w:val="16"/>
                <w:szCs w:val="16"/>
              </w:rPr>
              <w:t>594</w:t>
            </w:r>
          </w:p>
        </w:tc>
        <w:tc>
          <w:tcPr>
            <w:tcW w:w="992" w:type="dxa"/>
            <w:tcBorders>
              <w:top w:val="single" w:sz="4" w:space="0" w:color="auto"/>
              <w:bottom w:val="single" w:sz="4" w:space="0" w:color="auto"/>
            </w:tcBorders>
            <w:shd w:val="clear" w:color="auto" w:fill="auto"/>
            <w:vAlign w:val="center"/>
          </w:tcPr>
          <w:p w14:paraId="22E9F557" w14:textId="77777777" w:rsidR="00D22F49" w:rsidRPr="00D83FD5" w:rsidRDefault="00D22F49" w:rsidP="00173722">
            <w:pPr>
              <w:pStyle w:val="wcpTableContent"/>
              <w:jc w:val="center"/>
              <w:rPr>
                <w:sz w:val="16"/>
                <w:szCs w:val="16"/>
              </w:rPr>
            </w:pPr>
            <w:r w:rsidRPr="00D83FD5">
              <w:rPr>
                <w:sz w:val="16"/>
                <w:szCs w:val="16"/>
              </w:rPr>
              <w:t>0.95</w:t>
            </w:r>
          </w:p>
          <w:p w14:paraId="0475DD1B" w14:textId="77777777" w:rsidR="00D22F49" w:rsidRPr="00D83FD5" w:rsidRDefault="00D22F49" w:rsidP="00173722">
            <w:pPr>
              <w:pStyle w:val="wcpTableContent"/>
              <w:jc w:val="center"/>
              <w:rPr>
                <w:sz w:val="16"/>
                <w:szCs w:val="16"/>
              </w:rPr>
            </w:pPr>
            <w:r w:rsidRPr="00D83FD5">
              <w:rPr>
                <w:sz w:val="16"/>
                <w:szCs w:val="16"/>
              </w:rPr>
              <w:t>(0.842; 1.066)</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38B007C3" w14:textId="77777777" w:rsidR="00D22F49" w:rsidRPr="00D83FD5" w:rsidRDefault="00D22F49" w:rsidP="00173722">
            <w:pPr>
              <w:pStyle w:val="wcpTableContent"/>
              <w:jc w:val="center"/>
              <w:rPr>
                <w:sz w:val="16"/>
                <w:szCs w:val="16"/>
              </w:rPr>
            </w:pPr>
            <w:r w:rsidRPr="00D83FD5">
              <w:rPr>
                <w:sz w:val="16"/>
                <w:szCs w:val="16"/>
              </w:rPr>
              <w:t>49.8</w:t>
            </w:r>
          </w:p>
        </w:tc>
        <w:tc>
          <w:tcPr>
            <w:tcW w:w="2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68B19" w14:textId="77777777" w:rsidR="00D22F49" w:rsidRPr="00D83FD5" w:rsidRDefault="00D22F49" w:rsidP="00173722">
            <w:pPr>
              <w:pStyle w:val="wcpTableContent"/>
              <w:jc w:val="center"/>
              <w:rPr>
                <w:sz w:val="16"/>
                <w:szCs w:val="16"/>
              </w:rPr>
            </w:pPr>
            <w:r w:rsidRPr="00D83FD5">
              <w:rPr>
                <w:sz w:val="16"/>
                <w:szCs w:val="16"/>
              </w:rPr>
              <w:t>50.5</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65B30DF4" w14:textId="77777777" w:rsidR="00D22F49" w:rsidRPr="00D83FD5" w:rsidRDefault="00D22F49" w:rsidP="00173722">
            <w:pPr>
              <w:pStyle w:val="wcpTableContent"/>
              <w:jc w:val="center"/>
              <w:rPr>
                <w:sz w:val="16"/>
                <w:szCs w:val="16"/>
              </w:rPr>
            </w:pPr>
            <w:r w:rsidRPr="00D83FD5">
              <w:rPr>
                <w:sz w:val="16"/>
                <w:szCs w:val="16"/>
              </w:rPr>
              <w:t>-0.71</w:t>
            </w:r>
          </w:p>
          <w:p w14:paraId="212B3B9C" w14:textId="77777777" w:rsidR="00D22F49" w:rsidRPr="00D83FD5" w:rsidRDefault="00D22F49" w:rsidP="00173722">
            <w:pPr>
              <w:pStyle w:val="wcpTableContent"/>
              <w:jc w:val="center"/>
              <w:rPr>
                <w:sz w:val="16"/>
                <w:szCs w:val="16"/>
              </w:rPr>
            </w:pPr>
            <w:r w:rsidRPr="00D83FD5">
              <w:rPr>
                <w:sz w:val="16"/>
                <w:szCs w:val="16"/>
              </w:rPr>
              <w:t>(-4.83; 3.42)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29A8DB7" w14:textId="77777777" w:rsidR="00D22F49" w:rsidRPr="00D83FD5" w:rsidRDefault="00D22F49" w:rsidP="00173722">
            <w:pPr>
              <w:pStyle w:val="wcpTableContent"/>
              <w:jc w:val="center"/>
              <w:rPr>
                <w:sz w:val="16"/>
                <w:szCs w:val="16"/>
              </w:rPr>
            </w:pPr>
            <w:r w:rsidRPr="00D83FD5">
              <w:rPr>
                <w:sz w:val="16"/>
                <w:szCs w:val="16"/>
              </w:rPr>
              <w:t>Yes</w:t>
            </w:r>
          </w:p>
        </w:tc>
      </w:tr>
      <w:tr w:rsidR="00D22F49" w:rsidRPr="00D83FD5" w14:paraId="41D683A9" w14:textId="77777777" w:rsidTr="000F103C">
        <w:trPr>
          <w:trHeight w:val="666"/>
        </w:trPr>
        <w:tc>
          <w:tcPr>
            <w:tcW w:w="1129" w:type="dxa"/>
            <w:tcBorders>
              <w:top w:val="single" w:sz="4" w:space="0" w:color="auto"/>
              <w:bottom w:val="single" w:sz="4" w:space="0" w:color="auto"/>
              <w:right w:val="single" w:sz="4" w:space="0" w:color="auto"/>
            </w:tcBorders>
            <w:shd w:val="clear" w:color="auto" w:fill="auto"/>
            <w:vAlign w:val="center"/>
          </w:tcPr>
          <w:p w14:paraId="581AE64B" w14:textId="77777777" w:rsidR="00D22F49" w:rsidRPr="00D83FD5" w:rsidRDefault="00D22F49" w:rsidP="00173722">
            <w:pPr>
              <w:pStyle w:val="wcpTableRowHeader"/>
              <w:rPr>
                <w:sz w:val="16"/>
                <w:szCs w:val="16"/>
              </w:rPr>
            </w:pPr>
            <w:bookmarkStart w:id="13" w:name="OLE_LINK2"/>
            <w:r w:rsidRPr="00D83FD5">
              <w:rPr>
                <w:sz w:val="16"/>
                <w:szCs w:val="16"/>
              </w:rPr>
              <w:t>B1 (Victoria)</w:t>
            </w:r>
          </w:p>
        </w:tc>
        <w:tc>
          <w:tcPr>
            <w:tcW w:w="709" w:type="dxa"/>
            <w:tcBorders>
              <w:top w:val="single" w:sz="4" w:space="0" w:color="auto"/>
              <w:bottom w:val="single" w:sz="4" w:space="0" w:color="auto"/>
            </w:tcBorders>
            <w:shd w:val="clear" w:color="auto" w:fill="auto"/>
            <w:vAlign w:val="center"/>
          </w:tcPr>
          <w:p w14:paraId="1B01A7EF" w14:textId="77777777" w:rsidR="00D22F49" w:rsidRPr="00D83FD5" w:rsidRDefault="00D22F49" w:rsidP="00173722">
            <w:pPr>
              <w:pStyle w:val="wcpTableContent"/>
              <w:jc w:val="center"/>
              <w:rPr>
                <w:sz w:val="16"/>
                <w:szCs w:val="16"/>
              </w:rPr>
            </w:pPr>
            <w:r w:rsidRPr="00D83FD5">
              <w:rPr>
                <w:sz w:val="16"/>
                <w:szCs w:val="16"/>
              </w:rPr>
              <w:t>516</w:t>
            </w:r>
          </w:p>
        </w:tc>
        <w:tc>
          <w:tcPr>
            <w:tcW w:w="851" w:type="dxa"/>
            <w:tcBorders>
              <w:top w:val="single" w:sz="4" w:space="0" w:color="auto"/>
              <w:bottom w:val="single" w:sz="4" w:space="0" w:color="auto"/>
            </w:tcBorders>
            <w:shd w:val="clear" w:color="auto" w:fill="auto"/>
            <w:vAlign w:val="center"/>
          </w:tcPr>
          <w:p w14:paraId="299449C0" w14:textId="77777777" w:rsidR="00D22F49" w:rsidRPr="00D83FD5" w:rsidRDefault="00D22F49" w:rsidP="00173722">
            <w:pPr>
              <w:pStyle w:val="wcpTableContent"/>
              <w:jc w:val="center"/>
              <w:rPr>
                <w:sz w:val="16"/>
                <w:szCs w:val="16"/>
              </w:rPr>
            </w:pPr>
            <w:r w:rsidRPr="00D83FD5">
              <w:rPr>
                <w:sz w:val="16"/>
                <w:szCs w:val="16"/>
              </w:rPr>
              <w:t>476</w:t>
            </w:r>
          </w:p>
        </w:tc>
        <w:tc>
          <w:tcPr>
            <w:tcW w:w="992" w:type="dxa"/>
            <w:tcBorders>
              <w:top w:val="single" w:sz="4" w:space="0" w:color="auto"/>
              <w:bottom w:val="single" w:sz="4" w:space="0" w:color="auto"/>
            </w:tcBorders>
            <w:vAlign w:val="center"/>
          </w:tcPr>
          <w:p w14:paraId="38DE20FE" w14:textId="77777777" w:rsidR="00D22F49" w:rsidRPr="00D83FD5" w:rsidRDefault="00D22F49" w:rsidP="00173722">
            <w:pPr>
              <w:pStyle w:val="wcpTableContent"/>
              <w:jc w:val="center"/>
              <w:rPr>
                <w:sz w:val="16"/>
                <w:szCs w:val="16"/>
              </w:rPr>
            </w:pPr>
            <w:r w:rsidRPr="00D83FD5">
              <w:rPr>
                <w:sz w:val="16"/>
                <w:szCs w:val="16"/>
              </w:rPr>
              <w:t>--</w:t>
            </w:r>
          </w:p>
        </w:tc>
        <w:tc>
          <w:tcPr>
            <w:tcW w:w="992" w:type="dxa"/>
            <w:tcBorders>
              <w:top w:val="single" w:sz="4" w:space="0" w:color="auto"/>
              <w:bottom w:val="single" w:sz="4" w:space="0" w:color="auto"/>
            </w:tcBorders>
            <w:shd w:val="clear" w:color="auto" w:fill="auto"/>
            <w:vAlign w:val="center"/>
          </w:tcPr>
          <w:p w14:paraId="3CA48CBC" w14:textId="77777777" w:rsidR="00D22F49" w:rsidRPr="00D83FD5" w:rsidRDefault="00D22F49" w:rsidP="00173722">
            <w:pPr>
              <w:pStyle w:val="wcpTableContent"/>
              <w:jc w:val="center"/>
              <w:rPr>
                <w:sz w:val="16"/>
                <w:szCs w:val="16"/>
              </w:rPr>
            </w:pPr>
            <w:r w:rsidRPr="00D83FD5">
              <w:rPr>
                <w:sz w:val="16"/>
                <w:szCs w:val="16"/>
              </w:rPr>
              <w:t>1.08</w:t>
            </w:r>
          </w:p>
          <w:p w14:paraId="0FB7E7AF" w14:textId="77777777" w:rsidR="00D22F49" w:rsidRPr="00D83FD5" w:rsidRDefault="00D22F49" w:rsidP="00173722">
            <w:pPr>
              <w:pStyle w:val="wcpTableContent"/>
              <w:jc w:val="center"/>
              <w:rPr>
                <w:sz w:val="16"/>
                <w:szCs w:val="16"/>
              </w:rPr>
            </w:pPr>
            <w:r w:rsidRPr="00D83FD5">
              <w:rPr>
                <w:sz w:val="16"/>
                <w:szCs w:val="16"/>
              </w:rPr>
              <w:t>(0.958; 1.224)</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1D3FE0D2" w14:textId="77777777" w:rsidR="00D22F49" w:rsidRPr="00D83FD5" w:rsidRDefault="00D22F49" w:rsidP="00173722">
            <w:pPr>
              <w:pStyle w:val="wcpTableContent"/>
              <w:jc w:val="center"/>
              <w:rPr>
                <w:sz w:val="16"/>
                <w:szCs w:val="16"/>
              </w:rPr>
            </w:pPr>
            <w:r w:rsidRPr="00D83FD5">
              <w:rPr>
                <w:sz w:val="16"/>
                <w:szCs w:val="16"/>
              </w:rPr>
              <w:t>36.5</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6A08D44" w14:textId="77777777" w:rsidR="00D22F49" w:rsidRPr="00D83FD5" w:rsidRDefault="00D22F49" w:rsidP="00173722">
            <w:pPr>
              <w:pStyle w:val="wcpTableContent"/>
              <w:jc w:val="center"/>
              <w:rPr>
                <w:sz w:val="16"/>
                <w:szCs w:val="16"/>
              </w:rPr>
            </w:pPr>
            <w:r w:rsidRPr="00D83FD5">
              <w:rPr>
                <w:sz w:val="16"/>
                <w:szCs w:val="16"/>
              </w:rPr>
              <w:t>39.0</w:t>
            </w:r>
          </w:p>
        </w:tc>
        <w:tc>
          <w:tcPr>
            <w:tcW w:w="1071" w:type="dxa"/>
            <w:tcBorders>
              <w:top w:val="single" w:sz="4" w:space="0" w:color="auto"/>
              <w:left w:val="single" w:sz="4" w:space="0" w:color="auto"/>
              <w:bottom w:val="single" w:sz="4" w:space="0" w:color="auto"/>
              <w:right w:val="single" w:sz="4" w:space="0" w:color="auto"/>
            </w:tcBorders>
            <w:vAlign w:val="center"/>
          </w:tcPr>
          <w:p w14:paraId="48582D4A" w14:textId="77777777" w:rsidR="00D22F49" w:rsidRPr="00D83FD5" w:rsidRDefault="00D22F49" w:rsidP="00173722">
            <w:pPr>
              <w:pStyle w:val="wcpTableContent"/>
              <w:jc w:val="center"/>
              <w:rPr>
                <w:sz w:val="16"/>
                <w:szCs w:val="16"/>
              </w:rPr>
            </w:pPr>
            <w:r w:rsidRPr="00D83FD5">
              <w:rPr>
                <w:sz w:val="16"/>
                <w:szCs w:val="16"/>
              </w:rPr>
              <w: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79CE4393" w14:textId="77777777" w:rsidR="00D22F49" w:rsidRPr="00D83FD5" w:rsidRDefault="00D22F49" w:rsidP="00173722">
            <w:pPr>
              <w:pStyle w:val="wcpTableContent"/>
              <w:jc w:val="center"/>
              <w:rPr>
                <w:sz w:val="16"/>
                <w:szCs w:val="16"/>
              </w:rPr>
            </w:pPr>
            <w:r w:rsidRPr="00D83FD5">
              <w:rPr>
                <w:sz w:val="16"/>
                <w:szCs w:val="16"/>
              </w:rPr>
              <w:t>-2.41</w:t>
            </w:r>
          </w:p>
          <w:p w14:paraId="79035A7B" w14:textId="77777777" w:rsidR="00D22F49" w:rsidRPr="00D83FD5" w:rsidRDefault="00D22F49" w:rsidP="00173722">
            <w:pPr>
              <w:pStyle w:val="wcpTableContent"/>
              <w:jc w:val="center"/>
              <w:rPr>
                <w:sz w:val="16"/>
                <w:szCs w:val="16"/>
              </w:rPr>
            </w:pPr>
            <w:r w:rsidRPr="00D83FD5">
              <w:rPr>
                <w:sz w:val="16"/>
                <w:szCs w:val="16"/>
              </w:rPr>
              <w:t>(-7.66; 2.70)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0B31919" w14:textId="77777777" w:rsidR="00D22F49" w:rsidRPr="00D83FD5" w:rsidRDefault="00D22F49" w:rsidP="00173722">
            <w:pPr>
              <w:pStyle w:val="wcpTableContent"/>
              <w:jc w:val="center"/>
              <w:rPr>
                <w:sz w:val="16"/>
                <w:szCs w:val="16"/>
              </w:rPr>
            </w:pPr>
            <w:r w:rsidRPr="00D83FD5">
              <w:rPr>
                <w:sz w:val="16"/>
                <w:szCs w:val="16"/>
              </w:rPr>
              <w:t>Yes</w:t>
            </w:r>
          </w:p>
        </w:tc>
      </w:tr>
      <w:bookmarkEnd w:id="13"/>
      <w:tr w:rsidR="00D22F49" w:rsidRPr="00D83FD5" w14:paraId="467E6244" w14:textId="77777777" w:rsidTr="000F103C">
        <w:trPr>
          <w:trHeight w:val="666"/>
        </w:trPr>
        <w:tc>
          <w:tcPr>
            <w:tcW w:w="1129" w:type="dxa"/>
            <w:tcBorders>
              <w:top w:val="single" w:sz="4" w:space="0" w:color="auto"/>
              <w:bottom w:val="single" w:sz="4" w:space="0" w:color="auto"/>
              <w:right w:val="single" w:sz="4" w:space="0" w:color="auto"/>
            </w:tcBorders>
            <w:shd w:val="clear" w:color="auto" w:fill="auto"/>
            <w:vAlign w:val="center"/>
          </w:tcPr>
          <w:p w14:paraId="5D85D158" w14:textId="77777777" w:rsidR="00D22F49" w:rsidRPr="00D83FD5" w:rsidRDefault="00D22F49" w:rsidP="00173722">
            <w:pPr>
              <w:pStyle w:val="wcpTableRowHeader"/>
              <w:rPr>
                <w:sz w:val="16"/>
                <w:szCs w:val="16"/>
              </w:rPr>
            </w:pPr>
            <w:r w:rsidRPr="00D83FD5">
              <w:rPr>
                <w:sz w:val="16"/>
                <w:szCs w:val="16"/>
              </w:rPr>
              <w:t>B2 (Yamagata)</w:t>
            </w:r>
          </w:p>
        </w:tc>
        <w:tc>
          <w:tcPr>
            <w:tcW w:w="709" w:type="dxa"/>
            <w:tcBorders>
              <w:top w:val="single" w:sz="4" w:space="0" w:color="auto"/>
              <w:bottom w:val="single" w:sz="4" w:space="0" w:color="auto"/>
            </w:tcBorders>
            <w:shd w:val="clear" w:color="auto" w:fill="auto"/>
            <w:vAlign w:val="center"/>
          </w:tcPr>
          <w:p w14:paraId="71BD0CD5" w14:textId="77777777" w:rsidR="00D22F49" w:rsidRPr="00D83FD5" w:rsidRDefault="00D22F49" w:rsidP="00173722">
            <w:pPr>
              <w:pStyle w:val="wcpTableContent"/>
              <w:jc w:val="center"/>
              <w:rPr>
                <w:sz w:val="16"/>
                <w:szCs w:val="16"/>
              </w:rPr>
            </w:pPr>
            <w:r w:rsidRPr="00D83FD5">
              <w:rPr>
                <w:sz w:val="16"/>
                <w:szCs w:val="16"/>
              </w:rPr>
              <w:t>578</w:t>
            </w:r>
          </w:p>
        </w:tc>
        <w:tc>
          <w:tcPr>
            <w:tcW w:w="851" w:type="dxa"/>
            <w:tcBorders>
              <w:top w:val="single" w:sz="4" w:space="0" w:color="auto"/>
              <w:bottom w:val="single" w:sz="4" w:space="0" w:color="auto"/>
            </w:tcBorders>
            <w:shd w:val="clear" w:color="auto" w:fill="auto"/>
            <w:vAlign w:val="center"/>
          </w:tcPr>
          <w:p w14:paraId="7CA24ED9" w14:textId="77777777" w:rsidR="00D22F49" w:rsidRPr="00D83FD5" w:rsidRDefault="00D22F49" w:rsidP="00173722">
            <w:pPr>
              <w:pStyle w:val="wcpTableContent"/>
              <w:jc w:val="center"/>
              <w:rPr>
                <w:sz w:val="16"/>
                <w:szCs w:val="16"/>
              </w:rPr>
            </w:pPr>
            <w:r w:rsidRPr="00D83FD5">
              <w:rPr>
                <w:sz w:val="16"/>
                <w:szCs w:val="16"/>
              </w:rPr>
              <w:t>--</w:t>
            </w:r>
          </w:p>
        </w:tc>
        <w:tc>
          <w:tcPr>
            <w:tcW w:w="992" w:type="dxa"/>
            <w:tcBorders>
              <w:top w:val="single" w:sz="4" w:space="0" w:color="auto"/>
              <w:bottom w:val="single" w:sz="4" w:space="0" w:color="auto"/>
            </w:tcBorders>
            <w:vAlign w:val="center"/>
          </w:tcPr>
          <w:p w14:paraId="79B7C441" w14:textId="77777777" w:rsidR="00D22F49" w:rsidRPr="00D83FD5" w:rsidRDefault="00D22F49" w:rsidP="00173722">
            <w:pPr>
              <w:pStyle w:val="wcpTableContent"/>
              <w:jc w:val="center"/>
              <w:rPr>
                <w:sz w:val="16"/>
                <w:szCs w:val="16"/>
              </w:rPr>
            </w:pPr>
            <w:r w:rsidRPr="00D83FD5">
              <w:rPr>
                <w:sz w:val="16"/>
                <w:szCs w:val="16"/>
              </w:rPr>
              <w:t>580</w:t>
            </w:r>
          </w:p>
        </w:tc>
        <w:tc>
          <w:tcPr>
            <w:tcW w:w="992" w:type="dxa"/>
            <w:tcBorders>
              <w:top w:val="single" w:sz="4" w:space="0" w:color="auto"/>
              <w:bottom w:val="single" w:sz="4" w:space="0" w:color="auto"/>
            </w:tcBorders>
            <w:shd w:val="clear" w:color="auto" w:fill="auto"/>
            <w:vAlign w:val="center"/>
          </w:tcPr>
          <w:p w14:paraId="19F0E156" w14:textId="77777777" w:rsidR="00D22F49" w:rsidRPr="00D83FD5" w:rsidRDefault="00D22F49" w:rsidP="00173722">
            <w:pPr>
              <w:pStyle w:val="wcpTableContent"/>
              <w:jc w:val="center"/>
              <w:rPr>
                <w:sz w:val="16"/>
                <w:szCs w:val="16"/>
              </w:rPr>
            </w:pPr>
            <w:r w:rsidRPr="00D83FD5">
              <w:rPr>
                <w:sz w:val="16"/>
                <w:szCs w:val="16"/>
              </w:rPr>
              <w:t>1.00</w:t>
            </w:r>
          </w:p>
          <w:p w14:paraId="49014D20" w14:textId="77777777" w:rsidR="00D22F49" w:rsidRPr="00D83FD5" w:rsidRDefault="00D22F49" w:rsidP="00173722">
            <w:pPr>
              <w:pStyle w:val="wcpTableContent"/>
              <w:jc w:val="center"/>
              <w:rPr>
                <w:sz w:val="16"/>
                <w:szCs w:val="16"/>
              </w:rPr>
            </w:pPr>
            <w:r w:rsidRPr="00D83FD5">
              <w:rPr>
                <w:sz w:val="16"/>
                <w:szCs w:val="16"/>
              </w:rPr>
              <w:t>(0.881; 1.129)</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51F896E5" w14:textId="77777777" w:rsidR="00D22F49" w:rsidRPr="00D83FD5" w:rsidRDefault="00D22F49" w:rsidP="00173722">
            <w:pPr>
              <w:pStyle w:val="wcpTableContent"/>
              <w:jc w:val="center"/>
              <w:rPr>
                <w:sz w:val="16"/>
                <w:szCs w:val="16"/>
              </w:rPr>
            </w:pPr>
            <w:r w:rsidRPr="00D83FD5">
              <w:rPr>
                <w:sz w:val="16"/>
                <w:szCs w:val="16"/>
              </w:rPr>
              <w:t>46.6</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8C1B9F7" w14:textId="77777777" w:rsidR="00D22F49" w:rsidRPr="00D83FD5" w:rsidRDefault="00D22F49" w:rsidP="00173722">
            <w:pPr>
              <w:pStyle w:val="wcpTableContent"/>
              <w:jc w:val="center"/>
              <w:rPr>
                <w:sz w:val="16"/>
                <w:szCs w:val="16"/>
              </w:rPr>
            </w:pPr>
            <w:r w:rsidRPr="00D83FD5">
              <w:rPr>
                <w:sz w:val="16"/>
                <w:szCs w:val="16"/>
              </w:rPr>
              <w:t>--</w:t>
            </w:r>
          </w:p>
        </w:tc>
        <w:tc>
          <w:tcPr>
            <w:tcW w:w="1071" w:type="dxa"/>
            <w:tcBorders>
              <w:top w:val="single" w:sz="4" w:space="0" w:color="auto"/>
              <w:left w:val="single" w:sz="4" w:space="0" w:color="auto"/>
              <w:bottom w:val="single" w:sz="4" w:space="0" w:color="auto"/>
              <w:right w:val="single" w:sz="4" w:space="0" w:color="auto"/>
            </w:tcBorders>
            <w:vAlign w:val="center"/>
          </w:tcPr>
          <w:p w14:paraId="4B080C5A" w14:textId="77777777" w:rsidR="00D22F49" w:rsidRPr="00D83FD5" w:rsidRDefault="00D22F49" w:rsidP="00173722">
            <w:pPr>
              <w:pStyle w:val="wcpTableContent"/>
              <w:jc w:val="center"/>
              <w:rPr>
                <w:sz w:val="16"/>
                <w:szCs w:val="16"/>
              </w:rPr>
            </w:pPr>
            <w:r w:rsidRPr="00D83FD5">
              <w:rPr>
                <w:sz w:val="16"/>
                <w:szCs w:val="16"/>
              </w:rPr>
              <w:t>48.4</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0ECEA773" w14:textId="77777777" w:rsidR="00D22F49" w:rsidRPr="00D83FD5" w:rsidRDefault="00D22F49" w:rsidP="00173722">
            <w:pPr>
              <w:pStyle w:val="wcpTableContent"/>
              <w:jc w:val="center"/>
              <w:rPr>
                <w:sz w:val="16"/>
                <w:szCs w:val="16"/>
              </w:rPr>
            </w:pPr>
            <w:r w:rsidRPr="00D83FD5">
              <w:rPr>
                <w:sz w:val="16"/>
                <w:szCs w:val="16"/>
              </w:rPr>
              <w:t>-1.75</w:t>
            </w:r>
          </w:p>
          <w:p w14:paraId="28FA9695" w14:textId="77777777" w:rsidR="00D22F49" w:rsidRPr="00D83FD5" w:rsidRDefault="00D22F49" w:rsidP="00173722">
            <w:pPr>
              <w:pStyle w:val="wcpTableContent"/>
              <w:jc w:val="center"/>
              <w:rPr>
                <w:sz w:val="16"/>
                <w:szCs w:val="16"/>
              </w:rPr>
            </w:pPr>
            <w:r w:rsidRPr="00D83FD5">
              <w:rPr>
                <w:sz w:val="16"/>
                <w:szCs w:val="16"/>
              </w:rPr>
              <w:t>(-7.04; 3.53)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306FA7A0" w14:textId="77777777" w:rsidR="00D22F49" w:rsidRPr="00D83FD5" w:rsidRDefault="00D22F49" w:rsidP="00173722">
            <w:pPr>
              <w:pStyle w:val="wcpTableContent"/>
              <w:jc w:val="center"/>
              <w:rPr>
                <w:sz w:val="16"/>
                <w:szCs w:val="16"/>
              </w:rPr>
            </w:pPr>
            <w:r w:rsidRPr="00D83FD5">
              <w:rPr>
                <w:sz w:val="16"/>
                <w:szCs w:val="16"/>
              </w:rPr>
              <w:t>Yes</w:t>
            </w:r>
          </w:p>
        </w:tc>
      </w:tr>
    </w:tbl>
    <w:p w14:paraId="798CACEE" w14:textId="77777777" w:rsidR="00D22F49" w:rsidRPr="00D83FD5" w:rsidRDefault="00D22F49" w:rsidP="00D22F49">
      <w:pPr>
        <w:rPr>
          <w:sz w:val="18"/>
          <w:szCs w:val="18"/>
          <w:vertAlign w:val="superscript"/>
          <w:lang w:val="en-AU"/>
        </w:rPr>
      </w:pPr>
      <w:r w:rsidRPr="00D83FD5">
        <w:rPr>
          <w:sz w:val="18"/>
          <w:szCs w:val="18"/>
          <w:vertAlign w:val="superscript"/>
        </w:rPr>
        <w:t xml:space="preserve">a </w:t>
      </w:r>
      <w:r w:rsidRPr="00D83FD5">
        <w:rPr>
          <w:sz w:val="18"/>
          <w:szCs w:val="18"/>
          <w:lang w:val="en-AU"/>
        </w:rPr>
        <w:t>NCT03282240</w:t>
      </w:r>
    </w:p>
    <w:p w14:paraId="24D32BAF" w14:textId="73A5A49D" w:rsidR="00D22F49" w:rsidRPr="00D83FD5" w:rsidRDefault="00D22F49" w:rsidP="00D22F49">
      <w:pPr>
        <w:pStyle w:val="wcpTablenote"/>
        <w:ind w:left="90" w:hanging="90"/>
        <w:rPr>
          <w:sz w:val="18"/>
          <w:szCs w:val="18"/>
          <w:lang w:val="en-AU"/>
        </w:rPr>
      </w:pPr>
      <w:r w:rsidRPr="00D83FD5">
        <w:rPr>
          <w:sz w:val="18"/>
          <w:szCs w:val="18"/>
          <w:vertAlign w:val="superscript"/>
          <w:lang w:val="en-AU"/>
        </w:rPr>
        <w:t xml:space="preserve">b </w:t>
      </w:r>
      <w:r w:rsidRPr="00D83FD5">
        <w:rPr>
          <w:sz w:val="18"/>
          <w:szCs w:val="18"/>
          <w:lang w:val="en-AU"/>
        </w:rPr>
        <w:t>Seroconversion Rates: For subjects with a pre-vaccination titr</w:t>
      </w:r>
      <w:r w:rsidR="002B68BB" w:rsidRPr="00D83FD5">
        <w:rPr>
          <w:sz w:val="18"/>
          <w:szCs w:val="18"/>
          <w:lang w:val="en-AU"/>
        </w:rPr>
        <w:t>e</w:t>
      </w:r>
      <w:r w:rsidRPr="00D83FD5">
        <w:rPr>
          <w:sz w:val="18"/>
          <w:szCs w:val="18"/>
          <w:lang w:val="en-AU"/>
        </w:rPr>
        <w:t xml:space="preserve"> &lt;10 (1/</w:t>
      </w:r>
      <w:proofErr w:type="spellStart"/>
      <w:r w:rsidRPr="00D83FD5">
        <w:rPr>
          <w:sz w:val="18"/>
          <w:szCs w:val="18"/>
          <w:lang w:val="en-AU"/>
        </w:rPr>
        <w:t>dil</w:t>
      </w:r>
      <w:proofErr w:type="spellEnd"/>
      <w:r w:rsidRPr="00D83FD5">
        <w:rPr>
          <w:sz w:val="18"/>
          <w:szCs w:val="18"/>
          <w:lang w:val="en-AU"/>
        </w:rPr>
        <w:t>), proportion of subjects with a post-vaccination titr</w:t>
      </w:r>
      <w:r w:rsidR="002B68BB" w:rsidRPr="00D83FD5">
        <w:rPr>
          <w:sz w:val="18"/>
          <w:szCs w:val="18"/>
          <w:lang w:val="en-AU"/>
        </w:rPr>
        <w:t>e</w:t>
      </w:r>
      <w:r w:rsidRPr="00D83FD5">
        <w:rPr>
          <w:sz w:val="18"/>
          <w:szCs w:val="18"/>
          <w:lang w:val="en-AU"/>
        </w:rPr>
        <w:t xml:space="preserve"> ≥40 (1/</w:t>
      </w:r>
      <w:proofErr w:type="spellStart"/>
      <w:r w:rsidRPr="00D83FD5">
        <w:rPr>
          <w:sz w:val="18"/>
          <w:szCs w:val="18"/>
          <w:lang w:val="en-AU"/>
        </w:rPr>
        <w:t>dil</w:t>
      </w:r>
      <w:proofErr w:type="spellEnd"/>
      <w:r w:rsidRPr="00D83FD5">
        <w:rPr>
          <w:sz w:val="18"/>
          <w:szCs w:val="18"/>
          <w:lang w:val="en-AU"/>
        </w:rPr>
        <w:t>) and for subjects with a pre-vaccination titr</w:t>
      </w:r>
      <w:r w:rsidR="002B68BB" w:rsidRPr="00D83FD5">
        <w:rPr>
          <w:sz w:val="18"/>
          <w:szCs w:val="18"/>
          <w:lang w:val="en-AU"/>
        </w:rPr>
        <w:t>e</w:t>
      </w:r>
      <w:r w:rsidRPr="00D83FD5">
        <w:rPr>
          <w:sz w:val="18"/>
          <w:szCs w:val="18"/>
          <w:lang w:val="en-AU"/>
        </w:rPr>
        <w:t xml:space="preserve"> ≥10 (1/</w:t>
      </w:r>
      <w:proofErr w:type="spellStart"/>
      <w:r w:rsidRPr="00D83FD5">
        <w:rPr>
          <w:sz w:val="18"/>
          <w:szCs w:val="18"/>
          <w:lang w:val="en-AU"/>
        </w:rPr>
        <w:t>dil</w:t>
      </w:r>
      <w:proofErr w:type="spellEnd"/>
      <w:r w:rsidRPr="00D83FD5">
        <w:rPr>
          <w:sz w:val="18"/>
          <w:szCs w:val="18"/>
          <w:lang w:val="en-AU"/>
        </w:rPr>
        <w:t>), proportion of subjects with a ≥four-fold increase from pre- to post-vaccination titr</w:t>
      </w:r>
      <w:r w:rsidR="002B68BB" w:rsidRPr="00D83FD5">
        <w:rPr>
          <w:sz w:val="18"/>
          <w:szCs w:val="18"/>
          <w:lang w:val="en-AU"/>
        </w:rPr>
        <w:t>e</w:t>
      </w:r>
      <w:r w:rsidRPr="00D83FD5">
        <w:rPr>
          <w:sz w:val="18"/>
          <w:szCs w:val="18"/>
          <w:lang w:val="en-AU"/>
        </w:rPr>
        <w:t>.</w:t>
      </w:r>
    </w:p>
    <w:p w14:paraId="543FB0EA" w14:textId="77777777" w:rsidR="00D22F49" w:rsidRPr="00D83FD5" w:rsidRDefault="00D22F49" w:rsidP="00D22F49">
      <w:pPr>
        <w:pStyle w:val="wcpTablenote"/>
        <w:rPr>
          <w:sz w:val="18"/>
          <w:szCs w:val="18"/>
          <w:lang w:val="en-AU"/>
        </w:rPr>
      </w:pPr>
      <w:r w:rsidRPr="00D83FD5">
        <w:rPr>
          <w:sz w:val="18"/>
          <w:szCs w:val="18"/>
          <w:vertAlign w:val="superscript"/>
          <w:lang w:val="en-AU"/>
        </w:rPr>
        <w:t xml:space="preserve">c </w:t>
      </w:r>
      <w:r w:rsidRPr="00D83FD5">
        <w:rPr>
          <w:sz w:val="18"/>
          <w:szCs w:val="18"/>
          <w:lang w:val="en-AU"/>
        </w:rPr>
        <w:t>N is the number of vaccinated participants with available data for the immunologic endpoint listed</w:t>
      </w:r>
    </w:p>
    <w:p w14:paraId="2A72E0C5" w14:textId="77777777" w:rsidR="00D22F49" w:rsidRPr="00D83FD5" w:rsidRDefault="00D22F49" w:rsidP="00D22F49">
      <w:pPr>
        <w:pStyle w:val="wcpTablenote"/>
        <w:ind w:left="86" w:hanging="86"/>
        <w:rPr>
          <w:sz w:val="18"/>
          <w:szCs w:val="18"/>
          <w:lang w:val="en-AU"/>
        </w:rPr>
      </w:pPr>
      <w:r w:rsidRPr="00D83FD5">
        <w:rPr>
          <w:sz w:val="18"/>
          <w:szCs w:val="18"/>
          <w:vertAlign w:val="superscript"/>
          <w:lang w:val="en-AU"/>
        </w:rPr>
        <w:t xml:space="preserve">d </w:t>
      </w:r>
      <w:r w:rsidRPr="00D83FD5">
        <w:rPr>
          <w:sz w:val="18"/>
          <w:szCs w:val="18"/>
          <w:lang w:val="en-AU"/>
        </w:rPr>
        <w:t>TIV-HD1 contained A/Michigan/45/2015 (H1N1), A/Hong Kong/4801/2014 (H3N2), and B/Brisbane/60/2008 (B1, Victoria lineage).</w:t>
      </w:r>
    </w:p>
    <w:p w14:paraId="14259E4A" w14:textId="77777777" w:rsidR="00D22F49" w:rsidRPr="00D83FD5" w:rsidRDefault="00D22F49" w:rsidP="00D22F49">
      <w:pPr>
        <w:pStyle w:val="wcpTablenote"/>
        <w:ind w:left="86" w:hanging="86"/>
        <w:rPr>
          <w:sz w:val="18"/>
          <w:szCs w:val="18"/>
          <w:lang w:val="en-AU"/>
        </w:rPr>
      </w:pPr>
      <w:r w:rsidRPr="00D83FD5">
        <w:rPr>
          <w:sz w:val="18"/>
          <w:szCs w:val="18"/>
          <w:vertAlign w:val="superscript"/>
          <w:lang w:val="en-AU"/>
        </w:rPr>
        <w:t xml:space="preserve">e </w:t>
      </w:r>
      <w:r w:rsidRPr="00D83FD5">
        <w:rPr>
          <w:sz w:val="18"/>
          <w:szCs w:val="18"/>
          <w:lang w:val="en-AU"/>
        </w:rPr>
        <w:t>TIV-HD2 contained A/Michigan/45/2015 (H1N1), A/Hong Kong/4801/2014 (H3N2), and B/Phuket/3073/2013 (B2, Yamagata lineage).</w:t>
      </w:r>
    </w:p>
    <w:p w14:paraId="0236439F" w14:textId="7B0E4BFC" w:rsidR="00D22F49" w:rsidRPr="008D21D2" w:rsidRDefault="00D22F49" w:rsidP="00D22F49">
      <w:pPr>
        <w:pStyle w:val="wcpTablenote"/>
        <w:ind w:left="90" w:hanging="90"/>
        <w:rPr>
          <w:color w:val="auto"/>
          <w:sz w:val="18"/>
          <w:szCs w:val="18"/>
          <w:lang w:val="en-AU"/>
        </w:rPr>
      </w:pPr>
      <w:r w:rsidRPr="00D83FD5">
        <w:rPr>
          <w:sz w:val="18"/>
          <w:szCs w:val="18"/>
          <w:vertAlign w:val="superscript"/>
          <w:lang w:val="en-AU"/>
        </w:rPr>
        <w:t xml:space="preserve">f </w:t>
      </w:r>
      <w:r w:rsidRPr="00D83FD5">
        <w:rPr>
          <w:sz w:val="18"/>
          <w:szCs w:val="18"/>
          <w:lang w:val="en-AU"/>
        </w:rPr>
        <w:t>Predefined noninferiority criterion for seroconversion rates: the lower limit of the two-sided 95% CI of the difference of the seroconversion rates (</w:t>
      </w:r>
      <w:r w:rsidR="000D1B52" w:rsidRPr="00D83FD5">
        <w:rPr>
          <w:sz w:val="18"/>
          <w:szCs w:val="18"/>
          <w:lang w:val="en-AU"/>
        </w:rPr>
        <w:t>Fluzone High-Dose</w:t>
      </w:r>
      <w:r w:rsidR="000D1B52">
        <w:rPr>
          <w:sz w:val="18"/>
          <w:szCs w:val="18"/>
          <w:lang w:val="en-AU"/>
        </w:rPr>
        <w:t xml:space="preserve"> </w:t>
      </w:r>
      <w:r w:rsidR="000D1B52" w:rsidRPr="008D21D2">
        <w:rPr>
          <w:color w:val="auto"/>
          <w:sz w:val="18"/>
          <w:szCs w:val="18"/>
          <w:lang w:val="en-AU"/>
        </w:rPr>
        <w:t xml:space="preserve">Quadrivalent </w:t>
      </w:r>
      <w:r w:rsidRPr="008D21D2">
        <w:rPr>
          <w:color w:val="auto"/>
          <w:sz w:val="18"/>
          <w:szCs w:val="18"/>
          <w:lang w:val="en-AU"/>
        </w:rPr>
        <w:t>minus TIV</w:t>
      </w:r>
      <w:r w:rsidR="00A50F74" w:rsidRPr="008D21D2">
        <w:rPr>
          <w:color w:val="auto"/>
          <w:sz w:val="18"/>
          <w:szCs w:val="18"/>
          <w:lang w:val="en-AU"/>
        </w:rPr>
        <w:t>-</w:t>
      </w:r>
      <w:r w:rsidRPr="008D21D2">
        <w:rPr>
          <w:color w:val="auto"/>
          <w:sz w:val="18"/>
          <w:szCs w:val="18"/>
          <w:lang w:val="en-AU"/>
        </w:rPr>
        <w:t>HD) is &gt;-10%. Predefined noninferiority criterion for the GMT ratio: the lower limit of the 95% CI of the GMT ratio (</w:t>
      </w:r>
      <w:r w:rsidR="000D1B52" w:rsidRPr="008D21D2">
        <w:rPr>
          <w:color w:val="auto"/>
          <w:sz w:val="18"/>
          <w:szCs w:val="18"/>
          <w:lang w:val="en-AU"/>
        </w:rPr>
        <w:t xml:space="preserve">Fluzone High-Dose Quadrivalent </w:t>
      </w:r>
      <w:r w:rsidRPr="008D21D2">
        <w:rPr>
          <w:color w:val="auto"/>
          <w:sz w:val="18"/>
          <w:szCs w:val="18"/>
          <w:lang w:val="en-AU"/>
        </w:rPr>
        <w:t>divided by TIV-HD) is &gt;0.667.</w:t>
      </w:r>
    </w:p>
    <w:p w14:paraId="76CCC9DB" w14:textId="4C4C6A7B" w:rsidR="00D22F49" w:rsidRPr="008D21D2" w:rsidRDefault="00D22F49" w:rsidP="00C611FB">
      <w:pPr>
        <w:pStyle w:val="wcpTablenote"/>
        <w:spacing w:before="0"/>
        <w:ind w:left="142" w:hanging="142"/>
        <w:jc w:val="both"/>
        <w:rPr>
          <w:color w:val="auto"/>
          <w:sz w:val="18"/>
          <w:szCs w:val="18"/>
          <w:lang w:val="en-AU"/>
        </w:rPr>
      </w:pPr>
      <w:r w:rsidRPr="008D21D2">
        <w:rPr>
          <w:color w:val="auto"/>
          <w:sz w:val="18"/>
          <w:szCs w:val="18"/>
          <w:vertAlign w:val="superscript"/>
          <w:lang w:val="en-AU"/>
        </w:rPr>
        <w:t xml:space="preserve">g </w:t>
      </w:r>
      <w:r w:rsidRPr="008D21D2">
        <w:rPr>
          <w:color w:val="auto"/>
          <w:sz w:val="18"/>
          <w:szCs w:val="18"/>
          <w:lang w:val="en-AU"/>
        </w:rPr>
        <w:t>For the A strain comparison,</w:t>
      </w:r>
      <w:r w:rsidRPr="008D21D2">
        <w:rPr>
          <w:color w:val="auto"/>
          <w:sz w:val="18"/>
          <w:szCs w:val="18"/>
          <w:vertAlign w:val="superscript"/>
          <w:lang w:val="en-AU"/>
        </w:rPr>
        <w:t xml:space="preserve"> </w:t>
      </w:r>
      <w:r w:rsidRPr="008D21D2">
        <w:rPr>
          <w:color w:val="auto"/>
          <w:sz w:val="18"/>
          <w:szCs w:val="18"/>
          <w:lang w:val="en-AU"/>
        </w:rPr>
        <w:t xml:space="preserve">TIV-HD1 and TIV-HD2 were pooled into a TIV-HD group for comparison with </w:t>
      </w:r>
      <w:r w:rsidR="00C611FB" w:rsidRPr="008D21D2">
        <w:rPr>
          <w:color w:val="auto"/>
          <w:sz w:val="18"/>
          <w:szCs w:val="18"/>
          <w:lang w:val="en-AU"/>
        </w:rPr>
        <w:t>Fluzone High-Dose</w:t>
      </w:r>
      <w:r w:rsidR="000D1B52" w:rsidRPr="008D21D2">
        <w:rPr>
          <w:color w:val="auto"/>
          <w:sz w:val="18"/>
          <w:szCs w:val="18"/>
          <w:lang w:val="en-AU"/>
        </w:rPr>
        <w:t xml:space="preserve"> Quadrivalent</w:t>
      </w:r>
      <w:r w:rsidRPr="008D21D2">
        <w:rPr>
          <w:color w:val="auto"/>
          <w:sz w:val="18"/>
          <w:szCs w:val="18"/>
          <w:lang w:val="en-AU"/>
        </w:rPr>
        <w:t xml:space="preserve">. </w:t>
      </w:r>
      <w:bookmarkEnd w:id="10"/>
      <w:bookmarkEnd w:id="11"/>
    </w:p>
    <w:p w14:paraId="3274A896" w14:textId="64F6C67F" w:rsidR="00D22F49" w:rsidRPr="008D21D2" w:rsidRDefault="007825A2" w:rsidP="00D22F49">
      <w:pPr>
        <w:jc w:val="both"/>
        <w:rPr>
          <w:color w:val="auto"/>
        </w:rPr>
      </w:pPr>
      <w:bookmarkStart w:id="14" w:name="_Hlk33525563"/>
      <w:r w:rsidRPr="00D83FD5">
        <w:rPr>
          <w:lang w:val="en-AU"/>
        </w:rPr>
        <w:t>Fluzone High-Dose</w:t>
      </w:r>
      <w:r>
        <w:rPr>
          <w:lang w:val="en-AU"/>
        </w:rPr>
        <w:t xml:space="preserve"> </w:t>
      </w:r>
      <w:r w:rsidRPr="008D21D2">
        <w:rPr>
          <w:color w:val="auto"/>
          <w:lang w:val="en-AU"/>
        </w:rPr>
        <w:t>Quadrivalent</w:t>
      </w:r>
      <w:r w:rsidR="001947A1" w:rsidRPr="008D21D2">
        <w:rPr>
          <w:color w:val="auto"/>
        </w:rPr>
        <w:t xml:space="preserve"> </w:t>
      </w:r>
      <w:bookmarkEnd w:id="14"/>
      <w:r w:rsidR="00D22F49" w:rsidRPr="008D21D2">
        <w:rPr>
          <w:color w:val="auto"/>
        </w:rPr>
        <w:t>was as immunogenic as TIV</w:t>
      </w:r>
      <w:r w:rsidR="00A50F74" w:rsidRPr="008D21D2">
        <w:rPr>
          <w:color w:val="auto"/>
        </w:rPr>
        <w:t>-</w:t>
      </w:r>
      <w:r w:rsidR="00D22F49" w:rsidRPr="008D21D2">
        <w:rPr>
          <w:color w:val="auto"/>
        </w:rPr>
        <w:t xml:space="preserve">HD for GMTs and seroconversion rates for the common influenza strains. Moreover, </w:t>
      </w:r>
      <w:r w:rsidRPr="008D21D2">
        <w:rPr>
          <w:color w:val="auto"/>
          <w:lang w:val="en-AU"/>
        </w:rPr>
        <w:t>Fluzone High-Dose Quadrivalent</w:t>
      </w:r>
      <w:r w:rsidR="00D22F49" w:rsidRPr="008D21D2">
        <w:rPr>
          <w:color w:val="auto"/>
        </w:rPr>
        <w:t xml:space="preserve"> induced a superior immune response with respect to the additional B strain than the immune response induced by TIV-HD that does not contain the corresponding B.</w:t>
      </w:r>
      <w:r w:rsidR="00D22F49" w:rsidRPr="008D21D2" w:rsidDel="004003F1">
        <w:rPr>
          <w:color w:val="auto"/>
        </w:rPr>
        <w:t xml:space="preserve"> </w:t>
      </w:r>
    </w:p>
    <w:p w14:paraId="4AF2DB75" w14:textId="49DDD310" w:rsidR="00D22F49" w:rsidRPr="00D83FD5" w:rsidRDefault="00D22F49" w:rsidP="00D22F49">
      <w:pPr>
        <w:adjustRightInd w:val="0"/>
        <w:rPr>
          <w:rFonts w:ascii="Times" w:hAnsi="Times" w:cs="Times"/>
        </w:rPr>
      </w:pPr>
      <w:r w:rsidRPr="008D21D2">
        <w:rPr>
          <w:rFonts w:ascii="Times" w:hAnsi="Times" w:cs="Times"/>
          <w:color w:val="auto"/>
        </w:rPr>
        <w:t>The efficacy and effectiveness results of TIV</w:t>
      </w:r>
      <w:r w:rsidR="00A50F74" w:rsidRPr="008D21D2">
        <w:rPr>
          <w:rFonts w:ascii="Times" w:hAnsi="Times" w:cs="Times"/>
          <w:color w:val="auto"/>
        </w:rPr>
        <w:t>-</w:t>
      </w:r>
      <w:r w:rsidRPr="008D21D2">
        <w:rPr>
          <w:rFonts w:ascii="Times" w:hAnsi="Times" w:cs="Times"/>
          <w:color w:val="auto"/>
        </w:rPr>
        <w:t xml:space="preserve">HD are thus inferred </w:t>
      </w:r>
      <w:r w:rsidR="007825A2" w:rsidRPr="008D21D2">
        <w:rPr>
          <w:color w:val="auto"/>
          <w:lang w:val="en-AU"/>
        </w:rPr>
        <w:t xml:space="preserve">Fluzone High-Dose Quadrivalent </w:t>
      </w:r>
      <w:r w:rsidRPr="008D21D2">
        <w:rPr>
          <w:rFonts w:ascii="Times" w:hAnsi="Times" w:cs="Times"/>
          <w:color w:val="auto"/>
        </w:rPr>
        <w:t xml:space="preserve">given the demonstration of statistically comparable immunogenicity between TIV-HD and </w:t>
      </w:r>
      <w:r w:rsidR="00A274AD" w:rsidRPr="008D21D2">
        <w:rPr>
          <w:color w:val="auto"/>
          <w:lang w:val="en-AU"/>
        </w:rPr>
        <w:t>Fluzone High-Dose Quadrivalent</w:t>
      </w:r>
      <w:r w:rsidR="00A274AD" w:rsidRPr="008D21D2">
        <w:rPr>
          <w:color w:val="auto"/>
        </w:rPr>
        <w:t xml:space="preserve"> </w:t>
      </w:r>
      <w:r w:rsidRPr="008D21D2">
        <w:rPr>
          <w:rFonts w:ascii="Times" w:hAnsi="Times" w:cs="Times"/>
          <w:color w:val="auto"/>
        </w:rPr>
        <w:t>in th</w:t>
      </w:r>
      <w:r w:rsidRPr="00D83FD5">
        <w:rPr>
          <w:rFonts w:ascii="Times" w:hAnsi="Times" w:cs="Times"/>
        </w:rPr>
        <w:t>e QHD00013 study.</w:t>
      </w:r>
    </w:p>
    <w:p w14:paraId="0BFF746D" w14:textId="0BD26182" w:rsidR="00D22F49" w:rsidRPr="00D83FD5" w:rsidRDefault="001947A1" w:rsidP="00C879F2">
      <w:pPr>
        <w:rPr>
          <w:u w:val="single"/>
        </w:rPr>
      </w:pPr>
      <w:r w:rsidRPr="00D83FD5">
        <w:rPr>
          <w:u w:val="single"/>
        </w:rPr>
        <w:t>FIM05 (data from TIV</w:t>
      </w:r>
      <w:r w:rsidR="00A50F74">
        <w:rPr>
          <w:u w:val="single"/>
        </w:rPr>
        <w:t>-</w:t>
      </w:r>
      <w:r w:rsidRPr="00D83FD5">
        <w:rPr>
          <w:u w:val="single"/>
        </w:rPr>
        <w:t>HD)</w:t>
      </w:r>
    </w:p>
    <w:p w14:paraId="2FBADFFE" w14:textId="56181BD9" w:rsidR="001947A1" w:rsidRPr="00D83FD5" w:rsidRDefault="001947A1" w:rsidP="001947A1">
      <w:pPr>
        <w:jc w:val="both"/>
      </w:pPr>
      <w:bookmarkStart w:id="15" w:name="_Toc481758581"/>
      <w:bookmarkStart w:id="16" w:name="_Ref410896649"/>
      <w:r w:rsidRPr="00D83FD5">
        <w:lastRenderedPageBreak/>
        <w:t xml:space="preserve">FIM05 was a multi-center, </w:t>
      </w:r>
      <w:proofErr w:type="spellStart"/>
      <w:r w:rsidRPr="00D83FD5">
        <w:t>randomi</w:t>
      </w:r>
      <w:r w:rsidR="00D91E97" w:rsidRPr="00D83FD5">
        <w:t>s</w:t>
      </w:r>
      <w:r w:rsidRPr="00D83FD5">
        <w:t>ed</w:t>
      </w:r>
      <w:proofErr w:type="spellEnd"/>
      <w:r w:rsidRPr="00D83FD5">
        <w:t>, double-blind controlled trial conducted in the US in adults 65 years and older. The objective was to demonstrate the superiority of TIV</w:t>
      </w:r>
      <w:r w:rsidR="00A50F74">
        <w:t>-</w:t>
      </w:r>
      <w:r w:rsidRPr="00D83FD5">
        <w:t>HD over</w:t>
      </w:r>
      <w:r w:rsidRPr="00D83FD5">
        <w:rPr>
          <w:sz w:val="23"/>
          <w:szCs w:val="23"/>
        </w:rPr>
        <w:t xml:space="preserve"> </w:t>
      </w:r>
      <w:r w:rsidRPr="00D83FD5">
        <w:t xml:space="preserve">a standard dose inactivated influenza vaccine containing 15 micrograms of each strains (2 A strains and 1 B strain), as assessed by seroconversion rates and GMTs.  </w:t>
      </w:r>
    </w:p>
    <w:p w14:paraId="5C29D466" w14:textId="4229BD5F" w:rsidR="001947A1" w:rsidRPr="00D83FD5" w:rsidRDefault="001947A1" w:rsidP="001947A1">
      <w:pPr>
        <w:jc w:val="both"/>
      </w:pPr>
      <w:r w:rsidRPr="00D83FD5">
        <w:t>The immunogenicity results of the FIM05 Phase 3 study on TIV</w:t>
      </w:r>
      <w:r w:rsidR="00A50F74">
        <w:t>-</w:t>
      </w:r>
      <w:r w:rsidRPr="00D83FD5">
        <w:t xml:space="preserve">HD are </w:t>
      </w:r>
      <w:proofErr w:type="spellStart"/>
      <w:r w:rsidRPr="00D83FD5">
        <w:t>summari</w:t>
      </w:r>
      <w:r w:rsidR="00D91E97" w:rsidRPr="00D83FD5">
        <w:t>s</w:t>
      </w:r>
      <w:r w:rsidRPr="00D83FD5">
        <w:t>ed</w:t>
      </w:r>
      <w:proofErr w:type="spellEnd"/>
      <w:r w:rsidRPr="00D83FD5">
        <w:t xml:space="preserve"> below in </w:t>
      </w:r>
      <w:r w:rsidRPr="00D83FD5">
        <w:rPr>
          <w:b/>
        </w:rPr>
        <w:fldChar w:fldCharType="begin"/>
      </w:r>
      <w:r w:rsidRPr="00D83FD5">
        <w:rPr>
          <w:b/>
        </w:rPr>
        <w:instrText xml:space="preserve"> REF Table_20181023_111532VSBK \h  \* MERGEFORMAT </w:instrText>
      </w:r>
      <w:r w:rsidRPr="00D83FD5">
        <w:rPr>
          <w:b/>
        </w:rPr>
      </w:r>
      <w:r w:rsidRPr="00D83FD5">
        <w:rPr>
          <w:b/>
        </w:rPr>
        <w:fldChar w:fldCharType="separate"/>
      </w:r>
      <w:r w:rsidRPr="00D83FD5">
        <w:rPr>
          <w:b/>
        </w:rPr>
        <w:t>Table 5</w:t>
      </w:r>
      <w:r w:rsidRPr="00D83FD5">
        <w:rPr>
          <w:b/>
        </w:rPr>
        <w:fldChar w:fldCharType="end"/>
      </w:r>
      <w:r w:rsidRPr="00D83FD5">
        <w:t xml:space="preserve">. </w:t>
      </w:r>
    </w:p>
    <w:p w14:paraId="0C5D3A81" w14:textId="35244DD0" w:rsidR="001947A1" w:rsidRPr="00D83FD5" w:rsidRDefault="001947A1" w:rsidP="001947A1">
      <w:pPr>
        <w:pStyle w:val="Caption"/>
        <w:rPr>
          <w:sz w:val="22"/>
          <w:szCs w:val="22"/>
        </w:rPr>
      </w:pPr>
      <w:bookmarkStart w:id="17" w:name="Table_20181023_111532VSBK"/>
      <w:r w:rsidRPr="00D83FD5">
        <w:t xml:space="preserve">Table </w:t>
      </w:r>
      <w:r w:rsidRPr="00D83FD5">
        <w:rPr>
          <w:noProof/>
        </w:rPr>
        <w:fldChar w:fldCharType="begin"/>
      </w:r>
      <w:r w:rsidRPr="00D83FD5">
        <w:rPr>
          <w:noProof/>
        </w:rPr>
        <w:instrText xml:space="preserve"> SEQ Table \* ARABIC </w:instrText>
      </w:r>
      <w:r w:rsidRPr="00D83FD5">
        <w:rPr>
          <w:noProof/>
        </w:rPr>
        <w:fldChar w:fldCharType="separate"/>
      </w:r>
      <w:r w:rsidRPr="00D83FD5">
        <w:rPr>
          <w:noProof/>
        </w:rPr>
        <w:t>5</w:t>
      </w:r>
      <w:r w:rsidRPr="00D83FD5">
        <w:rPr>
          <w:noProof/>
        </w:rPr>
        <w:fldChar w:fldCharType="end"/>
      </w:r>
      <w:bookmarkEnd w:id="17"/>
      <w:r w:rsidRPr="00D83FD5">
        <w:t>: Superiority of TIV</w:t>
      </w:r>
      <w:r w:rsidR="00A50F74">
        <w:t>-</w:t>
      </w:r>
      <w:r w:rsidRPr="00D83FD5">
        <w:t>HD by Seroconversion Rates and GMT 28 Days Post-Vaccination - Immunogenicity Analysis</w:t>
      </w:r>
      <w:r w:rsidR="00F96E40">
        <w:fldChar w:fldCharType="begin"/>
      </w:r>
      <w:r w:rsidR="00F96E40">
        <w:instrText xml:space="preserve"> DOCVARIABLE vault_nd_96bf66a7-14d1-46d0-91e3-1b739a6840c6 \* MERGEFORMAT </w:instrText>
      </w:r>
      <w:r w:rsidR="00F96E40">
        <w:fldChar w:fldCharType="separate"/>
      </w:r>
      <w:r w:rsidRPr="00D83FD5">
        <w:t xml:space="preserve"> </w:t>
      </w:r>
      <w:r w:rsidR="00F96E40">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140"/>
        <w:gridCol w:w="1508"/>
        <w:gridCol w:w="1033"/>
        <w:gridCol w:w="1398"/>
        <w:gridCol w:w="1573"/>
        <w:gridCol w:w="1272"/>
      </w:tblGrid>
      <w:tr w:rsidR="001947A1" w:rsidRPr="00D83FD5" w14:paraId="64BCC6EC" w14:textId="77777777" w:rsidTr="00173722">
        <w:trPr>
          <w:trHeight w:val="783"/>
          <w:jc w:val="center"/>
        </w:trPr>
        <w:tc>
          <w:tcPr>
            <w:tcW w:w="1109" w:type="dxa"/>
            <w:tcBorders>
              <w:top w:val="single" w:sz="4" w:space="0" w:color="auto"/>
              <w:bottom w:val="single" w:sz="4" w:space="0" w:color="auto"/>
              <w:right w:val="single" w:sz="4" w:space="0" w:color="auto"/>
            </w:tcBorders>
            <w:shd w:val="clear" w:color="auto" w:fill="auto"/>
            <w:vAlign w:val="center"/>
          </w:tcPr>
          <w:p w14:paraId="6F9A1132" w14:textId="77777777" w:rsidR="001947A1" w:rsidRPr="00D83FD5" w:rsidRDefault="001947A1" w:rsidP="008D21D2">
            <w:pPr>
              <w:spacing w:before="0"/>
              <w:jc w:val="center"/>
              <w:rPr>
                <w:b/>
                <w:sz w:val="18"/>
              </w:rPr>
            </w:pPr>
          </w:p>
        </w:tc>
        <w:tc>
          <w:tcPr>
            <w:tcW w:w="2744" w:type="dxa"/>
            <w:gridSpan w:val="2"/>
            <w:tcBorders>
              <w:top w:val="single" w:sz="4" w:space="0" w:color="auto"/>
              <w:left w:val="single" w:sz="4" w:space="0" w:color="auto"/>
              <w:bottom w:val="single" w:sz="4" w:space="0" w:color="auto"/>
              <w:right w:val="single" w:sz="4" w:space="0" w:color="auto"/>
            </w:tcBorders>
            <w:shd w:val="clear" w:color="auto" w:fill="auto"/>
          </w:tcPr>
          <w:p w14:paraId="04929D0F" w14:textId="3CF44EDB" w:rsidR="001947A1" w:rsidRPr="00D83FD5" w:rsidRDefault="00E23BC3" w:rsidP="008D21D2">
            <w:pPr>
              <w:spacing w:before="0"/>
              <w:jc w:val="center"/>
              <w:rPr>
                <w:b/>
                <w:sz w:val="18"/>
              </w:rPr>
            </w:pPr>
            <w:r w:rsidRPr="00D83FD5">
              <w:rPr>
                <w:b/>
                <w:sz w:val="18"/>
              </w:rPr>
              <w:t>TIV</w:t>
            </w:r>
            <w:r w:rsidR="00A50F74">
              <w:rPr>
                <w:b/>
                <w:sz w:val="18"/>
              </w:rPr>
              <w:t>-</w:t>
            </w:r>
            <w:r w:rsidRPr="00D83FD5">
              <w:rPr>
                <w:b/>
                <w:sz w:val="18"/>
              </w:rPr>
              <w:t>HD</w:t>
            </w:r>
          </w:p>
          <w:p w14:paraId="079FFF86" w14:textId="77777777" w:rsidR="001947A1" w:rsidRPr="00D83FD5" w:rsidRDefault="001947A1" w:rsidP="008D21D2">
            <w:pPr>
              <w:spacing w:before="0"/>
              <w:jc w:val="center"/>
              <w:rPr>
                <w:b/>
                <w:sz w:val="18"/>
              </w:rPr>
            </w:pPr>
            <w:r w:rsidRPr="00D83FD5">
              <w:rPr>
                <w:b/>
                <w:sz w:val="18"/>
              </w:rPr>
              <w:t>N=2576</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tcPr>
          <w:p w14:paraId="201A7E90" w14:textId="77777777" w:rsidR="001947A1" w:rsidRPr="00D83FD5" w:rsidRDefault="001947A1" w:rsidP="008D21D2">
            <w:pPr>
              <w:spacing w:before="0"/>
              <w:jc w:val="center"/>
              <w:rPr>
                <w:b/>
                <w:sz w:val="18"/>
              </w:rPr>
            </w:pPr>
            <w:r w:rsidRPr="00D83FD5">
              <w:rPr>
                <w:b/>
                <w:sz w:val="18"/>
              </w:rPr>
              <w:t>Standard dose Trivalent inactivated influenza vaccine</w:t>
            </w:r>
          </w:p>
          <w:p w14:paraId="33762DB5" w14:textId="77777777" w:rsidR="001947A1" w:rsidRPr="00D83FD5" w:rsidRDefault="001947A1" w:rsidP="008D21D2">
            <w:pPr>
              <w:spacing w:before="0"/>
              <w:jc w:val="center"/>
              <w:rPr>
                <w:b/>
                <w:sz w:val="18"/>
              </w:rPr>
            </w:pPr>
            <w:r w:rsidRPr="00D83FD5">
              <w:rPr>
                <w:b/>
                <w:sz w:val="18"/>
              </w:rPr>
              <w:t>N=1275</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57C458F6" w14:textId="77777777" w:rsidR="001947A1" w:rsidRPr="00D83FD5" w:rsidRDefault="001947A1" w:rsidP="008D21D2">
            <w:pPr>
              <w:spacing w:before="0"/>
              <w:jc w:val="center"/>
              <w:rPr>
                <w:b/>
                <w:sz w:val="18"/>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295B7E6" w14:textId="77777777" w:rsidR="001947A1" w:rsidRPr="00D83FD5" w:rsidRDefault="001947A1" w:rsidP="008D21D2">
            <w:pPr>
              <w:spacing w:before="0"/>
              <w:jc w:val="center"/>
              <w:rPr>
                <w:b/>
                <w:sz w:val="18"/>
              </w:rPr>
            </w:pPr>
            <w:r w:rsidRPr="00D83FD5">
              <w:rPr>
                <w:b/>
                <w:sz w:val="18"/>
              </w:rPr>
              <w:t>Superiority</w:t>
            </w:r>
          </w:p>
        </w:tc>
      </w:tr>
      <w:tr w:rsidR="001947A1" w:rsidRPr="00D83FD5" w14:paraId="573E6728" w14:textId="77777777" w:rsidTr="00173722">
        <w:trPr>
          <w:trHeight w:val="397"/>
          <w:jc w:val="center"/>
        </w:trPr>
        <w:tc>
          <w:tcPr>
            <w:tcW w:w="9287" w:type="dxa"/>
            <w:gridSpan w:val="7"/>
            <w:tcBorders>
              <w:bottom w:val="single" w:sz="4" w:space="0" w:color="auto"/>
              <w:right w:val="single" w:sz="4" w:space="0" w:color="auto"/>
            </w:tcBorders>
            <w:shd w:val="clear" w:color="auto" w:fill="auto"/>
            <w:vAlign w:val="center"/>
          </w:tcPr>
          <w:p w14:paraId="392839CE" w14:textId="77777777" w:rsidR="001947A1" w:rsidRPr="00D83FD5" w:rsidRDefault="001947A1" w:rsidP="00173722">
            <w:pPr>
              <w:jc w:val="center"/>
              <w:rPr>
                <w:b/>
                <w:sz w:val="18"/>
              </w:rPr>
            </w:pPr>
            <w:r w:rsidRPr="00D83FD5">
              <w:rPr>
                <w:b/>
                <w:sz w:val="18"/>
              </w:rPr>
              <w:t>Seroconversion rates</w:t>
            </w:r>
          </w:p>
        </w:tc>
      </w:tr>
      <w:tr w:rsidR="001947A1" w:rsidRPr="00D83FD5" w14:paraId="3CEE9170" w14:textId="77777777" w:rsidTr="00173722">
        <w:trPr>
          <w:trHeight w:val="595"/>
          <w:jc w:val="center"/>
        </w:trPr>
        <w:tc>
          <w:tcPr>
            <w:tcW w:w="1109" w:type="dxa"/>
            <w:tcBorders>
              <w:bottom w:val="single" w:sz="4" w:space="0" w:color="auto"/>
              <w:right w:val="single" w:sz="4" w:space="0" w:color="auto"/>
            </w:tcBorders>
            <w:shd w:val="clear" w:color="auto" w:fill="auto"/>
            <w:vAlign w:val="center"/>
          </w:tcPr>
          <w:p w14:paraId="100842C6" w14:textId="77777777" w:rsidR="001947A1" w:rsidRPr="00D83FD5" w:rsidRDefault="001947A1" w:rsidP="008D21D2">
            <w:pPr>
              <w:spacing w:before="0"/>
              <w:rPr>
                <w:b/>
                <w:sz w:val="18"/>
              </w:rPr>
            </w:pPr>
            <w:r w:rsidRPr="00D83FD5">
              <w:rPr>
                <w:b/>
                <w:sz w:val="18"/>
              </w:rPr>
              <w:t>Influenza Strain</w:t>
            </w:r>
          </w:p>
        </w:tc>
        <w:tc>
          <w:tcPr>
            <w:tcW w:w="1158" w:type="dxa"/>
            <w:tcBorders>
              <w:left w:val="single" w:sz="4" w:space="0" w:color="auto"/>
              <w:bottom w:val="single" w:sz="4" w:space="0" w:color="auto"/>
              <w:right w:val="single" w:sz="4" w:space="0" w:color="auto"/>
            </w:tcBorders>
            <w:shd w:val="clear" w:color="auto" w:fill="auto"/>
          </w:tcPr>
          <w:p w14:paraId="27F66638" w14:textId="77777777" w:rsidR="001947A1" w:rsidRPr="00D83FD5" w:rsidRDefault="001947A1" w:rsidP="008D21D2">
            <w:pPr>
              <w:spacing w:before="0"/>
              <w:jc w:val="center"/>
              <w:rPr>
                <w:b/>
                <w:sz w:val="18"/>
              </w:rPr>
            </w:pPr>
            <w:r w:rsidRPr="00D83FD5">
              <w:rPr>
                <w:b/>
                <w:sz w:val="18"/>
              </w:rPr>
              <w:t>n/M</w:t>
            </w:r>
          </w:p>
        </w:tc>
        <w:tc>
          <w:tcPr>
            <w:tcW w:w="1586" w:type="dxa"/>
            <w:tcBorders>
              <w:left w:val="single" w:sz="4" w:space="0" w:color="auto"/>
              <w:bottom w:val="single" w:sz="4" w:space="0" w:color="auto"/>
              <w:right w:val="single" w:sz="4" w:space="0" w:color="auto"/>
            </w:tcBorders>
            <w:shd w:val="clear" w:color="auto" w:fill="auto"/>
          </w:tcPr>
          <w:p w14:paraId="32BC4657" w14:textId="77777777" w:rsidR="001947A1" w:rsidRPr="00D83FD5" w:rsidRDefault="001947A1" w:rsidP="008D21D2">
            <w:pPr>
              <w:spacing w:before="0"/>
              <w:jc w:val="center"/>
              <w:rPr>
                <w:b/>
                <w:sz w:val="18"/>
              </w:rPr>
            </w:pPr>
            <w:r w:rsidRPr="00D83FD5">
              <w:rPr>
                <w:b/>
                <w:sz w:val="18"/>
              </w:rPr>
              <w:t>SC rate %</w:t>
            </w:r>
          </w:p>
          <w:p w14:paraId="7BE342D5" w14:textId="77777777" w:rsidR="001947A1" w:rsidRPr="00D83FD5" w:rsidRDefault="001947A1" w:rsidP="008D21D2">
            <w:pPr>
              <w:spacing w:before="0"/>
              <w:jc w:val="center"/>
              <w:rPr>
                <w:b/>
                <w:sz w:val="18"/>
              </w:rPr>
            </w:pPr>
            <w:r w:rsidRPr="00D83FD5">
              <w:rPr>
                <w:b/>
                <w:sz w:val="18"/>
              </w:rPr>
              <w:t>(95% CI)</w:t>
            </w:r>
          </w:p>
        </w:tc>
        <w:tc>
          <w:tcPr>
            <w:tcW w:w="1048" w:type="dxa"/>
            <w:tcBorders>
              <w:left w:val="single" w:sz="4" w:space="0" w:color="auto"/>
              <w:bottom w:val="single" w:sz="4" w:space="0" w:color="auto"/>
              <w:right w:val="single" w:sz="4" w:space="0" w:color="auto"/>
            </w:tcBorders>
            <w:shd w:val="clear" w:color="auto" w:fill="auto"/>
          </w:tcPr>
          <w:p w14:paraId="5887CD4E" w14:textId="77777777" w:rsidR="001947A1" w:rsidRPr="00D83FD5" w:rsidRDefault="001947A1" w:rsidP="008D21D2">
            <w:pPr>
              <w:spacing w:before="0"/>
              <w:jc w:val="center"/>
              <w:rPr>
                <w:b/>
                <w:sz w:val="18"/>
              </w:rPr>
            </w:pPr>
            <w:r w:rsidRPr="00D83FD5">
              <w:rPr>
                <w:b/>
                <w:sz w:val="18"/>
              </w:rPr>
              <w:t>n/M</w:t>
            </w:r>
          </w:p>
        </w:tc>
        <w:tc>
          <w:tcPr>
            <w:tcW w:w="1464" w:type="dxa"/>
            <w:tcBorders>
              <w:left w:val="single" w:sz="4" w:space="0" w:color="auto"/>
              <w:bottom w:val="single" w:sz="4" w:space="0" w:color="auto"/>
              <w:right w:val="single" w:sz="4" w:space="0" w:color="auto"/>
            </w:tcBorders>
            <w:shd w:val="clear" w:color="auto" w:fill="auto"/>
          </w:tcPr>
          <w:p w14:paraId="6CDC00C6" w14:textId="77777777" w:rsidR="001947A1" w:rsidRPr="00D83FD5" w:rsidRDefault="001947A1" w:rsidP="008D21D2">
            <w:pPr>
              <w:spacing w:before="0"/>
              <w:jc w:val="center"/>
              <w:rPr>
                <w:b/>
                <w:sz w:val="18"/>
              </w:rPr>
            </w:pPr>
            <w:r w:rsidRPr="00D83FD5">
              <w:rPr>
                <w:b/>
                <w:sz w:val="18"/>
              </w:rPr>
              <w:t xml:space="preserve"> SC rate</w:t>
            </w:r>
            <w:r w:rsidRPr="00D83FD5">
              <w:rPr>
                <w:b/>
                <w:sz w:val="18"/>
                <w:vertAlign w:val="superscript"/>
              </w:rPr>
              <w:t>1</w:t>
            </w:r>
            <w:r w:rsidRPr="00D83FD5">
              <w:rPr>
                <w:b/>
                <w:sz w:val="18"/>
              </w:rPr>
              <w:t xml:space="preserve"> %</w:t>
            </w:r>
          </w:p>
          <w:p w14:paraId="4F16AB28" w14:textId="77777777" w:rsidR="001947A1" w:rsidRPr="00D83FD5" w:rsidRDefault="001947A1" w:rsidP="008D21D2">
            <w:pPr>
              <w:spacing w:before="0"/>
              <w:jc w:val="center"/>
              <w:rPr>
                <w:b/>
                <w:sz w:val="18"/>
              </w:rPr>
            </w:pPr>
            <w:r w:rsidRPr="00D83FD5">
              <w:rPr>
                <w:b/>
                <w:sz w:val="18"/>
              </w:rPr>
              <w:t>(95% CI)</w:t>
            </w:r>
          </w:p>
        </w:tc>
        <w:tc>
          <w:tcPr>
            <w:tcW w:w="1630" w:type="dxa"/>
            <w:tcBorders>
              <w:left w:val="single" w:sz="4" w:space="0" w:color="auto"/>
              <w:bottom w:val="single" w:sz="4" w:space="0" w:color="auto"/>
              <w:right w:val="single" w:sz="4" w:space="0" w:color="auto"/>
            </w:tcBorders>
            <w:shd w:val="clear" w:color="auto" w:fill="auto"/>
          </w:tcPr>
          <w:p w14:paraId="33B107DB" w14:textId="77777777" w:rsidR="001947A1" w:rsidRPr="00D83FD5" w:rsidRDefault="001947A1" w:rsidP="008D21D2">
            <w:pPr>
              <w:spacing w:before="0"/>
              <w:jc w:val="center"/>
              <w:rPr>
                <w:b/>
                <w:sz w:val="18"/>
              </w:rPr>
            </w:pPr>
            <w:r w:rsidRPr="00D83FD5">
              <w:rPr>
                <w:b/>
                <w:sz w:val="18"/>
              </w:rPr>
              <w:t>% Difference</w:t>
            </w:r>
            <w:r w:rsidRPr="00D83FD5">
              <w:rPr>
                <w:b/>
                <w:sz w:val="18"/>
                <w:vertAlign w:val="superscript"/>
              </w:rPr>
              <w:t>2</w:t>
            </w:r>
          </w:p>
          <w:p w14:paraId="29872CBC" w14:textId="77777777" w:rsidR="001947A1" w:rsidRPr="00D83FD5" w:rsidRDefault="001947A1" w:rsidP="008D21D2">
            <w:pPr>
              <w:spacing w:before="0"/>
              <w:jc w:val="center"/>
              <w:rPr>
                <w:b/>
                <w:sz w:val="18"/>
              </w:rPr>
            </w:pPr>
            <w:r w:rsidRPr="00D83FD5">
              <w:rPr>
                <w:b/>
                <w:sz w:val="18"/>
              </w:rPr>
              <w:t xml:space="preserve">TIV-HD minus TIV-SD </w:t>
            </w:r>
          </w:p>
          <w:p w14:paraId="41CBE969" w14:textId="77777777" w:rsidR="001947A1" w:rsidRPr="00D83FD5" w:rsidRDefault="001947A1" w:rsidP="008D21D2">
            <w:pPr>
              <w:spacing w:before="0"/>
              <w:jc w:val="center"/>
              <w:rPr>
                <w:b/>
                <w:sz w:val="18"/>
              </w:rPr>
            </w:pPr>
            <w:r w:rsidRPr="00D83FD5">
              <w:rPr>
                <w:b/>
                <w:sz w:val="18"/>
              </w:rPr>
              <w:t>(95% CI)</w:t>
            </w:r>
          </w:p>
        </w:tc>
        <w:tc>
          <w:tcPr>
            <w:tcW w:w="1292" w:type="dxa"/>
            <w:tcBorders>
              <w:left w:val="single" w:sz="4" w:space="0" w:color="auto"/>
              <w:bottom w:val="single" w:sz="4" w:space="0" w:color="auto"/>
              <w:right w:val="single" w:sz="4" w:space="0" w:color="auto"/>
            </w:tcBorders>
            <w:shd w:val="clear" w:color="auto" w:fill="auto"/>
          </w:tcPr>
          <w:p w14:paraId="46C63510" w14:textId="77777777" w:rsidR="001947A1" w:rsidRPr="00D83FD5" w:rsidRDefault="001947A1" w:rsidP="008D21D2">
            <w:pPr>
              <w:spacing w:before="0"/>
              <w:jc w:val="center"/>
              <w:rPr>
                <w:b/>
                <w:sz w:val="18"/>
              </w:rPr>
            </w:pPr>
          </w:p>
        </w:tc>
      </w:tr>
      <w:tr w:rsidR="001947A1" w:rsidRPr="00D83FD5" w14:paraId="5972878E" w14:textId="77777777" w:rsidTr="00173722">
        <w:trPr>
          <w:jc w:val="center"/>
        </w:trPr>
        <w:tc>
          <w:tcPr>
            <w:tcW w:w="1109" w:type="dxa"/>
            <w:tcBorders>
              <w:bottom w:val="single" w:sz="4" w:space="0" w:color="auto"/>
              <w:right w:val="single" w:sz="4" w:space="0" w:color="auto"/>
            </w:tcBorders>
            <w:shd w:val="clear" w:color="auto" w:fill="auto"/>
            <w:vAlign w:val="center"/>
          </w:tcPr>
          <w:p w14:paraId="274E3B5F" w14:textId="77777777" w:rsidR="001947A1" w:rsidRPr="00D83FD5" w:rsidRDefault="001947A1" w:rsidP="008D21D2">
            <w:pPr>
              <w:spacing w:before="0"/>
              <w:rPr>
                <w:sz w:val="18"/>
              </w:rPr>
            </w:pPr>
            <w:r w:rsidRPr="00D83FD5">
              <w:rPr>
                <w:sz w:val="18"/>
              </w:rPr>
              <w:t>H1N1</w:t>
            </w:r>
          </w:p>
        </w:tc>
        <w:tc>
          <w:tcPr>
            <w:tcW w:w="1158" w:type="dxa"/>
            <w:tcBorders>
              <w:left w:val="single" w:sz="4" w:space="0" w:color="auto"/>
              <w:bottom w:val="single" w:sz="4" w:space="0" w:color="auto"/>
              <w:right w:val="single" w:sz="4" w:space="0" w:color="auto"/>
            </w:tcBorders>
            <w:shd w:val="clear" w:color="auto" w:fill="auto"/>
          </w:tcPr>
          <w:p w14:paraId="7F488280" w14:textId="77777777" w:rsidR="001947A1" w:rsidRPr="00D83FD5" w:rsidRDefault="001947A1" w:rsidP="008D21D2">
            <w:pPr>
              <w:spacing w:before="0"/>
              <w:rPr>
                <w:sz w:val="18"/>
              </w:rPr>
            </w:pPr>
            <w:r w:rsidRPr="00D83FD5">
              <w:rPr>
                <w:sz w:val="18"/>
              </w:rPr>
              <w:t>1229/2531</w:t>
            </w:r>
          </w:p>
        </w:tc>
        <w:tc>
          <w:tcPr>
            <w:tcW w:w="1586" w:type="dxa"/>
            <w:tcBorders>
              <w:left w:val="single" w:sz="4" w:space="0" w:color="auto"/>
              <w:bottom w:val="single" w:sz="4" w:space="0" w:color="auto"/>
              <w:right w:val="single" w:sz="4" w:space="0" w:color="auto"/>
            </w:tcBorders>
            <w:shd w:val="clear" w:color="auto" w:fill="auto"/>
          </w:tcPr>
          <w:p w14:paraId="1BC36449" w14:textId="77777777" w:rsidR="001947A1" w:rsidRPr="00D83FD5" w:rsidRDefault="001947A1" w:rsidP="008D21D2">
            <w:pPr>
              <w:spacing w:before="0"/>
              <w:jc w:val="center"/>
              <w:rPr>
                <w:sz w:val="18"/>
              </w:rPr>
            </w:pPr>
            <w:r w:rsidRPr="00D83FD5">
              <w:rPr>
                <w:sz w:val="18"/>
              </w:rPr>
              <w:t>48.56</w:t>
            </w:r>
          </w:p>
          <w:p w14:paraId="31EAFAB2" w14:textId="77777777" w:rsidR="001947A1" w:rsidRPr="00D83FD5" w:rsidRDefault="001947A1" w:rsidP="008D21D2">
            <w:pPr>
              <w:spacing w:before="0"/>
              <w:jc w:val="center"/>
              <w:rPr>
                <w:sz w:val="18"/>
              </w:rPr>
            </w:pPr>
            <w:r w:rsidRPr="00D83FD5">
              <w:rPr>
                <w:sz w:val="18"/>
              </w:rPr>
              <w:t>(46.59; 50.53)</w:t>
            </w:r>
          </w:p>
        </w:tc>
        <w:tc>
          <w:tcPr>
            <w:tcW w:w="1048" w:type="dxa"/>
            <w:tcBorders>
              <w:left w:val="single" w:sz="4" w:space="0" w:color="auto"/>
              <w:bottom w:val="single" w:sz="4" w:space="0" w:color="auto"/>
              <w:right w:val="single" w:sz="4" w:space="0" w:color="auto"/>
            </w:tcBorders>
            <w:shd w:val="clear" w:color="auto" w:fill="auto"/>
          </w:tcPr>
          <w:p w14:paraId="1EA03EA8" w14:textId="77777777" w:rsidR="001947A1" w:rsidRPr="00D83FD5" w:rsidRDefault="001947A1" w:rsidP="008D21D2">
            <w:pPr>
              <w:spacing w:before="0"/>
              <w:jc w:val="center"/>
              <w:rPr>
                <w:sz w:val="18"/>
              </w:rPr>
            </w:pPr>
            <w:r w:rsidRPr="00D83FD5">
              <w:rPr>
                <w:sz w:val="18"/>
              </w:rPr>
              <w:t>289/1249</w:t>
            </w:r>
          </w:p>
        </w:tc>
        <w:tc>
          <w:tcPr>
            <w:tcW w:w="1464" w:type="dxa"/>
            <w:tcBorders>
              <w:left w:val="single" w:sz="4" w:space="0" w:color="auto"/>
              <w:bottom w:val="single" w:sz="4" w:space="0" w:color="auto"/>
              <w:right w:val="single" w:sz="4" w:space="0" w:color="auto"/>
            </w:tcBorders>
            <w:shd w:val="clear" w:color="auto" w:fill="auto"/>
          </w:tcPr>
          <w:p w14:paraId="04906B28" w14:textId="77777777" w:rsidR="001947A1" w:rsidRPr="00D83FD5" w:rsidRDefault="001947A1" w:rsidP="008D21D2">
            <w:pPr>
              <w:spacing w:before="0"/>
              <w:jc w:val="center"/>
              <w:rPr>
                <w:sz w:val="18"/>
              </w:rPr>
            </w:pPr>
            <w:r w:rsidRPr="00D83FD5">
              <w:rPr>
                <w:sz w:val="18"/>
              </w:rPr>
              <w:t>23.14</w:t>
            </w:r>
          </w:p>
          <w:p w14:paraId="336B92E2" w14:textId="77777777" w:rsidR="001947A1" w:rsidRPr="00D83FD5" w:rsidRDefault="001947A1" w:rsidP="008D21D2">
            <w:pPr>
              <w:spacing w:before="0"/>
              <w:jc w:val="center"/>
              <w:rPr>
                <w:sz w:val="18"/>
              </w:rPr>
            </w:pPr>
            <w:r w:rsidRPr="00D83FD5">
              <w:rPr>
                <w:sz w:val="18"/>
              </w:rPr>
              <w:t>(20.83; 25.58)</w:t>
            </w:r>
          </w:p>
        </w:tc>
        <w:tc>
          <w:tcPr>
            <w:tcW w:w="1630" w:type="dxa"/>
            <w:tcBorders>
              <w:left w:val="single" w:sz="4" w:space="0" w:color="auto"/>
              <w:bottom w:val="single" w:sz="4" w:space="0" w:color="auto"/>
              <w:right w:val="single" w:sz="4" w:space="0" w:color="auto"/>
            </w:tcBorders>
            <w:shd w:val="clear" w:color="auto" w:fill="auto"/>
          </w:tcPr>
          <w:p w14:paraId="40EEA82A" w14:textId="77777777" w:rsidR="001947A1" w:rsidRPr="00D83FD5" w:rsidRDefault="001947A1" w:rsidP="008D21D2">
            <w:pPr>
              <w:spacing w:before="0"/>
              <w:jc w:val="center"/>
              <w:rPr>
                <w:sz w:val="18"/>
              </w:rPr>
            </w:pPr>
            <w:r w:rsidRPr="00D83FD5">
              <w:rPr>
                <w:sz w:val="18"/>
              </w:rPr>
              <w:t>25.42</w:t>
            </w:r>
          </w:p>
          <w:p w14:paraId="1EB638B7" w14:textId="77777777" w:rsidR="001947A1" w:rsidRPr="00D83FD5" w:rsidRDefault="001947A1" w:rsidP="008D21D2">
            <w:pPr>
              <w:spacing w:before="0"/>
              <w:jc w:val="center"/>
              <w:rPr>
                <w:sz w:val="18"/>
              </w:rPr>
            </w:pPr>
            <w:r w:rsidRPr="00D83FD5">
              <w:rPr>
                <w:sz w:val="18"/>
              </w:rPr>
              <w:t>(22.38; 28.46)</w:t>
            </w:r>
          </w:p>
        </w:tc>
        <w:tc>
          <w:tcPr>
            <w:tcW w:w="1292" w:type="dxa"/>
            <w:tcBorders>
              <w:left w:val="single" w:sz="4" w:space="0" w:color="auto"/>
              <w:bottom w:val="single" w:sz="4" w:space="0" w:color="auto"/>
              <w:right w:val="single" w:sz="4" w:space="0" w:color="auto"/>
            </w:tcBorders>
            <w:shd w:val="clear" w:color="auto" w:fill="auto"/>
          </w:tcPr>
          <w:p w14:paraId="4FAA75B5" w14:textId="77777777" w:rsidR="001947A1" w:rsidRPr="00D83FD5" w:rsidRDefault="001947A1" w:rsidP="008D21D2">
            <w:pPr>
              <w:spacing w:before="0"/>
              <w:jc w:val="center"/>
              <w:rPr>
                <w:sz w:val="18"/>
              </w:rPr>
            </w:pPr>
            <w:r w:rsidRPr="00D83FD5">
              <w:rPr>
                <w:sz w:val="18"/>
              </w:rPr>
              <w:t>Superior</w:t>
            </w:r>
            <w:r w:rsidRPr="00D83FD5">
              <w:rPr>
                <w:sz w:val="18"/>
                <w:vertAlign w:val="superscript"/>
              </w:rPr>
              <w:t>4</w:t>
            </w:r>
          </w:p>
        </w:tc>
      </w:tr>
      <w:tr w:rsidR="001947A1" w:rsidRPr="00D83FD5" w14:paraId="53E18735" w14:textId="77777777" w:rsidTr="00173722">
        <w:trPr>
          <w:jc w:val="center"/>
        </w:trPr>
        <w:tc>
          <w:tcPr>
            <w:tcW w:w="1109" w:type="dxa"/>
            <w:tcBorders>
              <w:top w:val="single" w:sz="4" w:space="0" w:color="auto"/>
              <w:bottom w:val="single" w:sz="4" w:space="0" w:color="auto"/>
              <w:right w:val="single" w:sz="4" w:space="0" w:color="auto"/>
            </w:tcBorders>
            <w:shd w:val="clear" w:color="auto" w:fill="auto"/>
            <w:vAlign w:val="center"/>
          </w:tcPr>
          <w:p w14:paraId="19C73485" w14:textId="77777777" w:rsidR="001947A1" w:rsidRPr="00D83FD5" w:rsidRDefault="001947A1" w:rsidP="008D21D2">
            <w:pPr>
              <w:spacing w:before="0"/>
              <w:rPr>
                <w:sz w:val="18"/>
              </w:rPr>
            </w:pPr>
            <w:r w:rsidRPr="00D83FD5">
              <w:rPr>
                <w:sz w:val="18"/>
              </w:rPr>
              <w:t>H3N2</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0A36954E" w14:textId="77777777" w:rsidR="001947A1" w:rsidRPr="00D83FD5" w:rsidRDefault="001947A1" w:rsidP="008D21D2">
            <w:pPr>
              <w:spacing w:before="0"/>
              <w:rPr>
                <w:sz w:val="18"/>
              </w:rPr>
            </w:pPr>
            <w:r w:rsidRPr="00D83FD5">
              <w:rPr>
                <w:sz w:val="18"/>
              </w:rPr>
              <w:t>1749/2531</w:t>
            </w:r>
          </w:p>
        </w:tc>
        <w:tc>
          <w:tcPr>
            <w:tcW w:w="1586" w:type="dxa"/>
            <w:tcBorders>
              <w:top w:val="single" w:sz="4" w:space="0" w:color="auto"/>
              <w:left w:val="single" w:sz="4" w:space="0" w:color="auto"/>
              <w:bottom w:val="single" w:sz="4" w:space="0" w:color="auto"/>
              <w:right w:val="single" w:sz="4" w:space="0" w:color="auto"/>
            </w:tcBorders>
            <w:shd w:val="clear" w:color="auto" w:fill="auto"/>
          </w:tcPr>
          <w:p w14:paraId="6B0A93A5" w14:textId="77777777" w:rsidR="001947A1" w:rsidRPr="00D83FD5" w:rsidRDefault="001947A1" w:rsidP="008D21D2">
            <w:pPr>
              <w:spacing w:before="0"/>
              <w:jc w:val="center"/>
              <w:rPr>
                <w:sz w:val="18"/>
              </w:rPr>
            </w:pPr>
            <w:r w:rsidRPr="00D83FD5">
              <w:rPr>
                <w:sz w:val="18"/>
              </w:rPr>
              <w:t>69.10</w:t>
            </w:r>
          </w:p>
          <w:p w14:paraId="0FCF17A2" w14:textId="77777777" w:rsidR="001947A1" w:rsidRPr="00D83FD5" w:rsidRDefault="001947A1" w:rsidP="008D21D2">
            <w:pPr>
              <w:spacing w:before="0"/>
              <w:jc w:val="center"/>
              <w:rPr>
                <w:sz w:val="18"/>
              </w:rPr>
            </w:pPr>
            <w:r w:rsidRPr="00D83FD5">
              <w:rPr>
                <w:sz w:val="18"/>
              </w:rPr>
              <w:t>(67.26; 70.90)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CA4A8A" w14:textId="77777777" w:rsidR="001947A1" w:rsidRPr="00D83FD5" w:rsidRDefault="001947A1" w:rsidP="008D21D2">
            <w:pPr>
              <w:spacing w:before="0"/>
              <w:jc w:val="center"/>
              <w:rPr>
                <w:sz w:val="18"/>
              </w:rPr>
            </w:pPr>
            <w:r w:rsidRPr="00D83FD5">
              <w:rPr>
                <w:sz w:val="18"/>
              </w:rPr>
              <w:t>633/1248</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699A5BCF" w14:textId="77777777" w:rsidR="001947A1" w:rsidRPr="00D83FD5" w:rsidRDefault="001947A1" w:rsidP="008D21D2">
            <w:pPr>
              <w:spacing w:before="0"/>
              <w:jc w:val="center"/>
              <w:rPr>
                <w:sz w:val="18"/>
              </w:rPr>
            </w:pPr>
            <w:r w:rsidRPr="00D83FD5">
              <w:rPr>
                <w:sz w:val="18"/>
              </w:rPr>
              <w:t>50.72</w:t>
            </w:r>
          </w:p>
          <w:p w14:paraId="61C0FF92" w14:textId="77777777" w:rsidR="001947A1" w:rsidRPr="00D83FD5" w:rsidRDefault="001947A1" w:rsidP="008D21D2">
            <w:pPr>
              <w:spacing w:before="0"/>
              <w:jc w:val="center"/>
              <w:rPr>
                <w:sz w:val="18"/>
              </w:rPr>
            </w:pPr>
            <w:r w:rsidRPr="00D83FD5">
              <w:rPr>
                <w:sz w:val="18"/>
              </w:rPr>
              <w:t>(47.91; 53.53)</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4419690B" w14:textId="77777777" w:rsidR="001947A1" w:rsidRPr="00D83FD5" w:rsidRDefault="001947A1" w:rsidP="008D21D2">
            <w:pPr>
              <w:spacing w:before="0"/>
              <w:jc w:val="center"/>
              <w:rPr>
                <w:sz w:val="18"/>
              </w:rPr>
            </w:pPr>
            <w:r w:rsidRPr="00D83FD5">
              <w:rPr>
                <w:sz w:val="18"/>
              </w:rPr>
              <w:t>18.38</w:t>
            </w:r>
          </w:p>
          <w:p w14:paraId="1DDF9F25" w14:textId="77777777" w:rsidR="001947A1" w:rsidRPr="00D83FD5" w:rsidRDefault="001947A1" w:rsidP="008D21D2">
            <w:pPr>
              <w:spacing w:before="0"/>
              <w:jc w:val="center"/>
              <w:rPr>
                <w:sz w:val="18"/>
              </w:rPr>
            </w:pPr>
            <w:r w:rsidRPr="00D83FD5">
              <w:rPr>
                <w:sz w:val="18"/>
              </w:rPr>
              <w:t>(15.08; 21.69)</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6E9013F" w14:textId="77777777" w:rsidR="001947A1" w:rsidRPr="00D83FD5" w:rsidRDefault="001947A1" w:rsidP="008D21D2">
            <w:pPr>
              <w:spacing w:before="0"/>
              <w:jc w:val="center"/>
              <w:rPr>
                <w:sz w:val="18"/>
              </w:rPr>
            </w:pPr>
            <w:r w:rsidRPr="00D83FD5">
              <w:rPr>
                <w:sz w:val="18"/>
              </w:rPr>
              <w:t>Superior</w:t>
            </w:r>
            <w:r w:rsidRPr="00D83FD5">
              <w:rPr>
                <w:sz w:val="18"/>
                <w:vertAlign w:val="superscript"/>
              </w:rPr>
              <w:t>4</w:t>
            </w:r>
          </w:p>
        </w:tc>
      </w:tr>
      <w:tr w:rsidR="001947A1" w:rsidRPr="00D83FD5" w14:paraId="429FFE86" w14:textId="77777777" w:rsidTr="00173722">
        <w:trPr>
          <w:jc w:val="center"/>
        </w:trPr>
        <w:tc>
          <w:tcPr>
            <w:tcW w:w="1109" w:type="dxa"/>
            <w:tcBorders>
              <w:top w:val="single" w:sz="4" w:space="0" w:color="auto"/>
              <w:bottom w:val="single" w:sz="4" w:space="0" w:color="auto"/>
              <w:right w:val="single" w:sz="4" w:space="0" w:color="auto"/>
            </w:tcBorders>
            <w:shd w:val="clear" w:color="auto" w:fill="auto"/>
            <w:vAlign w:val="center"/>
          </w:tcPr>
          <w:p w14:paraId="0E0CD45F" w14:textId="77777777" w:rsidR="001947A1" w:rsidRPr="00D83FD5" w:rsidRDefault="001947A1" w:rsidP="008D21D2">
            <w:pPr>
              <w:spacing w:before="0"/>
              <w:rPr>
                <w:sz w:val="18"/>
              </w:rPr>
            </w:pPr>
            <w:r w:rsidRPr="00D83FD5">
              <w:rPr>
                <w:sz w:val="18"/>
              </w:rPr>
              <w:t>B</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1D3C0B5E" w14:textId="77777777" w:rsidR="001947A1" w:rsidRPr="00D83FD5" w:rsidRDefault="001947A1" w:rsidP="008D21D2">
            <w:pPr>
              <w:spacing w:before="0"/>
              <w:rPr>
                <w:sz w:val="18"/>
              </w:rPr>
            </w:pPr>
            <w:r w:rsidRPr="00D83FD5">
              <w:rPr>
                <w:sz w:val="18"/>
              </w:rPr>
              <w:t>1056/2529</w:t>
            </w:r>
          </w:p>
        </w:tc>
        <w:tc>
          <w:tcPr>
            <w:tcW w:w="1586" w:type="dxa"/>
            <w:tcBorders>
              <w:top w:val="single" w:sz="4" w:space="0" w:color="auto"/>
              <w:left w:val="single" w:sz="4" w:space="0" w:color="auto"/>
              <w:bottom w:val="single" w:sz="4" w:space="0" w:color="auto"/>
              <w:right w:val="single" w:sz="4" w:space="0" w:color="auto"/>
            </w:tcBorders>
            <w:shd w:val="clear" w:color="auto" w:fill="auto"/>
          </w:tcPr>
          <w:p w14:paraId="238CDA3C" w14:textId="77777777" w:rsidR="001947A1" w:rsidRPr="00D83FD5" w:rsidRDefault="001947A1" w:rsidP="008D21D2">
            <w:pPr>
              <w:spacing w:before="0"/>
              <w:jc w:val="center"/>
              <w:rPr>
                <w:sz w:val="18"/>
              </w:rPr>
            </w:pPr>
            <w:r w:rsidRPr="00D83FD5">
              <w:rPr>
                <w:sz w:val="18"/>
              </w:rPr>
              <w:t>41.76</w:t>
            </w:r>
          </w:p>
          <w:p w14:paraId="6D9CF567" w14:textId="77777777" w:rsidR="001947A1" w:rsidRPr="00D83FD5" w:rsidRDefault="001947A1" w:rsidP="008D21D2">
            <w:pPr>
              <w:spacing w:before="0"/>
              <w:jc w:val="center"/>
              <w:rPr>
                <w:sz w:val="18"/>
              </w:rPr>
            </w:pPr>
            <w:r w:rsidRPr="00D83FD5">
              <w:rPr>
                <w:sz w:val="18"/>
              </w:rPr>
              <w:t>(39.82; 43.71)</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7F66CE" w14:textId="77777777" w:rsidR="001947A1" w:rsidRPr="00D83FD5" w:rsidRDefault="001947A1" w:rsidP="008D21D2">
            <w:pPr>
              <w:spacing w:before="0"/>
              <w:jc w:val="center"/>
              <w:rPr>
                <w:sz w:val="18"/>
              </w:rPr>
            </w:pPr>
            <w:r w:rsidRPr="00D83FD5">
              <w:rPr>
                <w:sz w:val="18"/>
              </w:rPr>
              <w:t>374/1249</w:t>
            </w:r>
          </w:p>
          <w:p w14:paraId="6797C660" w14:textId="77777777" w:rsidR="001947A1" w:rsidRPr="00D83FD5" w:rsidRDefault="001947A1" w:rsidP="008D21D2">
            <w:pPr>
              <w:spacing w:before="0"/>
              <w:jc w:val="center"/>
              <w:rPr>
                <w:sz w:val="18"/>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44A22D09" w14:textId="77777777" w:rsidR="001947A1" w:rsidRPr="00D83FD5" w:rsidRDefault="001947A1" w:rsidP="008D21D2">
            <w:pPr>
              <w:spacing w:before="0"/>
              <w:jc w:val="center"/>
              <w:rPr>
                <w:sz w:val="18"/>
              </w:rPr>
            </w:pPr>
            <w:r w:rsidRPr="00D83FD5">
              <w:rPr>
                <w:sz w:val="18"/>
              </w:rPr>
              <w:t>29.94</w:t>
            </w:r>
          </w:p>
          <w:p w14:paraId="1CA69C25" w14:textId="77777777" w:rsidR="001947A1" w:rsidRPr="00D83FD5" w:rsidRDefault="001947A1" w:rsidP="008D21D2">
            <w:pPr>
              <w:spacing w:before="0"/>
              <w:jc w:val="center"/>
              <w:rPr>
                <w:sz w:val="18"/>
              </w:rPr>
            </w:pPr>
            <w:r w:rsidRPr="00D83FD5">
              <w:rPr>
                <w:sz w:val="18"/>
              </w:rPr>
              <w:t>(27.41; 32.57)</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3EC1042B" w14:textId="77777777" w:rsidR="001947A1" w:rsidRPr="00D83FD5" w:rsidRDefault="001947A1" w:rsidP="008D21D2">
            <w:pPr>
              <w:spacing w:before="0"/>
              <w:jc w:val="center"/>
              <w:rPr>
                <w:sz w:val="18"/>
              </w:rPr>
            </w:pPr>
            <w:r w:rsidRPr="00D83FD5">
              <w:rPr>
                <w:sz w:val="18"/>
              </w:rPr>
              <w:t>11.81</w:t>
            </w:r>
          </w:p>
          <w:p w14:paraId="0DC9BF77" w14:textId="77777777" w:rsidR="001947A1" w:rsidRPr="00D83FD5" w:rsidRDefault="001947A1" w:rsidP="008D21D2">
            <w:pPr>
              <w:spacing w:before="0"/>
              <w:jc w:val="center"/>
              <w:rPr>
                <w:sz w:val="18"/>
              </w:rPr>
            </w:pPr>
            <w:r w:rsidRPr="00D83FD5">
              <w:rPr>
                <w:sz w:val="18"/>
              </w:rPr>
              <w:t>(8.63; 15.00)</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FC2E38B" w14:textId="77777777" w:rsidR="001947A1" w:rsidRPr="00D83FD5" w:rsidRDefault="001947A1" w:rsidP="008D21D2">
            <w:pPr>
              <w:spacing w:before="0"/>
              <w:jc w:val="center"/>
              <w:rPr>
                <w:sz w:val="18"/>
              </w:rPr>
            </w:pPr>
            <w:r w:rsidRPr="00D83FD5">
              <w:rPr>
                <w:sz w:val="18"/>
              </w:rPr>
              <w:t>Higher</w:t>
            </w:r>
            <w:r w:rsidRPr="00D83FD5">
              <w:rPr>
                <w:sz w:val="18"/>
                <w:vertAlign w:val="superscript"/>
              </w:rPr>
              <w:t>5</w:t>
            </w:r>
          </w:p>
        </w:tc>
      </w:tr>
      <w:tr w:rsidR="001947A1" w:rsidRPr="00D83FD5" w14:paraId="47D21809" w14:textId="77777777" w:rsidTr="00173722">
        <w:trPr>
          <w:trHeight w:val="469"/>
          <w:jc w:val="center"/>
        </w:trPr>
        <w:tc>
          <w:tcPr>
            <w:tcW w:w="9287" w:type="dxa"/>
            <w:gridSpan w:val="7"/>
            <w:tcBorders>
              <w:bottom w:val="single" w:sz="4" w:space="0" w:color="auto"/>
              <w:right w:val="single" w:sz="4" w:space="0" w:color="auto"/>
            </w:tcBorders>
            <w:shd w:val="clear" w:color="auto" w:fill="auto"/>
            <w:vAlign w:val="center"/>
          </w:tcPr>
          <w:p w14:paraId="0EF428E8" w14:textId="77777777" w:rsidR="001947A1" w:rsidRPr="00D83FD5" w:rsidRDefault="001947A1" w:rsidP="008D21D2">
            <w:pPr>
              <w:spacing w:before="0"/>
              <w:jc w:val="center"/>
              <w:rPr>
                <w:b/>
                <w:sz w:val="18"/>
              </w:rPr>
            </w:pPr>
            <w:r w:rsidRPr="00D83FD5">
              <w:rPr>
                <w:b/>
                <w:sz w:val="18"/>
              </w:rPr>
              <w:t>GMT ratios</w:t>
            </w:r>
          </w:p>
        </w:tc>
      </w:tr>
      <w:tr w:rsidR="001947A1" w:rsidRPr="00D83FD5" w14:paraId="6E6A6513" w14:textId="77777777" w:rsidTr="00173722">
        <w:trPr>
          <w:trHeight w:val="595"/>
          <w:jc w:val="center"/>
        </w:trPr>
        <w:tc>
          <w:tcPr>
            <w:tcW w:w="1109" w:type="dxa"/>
            <w:tcBorders>
              <w:bottom w:val="single" w:sz="4" w:space="0" w:color="auto"/>
              <w:right w:val="single" w:sz="4" w:space="0" w:color="auto"/>
            </w:tcBorders>
            <w:shd w:val="clear" w:color="auto" w:fill="auto"/>
            <w:vAlign w:val="center"/>
          </w:tcPr>
          <w:p w14:paraId="61F0DD3F" w14:textId="77777777" w:rsidR="001947A1" w:rsidRPr="00D83FD5" w:rsidRDefault="001947A1" w:rsidP="008D21D2">
            <w:pPr>
              <w:spacing w:before="0"/>
              <w:rPr>
                <w:b/>
                <w:sz w:val="18"/>
              </w:rPr>
            </w:pPr>
            <w:r w:rsidRPr="00D83FD5">
              <w:rPr>
                <w:b/>
                <w:sz w:val="18"/>
              </w:rPr>
              <w:t>Influenza Strain</w:t>
            </w:r>
          </w:p>
        </w:tc>
        <w:tc>
          <w:tcPr>
            <w:tcW w:w="1158" w:type="dxa"/>
            <w:tcBorders>
              <w:left w:val="single" w:sz="4" w:space="0" w:color="auto"/>
              <w:bottom w:val="single" w:sz="4" w:space="0" w:color="auto"/>
              <w:right w:val="single" w:sz="4" w:space="0" w:color="auto"/>
            </w:tcBorders>
            <w:shd w:val="clear" w:color="auto" w:fill="auto"/>
          </w:tcPr>
          <w:p w14:paraId="70649AC4" w14:textId="77777777" w:rsidR="001947A1" w:rsidRPr="00D83FD5" w:rsidRDefault="001947A1" w:rsidP="008D21D2">
            <w:pPr>
              <w:spacing w:before="0"/>
              <w:jc w:val="center"/>
              <w:rPr>
                <w:b/>
                <w:sz w:val="18"/>
              </w:rPr>
            </w:pPr>
            <w:r w:rsidRPr="00D83FD5">
              <w:rPr>
                <w:b/>
                <w:sz w:val="18"/>
              </w:rPr>
              <w:t>M</w:t>
            </w:r>
          </w:p>
        </w:tc>
        <w:tc>
          <w:tcPr>
            <w:tcW w:w="1586" w:type="dxa"/>
            <w:tcBorders>
              <w:left w:val="single" w:sz="4" w:space="0" w:color="auto"/>
              <w:bottom w:val="single" w:sz="4" w:space="0" w:color="auto"/>
              <w:right w:val="single" w:sz="4" w:space="0" w:color="auto"/>
            </w:tcBorders>
            <w:shd w:val="clear" w:color="auto" w:fill="auto"/>
          </w:tcPr>
          <w:p w14:paraId="5E924C15" w14:textId="77777777" w:rsidR="001947A1" w:rsidRPr="00D83FD5" w:rsidRDefault="001947A1" w:rsidP="008D21D2">
            <w:pPr>
              <w:spacing w:before="0"/>
              <w:jc w:val="center"/>
              <w:rPr>
                <w:b/>
                <w:sz w:val="18"/>
              </w:rPr>
            </w:pPr>
            <w:r w:rsidRPr="00D83FD5">
              <w:rPr>
                <w:b/>
                <w:sz w:val="18"/>
              </w:rPr>
              <w:t>GMT</w:t>
            </w:r>
          </w:p>
          <w:p w14:paraId="2D7DBDA3" w14:textId="77777777" w:rsidR="001947A1" w:rsidRPr="00D83FD5" w:rsidRDefault="001947A1" w:rsidP="008D21D2">
            <w:pPr>
              <w:spacing w:before="0"/>
              <w:jc w:val="center"/>
              <w:rPr>
                <w:b/>
                <w:sz w:val="18"/>
              </w:rPr>
            </w:pPr>
            <w:r w:rsidRPr="00D83FD5">
              <w:rPr>
                <w:b/>
                <w:sz w:val="18"/>
              </w:rPr>
              <w:t>(95% CI)</w:t>
            </w:r>
          </w:p>
        </w:tc>
        <w:tc>
          <w:tcPr>
            <w:tcW w:w="1048" w:type="dxa"/>
            <w:tcBorders>
              <w:left w:val="single" w:sz="4" w:space="0" w:color="auto"/>
              <w:bottom w:val="single" w:sz="4" w:space="0" w:color="auto"/>
              <w:right w:val="single" w:sz="4" w:space="0" w:color="auto"/>
            </w:tcBorders>
            <w:shd w:val="clear" w:color="auto" w:fill="auto"/>
          </w:tcPr>
          <w:p w14:paraId="4BE0E14B" w14:textId="77777777" w:rsidR="001947A1" w:rsidRPr="00D83FD5" w:rsidRDefault="001947A1" w:rsidP="008D21D2">
            <w:pPr>
              <w:spacing w:before="0"/>
              <w:jc w:val="center"/>
              <w:rPr>
                <w:b/>
                <w:sz w:val="18"/>
              </w:rPr>
            </w:pPr>
            <w:r w:rsidRPr="00D83FD5">
              <w:rPr>
                <w:b/>
                <w:sz w:val="18"/>
              </w:rPr>
              <w:t>M</w:t>
            </w:r>
          </w:p>
        </w:tc>
        <w:tc>
          <w:tcPr>
            <w:tcW w:w="1464" w:type="dxa"/>
            <w:tcBorders>
              <w:left w:val="single" w:sz="4" w:space="0" w:color="auto"/>
              <w:bottom w:val="single" w:sz="4" w:space="0" w:color="auto"/>
              <w:right w:val="single" w:sz="4" w:space="0" w:color="auto"/>
            </w:tcBorders>
            <w:shd w:val="clear" w:color="auto" w:fill="auto"/>
          </w:tcPr>
          <w:p w14:paraId="0D2FD43D" w14:textId="77777777" w:rsidR="001947A1" w:rsidRPr="00D83FD5" w:rsidRDefault="001947A1" w:rsidP="008D21D2">
            <w:pPr>
              <w:spacing w:before="0"/>
              <w:jc w:val="center"/>
              <w:rPr>
                <w:b/>
                <w:sz w:val="18"/>
              </w:rPr>
            </w:pPr>
            <w:r w:rsidRPr="00D83FD5">
              <w:rPr>
                <w:b/>
                <w:sz w:val="18"/>
              </w:rPr>
              <w:t>GMT</w:t>
            </w:r>
          </w:p>
          <w:p w14:paraId="7EEDE167" w14:textId="77777777" w:rsidR="001947A1" w:rsidRPr="00D83FD5" w:rsidRDefault="001947A1" w:rsidP="008D21D2">
            <w:pPr>
              <w:spacing w:before="0"/>
              <w:jc w:val="center"/>
              <w:rPr>
                <w:b/>
                <w:sz w:val="18"/>
              </w:rPr>
            </w:pPr>
            <w:r w:rsidRPr="00D83FD5">
              <w:rPr>
                <w:b/>
                <w:sz w:val="18"/>
              </w:rPr>
              <w:t>(95% CI)</w:t>
            </w:r>
          </w:p>
        </w:tc>
        <w:tc>
          <w:tcPr>
            <w:tcW w:w="1630" w:type="dxa"/>
            <w:tcBorders>
              <w:left w:val="single" w:sz="4" w:space="0" w:color="auto"/>
              <w:bottom w:val="single" w:sz="4" w:space="0" w:color="auto"/>
              <w:right w:val="single" w:sz="4" w:space="0" w:color="auto"/>
            </w:tcBorders>
            <w:shd w:val="clear" w:color="auto" w:fill="auto"/>
          </w:tcPr>
          <w:p w14:paraId="06ED23EF" w14:textId="77777777" w:rsidR="001947A1" w:rsidRPr="00D83FD5" w:rsidRDefault="001947A1" w:rsidP="008D21D2">
            <w:pPr>
              <w:spacing w:before="0"/>
              <w:jc w:val="center"/>
              <w:rPr>
                <w:b/>
                <w:sz w:val="18"/>
              </w:rPr>
            </w:pPr>
            <w:r w:rsidRPr="00D83FD5">
              <w:rPr>
                <w:b/>
                <w:sz w:val="18"/>
              </w:rPr>
              <w:t>GMTR</w:t>
            </w:r>
            <w:r w:rsidRPr="00D83FD5">
              <w:rPr>
                <w:rStyle w:val="FootnoteReference"/>
                <w:b/>
                <w:color w:val="auto"/>
              </w:rPr>
              <w:t>3</w:t>
            </w:r>
            <w:r w:rsidRPr="00D83FD5">
              <w:rPr>
                <w:b/>
                <w:sz w:val="18"/>
              </w:rPr>
              <w:br/>
              <w:t>TIV-HD/TIV-SD</w:t>
            </w:r>
          </w:p>
          <w:p w14:paraId="52883082" w14:textId="77777777" w:rsidR="001947A1" w:rsidRPr="00D83FD5" w:rsidRDefault="001947A1" w:rsidP="008D21D2">
            <w:pPr>
              <w:spacing w:before="0"/>
              <w:jc w:val="center"/>
              <w:rPr>
                <w:b/>
                <w:sz w:val="18"/>
              </w:rPr>
            </w:pPr>
            <w:r w:rsidRPr="00D83FD5">
              <w:rPr>
                <w:b/>
                <w:sz w:val="18"/>
              </w:rPr>
              <w:t>(95% CI)</w:t>
            </w:r>
          </w:p>
        </w:tc>
        <w:tc>
          <w:tcPr>
            <w:tcW w:w="1292" w:type="dxa"/>
            <w:tcBorders>
              <w:left w:val="single" w:sz="4" w:space="0" w:color="auto"/>
              <w:bottom w:val="single" w:sz="4" w:space="0" w:color="auto"/>
              <w:right w:val="single" w:sz="4" w:space="0" w:color="auto"/>
            </w:tcBorders>
            <w:shd w:val="clear" w:color="auto" w:fill="auto"/>
          </w:tcPr>
          <w:p w14:paraId="4DB9DD44" w14:textId="77777777" w:rsidR="001947A1" w:rsidRPr="00D83FD5" w:rsidRDefault="001947A1" w:rsidP="008D21D2">
            <w:pPr>
              <w:spacing w:before="0"/>
              <w:jc w:val="center"/>
              <w:rPr>
                <w:b/>
                <w:sz w:val="18"/>
              </w:rPr>
            </w:pPr>
          </w:p>
        </w:tc>
      </w:tr>
      <w:tr w:rsidR="001947A1" w:rsidRPr="00D83FD5" w14:paraId="200E69D0" w14:textId="77777777" w:rsidTr="00173722">
        <w:trPr>
          <w:jc w:val="center"/>
        </w:trPr>
        <w:tc>
          <w:tcPr>
            <w:tcW w:w="1109" w:type="dxa"/>
            <w:tcBorders>
              <w:bottom w:val="single" w:sz="4" w:space="0" w:color="auto"/>
              <w:right w:val="single" w:sz="4" w:space="0" w:color="auto"/>
            </w:tcBorders>
            <w:shd w:val="clear" w:color="auto" w:fill="auto"/>
            <w:vAlign w:val="center"/>
          </w:tcPr>
          <w:p w14:paraId="02B46EE9" w14:textId="77777777" w:rsidR="001947A1" w:rsidRPr="00D83FD5" w:rsidRDefault="001947A1" w:rsidP="008D21D2">
            <w:pPr>
              <w:spacing w:before="0"/>
              <w:rPr>
                <w:sz w:val="18"/>
              </w:rPr>
            </w:pPr>
            <w:r w:rsidRPr="00D83FD5">
              <w:rPr>
                <w:sz w:val="18"/>
              </w:rPr>
              <w:t xml:space="preserve">H1N1: </w:t>
            </w:r>
          </w:p>
        </w:tc>
        <w:tc>
          <w:tcPr>
            <w:tcW w:w="1158" w:type="dxa"/>
            <w:tcBorders>
              <w:left w:val="single" w:sz="4" w:space="0" w:color="auto"/>
              <w:bottom w:val="single" w:sz="4" w:space="0" w:color="auto"/>
              <w:right w:val="single" w:sz="4" w:space="0" w:color="auto"/>
            </w:tcBorders>
            <w:shd w:val="clear" w:color="auto" w:fill="auto"/>
          </w:tcPr>
          <w:p w14:paraId="5F0F8E6D" w14:textId="77777777" w:rsidR="001947A1" w:rsidRPr="00D83FD5" w:rsidRDefault="001947A1" w:rsidP="008D21D2">
            <w:pPr>
              <w:spacing w:before="0"/>
              <w:jc w:val="center"/>
              <w:rPr>
                <w:sz w:val="18"/>
              </w:rPr>
            </w:pPr>
            <w:r w:rsidRPr="00D83FD5">
              <w:rPr>
                <w:sz w:val="18"/>
              </w:rPr>
              <w:t>2543</w:t>
            </w:r>
          </w:p>
        </w:tc>
        <w:tc>
          <w:tcPr>
            <w:tcW w:w="1586" w:type="dxa"/>
            <w:tcBorders>
              <w:left w:val="single" w:sz="4" w:space="0" w:color="auto"/>
              <w:bottom w:val="single" w:sz="4" w:space="0" w:color="auto"/>
              <w:right w:val="single" w:sz="4" w:space="0" w:color="auto"/>
            </w:tcBorders>
            <w:shd w:val="clear" w:color="auto" w:fill="auto"/>
          </w:tcPr>
          <w:p w14:paraId="72D7C4C3" w14:textId="77777777" w:rsidR="001947A1" w:rsidRPr="00D83FD5" w:rsidRDefault="001947A1" w:rsidP="008D21D2">
            <w:pPr>
              <w:spacing w:before="0"/>
              <w:jc w:val="center"/>
              <w:rPr>
                <w:sz w:val="18"/>
              </w:rPr>
            </w:pPr>
            <w:r w:rsidRPr="00D83FD5">
              <w:rPr>
                <w:sz w:val="18"/>
              </w:rPr>
              <w:t>115.79</w:t>
            </w:r>
          </w:p>
          <w:p w14:paraId="5AA46386" w14:textId="77777777" w:rsidR="001947A1" w:rsidRPr="00D83FD5" w:rsidRDefault="001947A1" w:rsidP="008D21D2">
            <w:pPr>
              <w:spacing w:before="0"/>
              <w:jc w:val="center"/>
              <w:rPr>
                <w:sz w:val="18"/>
              </w:rPr>
            </w:pPr>
            <w:r w:rsidRPr="00D83FD5">
              <w:rPr>
                <w:sz w:val="18"/>
              </w:rPr>
              <w:t>(111.41; 120.34)</w:t>
            </w:r>
          </w:p>
        </w:tc>
        <w:tc>
          <w:tcPr>
            <w:tcW w:w="1048" w:type="dxa"/>
            <w:tcBorders>
              <w:left w:val="single" w:sz="4" w:space="0" w:color="auto"/>
              <w:bottom w:val="single" w:sz="4" w:space="0" w:color="auto"/>
              <w:right w:val="single" w:sz="4" w:space="0" w:color="auto"/>
            </w:tcBorders>
            <w:shd w:val="clear" w:color="auto" w:fill="auto"/>
          </w:tcPr>
          <w:p w14:paraId="6F8B0117" w14:textId="77777777" w:rsidR="001947A1" w:rsidRPr="00D83FD5" w:rsidRDefault="001947A1" w:rsidP="008D21D2">
            <w:pPr>
              <w:spacing w:before="0"/>
              <w:jc w:val="center"/>
              <w:rPr>
                <w:sz w:val="18"/>
              </w:rPr>
            </w:pPr>
            <w:r w:rsidRPr="00D83FD5">
              <w:rPr>
                <w:sz w:val="18"/>
              </w:rPr>
              <w:t>1252</w:t>
            </w:r>
          </w:p>
        </w:tc>
        <w:tc>
          <w:tcPr>
            <w:tcW w:w="1464" w:type="dxa"/>
            <w:tcBorders>
              <w:left w:val="single" w:sz="4" w:space="0" w:color="auto"/>
              <w:bottom w:val="single" w:sz="4" w:space="0" w:color="auto"/>
              <w:right w:val="single" w:sz="4" w:space="0" w:color="auto"/>
            </w:tcBorders>
            <w:shd w:val="clear" w:color="auto" w:fill="auto"/>
          </w:tcPr>
          <w:p w14:paraId="42B5C166" w14:textId="77777777" w:rsidR="001947A1" w:rsidRPr="00D83FD5" w:rsidRDefault="001947A1" w:rsidP="008D21D2">
            <w:pPr>
              <w:spacing w:before="0"/>
              <w:jc w:val="center"/>
              <w:rPr>
                <w:sz w:val="18"/>
              </w:rPr>
            </w:pPr>
            <w:r w:rsidRPr="00D83FD5">
              <w:rPr>
                <w:sz w:val="18"/>
              </w:rPr>
              <w:t>67.29</w:t>
            </w:r>
          </w:p>
          <w:p w14:paraId="51C92B36" w14:textId="77777777" w:rsidR="001947A1" w:rsidRPr="00D83FD5" w:rsidRDefault="001947A1" w:rsidP="008D21D2">
            <w:pPr>
              <w:spacing w:before="0"/>
              <w:jc w:val="center"/>
              <w:rPr>
                <w:sz w:val="18"/>
              </w:rPr>
            </w:pPr>
            <w:r w:rsidRPr="00D83FD5">
              <w:rPr>
                <w:sz w:val="18"/>
              </w:rPr>
              <w:t>(63.65; 71.13)</w:t>
            </w:r>
          </w:p>
        </w:tc>
        <w:tc>
          <w:tcPr>
            <w:tcW w:w="1630" w:type="dxa"/>
            <w:tcBorders>
              <w:left w:val="single" w:sz="4" w:space="0" w:color="auto"/>
              <w:bottom w:val="single" w:sz="4" w:space="0" w:color="auto"/>
              <w:right w:val="single" w:sz="4" w:space="0" w:color="auto"/>
            </w:tcBorders>
            <w:shd w:val="clear" w:color="auto" w:fill="auto"/>
          </w:tcPr>
          <w:p w14:paraId="2D8BA98F" w14:textId="77777777" w:rsidR="001947A1" w:rsidRPr="00D83FD5" w:rsidRDefault="001947A1" w:rsidP="008D21D2">
            <w:pPr>
              <w:spacing w:before="0"/>
              <w:jc w:val="center"/>
              <w:rPr>
                <w:sz w:val="18"/>
              </w:rPr>
            </w:pPr>
            <w:r w:rsidRPr="00D83FD5">
              <w:rPr>
                <w:sz w:val="18"/>
              </w:rPr>
              <w:t>1.72</w:t>
            </w:r>
          </w:p>
          <w:p w14:paraId="61F49EDA" w14:textId="77777777" w:rsidR="001947A1" w:rsidRPr="00D83FD5" w:rsidRDefault="001947A1" w:rsidP="008D21D2">
            <w:pPr>
              <w:spacing w:before="0"/>
              <w:jc w:val="center"/>
              <w:rPr>
                <w:sz w:val="18"/>
              </w:rPr>
            </w:pPr>
            <w:r w:rsidRPr="00D83FD5">
              <w:rPr>
                <w:sz w:val="18"/>
              </w:rPr>
              <w:t>(1.61; 1.84)</w:t>
            </w:r>
          </w:p>
        </w:tc>
        <w:tc>
          <w:tcPr>
            <w:tcW w:w="1292" w:type="dxa"/>
            <w:tcBorders>
              <w:left w:val="single" w:sz="4" w:space="0" w:color="auto"/>
              <w:bottom w:val="single" w:sz="4" w:space="0" w:color="auto"/>
              <w:right w:val="single" w:sz="4" w:space="0" w:color="auto"/>
            </w:tcBorders>
            <w:shd w:val="clear" w:color="auto" w:fill="auto"/>
          </w:tcPr>
          <w:p w14:paraId="007EEB1D" w14:textId="77777777" w:rsidR="001947A1" w:rsidRPr="00D83FD5" w:rsidRDefault="001947A1" w:rsidP="008D21D2">
            <w:pPr>
              <w:spacing w:before="0"/>
              <w:jc w:val="center"/>
              <w:rPr>
                <w:sz w:val="18"/>
              </w:rPr>
            </w:pPr>
            <w:r w:rsidRPr="00D83FD5">
              <w:rPr>
                <w:sz w:val="18"/>
              </w:rPr>
              <w:t>Superior</w:t>
            </w:r>
            <w:r w:rsidRPr="00D83FD5">
              <w:rPr>
                <w:sz w:val="18"/>
                <w:vertAlign w:val="superscript"/>
              </w:rPr>
              <w:t>6</w:t>
            </w:r>
          </w:p>
        </w:tc>
      </w:tr>
      <w:tr w:rsidR="001947A1" w:rsidRPr="00D83FD5" w14:paraId="76545264" w14:textId="77777777" w:rsidTr="00173722">
        <w:trPr>
          <w:jc w:val="center"/>
        </w:trPr>
        <w:tc>
          <w:tcPr>
            <w:tcW w:w="1109" w:type="dxa"/>
            <w:tcBorders>
              <w:top w:val="single" w:sz="4" w:space="0" w:color="auto"/>
              <w:bottom w:val="single" w:sz="4" w:space="0" w:color="auto"/>
              <w:right w:val="single" w:sz="4" w:space="0" w:color="auto"/>
            </w:tcBorders>
            <w:shd w:val="clear" w:color="auto" w:fill="auto"/>
            <w:vAlign w:val="center"/>
          </w:tcPr>
          <w:p w14:paraId="63FE25D5" w14:textId="77777777" w:rsidR="001947A1" w:rsidRPr="00D83FD5" w:rsidRDefault="001947A1" w:rsidP="008D21D2">
            <w:pPr>
              <w:spacing w:before="0"/>
              <w:rPr>
                <w:sz w:val="18"/>
              </w:rPr>
            </w:pPr>
            <w:r w:rsidRPr="00D83FD5">
              <w:rPr>
                <w:sz w:val="18"/>
              </w:rPr>
              <w:t>H3N2</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7FE367B" w14:textId="77777777" w:rsidR="001947A1" w:rsidRPr="00D83FD5" w:rsidRDefault="001947A1" w:rsidP="008D21D2">
            <w:pPr>
              <w:spacing w:before="0"/>
              <w:jc w:val="center"/>
              <w:rPr>
                <w:sz w:val="18"/>
              </w:rPr>
            </w:pPr>
            <w:r w:rsidRPr="00D83FD5">
              <w:rPr>
                <w:sz w:val="18"/>
              </w:rPr>
              <w:t>2544</w:t>
            </w:r>
          </w:p>
        </w:tc>
        <w:tc>
          <w:tcPr>
            <w:tcW w:w="1586" w:type="dxa"/>
            <w:tcBorders>
              <w:top w:val="single" w:sz="4" w:space="0" w:color="auto"/>
              <w:left w:val="single" w:sz="4" w:space="0" w:color="auto"/>
              <w:bottom w:val="single" w:sz="4" w:space="0" w:color="auto"/>
              <w:right w:val="single" w:sz="4" w:space="0" w:color="auto"/>
            </w:tcBorders>
            <w:shd w:val="clear" w:color="auto" w:fill="auto"/>
          </w:tcPr>
          <w:p w14:paraId="5E7CE399" w14:textId="77777777" w:rsidR="001947A1" w:rsidRPr="00D83FD5" w:rsidRDefault="001947A1" w:rsidP="008D21D2">
            <w:pPr>
              <w:spacing w:before="0"/>
              <w:jc w:val="center"/>
              <w:rPr>
                <w:sz w:val="18"/>
              </w:rPr>
            </w:pPr>
            <w:r w:rsidRPr="00D83FD5">
              <w:rPr>
                <w:sz w:val="18"/>
              </w:rPr>
              <w:t>608.87</w:t>
            </w:r>
          </w:p>
          <w:p w14:paraId="78345964" w14:textId="77777777" w:rsidR="001947A1" w:rsidRPr="00D83FD5" w:rsidRDefault="001947A1" w:rsidP="008D21D2">
            <w:pPr>
              <w:spacing w:before="0"/>
              <w:jc w:val="center"/>
              <w:rPr>
                <w:sz w:val="18"/>
              </w:rPr>
            </w:pPr>
            <w:r w:rsidRPr="00D83FD5">
              <w:rPr>
                <w:sz w:val="18"/>
              </w:rPr>
              <w:t>(583.54; 635.30)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56585A" w14:textId="77777777" w:rsidR="001947A1" w:rsidRPr="00D83FD5" w:rsidRDefault="001947A1" w:rsidP="008D21D2">
            <w:pPr>
              <w:spacing w:before="0"/>
              <w:jc w:val="center"/>
              <w:rPr>
                <w:sz w:val="18"/>
              </w:rPr>
            </w:pPr>
            <w:r w:rsidRPr="00D83FD5">
              <w:rPr>
                <w:sz w:val="18"/>
              </w:rPr>
              <w:t>1252</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0A883476" w14:textId="77777777" w:rsidR="001947A1" w:rsidRPr="00D83FD5" w:rsidRDefault="001947A1" w:rsidP="008D21D2">
            <w:pPr>
              <w:spacing w:before="0"/>
              <w:jc w:val="center"/>
              <w:rPr>
                <w:sz w:val="18"/>
              </w:rPr>
            </w:pPr>
            <w:r w:rsidRPr="00D83FD5">
              <w:rPr>
                <w:sz w:val="18"/>
              </w:rPr>
              <w:t>332.46</w:t>
            </w:r>
          </w:p>
          <w:p w14:paraId="26515C73" w14:textId="77777777" w:rsidR="001947A1" w:rsidRPr="00D83FD5" w:rsidRDefault="001947A1" w:rsidP="008D21D2">
            <w:pPr>
              <w:spacing w:before="0"/>
              <w:jc w:val="center"/>
              <w:rPr>
                <w:sz w:val="18"/>
              </w:rPr>
            </w:pPr>
            <w:r w:rsidRPr="00D83FD5">
              <w:rPr>
                <w:sz w:val="18"/>
              </w:rPr>
              <w:t>(310.44; 356.05)</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1A54697E" w14:textId="77777777" w:rsidR="001947A1" w:rsidRPr="00D83FD5" w:rsidRDefault="001947A1" w:rsidP="008D21D2">
            <w:pPr>
              <w:spacing w:before="0"/>
              <w:jc w:val="center"/>
              <w:rPr>
                <w:sz w:val="18"/>
              </w:rPr>
            </w:pPr>
            <w:r w:rsidRPr="00D83FD5">
              <w:rPr>
                <w:sz w:val="18"/>
              </w:rPr>
              <w:t>1.83</w:t>
            </w:r>
          </w:p>
          <w:p w14:paraId="335FC5B7" w14:textId="77777777" w:rsidR="001947A1" w:rsidRPr="00D83FD5" w:rsidRDefault="001947A1" w:rsidP="008D21D2">
            <w:pPr>
              <w:spacing w:before="0"/>
              <w:jc w:val="center"/>
              <w:rPr>
                <w:sz w:val="18"/>
              </w:rPr>
            </w:pPr>
            <w:r w:rsidRPr="00D83FD5">
              <w:rPr>
                <w:sz w:val="18"/>
              </w:rPr>
              <w:t>(1.70; 1.98)</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7C30C722" w14:textId="77777777" w:rsidR="001947A1" w:rsidRPr="00D83FD5" w:rsidRDefault="001947A1" w:rsidP="008D21D2">
            <w:pPr>
              <w:spacing w:before="0"/>
              <w:jc w:val="center"/>
              <w:rPr>
                <w:sz w:val="18"/>
              </w:rPr>
            </w:pPr>
            <w:r w:rsidRPr="00D83FD5">
              <w:rPr>
                <w:sz w:val="18"/>
              </w:rPr>
              <w:t>Superior</w:t>
            </w:r>
            <w:r w:rsidRPr="00D83FD5">
              <w:rPr>
                <w:sz w:val="18"/>
                <w:vertAlign w:val="superscript"/>
              </w:rPr>
              <w:t>6</w:t>
            </w:r>
          </w:p>
        </w:tc>
      </w:tr>
      <w:tr w:rsidR="001947A1" w:rsidRPr="00D83FD5" w14:paraId="59C2BB8D" w14:textId="77777777" w:rsidTr="00173722">
        <w:trPr>
          <w:jc w:val="center"/>
        </w:trPr>
        <w:tc>
          <w:tcPr>
            <w:tcW w:w="1109" w:type="dxa"/>
            <w:tcBorders>
              <w:top w:val="single" w:sz="4" w:space="0" w:color="auto"/>
              <w:bottom w:val="single" w:sz="4" w:space="0" w:color="auto"/>
              <w:right w:val="single" w:sz="4" w:space="0" w:color="auto"/>
            </w:tcBorders>
            <w:shd w:val="clear" w:color="auto" w:fill="auto"/>
            <w:vAlign w:val="center"/>
          </w:tcPr>
          <w:p w14:paraId="1BE9CE07" w14:textId="77777777" w:rsidR="001947A1" w:rsidRPr="00D83FD5" w:rsidRDefault="001947A1" w:rsidP="008D21D2">
            <w:pPr>
              <w:spacing w:before="0"/>
              <w:rPr>
                <w:sz w:val="18"/>
              </w:rPr>
            </w:pPr>
            <w:r w:rsidRPr="00D83FD5">
              <w:rPr>
                <w:sz w:val="18"/>
              </w:rPr>
              <w:t>B</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3919438" w14:textId="77777777" w:rsidR="001947A1" w:rsidRPr="00D83FD5" w:rsidRDefault="001947A1" w:rsidP="008D21D2">
            <w:pPr>
              <w:spacing w:before="0"/>
              <w:jc w:val="center"/>
              <w:rPr>
                <w:sz w:val="18"/>
              </w:rPr>
            </w:pPr>
            <w:r w:rsidRPr="00D83FD5">
              <w:rPr>
                <w:sz w:val="18"/>
              </w:rPr>
              <w:t>2542</w:t>
            </w:r>
          </w:p>
        </w:tc>
        <w:tc>
          <w:tcPr>
            <w:tcW w:w="1586" w:type="dxa"/>
            <w:tcBorders>
              <w:top w:val="single" w:sz="4" w:space="0" w:color="auto"/>
              <w:left w:val="single" w:sz="4" w:space="0" w:color="auto"/>
              <w:bottom w:val="single" w:sz="4" w:space="0" w:color="auto"/>
              <w:right w:val="single" w:sz="4" w:space="0" w:color="auto"/>
            </w:tcBorders>
            <w:shd w:val="clear" w:color="auto" w:fill="auto"/>
          </w:tcPr>
          <w:p w14:paraId="32F01298" w14:textId="77777777" w:rsidR="001947A1" w:rsidRPr="00D83FD5" w:rsidRDefault="001947A1" w:rsidP="008D21D2">
            <w:pPr>
              <w:spacing w:before="0"/>
              <w:jc w:val="center"/>
              <w:rPr>
                <w:sz w:val="18"/>
              </w:rPr>
            </w:pPr>
            <w:r w:rsidRPr="00D83FD5">
              <w:rPr>
                <w:sz w:val="18"/>
              </w:rPr>
              <w:t>69.06</w:t>
            </w:r>
          </w:p>
          <w:p w14:paraId="3F061A93" w14:textId="77777777" w:rsidR="001947A1" w:rsidRPr="00D83FD5" w:rsidRDefault="001947A1" w:rsidP="008D21D2">
            <w:pPr>
              <w:spacing w:before="0"/>
              <w:jc w:val="center"/>
              <w:rPr>
                <w:sz w:val="18"/>
              </w:rPr>
            </w:pPr>
            <w:r w:rsidRPr="00D83FD5">
              <w:rPr>
                <w:sz w:val="18"/>
              </w:rPr>
              <w:t>(66.60; 71.60)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8364C92" w14:textId="77777777" w:rsidR="001947A1" w:rsidRPr="00D83FD5" w:rsidRDefault="001947A1" w:rsidP="008D21D2">
            <w:pPr>
              <w:spacing w:before="0"/>
              <w:jc w:val="center"/>
              <w:rPr>
                <w:sz w:val="18"/>
              </w:rPr>
            </w:pPr>
            <w:r w:rsidRPr="00D83FD5">
              <w:rPr>
                <w:sz w:val="18"/>
              </w:rPr>
              <w:t>1252</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06246EB6" w14:textId="77777777" w:rsidR="001947A1" w:rsidRPr="00D83FD5" w:rsidRDefault="001947A1" w:rsidP="008D21D2">
            <w:pPr>
              <w:spacing w:before="0"/>
              <w:jc w:val="center"/>
              <w:rPr>
                <w:sz w:val="18"/>
              </w:rPr>
            </w:pPr>
            <w:r w:rsidRPr="00D83FD5">
              <w:rPr>
                <w:sz w:val="18"/>
              </w:rPr>
              <w:t>52.34</w:t>
            </w:r>
          </w:p>
          <w:p w14:paraId="3EB7DE49" w14:textId="77777777" w:rsidR="001947A1" w:rsidRPr="00D83FD5" w:rsidRDefault="001947A1" w:rsidP="008D21D2">
            <w:pPr>
              <w:spacing w:before="0"/>
              <w:jc w:val="center"/>
              <w:rPr>
                <w:sz w:val="18"/>
              </w:rPr>
            </w:pPr>
            <w:r w:rsidRPr="00D83FD5">
              <w:rPr>
                <w:sz w:val="18"/>
              </w:rPr>
              <w:t>(49.48; 55.35)</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ED769C4" w14:textId="77777777" w:rsidR="001947A1" w:rsidRPr="00D83FD5" w:rsidRDefault="001947A1" w:rsidP="008D21D2">
            <w:pPr>
              <w:spacing w:before="0"/>
              <w:jc w:val="center"/>
              <w:rPr>
                <w:sz w:val="18"/>
              </w:rPr>
            </w:pPr>
            <w:r w:rsidRPr="00D83FD5">
              <w:rPr>
                <w:sz w:val="18"/>
              </w:rPr>
              <w:t>1.32</w:t>
            </w:r>
          </w:p>
          <w:p w14:paraId="1901567A" w14:textId="77777777" w:rsidR="001947A1" w:rsidRPr="00D83FD5" w:rsidRDefault="001947A1" w:rsidP="008D21D2">
            <w:pPr>
              <w:spacing w:before="0"/>
              <w:jc w:val="center"/>
              <w:rPr>
                <w:sz w:val="18"/>
              </w:rPr>
            </w:pPr>
            <w:r w:rsidRPr="00D83FD5">
              <w:rPr>
                <w:sz w:val="18"/>
              </w:rPr>
              <w:t>(1.24; 1.41)</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35F4ABA" w14:textId="77777777" w:rsidR="001947A1" w:rsidRPr="00D83FD5" w:rsidRDefault="001947A1" w:rsidP="008D21D2">
            <w:pPr>
              <w:spacing w:before="0"/>
              <w:jc w:val="center"/>
              <w:rPr>
                <w:sz w:val="18"/>
              </w:rPr>
            </w:pPr>
            <w:r w:rsidRPr="00D83FD5">
              <w:rPr>
                <w:sz w:val="18"/>
              </w:rPr>
              <w:t>Higher</w:t>
            </w:r>
            <w:r w:rsidRPr="00D83FD5">
              <w:rPr>
                <w:sz w:val="18"/>
                <w:vertAlign w:val="superscript"/>
              </w:rPr>
              <w:t>7</w:t>
            </w:r>
          </w:p>
        </w:tc>
      </w:tr>
    </w:tbl>
    <w:p w14:paraId="48B38A69" w14:textId="77777777" w:rsidR="001947A1" w:rsidRPr="00D83FD5" w:rsidRDefault="001947A1" w:rsidP="001947A1">
      <w:pPr>
        <w:spacing w:before="0"/>
        <w:jc w:val="both"/>
        <w:rPr>
          <w:sz w:val="18"/>
        </w:rPr>
      </w:pPr>
      <w:r w:rsidRPr="00D83FD5">
        <w:rPr>
          <w:sz w:val="18"/>
        </w:rPr>
        <w:t>N is the number of subjects in the Immunogenicity Analysis Set</w:t>
      </w:r>
    </w:p>
    <w:p w14:paraId="2AD1B3A4" w14:textId="77777777" w:rsidR="001947A1" w:rsidRPr="00D83FD5" w:rsidRDefault="001947A1" w:rsidP="001947A1">
      <w:pPr>
        <w:spacing w:before="0"/>
        <w:jc w:val="both"/>
        <w:rPr>
          <w:sz w:val="18"/>
        </w:rPr>
      </w:pPr>
      <w:r w:rsidRPr="00D83FD5">
        <w:rPr>
          <w:sz w:val="18"/>
        </w:rPr>
        <w:t>n is the number of subjects who achieved seroconversion for each strain</w:t>
      </w:r>
    </w:p>
    <w:p w14:paraId="49E557B8" w14:textId="77777777" w:rsidR="001947A1" w:rsidRPr="00D83FD5" w:rsidRDefault="001947A1" w:rsidP="001947A1">
      <w:pPr>
        <w:spacing w:before="0"/>
        <w:jc w:val="both"/>
        <w:rPr>
          <w:sz w:val="18"/>
        </w:rPr>
      </w:pPr>
      <w:r w:rsidRPr="00D83FD5">
        <w:rPr>
          <w:sz w:val="18"/>
        </w:rPr>
        <w:t>M is the number of subjects with both pre- and post-vaccination serology results for the strain, including results reported as &lt;LLOQ (lower limit of quantification)</w:t>
      </w:r>
    </w:p>
    <w:p w14:paraId="7E631012" w14:textId="6E1238DC" w:rsidR="001947A1" w:rsidRPr="00D83FD5" w:rsidRDefault="001947A1" w:rsidP="001947A1">
      <w:pPr>
        <w:spacing w:before="0"/>
        <w:jc w:val="both"/>
        <w:rPr>
          <w:sz w:val="18"/>
        </w:rPr>
      </w:pPr>
      <w:r w:rsidRPr="00D83FD5">
        <w:rPr>
          <w:sz w:val="18"/>
          <w:vertAlign w:val="superscript"/>
        </w:rPr>
        <w:t>1</w:t>
      </w:r>
      <w:r w:rsidRPr="00D83FD5">
        <w:rPr>
          <w:sz w:val="18"/>
        </w:rPr>
        <w:t xml:space="preserve">Seroconversion: For subjects with a Day 0 pre-vaccination </w:t>
      </w:r>
      <w:proofErr w:type="spellStart"/>
      <w:r w:rsidRPr="00D83FD5">
        <w:rPr>
          <w:sz w:val="18"/>
        </w:rPr>
        <w:t>titr</w:t>
      </w:r>
      <w:r w:rsidR="00E23BC3" w:rsidRPr="00D83FD5">
        <w:rPr>
          <w:sz w:val="18"/>
        </w:rPr>
        <w:t>e</w:t>
      </w:r>
      <w:proofErr w:type="spellEnd"/>
      <w:r w:rsidRPr="00D83FD5">
        <w:rPr>
          <w:sz w:val="18"/>
        </w:rPr>
        <w:t xml:space="preserve"> &lt;10 (1/</w:t>
      </w:r>
      <w:proofErr w:type="spellStart"/>
      <w:r w:rsidRPr="00D83FD5">
        <w:rPr>
          <w:sz w:val="18"/>
        </w:rPr>
        <w:t>dil</w:t>
      </w:r>
      <w:proofErr w:type="spellEnd"/>
      <w:r w:rsidRPr="00D83FD5">
        <w:rPr>
          <w:sz w:val="18"/>
        </w:rPr>
        <w:t xml:space="preserve">): </w:t>
      </w:r>
      <w:proofErr w:type="spellStart"/>
      <w:r w:rsidRPr="00D83FD5">
        <w:rPr>
          <w:sz w:val="18"/>
        </w:rPr>
        <w:t>Titr</w:t>
      </w:r>
      <w:r w:rsidR="00E259C1" w:rsidRPr="00D83FD5">
        <w:rPr>
          <w:sz w:val="18"/>
        </w:rPr>
        <w:t>e</w:t>
      </w:r>
      <w:proofErr w:type="spellEnd"/>
      <w:r w:rsidRPr="00D83FD5">
        <w:rPr>
          <w:sz w:val="18"/>
        </w:rPr>
        <w:t xml:space="preserve"> ≥40 (1/</w:t>
      </w:r>
      <w:proofErr w:type="spellStart"/>
      <w:r w:rsidRPr="00D83FD5">
        <w:rPr>
          <w:sz w:val="18"/>
        </w:rPr>
        <w:t>dil</w:t>
      </w:r>
      <w:proofErr w:type="spellEnd"/>
      <w:r w:rsidRPr="00D83FD5">
        <w:rPr>
          <w:sz w:val="18"/>
        </w:rPr>
        <w:t>) on Day 28.</w:t>
      </w:r>
    </w:p>
    <w:p w14:paraId="396C87C3" w14:textId="736BE244" w:rsidR="001947A1" w:rsidRPr="00D83FD5" w:rsidRDefault="001947A1" w:rsidP="001947A1">
      <w:pPr>
        <w:pStyle w:val="FootnoteText"/>
        <w:spacing w:before="0"/>
        <w:rPr>
          <w:sz w:val="18"/>
        </w:rPr>
      </w:pPr>
      <w:r w:rsidRPr="00D83FD5">
        <w:rPr>
          <w:sz w:val="18"/>
        </w:rPr>
        <w:t xml:space="preserve">For subjects with a Day 0 pre-vaccination </w:t>
      </w:r>
      <w:proofErr w:type="spellStart"/>
      <w:r w:rsidRPr="00D83FD5">
        <w:rPr>
          <w:sz w:val="18"/>
        </w:rPr>
        <w:t>titr</w:t>
      </w:r>
      <w:r w:rsidR="00E23BC3" w:rsidRPr="00D83FD5">
        <w:rPr>
          <w:sz w:val="18"/>
        </w:rPr>
        <w:t>e</w:t>
      </w:r>
      <w:proofErr w:type="spellEnd"/>
      <w:r w:rsidRPr="00D83FD5">
        <w:rPr>
          <w:sz w:val="18"/>
        </w:rPr>
        <w:t xml:space="preserve"> ≥10 (1/</w:t>
      </w:r>
      <w:proofErr w:type="spellStart"/>
      <w:r w:rsidRPr="00D83FD5">
        <w:rPr>
          <w:sz w:val="18"/>
        </w:rPr>
        <w:t>dil</w:t>
      </w:r>
      <w:proofErr w:type="spellEnd"/>
      <w:r w:rsidRPr="00D83FD5">
        <w:rPr>
          <w:sz w:val="18"/>
        </w:rPr>
        <w:t xml:space="preserve">): ≥4-fold increase in </w:t>
      </w:r>
      <w:proofErr w:type="spellStart"/>
      <w:r w:rsidRPr="00D83FD5">
        <w:rPr>
          <w:sz w:val="18"/>
        </w:rPr>
        <w:t>titr</w:t>
      </w:r>
      <w:r w:rsidR="00E259C1" w:rsidRPr="00D83FD5">
        <w:rPr>
          <w:sz w:val="18"/>
        </w:rPr>
        <w:t>e</w:t>
      </w:r>
      <w:proofErr w:type="spellEnd"/>
      <w:r w:rsidRPr="00D83FD5">
        <w:rPr>
          <w:sz w:val="18"/>
        </w:rPr>
        <w:t xml:space="preserve"> on Day 28.</w:t>
      </w:r>
    </w:p>
    <w:p w14:paraId="13A11C2F" w14:textId="77777777" w:rsidR="001947A1" w:rsidRPr="00D83FD5" w:rsidRDefault="001947A1" w:rsidP="001947A1">
      <w:pPr>
        <w:spacing w:before="0"/>
        <w:jc w:val="both"/>
        <w:rPr>
          <w:sz w:val="18"/>
        </w:rPr>
      </w:pPr>
      <w:r w:rsidRPr="00D83FD5">
        <w:rPr>
          <w:sz w:val="18"/>
          <w:vertAlign w:val="superscript"/>
        </w:rPr>
        <w:t>2</w:t>
      </w:r>
      <w:r w:rsidRPr="00D83FD5">
        <w:rPr>
          <w:sz w:val="18"/>
        </w:rPr>
        <w:t>As defined in the study protocol: Superiority for a virus strain: the lower limit of the 95% CI of the difference of the seroconversion rates (HD minus Standard dose inactivated influenza vaccine) is &gt;10%.</w:t>
      </w:r>
    </w:p>
    <w:p w14:paraId="26C2F079" w14:textId="2A7FDA21" w:rsidR="001947A1" w:rsidRPr="00D83FD5" w:rsidRDefault="001947A1" w:rsidP="001947A1">
      <w:pPr>
        <w:pStyle w:val="FootnoteText"/>
        <w:spacing w:before="0"/>
        <w:ind w:left="0" w:firstLine="0"/>
        <w:rPr>
          <w:sz w:val="18"/>
        </w:rPr>
      </w:pPr>
      <w:r w:rsidRPr="00D83FD5">
        <w:rPr>
          <w:sz w:val="18"/>
          <w:vertAlign w:val="superscript"/>
        </w:rPr>
        <w:t>3</w:t>
      </w:r>
      <w:r w:rsidRPr="00D83FD5">
        <w:rPr>
          <w:sz w:val="18"/>
        </w:rPr>
        <w:t>Superiority of TIV</w:t>
      </w:r>
      <w:r w:rsidR="00A50F74">
        <w:rPr>
          <w:sz w:val="18"/>
        </w:rPr>
        <w:t>-</w:t>
      </w:r>
      <w:r w:rsidRPr="00D83FD5">
        <w:rPr>
          <w:sz w:val="18"/>
        </w:rPr>
        <w:t>HD: At least 2 of the 3 virus strains must demonstrate superiority. If one strain fails, then it must demonstrate noninferiority with the lower limit of the 95% CI ≥-10%.</w:t>
      </w:r>
    </w:p>
    <w:p w14:paraId="1F900AAE" w14:textId="7A959CA7" w:rsidR="001947A1" w:rsidRPr="00D83FD5" w:rsidRDefault="001947A1" w:rsidP="001947A1">
      <w:pPr>
        <w:spacing w:before="0"/>
        <w:jc w:val="both"/>
        <w:rPr>
          <w:sz w:val="18"/>
        </w:rPr>
      </w:pPr>
      <w:r w:rsidRPr="00D83FD5">
        <w:rPr>
          <w:sz w:val="18"/>
        </w:rPr>
        <w:t>As defined in the study protocol: Superiority for a virus strain: the lower limit of the 95% CI for GMT ratio TIV</w:t>
      </w:r>
      <w:r w:rsidR="00A50F74">
        <w:rPr>
          <w:sz w:val="18"/>
        </w:rPr>
        <w:t>-</w:t>
      </w:r>
      <w:r w:rsidRPr="00D83FD5">
        <w:rPr>
          <w:sz w:val="18"/>
        </w:rPr>
        <w:t>HD over a standard dose inactivated influenza vaccine is &gt;1.5.</w:t>
      </w:r>
    </w:p>
    <w:p w14:paraId="73F67BF1" w14:textId="77777777" w:rsidR="001947A1" w:rsidRPr="00D83FD5" w:rsidRDefault="001947A1" w:rsidP="001947A1">
      <w:pPr>
        <w:spacing w:before="0"/>
        <w:jc w:val="both"/>
        <w:rPr>
          <w:sz w:val="18"/>
        </w:rPr>
      </w:pPr>
      <w:r w:rsidRPr="00D83FD5">
        <w:rPr>
          <w:sz w:val="18"/>
        </w:rPr>
        <w:t>Superiority of High Dose, Trivalent Influenza Vaccine (Split Virion, Inactivated): At least 2 of the 3 virus strains must demonstrate superiority. If one strain fails, then it must demonstrate noninferiority with the lower limit of the 95% CI &gt;0.67.</w:t>
      </w:r>
    </w:p>
    <w:p w14:paraId="51FDB85F" w14:textId="77777777" w:rsidR="001947A1" w:rsidRPr="00D83FD5" w:rsidRDefault="001947A1" w:rsidP="001947A1">
      <w:pPr>
        <w:spacing w:before="0"/>
        <w:jc w:val="both"/>
        <w:rPr>
          <w:sz w:val="18"/>
        </w:rPr>
      </w:pPr>
      <w:r w:rsidRPr="00D83FD5">
        <w:rPr>
          <w:sz w:val="18"/>
          <w:vertAlign w:val="superscript"/>
        </w:rPr>
        <w:t>4</w:t>
      </w:r>
      <w:r w:rsidRPr="00D83FD5">
        <w:rPr>
          <w:sz w:val="18"/>
        </w:rPr>
        <w:t>As per the study’s primary objective, superiority was demonstrated if the lower limit of the Confidence Interval (CI) was greater than 10% for at least two of the three virus strains, a more stringent statistical criteria.</w:t>
      </w:r>
    </w:p>
    <w:p w14:paraId="0D96FD0A" w14:textId="77777777" w:rsidR="001947A1" w:rsidRPr="00D83FD5" w:rsidRDefault="001947A1" w:rsidP="001947A1">
      <w:pPr>
        <w:spacing w:before="0"/>
        <w:jc w:val="both"/>
        <w:rPr>
          <w:sz w:val="18"/>
        </w:rPr>
      </w:pPr>
      <w:r w:rsidRPr="00D83FD5">
        <w:rPr>
          <w:sz w:val="18"/>
          <w:vertAlign w:val="superscript"/>
        </w:rPr>
        <w:t>5</w:t>
      </w:r>
      <w:r w:rsidRPr="00D83FD5">
        <w:rPr>
          <w:sz w:val="18"/>
        </w:rPr>
        <w:t>A post hoc analysis was performed using the generally accepted superiority criteria of the lower limit of the CI greater than 0%.</w:t>
      </w:r>
    </w:p>
    <w:p w14:paraId="74762B04" w14:textId="77777777" w:rsidR="001947A1" w:rsidRPr="00D83FD5" w:rsidRDefault="001947A1" w:rsidP="001947A1">
      <w:pPr>
        <w:spacing w:before="0"/>
        <w:jc w:val="both"/>
        <w:rPr>
          <w:sz w:val="18"/>
        </w:rPr>
      </w:pPr>
      <w:r w:rsidRPr="00D83FD5">
        <w:rPr>
          <w:sz w:val="18"/>
          <w:vertAlign w:val="superscript"/>
        </w:rPr>
        <w:t>6</w:t>
      </w:r>
      <w:r w:rsidRPr="00D83FD5">
        <w:rPr>
          <w:sz w:val="18"/>
        </w:rPr>
        <w:t>As per the study’s primary objective, superiority was demonstrated if the lower limit of the Confidence Interval (CI) was greater than 1.5 for at least two of the three virus strains, a more stringent statistical criteria.</w:t>
      </w:r>
    </w:p>
    <w:p w14:paraId="745D361B" w14:textId="77777777" w:rsidR="001947A1" w:rsidRPr="00D83FD5" w:rsidRDefault="001947A1" w:rsidP="001947A1">
      <w:pPr>
        <w:spacing w:before="0"/>
        <w:jc w:val="both"/>
        <w:rPr>
          <w:sz w:val="18"/>
        </w:rPr>
      </w:pPr>
      <w:r w:rsidRPr="00D83FD5">
        <w:rPr>
          <w:sz w:val="18"/>
          <w:vertAlign w:val="superscript"/>
        </w:rPr>
        <w:lastRenderedPageBreak/>
        <w:t>7</w:t>
      </w:r>
      <w:r w:rsidRPr="00D83FD5">
        <w:rPr>
          <w:sz w:val="18"/>
        </w:rPr>
        <w:t>A post hoc analysis was performed using the generally accepted superiority criteria of the lower limit of the CI greater than 1.</w:t>
      </w:r>
    </w:p>
    <w:p w14:paraId="6DDAE071" w14:textId="34D0A366" w:rsidR="001947A1" w:rsidRPr="00D83FD5" w:rsidRDefault="001947A1" w:rsidP="001947A1">
      <w:pPr>
        <w:jc w:val="both"/>
        <w:rPr>
          <w:sz w:val="20"/>
        </w:rPr>
      </w:pPr>
      <w:r w:rsidRPr="00D83FD5">
        <w:t>According to the criteria set in the protocol, TIV</w:t>
      </w:r>
      <w:r w:rsidR="00A50F74">
        <w:t>-</w:t>
      </w:r>
      <w:r w:rsidRPr="00D83FD5">
        <w:t>HD elicited a superior immune response compared to a standard dose trivalent inactivated influenza vaccine for both seroconversion rates and GMTs.</w:t>
      </w:r>
    </w:p>
    <w:p w14:paraId="63D23A7A" w14:textId="3B05811E" w:rsidR="001947A1" w:rsidRPr="00D83FD5" w:rsidRDefault="001947A1" w:rsidP="001947A1">
      <w:pPr>
        <w:pStyle w:val="Heading4"/>
        <w:numPr>
          <w:ilvl w:val="0"/>
          <w:numId w:val="0"/>
        </w:numPr>
        <w:rPr>
          <w:lang w:val="en-AU"/>
        </w:rPr>
      </w:pPr>
      <w:r w:rsidRPr="00D83FD5">
        <w:rPr>
          <w:lang w:val="en-AU"/>
        </w:rPr>
        <w:t>Efficacy of TIV</w:t>
      </w:r>
      <w:r w:rsidR="00A50F74">
        <w:rPr>
          <w:lang w:val="en-AU"/>
        </w:rPr>
        <w:t>-</w:t>
      </w:r>
      <w:r w:rsidRPr="00D83FD5">
        <w:rPr>
          <w:lang w:val="en-AU"/>
        </w:rPr>
        <w:t xml:space="preserve">HD in Adults 65 Years of age and Older (FIM12 Study) </w:t>
      </w:r>
    </w:p>
    <w:bookmarkEnd w:id="15"/>
    <w:bookmarkEnd w:id="16"/>
    <w:p w14:paraId="11107A45" w14:textId="2B8DF464" w:rsidR="00721DB6" w:rsidRPr="00D83FD5" w:rsidRDefault="00721DB6" w:rsidP="00721DB6">
      <w:r w:rsidRPr="00D83FD5">
        <w:t xml:space="preserve">FIM12 was a multi-center, double-blind efficacy trial conducted in the US and Canada in which adults 65 years of age and older were </w:t>
      </w:r>
      <w:proofErr w:type="spellStart"/>
      <w:r w:rsidRPr="00D83FD5">
        <w:t>randomi</w:t>
      </w:r>
      <w:r w:rsidR="00E23BC3" w:rsidRPr="00D83FD5">
        <w:t>s</w:t>
      </w:r>
      <w:r w:rsidRPr="00D83FD5">
        <w:t>ed</w:t>
      </w:r>
      <w:proofErr w:type="spellEnd"/>
      <w:r w:rsidRPr="00D83FD5">
        <w:t xml:space="preserve"> (1:1) to receive either TIV</w:t>
      </w:r>
      <w:r w:rsidR="00A50F74">
        <w:t>-</w:t>
      </w:r>
      <w:r w:rsidRPr="00D83FD5">
        <w:t xml:space="preserve">HD or a standard dose influenza vaccine. The study was conducted over two influenza seasons (2011-2012 and 2012-2013) to assess the occurrence of laboratory-confirmed influenza caused by any influenza viral type/subtype in association with influenza-like illness (ILI) as the primary endpoint. </w:t>
      </w:r>
    </w:p>
    <w:p w14:paraId="726E8424" w14:textId="77777777" w:rsidR="00721DB6" w:rsidRPr="00D83FD5" w:rsidRDefault="00721DB6" w:rsidP="00721DB6">
      <w:r w:rsidRPr="00D83FD5">
        <w:t xml:space="preserve">Participants were monitored for the occurrence of a respiratory illness by both active and passive surveillance, starting 2 weeks postvaccination for approximately 7 months. After an episode of respiratory illness, nasopharyngeal swab samples were collected for analysis; attack rates and vaccine efficacy were calculated. </w:t>
      </w:r>
    </w:p>
    <w:p w14:paraId="17881648" w14:textId="77777777" w:rsidR="00721DB6" w:rsidRPr="00D83FD5" w:rsidRDefault="00721DB6" w:rsidP="00721DB6">
      <w:pPr>
        <w:pStyle w:val="Caption"/>
      </w:pPr>
      <w:bookmarkStart w:id="18" w:name="Table_20181023_111736NTBP"/>
      <w:r w:rsidRPr="00D83FD5">
        <w:t xml:space="preserve">Table </w:t>
      </w:r>
      <w:r w:rsidRPr="00D83FD5">
        <w:rPr>
          <w:noProof/>
        </w:rPr>
        <w:fldChar w:fldCharType="begin"/>
      </w:r>
      <w:r w:rsidRPr="00D83FD5">
        <w:rPr>
          <w:noProof/>
        </w:rPr>
        <w:instrText xml:space="preserve"> SEQ Table \* ARABIC </w:instrText>
      </w:r>
      <w:r w:rsidRPr="00D83FD5">
        <w:rPr>
          <w:noProof/>
        </w:rPr>
        <w:fldChar w:fldCharType="separate"/>
      </w:r>
      <w:r w:rsidRPr="00D83FD5">
        <w:rPr>
          <w:noProof/>
        </w:rPr>
        <w:t>6</w:t>
      </w:r>
      <w:r w:rsidRPr="00D83FD5">
        <w:rPr>
          <w:noProof/>
        </w:rPr>
        <w:fldChar w:fldCharType="end"/>
      </w:r>
      <w:bookmarkEnd w:id="18"/>
      <w:r w:rsidRPr="00D83FD5">
        <w:t xml:space="preserve">: FIM12: Relative Efficacy to the Vaccine Components, Associated with Influenza-Like </w:t>
      </w:r>
      <w:proofErr w:type="spellStart"/>
      <w:r w:rsidRPr="00D83FD5">
        <w:t>Illness</w:t>
      </w:r>
      <w:r w:rsidRPr="00D83FD5">
        <w:rPr>
          <w:vertAlign w:val="superscript"/>
        </w:rPr>
        <w:t>a</w:t>
      </w:r>
      <w:proofErr w:type="spellEnd"/>
      <w:r w:rsidRPr="00D83FD5">
        <w:t>, Adults 65 Years of Age and Older</w:t>
      </w:r>
      <w:r w:rsidR="00F96E40">
        <w:fldChar w:fldCharType="begin"/>
      </w:r>
      <w:r w:rsidR="00F96E40">
        <w:instrText xml:space="preserve"> DOCVARIABLE vault_nd_56ee7e89-07a3-434b-b6e0-1791d3693adc \* MERGEFORMAT </w:instrText>
      </w:r>
      <w:r w:rsidR="00F96E40">
        <w:fldChar w:fldCharType="separate"/>
      </w:r>
      <w:r w:rsidRPr="00D83FD5">
        <w:t xml:space="preserve"> </w:t>
      </w:r>
      <w:r w:rsidR="00F96E40">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1"/>
        <w:gridCol w:w="2156"/>
        <w:gridCol w:w="2203"/>
      </w:tblGrid>
      <w:tr w:rsidR="00721DB6" w:rsidRPr="00D83FD5" w14:paraId="773E66A4" w14:textId="77777777" w:rsidTr="00173722">
        <w:tc>
          <w:tcPr>
            <w:tcW w:w="2357" w:type="dxa"/>
            <w:shd w:val="clear" w:color="auto" w:fill="auto"/>
          </w:tcPr>
          <w:p w14:paraId="5ACB98A1" w14:textId="77777777" w:rsidR="00721DB6" w:rsidRPr="00D83FD5" w:rsidRDefault="00721DB6" w:rsidP="008D21D2">
            <w:pPr>
              <w:spacing w:before="0"/>
              <w:rPr>
                <w:sz w:val="20"/>
                <w:szCs w:val="20"/>
              </w:rPr>
            </w:pPr>
          </w:p>
        </w:tc>
        <w:tc>
          <w:tcPr>
            <w:tcW w:w="2429" w:type="dxa"/>
            <w:shd w:val="clear" w:color="auto" w:fill="auto"/>
            <w:vAlign w:val="bottom"/>
          </w:tcPr>
          <w:p w14:paraId="4FAB3579" w14:textId="2110FADB" w:rsidR="00721DB6" w:rsidRPr="00D83FD5" w:rsidRDefault="00721DB6" w:rsidP="008D21D2">
            <w:pPr>
              <w:spacing w:before="0"/>
              <w:jc w:val="center"/>
              <w:rPr>
                <w:sz w:val="20"/>
                <w:szCs w:val="20"/>
              </w:rPr>
            </w:pPr>
            <w:r w:rsidRPr="00D83FD5">
              <w:rPr>
                <w:rFonts w:ascii="Times" w:hAnsi="Times" w:cs="Times"/>
                <w:b/>
                <w:bCs/>
                <w:sz w:val="20"/>
                <w:szCs w:val="20"/>
              </w:rPr>
              <w:t>TIV</w:t>
            </w:r>
            <w:r w:rsidR="00A50F74">
              <w:rPr>
                <w:rFonts w:ascii="Times" w:hAnsi="Times" w:cs="Times"/>
                <w:b/>
                <w:bCs/>
                <w:sz w:val="20"/>
                <w:szCs w:val="20"/>
              </w:rPr>
              <w:t>-</w:t>
            </w:r>
            <w:r w:rsidRPr="00D83FD5">
              <w:rPr>
                <w:rFonts w:ascii="Times" w:hAnsi="Times" w:cs="Times"/>
                <w:b/>
                <w:bCs/>
                <w:sz w:val="20"/>
                <w:szCs w:val="20"/>
              </w:rPr>
              <w:t xml:space="preserve">HD </w:t>
            </w:r>
            <w:r w:rsidRPr="00D83FD5">
              <w:rPr>
                <w:rFonts w:ascii="Times" w:hAnsi="Times" w:cs="Times"/>
                <w:b/>
                <w:bCs/>
                <w:sz w:val="20"/>
                <w:szCs w:val="20"/>
              </w:rPr>
              <w:br/>
            </w:r>
            <w:proofErr w:type="spellStart"/>
            <w:r w:rsidRPr="00D83FD5">
              <w:rPr>
                <w:rFonts w:ascii="Times" w:hAnsi="Times" w:cs="Times"/>
                <w:b/>
                <w:bCs/>
                <w:sz w:val="20"/>
                <w:szCs w:val="20"/>
              </w:rPr>
              <w:t>N</w:t>
            </w:r>
            <w:r w:rsidRPr="00D83FD5">
              <w:rPr>
                <w:rFonts w:ascii="Times" w:hAnsi="Times" w:cs="Times"/>
                <w:b/>
                <w:bCs/>
                <w:sz w:val="20"/>
                <w:szCs w:val="20"/>
                <w:vertAlign w:val="superscript"/>
              </w:rPr>
              <w:t>b</w:t>
            </w:r>
            <w:proofErr w:type="spellEnd"/>
            <w:r w:rsidRPr="00D83FD5">
              <w:rPr>
                <w:rFonts w:ascii="Times" w:hAnsi="Times" w:cs="Times"/>
                <w:b/>
                <w:bCs/>
                <w:sz w:val="20"/>
                <w:szCs w:val="20"/>
              </w:rPr>
              <w:t>=15,892</w:t>
            </w:r>
            <w:r w:rsidRPr="00D83FD5">
              <w:rPr>
                <w:rFonts w:ascii="Times" w:hAnsi="Times" w:cs="Times"/>
                <w:b/>
                <w:bCs/>
                <w:sz w:val="20"/>
                <w:szCs w:val="20"/>
              </w:rPr>
              <w:br/>
            </w:r>
            <w:proofErr w:type="spellStart"/>
            <w:r w:rsidRPr="00D83FD5">
              <w:rPr>
                <w:rFonts w:ascii="Times" w:hAnsi="Times" w:cs="Times"/>
                <w:b/>
                <w:bCs/>
                <w:sz w:val="20"/>
                <w:szCs w:val="20"/>
              </w:rPr>
              <w:t>n</w:t>
            </w:r>
            <w:r w:rsidRPr="00D83FD5">
              <w:rPr>
                <w:rFonts w:ascii="Times" w:hAnsi="Times" w:cs="Times"/>
                <w:b/>
                <w:bCs/>
                <w:sz w:val="20"/>
                <w:szCs w:val="20"/>
                <w:vertAlign w:val="superscript"/>
              </w:rPr>
              <w:t>c</w:t>
            </w:r>
            <w:proofErr w:type="spellEnd"/>
            <w:r w:rsidRPr="00D83FD5">
              <w:rPr>
                <w:rFonts w:ascii="Times" w:hAnsi="Times" w:cs="Times"/>
                <w:b/>
                <w:bCs/>
                <w:sz w:val="20"/>
                <w:szCs w:val="20"/>
              </w:rPr>
              <w:t xml:space="preserve"> (%)</w:t>
            </w:r>
          </w:p>
        </w:tc>
        <w:tc>
          <w:tcPr>
            <w:tcW w:w="2218" w:type="dxa"/>
            <w:shd w:val="clear" w:color="auto" w:fill="auto"/>
            <w:vAlign w:val="bottom"/>
          </w:tcPr>
          <w:p w14:paraId="762F4CC1" w14:textId="77777777" w:rsidR="00721DB6" w:rsidRPr="00D83FD5" w:rsidRDefault="00721DB6" w:rsidP="008D21D2">
            <w:pPr>
              <w:spacing w:before="0"/>
              <w:jc w:val="center"/>
              <w:rPr>
                <w:sz w:val="20"/>
                <w:szCs w:val="20"/>
              </w:rPr>
            </w:pPr>
            <w:r w:rsidRPr="00D83FD5">
              <w:rPr>
                <w:rFonts w:ascii="Times" w:hAnsi="Times" w:cs="Times"/>
                <w:b/>
                <w:bCs/>
                <w:sz w:val="20"/>
                <w:szCs w:val="20"/>
              </w:rPr>
              <w:t>Standard dose inactivated influenza vaccine</w:t>
            </w:r>
            <w:r w:rsidRPr="00D83FD5">
              <w:rPr>
                <w:rFonts w:ascii="Times" w:hAnsi="Times" w:cs="Times"/>
                <w:b/>
                <w:bCs/>
                <w:sz w:val="20"/>
                <w:szCs w:val="20"/>
              </w:rPr>
              <w:br/>
            </w:r>
            <w:proofErr w:type="spellStart"/>
            <w:r w:rsidRPr="00D83FD5">
              <w:rPr>
                <w:rFonts w:ascii="Times" w:hAnsi="Times" w:cs="Times"/>
                <w:b/>
                <w:bCs/>
                <w:sz w:val="20"/>
                <w:szCs w:val="20"/>
              </w:rPr>
              <w:t>N</w:t>
            </w:r>
            <w:r w:rsidRPr="00D83FD5">
              <w:rPr>
                <w:rFonts w:ascii="Times" w:hAnsi="Times" w:cs="Times"/>
                <w:b/>
                <w:bCs/>
                <w:sz w:val="20"/>
                <w:szCs w:val="20"/>
                <w:vertAlign w:val="superscript"/>
              </w:rPr>
              <w:t>b</w:t>
            </w:r>
            <w:proofErr w:type="spellEnd"/>
            <w:r w:rsidRPr="00D83FD5">
              <w:rPr>
                <w:rFonts w:ascii="Times" w:hAnsi="Times" w:cs="Times"/>
                <w:b/>
                <w:bCs/>
                <w:sz w:val="20"/>
                <w:szCs w:val="20"/>
              </w:rPr>
              <w:t>=15,911</w:t>
            </w:r>
            <w:r w:rsidRPr="00D83FD5">
              <w:rPr>
                <w:rFonts w:ascii="Times" w:hAnsi="Times" w:cs="Times"/>
                <w:b/>
                <w:bCs/>
                <w:sz w:val="20"/>
                <w:szCs w:val="20"/>
              </w:rPr>
              <w:br/>
            </w:r>
            <w:proofErr w:type="spellStart"/>
            <w:r w:rsidRPr="00D83FD5">
              <w:rPr>
                <w:rFonts w:ascii="Times" w:hAnsi="Times" w:cs="Times"/>
                <w:b/>
                <w:bCs/>
                <w:sz w:val="20"/>
                <w:szCs w:val="20"/>
              </w:rPr>
              <w:t>n</w:t>
            </w:r>
            <w:r w:rsidRPr="00D83FD5">
              <w:rPr>
                <w:rFonts w:ascii="Times" w:hAnsi="Times" w:cs="Times"/>
                <w:b/>
                <w:bCs/>
                <w:sz w:val="20"/>
                <w:szCs w:val="20"/>
                <w:vertAlign w:val="superscript"/>
              </w:rPr>
              <w:t>c</w:t>
            </w:r>
            <w:proofErr w:type="spellEnd"/>
            <w:r w:rsidRPr="00D83FD5">
              <w:rPr>
                <w:rFonts w:ascii="Times" w:hAnsi="Times" w:cs="Times"/>
                <w:b/>
                <w:bCs/>
                <w:sz w:val="20"/>
                <w:szCs w:val="20"/>
              </w:rPr>
              <w:t xml:space="preserve"> (%)</w:t>
            </w:r>
          </w:p>
        </w:tc>
        <w:tc>
          <w:tcPr>
            <w:tcW w:w="2283" w:type="dxa"/>
            <w:shd w:val="clear" w:color="auto" w:fill="auto"/>
          </w:tcPr>
          <w:p w14:paraId="0FA0743D" w14:textId="77777777" w:rsidR="00721DB6" w:rsidRPr="00D83FD5" w:rsidRDefault="00721DB6" w:rsidP="008D21D2">
            <w:pPr>
              <w:spacing w:before="0"/>
              <w:jc w:val="center"/>
              <w:rPr>
                <w:rFonts w:ascii="Times" w:hAnsi="Times" w:cs="Times"/>
                <w:b/>
                <w:bCs/>
                <w:sz w:val="20"/>
                <w:szCs w:val="20"/>
              </w:rPr>
            </w:pPr>
            <w:r w:rsidRPr="00D83FD5">
              <w:rPr>
                <w:rFonts w:ascii="Times" w:hAnsi="Times" w:cs="Times"/>
                <w:b/>
                <w:bCs/>
                <w:sz w:val="20"/>
                <w:szCs w:val="20"/>
              </w:rPr>
              <w:t>Relative</w:t>
            </w:r>
            <w:r w:rsidRPr="00D83FD5">
              <w:rPr>
                <w:rFonts w:ascii="Times" w:hAnsi="Times" w:cs="Times"/>
                <w:b/>
                <w:bCs/>
                <w:sz w:val="20"/>
                <w:szCs w:val="20"/>
              </w:rPr>
              <w:br/>
              <w:t>Efficacy</w:t>
            </w:r>
            <w:r w:rsidRPr="00D83FD5">
              <w:rPr>
                <w:rFonts w:ascii="Times" w:hAnsi="Times" w:cs="Times"/>
                <w:b/>
                <w:bCs/>
                <w:sz w:val="20"/>
                <w:szCs w:val="20"/>
              </w:rPr>
              <w:br/>
              <w:t>% (95% CI)</w:t>
            </w:r>
          </w:p>
          <w:p w14:paraId="1997FFD6" w14:textId="77777777" w:rsidR="00721DB6" w:rsidRPr="00D83FD5" w:rsidRDefault="00721DB6" w:rsidP="008D21D2">
            <w:pPr>
              <w:spacing w:before="0"/>
              <w:jc w:val="center"/>
              <w:rPr>
                <w:sz w:val="20"/>
                <w:szCs w:val="20"/>
              </w:rPr>
            </w:pPr>
          </w:p>
        </w:tc>
      </w:tr>
      <w:tr w:rsidR="00721DB6" w:rsidRPr="00D83FD5" w14:paraId="37A46404" w14:textId="77777777" w:rsidTr="00173722">
        <w:tc>
          <w:tcPr>
            <w:tcW w:w="2357" w:type="dxa"/>
            <w:shd w:val="clear" w:color="auto" w:fill="auto"/>
          </w:tcPr>
          <w:p w14:paraId="2FF4A0BC" w14:textId="77777777" w:rsidR="00721DB6" w:rsidRPr="00D83FD5" w:rsidRDefault="00721DB6" w:rsidP="00173722">
            <w:pPr>
              <w:rPr>
                <w:b/>
                <w:sz w:val="20"/>
                <w:szCs w:val="20"/>
              </w:rPr>
            </w:pPr>
            <w:r w:rsidRPr="00D83FD5">
              <w:rPr>
                <w:sz w:val="20"/>
                <w:szCs w:val="20"/>
              </w:rPr>
              <w:t xml:space="preserve">Laboratory-Confirmed </w:t>
            </w:r>
            <w:proofErr w:type="spellStart"/>
            <w:r w:rsidRPr="00D83FD5">
              <w:rPr>
                <w:sz w:val="20"/>
                <w:szCs w:val="20"/>
              </w:rPr>
              <w:t>Influenza</w:t>
            </w:r>
            <w:r w:rsidRPr="00D83FD5">
              <w:rPr>
                <w:sz w:val="20"/>
                <w:szCs w:val="20"/>
                <w:vertAlign w:val="superscript"/>
              </w:rPr>
              <w:t>d</w:t>
            </w:r>
            <w:proofErr w:type="spellEnd"/>
            <w:r w:rsidRPr="00D83FD5">
              <w:rPr>
                <w:sz w:val="20"/>
                <w:szCs w:val="20"/>
              </w:rPr>
              <w:t xml:space="preserve">  caused by:</w:t>
            </w:r>
          </w:p>
        </w:tc>
        <w:tc>
          <w:tcPr>
            <w:tcW w:w="2429" w:type="dxa"/>
            <w:shd w:val="clear" w:color="auto" w:fill="auto"/>
            <w:vAlign w:val="center"/>
          </w:tcPr>
          <w:p w14:paraId="56C70936" w14:textId="77777777" w:rsidR="00721DB6" w:rsidRPr="00D83FD5" w:rsidRDefault="00721DB6" w:rsidP="00173722">
            <w:pPr>
              <w:spacing w:after="100" w:afterAutospacing="1"/>
              <w:jc w:val="center"/>
              <w:rPr>
                <w:sz w:val="20"/>
                <w:szCs w:val="20"/>
              </w:rPr>
            </w:pPr>
          </w:p>
        </w:tc>
        <w:tc>
          <w:tcPr>
            <w:tcW w:w="2218" w:type="dxa"/>
            <w:shd w:val="clear" w:color="auto" w:fill="auto"/>
            <w:vAlign w:val="center"/>
          </w:tcPr>
          <w:p w14:paraId="2CB9504F" w14:textId="77777777" w:rsidR="00721DB6" w:rsidRPr="00D83FD5" w:rsidRDefault="00721DB6" w:rsidP="00173722">
            <w:pPr>
              <w:spacing w:after="100" w:afterAutospacing="1"/>
              <w:jc w:val="center"/>
              <w:rPr>
                <w:sz w:val="20"/>
                <w:szCs w:val="20"/>
              </w:rPr>
            </w:pPr>
          </w:p>
        </w:tc>
        <w:tc>
          <w:tcPr>
            <w:tcW w:w="2283" w:type="dxa"/>
            <w:shd w:val="clear" w:color="auto" w:fill="auto"/>
            <w:vAlign w:val="center"/>
          </w:tcPr>
          <w:p w14:paraId="5C4AAB8F" w14:textId="77777777" w:rsidR="00721DB6" w:rsidRPr="00D83FD5" w:rsidRDefault="00721DB6" w:rsidP="00173722">
            <w:pPr>
              <w:spacing w:after="100" w:afterAutospacing="1"/>
              <w:jc w:val="center"/>
              <w:rPr>
                <w:sz w:val="20"/>
                <w:szCs w:val="20"/>
              </w:rPr>
            </w:pPr>
          </w:p>
        </w:tc>
      </w:tr>
      <w:tr w:rsidR="00721DB6" w:rsidRPr="00D83FD5" w14:paraId="4C8FCA79" w14:textId="77777777" w:rsidTr="00173722">
        <w:tc>
          <w:tcPr>
            <w:tcW w:w="2357" w:type="dxa"/>
            <w:shd w:val="clear" w:color="auto" w:fill="auto"/>
          </w:tcPr>
          <w:p w14:paraId="389DC9D7" w14:textId="77777777" w:rsidR="00721DB6" w:rsidRPr="00D83FD5" w:rsidRDefault="00721DB6" w:rsidP="00721DB6">
            <w:pPr>
              <w:pStyle w:val="ListParagraph"/>
              <w:widowControl w:val="0"/>
              <w:numPr>
                <w:ilvl w:val="0"/>
                <w:numId w:val="43"/>
              </w:numPr>
              <w:autoSpaceDE w:val="0"/>
              <w:autoSpaceDN w:val="0"/>
              <w:spacing w:before="0"/>
              <w:ind w:left="142" w:hanging="142"/>
              <w:contextualSpacing w:val="0"/>
              <w:rPr>
                <w:rFonts w:ascii="Times New Roman" w:hAnsi="Times New Roman"/>
                <w:b/>
                <w:sz w:val="20"/>
                <w:szCs w:val="20"/>
              </w:rPr>
            </w:pPr>
            <w:r w:rsidRPr="00D83FD5">
              <w:rPr>
                <w:rFonts w:ascii="Times New Roman" w:hAnsi="Times New Roman"/>
                <w:b/>
                <w:sz w:val="20"/>
                <w:szCs w:val="20"/>
              </w:rPr>
              <w:t>Any type/</w:t>
            </w:r>
            <w:proofErr w:type="spellStart"/>
            <w:r w:rsidRPr="00D83FD5">
              <w:rPr>
                <w:rFonts w:ascii="Times New Roman" w:hAnsi="Times New Roman"/>
                <w:b/>
                <w:sz w:val="20"/>
                <w:szCs w:val="20"/>
              </w:rPr>
              <w:t>subtype</w:t>
            </w:r>
            <w:r w:rsidRPr="00D83FD5">
              <w:rPr>
                <w:rFonts w:ascii="Times New Roman" w:hAnsi="Times New Roman"/>
                <w:b/>
                <w:sz w:val="20"/>
                <w:szCs w:val="20"/>
                <w:vertAlign w:val="superscript"/>
              </w:rPr>
              <w:t>e</w:t>
            </w:r>
            <w:proofErr w:type="spellEnd"/>
          </w:p>
        </w:tc>
        <w:tc>
          <w:tcPr>
            <w:tcW w:w="2429" w:type="dxa"/>
            <w:shd w:val="clear" w:color="auto" w:fill="auto"/>
            <w:vAlign w:val="center"/>
          </w:tcPr>
          <w:p w14:paraId="18551586" w14:textId="77777777" w:rsidR="00721DB6" w:rsidRPr="00D83FD5" w:rsidRDefault="00721DB6" w:rsidP="00173722">
            <w:pPr>
              <w:spacing w:after="100" w:afterAutospacing="1"/>
              <w:jc w:val="center"/>
              <w:rPr>
                <w:sz w:val="20"/>
                <w:szCs w:val="20"/>
              </w:rPr>
            </w:pPr>
            <w:r w:rsidRPr="00D83FD5">
              <w:rPr>
                <w:sz w:val="20"/>
                <w:szCs w:val="20"/>
              </w:rPr>
              <w:t>227 (1.43)</w:t>
            </w:r>
          </w:p>
        </w:tc>
        <w:tc>
          <w:tcPr>
            <w:tcW w:w="2218" w:type="dxa"/>
            <w:shd w:val="clear" w:color="auto" w:fill="auto"/>
            <w:vAlign w:val="center"/>
          </w:tcPr>
          <w:p w14:paraId="1327760C" w14:textId="77777777" w:rsidR="00721DB6" w:rsidRPr="00D83FD5" w:rsidRDefault="00721DB6" w:rsidP="00173722">
            <w:pPr>
              <w:spacing w:after="100" w:afterAutospacing="1"/>
              <w:jc w:val="center"/>
              <w:rPr>
                <w:sz w:val="20"/>
                <w:szCs w:val="20"/>
              </w:rPr>
            </w:pPr>
            <w:r w:rsidRPr="00D83FD5">
              <w:rPr>
                <w:sz w:val="20"/>
                <w:szCs w:val="20"/>
              </w:rPr>
              <w:t>300 (1.89)</w:t>
            </w:r>
          </w:p>
        </w:tc>
        <w:tc>
          <w:tcPr>
            <w:tcW w:w="2283" w:type="dxa"/>
            <w:shd w:val="clear" w:color="auto" w:fill="auto"/>
            <w:vAlign w:val="center"/>
          </w:tcPr>
          <w:p w14:paraId="6BE85EF5" w14:textId="77777777" w:rsidR="00721DB6" w:rsidRPr="00D83FD5" w:rsidRDefault="00721DB6" w:rsidP="00173722">
            <w:pPr>
              <w:spacing w:after="100" w:afterAutospacing="1"/>
              <w:jc w:val="center"/>
              <w:rPr>
                <w:sz w:val="20"/>
                <w:szCs w:val="20"/>
              </w:rPr>
            </w:pPr>
            <w:r w:rsidRPr="00D83FD5">
              <w:rPr>
                <w:sz w:val="20"/>
                <w:szCs w:val="20"/>
              </w:rPr>
              <w:t>24.2 (9.7; 36.5)</w:t>
            </w:r>
            <w:r w:rsidRPr="00D83FD5">
              <w:rPr>
                <w:sz w:val="20"/>
                <w:szCs w:val="20"/>
                <w:vertAlign w:val="superscript"/>
              </w:rPr>
              <w:t>f</w:t>
            </w:r>
          </w:p>
        </w:tc>
      </w:tr>
      <w:tr w:rsidR="00721DB6" w:rsidRPr="00D83FD5" w14:paraId="06C82BD5" w14:textId="77777777" w:rsidTr="00173722">
        <w:tc>
          <w:tcPr>
            <w:tcW w:w="2357" w:type="dxa"/>
            <w:shd w:val="clear" w:color="auto" w:fill="auto"/>
          </w:tcPr>
          <w:p w14:paraId="43576C55" w14:textId="77777777" w:rsidR="00721DB6" w:rsidRPr="00D83FD5" w:rsidRDefault="00721DB6" w:rsidP="00721DB6">
            <w:pPr>
              <w:pStyle w:val="ListParagraph"/>
              <w:widowControl w:val="0"/>
              <w:numPr>
                <w:ilvl w:val="0"/>
                <w:numId w:val="43"/>
              </w:numPr>
              <w:autoSpaceDE w:val="0"/>
              <w:autoSpaceDN w:val="0"/>
              <w:spacing w:before="0"/>
              <w:ind w:left="142" w:hanging="142"/>
              <w:contextualSpacing w:val="0"/>
              <w:rPr>
                <w:rFonts w:ascii="Times New Roman" w:hAnsi="Times New Roman"/>
                <w:b/>
                <w:sz w:val="20"/>
                <w:szCs w:val="20"/>
              </w:rPr>
            </w:pPr>
            <w:r w:rsidRPr="00D83FD5">
              <w:rPr>
                <w:rFonts w:ascii="Times New Roman" w:hAnsi="Times New Roman"/>
                <w:b/>
                <w:sz w:val="20"/>
                <w:szCs w:val="20"/>
              </w:rPr>
              <w:t>Viral strains similar to those contained in the vaccine</w:t>
            </w:r>
          </w:p>
        </w:tc>
        <w:tc>
          <w:tcPr>
            <w:tcW w:w="2429" w:type="dxa"/>
            <w:shd w:val="clear" w:color="auto" w:fill="auto"/>
            <w:vAlign w:val="center"/>
          </w:tcPr>
          <w:p w14:paraId="0BE3D3B2" w14:textId="77777777" w:rsidR="00721DB6" w:rsidRPr="00D83FD5" w:rsidRDefault="00721DB6" w:rsidP="00173722">
            <w:pPr>
              <w:spacing w:after="100" w:afterAutospacing="1"/>
              <w:jc w:val="center"/>
              <w:rPr>
                <w:sz w:val="20"/>
                <w:szCs w:val="20"/>
              </w:rPr>
            </w:pPr>
            <w:r w:rsidRPr="00D83FD5">
              <w:rPr>
                <w:sz w:val="20"/>
                <w:szCs w:val="20"/>
              </w:rPr>
              <w:t>73 (0.46)</w:t>
            </w:r>
          </w:p>
        </w:tc>
        <w:tc>
          <w:tcPr>
            <w:tcW w:w="2218" w:type="dxa"/>
            <w:shd w:val="clear" w:color="auto" w:fill="auto"/>
            <w:vAlign w:val="center"/>
          </w:tcPr>
          <w:p w14:paraId="3E3D0CD6" w14:textId="77777777" w:rsidR="00721DB6" w:rsidRPr="00D83FD5" w:rsidRDefault="00721DB6" w:rsidP="00173722">
            <w:pPr>
              <w:spacing w:after="100" w:afterAutospacing="1"/>
              <w:jc w:val="center"/>
              <w:rPr>
                <w:sz w:val="20"/>
                <w:szCs w:val="20"/>
              </w:rPr>
            </w:pPr>
            <w:r w:rsidRPr="00D83FD5">
              <w:rPr>
                <w:sz w:val="20"/>
                <w:szCs w:val="20"/>
              </w:rPr>
              <w:t>113 (0.71)</w:t>
            </w:r>
          </w:p>
        </w:tc>
        <w:tc>
          <w:tcPr>
            <w:tcW w:w="2283" w:type="dxa"/>
            <w:shd w:val="clear" w:color="auto" w:fill="auto"/>
            <w:vAlign w:val="center"/>
          </w:tcPr>
          <w:p w14:paraId="472237EC" w14:textId="77777777" w:rsidR="00721DB6" w:rsidRPr="00D83FD5" w:rsidRDefault="00721DB6" w:rsidP="00173722">
            <w:pPr>
              <w:spacing w:after="100" w:afterAutospacing="1"/>
              <w:jc w:val="center"/>
              <w:rPr>
                <w:sz w:val="20"/>
                <w:szCs w:val="20"/>
              </w:rPr>
            </w:pPr>
            <w:r w:rsidRPr="00D83FD5">
              <w:rPr>
                <w:sz w:val="20"/>
                <w:szCs w:val="20"/>
              </w:rPr>
              <w:t>35.3 (12.4; 52.5)</w:t>
            </w:r>
          </w:p>
        </w:tc>
      </w:tr>
    </w:tbl>
    <w:p w14:paraId="48464EB7" w14:textId="77777777" w:rsidR="00721DB6" w:rsidRPr="00D83FD5" w:rsidRDefault="00721DB6" w:rsidP="00721DB6">
      <w:pPr>
        <w:spacing w:before="0"/>
        <w:jc w:val="both"/>
        <w:rPr>
          <w:sz w:val="18"/>
        </w:rPr>
      </w:pPr>
      <w:proofErr w:type="spellStart"/>
      <w:r w:rsidRPr="00D83FD5">
        <w:rPr>
          <w:sz w:val="18"/>
          <w:vertAlign w:val="superscript"/>
        </w:rPr>
        <w:t>a</w:t>
      </w:r>
      <w:proofErr w:type="spellEnd"/>
      <w:r w:rsidRPr="00D83FD5">
        <w:rPr>
          <w:sz w:val="18"/>
          <w:vertAlign w:val="superscript"/>
        </w:rPr>
        <w:t xml:space="preserve"> </w:t>
      </w:r>
      <w:r w:rsidRPr="00D83FD5">
        <w:rPr>
          <w:sz w:val="18"/>
        </w:rPr>
        <w:t>Occurrence of at least one of the following respiratory symptoms: sore throat, cough, sputum production, wheezing, or difficulty breathing; concurrent with at least one of the following systemic signs or symptoms: temperature &gt;37.2°C, chills, tiredness, headaches or myalgia.</w:t>
      </w:r>
    </w:p>
    <w:p w14:paraId="4C468F22" w14:textId="77777777" w:rsidR="00721DB6" w:rsidRPr="00D83FD5" w:rsidRDefault="00721DB6" w:rsidP="00721DB6">
      <w:pPr>
        <w:spacing w:before="0"/>
        <w:jc w:val="both"/>
        <w:rPr>
          <w:sz w:val="18"/>
        </w:rPr>
      </w:pPr>
      <w:r w:rsidRPr="00D83FD5">
        <w:rPr>
          <w:sz w:val="18"/>
          <w:vertAlign w:val="superscript"/>
        </w:rPr>
        <w:t xml:space="preserve">b </w:t>
      </w:r>
      <w:r w:rsidRPr="00D83FD5">
        <w:rPr>
          <w:sz w:val="18"/>
        </w:rPr>
        <w:t>N is the number of vaccinated participants in the per-protocol analysis set for efficacy assessments.</w:t>
      </w:r>
    </w:p>
    <w:p w14:paraId="49EDDE39" w14:textId="77777777" w:rsidR="00721DB6" w:rsidRPr="00D83FD5" w:rsidRDefault="00721DB6" w:rsidP="00721DB6">
      <w:pPr>
        <w:spacing w:before="0"/>
        <w:jc w:val="both"/>
        <w:rPr>
          <w:sz w:val="18"/>
        </w:rPr>
      </w:pPr>
      <w:r w:rsidRPr="00D83FD5">
        <w:rPr>
          <w:sz w:val="18"/>
          <w:vertAlign w:val="superscript"/>
        </w:rPr>
        <w:t xml:space="preserve">c </w:t>
      </w:r>
      <w:r w:rsidRPr="00D83FD5">
        <w:rPr>
          <w:sz w:val="18"/>
        </w:rPr>
        <w:t>n is the number of participants with protocol-defined influenza-like illness with laboratory confirmation.</w:t>
      </w:r>
    </w:p>
    <w:p w14:paraId="45730680" w14:textId="77777777" w:rsidR="00721DB6" w:rsidRPr="00D83FD5" w:rsidRDefault="00721DB6" w:rsidP="00721DB6">
      <w:pPr>
        <w:spacing w:before="0"/>
        <w:jc w:val="both"/>
        <w:rPr>
          <w:sz w:val="18"/>
        </w:rPr>
      </w:pPr>
      <w:r w:rsidRPr="00D83FD5">
        <w:rPr>
          <w:sz w:val="18"/>
          <w:vertAlign w:val="superscript"/>
        </w:rPr>
        <w:t xml:space="preserve">d </w:t>
      </w:r>
      <w:r w:rsidRPr="00D83FD5">
        <w:rPr>
          <w:sz w:val="18"/>
        </w:rPr>
        <w:t xml:space="preserve">Laboratory-confirmed: culture- or polymerase-chain-reaction-confirmed. </w:t>
      </w:r>
    </w:p>
    <w:p w14:paraId="68CD3583" w14:textId="77777777" w:rsidR="00721DB6" w:rsidRPr="00D83FD5" w:rsidRDefault="00721DB6" w:rsidP="00721DB6">
      <w:pPr>
        <w:spacing w:before="0"/>
        <w:jc w:val="both"/>
        <w:rPr>
          <w:sz w:val="18"/>
        </w:rPr>
      </w:pPr>
      <w:r w:rsidRPr="00D83FD5">
        <w:rPr>
          <w:sz w:val="18"/>
          <w:vertAlign w:val="superscript"/>
        </w:rPr>
        <w:t xml:space="preserve">e </w:t>
      </w:r>
      <w:r w:rsidRPr="00D83FD5">
        <w:rPr>
          <w:sz w:val="18"/>
        </w:rPr>
        <w:t>Primary endpoint.</w:t>
      </w:r>
    </w:p>
    <w:p w14:paraId="238ADAB4" w14:textId="44BC9D97" w:rsidR="00721DB6" w:rsidRPr="00D83FD5" w:rsidDel="00126B8D" w:rsidRDefault="00721DB6" w:rsidP="00721DB6">
      <w:pPr>
        <w:spacing w:before="0"/>
        <w:jc w:val="both"/>
        <w:rPr>
          <w:sz w:val="18"/>
        </w:rPr>
      </w:pPr>
      <w:proofErr w:type="spellStart"/>
      <w:r w:rsidRPr="00D83FD5" w:rsidDel="00126B8D">
        <w:rPr>
          <w:sz w:val="18"/>
          <w:vertAlign w:val="superscript"/>
        </w:rPr>
        <w:t>f</w:t>
      </w:r>
      <w:proofErr w:type="spellEnd"/>
      <w:r w:rsidRPr="00D83FD5">
        <w:rPr>
          <w:sz w:val="18"/>
          <w:vertAlign w:val="superscript"/>
        </w:rPr>
        <w:t xml:space="preserve"> </w:t>
      </w:r>
      <w:r w:rsidRPr="00D83FD5" w:rsidDel="00126B8D">
        <w:rPr>
          <w:sz w:val="18"/>
        </w:rPr>
        <w:t>The pre-specified statistical superiority criterion for the primary endpoint (lower limit of the 2-sided 95% CI of the vaccine efficacy of TIV</w:t>
      </w:r>
      <w:r w:rsidR="00A50F74">
        <w:rPr>
          <w:sz w:val="18"/>
        </w:rPr>
        <w:t>-</w:t>
      </w:r>
      <w:r w:rsidRPr="00D83FD5" w:rsidDel="00126B8D">
        <w:rPr>
          <w:sz w:val="18"/>
        </w:rPr>
        <w:t>HD relative to Standard dose inactivated influenza vaccine &gt;9.1%) was met.</w:t>
      </w:r>
    </w:p>
    <w:p w14:paraId="05DEAAF7" w14:textId="5F091172" w:rsidR="002750DC" w:rsidRPr="008D21D2" w:rsidRDefault="002750DC" w:rsidP="002750DC">
      <w:pPr>
        <w:rPr>
          <w:color w:val="auto"/>
        </w:rPr>
      </w:pPr>
      <w:r w:rsidRPr="008D21D2">
        <w:rPr>
          <w:color w:val="auto"/>
        </w:rPr>
        <w:t>For the supplementary analysis, selected serious cardiorespiratory events reported in FIM12 were grouped into 7 pre-specified categories and represented the following endpoints: pneumonia events, asthma/chronic obstructive pulmonary disease (COPD)/bronchial events, influenza events (serious laboratory-confirmed influenza diagnosed outside study procedures by a subject’s health-care provider), other respiratory events, coronary artery events, congestive heart failure events and cerebrovascular events.</w:t>
      </w:r>
    </w:p>
    <w:p w14:paraId="4A517DA0" w14:textId="6D1526C5" w:rsidR="002750DC" w:rsidRPr="008D21D2" w:rsidRDefault="002750DC" w:rsidP="002750DC">
      <w:pPr>
        <w:rPr>
          <w:color w:val="auto"/>
        </w:rPr>
      </w:pPr>
      <w:r w:rsidRPr="008D21D2">
        <w:rPr>
          <w:color w:val="auto"/>
        </w:rPr>
        <w:lastRenderedPageBreak/>
        <w:t>For both years combined, there was a significant reduction in the total number of serious cardiorespiratory events (relative Vaccine Efficacy (</w:t>
      </w:r>
      <w:proofErr w:type="spellStart"/>
      <w:r w:rsidRPr="008D21D2">
        <w:rPr>
          <w:color w:val="auto"/>
        </w:rPr>
        <w:t>rVE</w:t>
      </w:r>
      <w:proofErr w:type="spellEnd"/>
      <w:r w:rsidRPr="008D21D2">
        <w:rPr>
          <w:color w:val="auto"/>
        </w:rPr>
        <w:t>), 17.7% [95% CI: 6.6%–27.4%]) among TIV-HD recipients compared to standard dose influenza vaccine recipients, including a significant reduction in serious pneumonia events (</w:t>
      </w:r>
      <w:proofErr w:type="spellStart"/>
      <w:r w:rsidRPr="008D21D2">
        <w:rPr>
          <w:color w:val="auto"/>
        </w:rPr>
        <w:t>rVE</w:t>
      </w:r>
      <w:proofErr w:type="spellEnd"/>
      <w:r w:rsidRPr="008D21D2">
        <w:rPr>
          <w:color w:val="auto"/>
        </w:rPr>
        <w:t xml:space="preserve">, 39.8% [95% CI: 19.3%–55.1%]). In addition, a borderline significant reduction in all-cause </w:t>
      </w:r>
      <w:proofErr w:type="spellStart"/>
      <w:r w:rsidRPr="008D21D2">
        <w:rPr>
          <w:color w:val="auto"/>
        </w:rPr>
        <w:t>hospitalisation</w:t>
      </w:r>
      <w:proofErr w:type="spellEnd"/>
      <w:r w:rsidRPr="008D21D2">
        <w:rPr>
          <w:color w:val="auto"/>
        </w:rPr>
        <w:t xml:space="preserve"> (</w:t>
      </w:r>
      <w:proofErr w:type="spellStart"/>
      <w:r w:rsidRPr="008D21D2">
        <w:rPr>
          <w:color w:val="auto"/>
        </w:rPr>
        <w:t>rVE</w:t>
      </w:r>
      <w:proofErr w:type="spellEnd"/>
      <w:r w:rsidRPr="008D21D2">
        <w:rPr>
          <w:color w:val="auto"/>
        </w:rPr>
        <w:t>, 6.9%; 95% CI: 0.5%–12.8%) was observed. It is noted that most of the reductions in the TIV-HD group were observed in Year 2 with no significant differences observed in Year 1.</w:t>
      </w:r>
    </w:p>
    <w:p w14:paraId="4411AA50" w14:textId="0DDE0852" w:rsidR="00721DB6" w:rsidRPr="00D83FD5" w:rsidRDefault="00721DB6" w:rsidP="00721DB6">
      <w:pPr>
        <w:pStyle w:val="Heading4"/>
        <w:numPr>
          <w:ilvl w:val="0"/>
          <w:numId w:val="0"/>
        </w:numPr>
        <w:rPr>
          <w:lang w:val="en-AU"/>
        </w:rPr>
      </w:pPr>
      <w:r w:rsidRPr="002750DC">
        <w:rPr>
          <w:lang w:val="en-AU"/>
        </w:rPr>
        <w:t>Effectiveness of TIV</w:t>
      </w:r>
      <w:r w:rsidR="00A50F74" w:rsidRPr="002750DC">
        <w:rPr>
          <w:lang w:val="en-AU"/>
        </w:rPr>
        <w:t>-</w:t>
      </w:r>
      <w:r w:rsidRPr="002750DC">
        <w:rPr>
          <w:lang w:val="en-AU"/>
        </w:rPr>
        <w:t>HD in Adults 65 Years of Age and Older</w:t>
      </w:r>
      <w:r w:rsidRPr="002750DC">
        <w:rPr>
          <w:lang w:val="en-AU"/>
        </w:rPr>
        <w:fldChar w:fldCharType="begin"/>
      </w:r>
      <w:r w:rsidRPr="002750DC">
        <w:rPr>
          <w:lang w:val="en-AU"/>
        </w:rPr>
        <w:instrText xml:space="preserve"> DOCVARIABLE vault_nd_47f316ee-0e85-48d3-8002-ed3c6069c2a4 \* MERGEFORMAT </w:instrText>
      </w:r>
      <w:r w:rsidRPr="002750DC">
        <w:rPr>
          <w:lang w:val="en-AU"/>
        </w:rPr>
        <w:fldChar w:fldCharType="separate"/>
      </w:r>
      <w:r w:rsidRPr="002750DC">
        <w:rPr>
          <w:lang w:val="en-AU"/>
        </w:rPr>
        <w:t xml:space="preserve"> </w:t>
      </w:r>
      <w:r w:rsidRPr="002750DC">
        <w:rPr>
          <w:lang w:val="en-AU"/>
        </w:rPr>
        <w:fldChar w:fldCharType="end"/>
      </w:r>
    </w:p>
    <w:p w14:paraId="7584C5A6" w14:textId="1B8A9AB7" w:rsidR="00721DB6" w:rsidRPr="0016592E" w:rsidRDefault="00721DB6" w:rsidP="00721DB6">
      <w:pPr>
        <w:pStyle w:val="wcpSubHeading"/>
        <w:rPr>
          <w:b w:val="0"/>
          <w:i w:val="0"/>
        </w:rPr>
      </w:pPr>
      <w:proofErr w:type="spellStart"/>
      <w:r w:rsidRPr="0016592E">
        <w:rPr>
          <w:b w:val="0"/>
          <w:i w:val="0"/>
          <w:szCs w:val="24"/>
          <w:u w:val="single"/>
        </w:rPr>
        <w:t>Randomi</w:t>
      </w:r>
      <w:r w:rsidR="00E259C1" w:rsidRPr="0016592E">
        <w:rPr>
          <w:b w:val="0"/>
          <w:i w:val="0"/>
          <w:szCs w:val="24"/>
          <w:u w:val="single"/>
        </w:rPr>
        <w:t>s</w:t>
      </w:r>
      <w:r w:rsidRPr="0016592E">
        <w:rPr>
          <w:b w:val="0"/>
          <w:i w:val="0"/>
          <w:szCs w:val="24"/>
          <w:u w:val="single"/>
        </w:rPr>
        <w:t>ed</w:t>
      </w:r>
      <w:proofErr w:type="spellEnd"/>
      <w:r w:rsidRPr="0016592E">
        <w:rPr>
          <w:b w:val="0"/>
          <w:i w:val="0"/>
          <w:szCs w:val="24"/>
          <w:u w:val="single"/>
        </w:rPr>
        <w:t xml:space="preserve"> Clinical Trial</w:t>
      </w:r>
      <w:r w:rsidRPr="0016592E">
        <w:rPr>
          <w:b w:val="0"/>
          <w:i w:val="0"/>
          <w:u w:val="single"/>
        </w:rPr>
        <w:t>s</w:t>
      </w:r>
    </w:p>
    <w:p w14:paraId="59404319" w14:textId="6DFE2A01" w:rsidR="00721DB6" w:rsidRPr="0016592E" w:rsidRDefault="00721DB6" w:rsidP="00721DB6">
      <w:pPr>
        <w:adjustRightInd w:val="0"/>
        <w:rPr>
          <w:lang w:eastAsia="fr-FR"/>
        </w:rPr>
      </w:pPr>
      <w:r w:rsidRPr="0016592E">
        <w:rPr>
          <w:lang w:eastAsia="fr-FR"/>
        </w:rPr>
        <w:t>A cluster-</w:t>
      </w:r>
      <w:proofErr w:type="spellStart"/>
      <w:r w:rsidRPr="0016592E">
        <w:rPr>
          <w:lang w:eastAsia="fr-FR"/>
        </w:rPr>
        <w:t>randomised</w:t>
      </w:r>
      <w:proofErr w:type="spellEnd"/>
      <w:r w:rsidRPr="0016592E">
        <w:rPr>
          <w:lang w:eastAsia="fr-FR"/>
        </w:rPr>
        <w:t>, controlled clinical trial in United States nursing homes assessed the relative effect of TIV</w:t>
      </w:r>
      <w:r w:rsidR="00A50F74" w:rsidRPr="0016592E">
        <w:rPr>
          <w:lang w:eastAsia="fr-FR"/>
        </w:rPr>
        <w:t>-</w:t>
      </w:r>
      <w:r w:rsidRPr="0016592E">
        <w:rPr>
          <w:lang w:eastAsia="fr-FR"/>
        </w:rPr>
        <w:t xml:space="preserve">HD versus a standard dose of influenza vaccine in </w:t>
      </w:r>
      <w:proofErr w:type="spellStart"/>
      <w:r w:rsidRPr="0016592E">
        <w:rPr>
          <w:lang w:eastAsia="fr-FR"/>
        </w:rPr>
        <w:t>hospitalisations</w:t>
      </w:r>
      <w:proofErr w:type="spellEnd"/>
      <w:r w:rsidRPr="0016592E">
        <w:rPr>
          <w:lang w:eastAsia="fr-FR"/>
        </w:rPr>
        <w:t xml:space="preserve"> among 53,008 individuals during the 2013-2014 influenza season. </w:t>
      </w:r>
    </w:p>
    <w:p w14:paraId="6A98D803" w14:textId="2AF6C24F" w:rsidR="00721DB6" w:rsidRPr="00D83FD5" w:rsidRDefault="00721DB6" w:rsidP="00721DB6">
      <w:pPr>
        <w:adjustRightInd w:val="0"/>
        <w:rPr>
          <w:lang w:eastAsia="fr-FR"/>
        </w:rPr>
      </w:pPr>
      <w:r w:rsidRPr="0016592E">
        <w:rPr>
          <w:lang w:eastAsia="fr-FR"/>
        </w:rPr>
        <w:t xml:space="preserve">During the 2013-2014 season, </w:t>
      </w:r>
      <w:r w:rsidR="000F103C">
        <w:rPr>
          <w:lang w:eastAsia="fr-FR"/>
        </w:rPr>
        <w:t xml:space="preserve">when adjusting for the pre-specified patient and facility characteristics, </w:t>
      </w:r>
      <w:r w:rsidRPr="0016592E">
        <w:rPr>
          <w:lang w:eastAsia="fr-FR"/>
        </w:rPr>
        <w:t>the incidence of respiratory-related hospital admissions (primary objective) was significantly reduced in facilities where residents received TIV</w:t>
      </w:r>
      <w:r w:rsidR="00A50F74" w:rsidRPr="0016592E">
        <w:rPr>
          <w:lang w:eastAsia="fr-FR"/>
        </w:rPr>
        <w:t>-</w:t>
      </w:r>
      <w:r w:rsidRPr="0016592E">
        <w:rPr>
          <w:lang w:eastAsia="fr-FR"/>
        </w:rPr>
        <w:t>HD compared with those that received standard-dose influenza vaccines by 12.7% (adjusted risk ratio [ARR] 0.873, 95% CI 0.776 to 0.982, p=0.023). Moreover, with respect to secondary endpoints, TIV</w:t>
      </w:r>
      <w:r w:rsidR="00A50F74" w:rsidRPr="0016592E">
        <w:rPr>
          <w:lang w:eastAsia="fr-FR"/>
        </w:rPr>
        <w:t>-</w:t>
      </w:r>
      <w:r w:rsidRPr="0016592E">
        <w:rPr>
          <w:lang w:eastAsia="fr-FR"/>
        </w:rPr>
        <w:t>HD reduced hospital admissions for pneumonia by 20.9% (ARR 0.791, 95% CI: 0.267 to 0.953, p=0.013) and all-cause hospital admissions by 8% (ARR 0.915, 95% CI: 0.863 to 0.970, p=0.0028).</w:t>
      </w:r>
    </w:p>
    <w:p w14:paraId="1D5E86C0" w14:textId="77777777" w:rsidR="00721DB6" w:rsidRPr="0016592E" w:rsidRDefault="00721DB6" w:rsidP="003C6D34">
      <w:pPr>
        <w:pStyle w:val="wcpSubHeading"/>
        <w:rPr>
          <w:b w:val="0"/>
          <w:i w:val="0"/>
          <w:szCs w:val="24"/>
          <w:u w:val="single"/>
        </w:rPr>
      </w:pPr>
      <w:r w:rsidRPr="0016592E">
        <w:rPr>
          <w:b w:val="0"/>
          <w:i w:val="0"/>
          <w:szCs w:val="24"/>
          <w:u w:val="single"/>
        </w:rPr>
        <w:t>Observational Studies</w:t>
      </w:r>
    </w:p>
    <w:p w14:paraId="048FFAF0" w14:textId="3B6186BD" w:rsidR="0016592E" w:rsidRPr="008D21D2" w:rsidRDefault="0016592E" w:rsidP="0016592E">
      <w:pPr>
        <w:jc w:val="both"/>
        <w:rPr>
          <w:color w:val="auto"/>
        </w:rPr>
      </w:pPr>
      <w:r w:rsidRPr="008D21D2">
        <w:rPr>
          <w:color w:val="auto"/>
        </w:rPr>
        <w:t xml:space="preserve">Several retrospective studies, over 8 influenza seasons and in more than 24 million individuals 65 years of age and older, confirmed the superior protection offered by TIV-HD compared to standard-dose influenza vaccines against complications of influenza such as pneumonia </w:t>
      </w:r>
      <w:proofErr w:type="spellStart"/>
      <w:r w:rsidRPr="008D21D2">
        <w:rPr>
          <w:color w:val="auto"/>
        </w:rPr>
        <w:t>hospitalisation</w:t>
      </w:r>
      <w:proofErr w:type="spellEnd"/>
      <w:r w:rsidRPr="008D21D2">
        <w:rPr>
          <w:color w:val="auto"/>
        </w:rPr>
        <w:t xml:space="preserve"> (13.4% (95%CI: 7.3% to 19.2%, p&lt;0.001)), cardio-respiratory </w:t>
      </w:r>
      <w:proofErr w:type="spellStart"/>
      <w:r w:rsidRPr="008D21D2">
        <w:rPr>
          <w:color w:val="auto"/>
        </w:rPr>
        <w:t>hospitalisations</w:t>
      </w:r>
      <w:proofErr w:type="spellEnd"/>
      <w:r w:rsidRPr="008D21D2">
        <w:rPr>
          <w:color w:val="auto"/>
        </w:rPr>
        <w:t xml:space="preserve"> 17.9% (95%CI :14.9%  to 20.9%, p&lt;0.001) and all –cause </w:t>
      </w:r>
      <w:proofErr w:type="spellStart"/>
      <w:r w:rsidRPr="008D21D2">
        <w:rPr>
          <w:color w:val="auto"/>
        </w:rPr>
        <w:t>hospitalisation</w:t>
      </w:r>
      <w:proofErr w:type="spellEnd"/>
      <w:r w:rsidRPr="008D21D2">
        <w:rPr>
          <w:color w:val="auto"/>
        </w:rPr>
        <w:t xml:space="preserve"> 8.1% (95%CI: 5.9% to 10.3%, p&lt;0.001); although the impact may vary per season.</w:t>
      </w:r>
    </w:p>
    <w:p w14:paraId="2D783581" w14:textId="77777777" w:rsidR="001A3992" w:rsidRPr="00D83FD5" w:rsidRDefault="001A3992" w:rsidP="00C879F2">
      <w:pPr>
        <w:pStyle w:val="Heading2"/>
        <w:rPr>
          <w:lang w:val="en-AU"/>
        </w:rPr>
      </w:pPr>
      <w:r w:rsidRPr="00D83FD5">
        <w:rPr>
          <w:lang w:val="en-AU"/>
        </w:rPr>
        <w:t xml:space="preserve">Pharmacokinetic properties </w:t>
      </w:r>
    </w:p>
    <w:p w14:paraId="77A9577F" w14:textId="77777777" w:rsidR="00B80316" w:rsidRPr="00D83FD5" w:rsidRDefault="00B80316" w:rsidP="00B80316">
      <w:pPr>
        <w:rPr>
          <w:color w:val="auto"/>
          <w:lang w:val="en-AU"/>
        </w:rPr>
      </w:pPr>
      <w:r w:rsidRPr="00D83FD5">
        <w:rPr>
          <w:color w:val="auto"/>
          <w:lang w:val="en-AU"/>
        </w:rPr>
        <w:t>No pharmacokinetic studies have been performed.</w:t>
      </w:r>
    </w:p>
    <w:p w14:paraId="368EA7D6" w14:textId="77777777" w:rsidR="001A3992" w:rsidRPr="00D83FD5" w:rsidRDefault="001A3992" w:rsidP="00C879F2">
      <w:pPr>
        <w:pStyle w:val="Heading2"/>
        <w:rPr>
          <w:lang w:val="en-AU"/>
        </w:rPr>
      </w:pPr>
      <w:r w:rsidRPr="00D83FD5">
        <w:rPr>
          <w:lang w:val="en-AU"/>
        </w:rPr>
        <w:t>Preclinical safety data</w:t>
      </w:r>
    </w:p>
    <w:p w14:paraId="47B0084A" w14:textId="77777777" w:rsidR="00DA5FC8" w:rsidRPr="00D83FD5" w:rsidRDefault="00DA5FC8" w:rsidP="00DA5FC8">
      <w:pPr>
        <w:pStyle w:val="Heading3"/>
        <w:numPr>
          <w:ilvl w:val="0"/>
          <w:numId w:val="0"/>
        </w:numPr>
        <w:ind w:left="680" w:hanging="680"/>
        <w:rPr>
          <w:lang w:val="en-AU"/>
        </w:rPr>
      </w:pPr>
      <w:r w:rsidRPr="00D83FD5">
        <w:rPr>
          <w:lang w:val="en-AU"/>
        </w:rPr>
        <w:t>Genotoxicity</w:t>
      </w:r>
    </w:p>
    <w:p w14:paraId="473AD0A1" w14:textId="69468A4A" w:rsidR="00DA5FC8" w:rsidRPr="008D21D2" w:rsidRDefault="007825A2" w:rsidP="00DA5FC8">
      <w:pPr>
        <w:rPr>
          <w:color w:val="auto"/>
          <w:lang w:val="en-AU"/>
        </w:rPr>
      </w:pPr>
      <w:r w:rsidRPr="00D83FD5">
        <w:rPr>
          <w:lang w:val="en-AU"/>
        </w:rPr>
        <w:t>Fluzone High-Dose</w:t>
      </w:r>
      <w:r>
        <w:rPr>
          <w:lang w:val="en-AU"/>
        </w:rPr>
        <w:t xml:space="preserve"> </w:t>
      </w:r>
      <w:r w:rsidRPr="008D21D2">
        <w:rPr>
          <w:color w:val="auto"/>
          <w:lang w:val="en-AU"/>
        </w:rPr>
        <w:t xml:space="preserve">Quadrivalent </w:t>
      </w:r>
      <w:r w:rsidR="00DA5FC8" w:rsidRPr="008D21D2">
        <w:rPr>
          <w:color w:val="auto"/>
          <w:lang w:val="en-AU"/>
        </w:rPr>
        <w:t>has not been tested for genotoxic potential.</w:t>
      </w:r>
    </w:p>
    <w:p w14:paraId="366290D9" w14:textId="77777777" w:rsidR="00DA5FC8" w:rsidRPr="008D21D2" w:rsidRDefault="00DA5FC8" w:rsidP="00DA5FC8">
      <w:pPr>
        <w:pStyle w:val="Heading3"/>
        <w:numPr>
          <w:ilvl w:val="0"/>
          <w:numId w:val="0"/>
        </w:numPr>
        <w:ind w:left="680" w:hanging="680"/>
        <w:rPr>
          <w:lang w:val="en-AU"/>
        </w:rPr>
      </w:pPr>
      <w:r w:rsidRPr="008D21D2">
        <w:rPr>
          <w:lang w:val="en-AU"/>
        </w:rPr>
        <w:t>Carcinogenicity</w:t>
      </w:r>
    </w:p>
    <w:p w14:paraId="5681ABFE" w14:textId="523427ED" w:rsidR="00DA5FC8" w:rsidRPr="008D21D2" w:rsidRDefault="007825A2" w:rsidP="00B80316">
      <w:pPr>
        <w:rPr>
          <w:color w:val="auto"/>
          <w:lang w:val="en-AU"/>
        </w:rPr>
      </w:pPr>
      <w:r w:rsidRPr="008D21D2">
        <w:rPr>
          <w:color w:val="auto"/>
          <w:lang w:val="en-AU"/>
        </w:rPr>
        <w:t xml:space="preserve">Fluzone High-Dose Quadrivalent </w:t>
      </w:r>
      <w:r w:rsidR="00DA5FC8" w:rsidRPr="008D21D2">
        <w:rPr>
          <w:color w:val="auto"/>
          <w:lang w:val="en-AU"/>
        </w:rPr>
        <w:t>has not been tested for carcinogenic potential.</w:t>
      </w:r>
    </w:p>
    <w:p w14:paraId="63D6B87E" w14:textId="77777777" w:rsidR="001A3992" w:rsidRPr="008D21D2" w:rsidRDefault="001A3992" w:rsidP="00C879F2">
      <w:pPr>
        <w:pStyle w:val="Heading1"/>
        <w:pageBreakBefore w:val="0"/>
        <w:rPr>
          <w:lang w:val="en-AU"/>
        </w:rPr>
      </w:pPr>
      <w:r w:rsidRPr="008D21D2">
        <w:rPr>
          <w:lang w:val="en-AU"/>
        </w:rPr>
        <w:lastRenderedPageBreak/>
        <w:t>Pharmaceutical particulars</w:t>
      </w:r>
    </w:p>
    <w:p w14:paraId="3F709A5B" w14:textId="77777777" w:rsidR="001A3992" w:rsidRPr="008D21D2" w:rsidRDefault="001A3992" w:rsidP="00C879F2">
      <w:pPr>
        <w:pStyle w:val="Heading2"/>
        <w:rPr>
          <w:lang w:val="en-AU"/>
        </w:rPr>
      </w:pPr>
      <w:r w:rsidRPr="008D21D2">
        <w:rPr>
          <w:lang w:val="en-AU"/>
        </w:rPr>
        <w:t xml:space="preserve">List of excipients </w:t>
      </w:r>
    </w:p>
    <w:p w14:paraId="5DDE7411" w14:textId="35EC9048" w:rsidR="00B80316" w:rsidRPr="008D21D2" w:rsidRDefault="007825A2" w:rsidP="00B80316">
      <w:pPr>
        <w:rPr>
          <w:color w:val="auto"/>
          <w:lang w:val="en-AU"/>
        </w:rPr>
      </w:pPr>
      <w:r w:rsidRPr="008D21D2">
        <w:rPr>
          <w:color w:val="auto"/>
          <w:lang w:val="en-AU"/>
        </w:rPr>
        <w:t xml:space="preserve">Fluzone High-Dose Quadrivalent </w:t>
      </w:r>
      <w:r w:rsidR="00B80316" w:rsidRPr="008D21D2">
        <w:rPr>
          <w:color w:val="auto"/>
          <w:lang w:val="en-AU"/>
        </w:rPr>
        <w:t>contains sodium chloride, dibasic sodium phosphate, monobasic sodium phosphate</w:t>
      </w:r>
      <w:r w:rsidR="00B9572F" w:rsidRPr="008D21D2">
        <w:rPr>
          <w:color w:val="auto"/>
          <w:lang w:val="en-AU"/>
        </w:rPr>
        <w:t>, octoxinol-9</w:t>
      </w:r>
      <w:r w:rsidR="00B80316" w:rsidRPr="008D21D2">
        <w:rPr>
          <w:color w:val="auto"/>
          <w:lang w:val="en-AU"/>
        </w:rPr>
        <w:t xml:space="preserve"> and water for injections as excipients.</w:t>
      </w:r>
    </w:p>
    <w:p w14:paraId="0ED37F13" w14:textId="4F67E42F" w:rsidR="00BC2B9D" w:rsidRPr="00D83FD5" w:rsidRDefault="007825A2" w:rsidP="00BC2B9D">
      <w:pPr>
        <w:jc w:val="both"/>
        <w:rPr>
          <w:noProof/>
          <w:color w:val="auto"/>
          <w:szCs w:val="16"/>
          <w:lang w:val="en-AU"/>
        </w:rPr>
      </w:pPr>
      <w:r w:rsidRPr="008D21D2">
        <w:rPr>
          <w:color w:val="auto"/>
          <w:lang w:val="en-AU"/>
        </w:rPr>
        <w:t xml:space="preserve">Fluzone High-Dose Quadrivalent </w:t>
      </w:r>
      <w:r w:rsidR="00BC2B9D" w:rsidRPr="00D83FD5">
        <w:rPr>
          <w:noProof/>
          <w:color w:val="auto"/>
          <w:szCs w:val="16"/>
          <w:lang w:val="en-AU"/>
        </w:rPr>
        <w:t>may also contain traces of formaldehyde (≤ 1</w:t>
      </w:r>
      <w:r w:rsidR="00187766" w:rsidRPr="00D83FD5">
        <w:rPr>
          <w:noProof/>
          <w:color w:val="auto"/>
          <w:szCs w:val="16"/>
          <w:lang w:val="en-AU"/>
        </w:rPr>
        <w:t>4</w:t>
      </w:r>
      <w:r w:rsidR="00AB5690">
        <w:rPr>
          <w:noProof/>
          <w:color w:val="auto"/>
          <w:szCs w:val="16"/>
          <w:lang w:val="en-AU"/>
        </w:rPr>
        <w:t>0 µg)</w:t>
      </w:r>
      <w:r w:rsidR="00BC2B9D" w:rsidRPr="00D83FD5">
        <w:rPr>
          <w:noProof/>
          <w:color w:val="auto"/>
          <w:szCs w:val="16"/>
          <w:lang w:val="en-AU"/>
        </w:rPr>
        <w:t xml:space="preserve"> and ovalbumin (</w:t>
      </w:r>
      <w:r w:rsidR="00187766" w:rsidRPr="00D83FD5">
        <w:rPr>
          <w:noProof/>
          <w:color w:val="auto"/>
          <w:szCs w:val="16"/>
          <w:lang w:val="en-AU"/>
        </w:rPr>
        <w:t xml:space="preserve">≤ </w:t>
      </w:r>
      <w:r w:rsidR="00BC2B9D" w:rsidRPr="00D83FD5">
        <w:rPr>
          <w:noProof/>
          <w:color w:val="auto"/>
          <w:szCs w:val="16"/>
          <w:lang w:val="en-AU"/>
        </w:rPr>
        <w:t>1 µg). Neither antibiotics nor preservative are used during manufacture.</w:t>
      </w:r>
    </w:p>
    <w:p w14:paraId="35EDF7EB" w14:textId="77777777" w:rsidR="001A3992" w:rsidRPr="00D83FD5" w:rsidRDefault="001A3992" w:rsidP="00C879F2">
      <w:pPr>
        <w:pStyle w:val="Heading2"/>
        <w:rPr>
          <w:lang w:val="en-AU"/>
        </w:rPr>
      </w:pPr>
      <w:r w:rsidRPr="00D83FD5">
        <w:rPr>
          <w:lang w:val="en-AU"/>
        </w:rPr>
        <w:t xml:space="preserve">Incompatibilities </w:t>
      </w:r>
    </w:p>
    <w:p w14:paraId="0051DAE6" w14:textId="77777777" w:rsidR="00E25EA6" w:rsidRPr="00D83FD5" w:rsidRDefault="00E25EA6" w:rsidP="00E25EA6">
      <w:pPr>
        <w:jc w:val="both"/>
      </w:pPr>
      <w:r w:rsidRPr="00D83FD5">
        <w:t>In the absence of compatibility studies, this vaccine must not be mixed with other vaccine or medicinal products.</w:t>
      </w:r>
    </w:p>
    <w:p w14:paraId="6AA56EEE" w14:textId="77777777" w:rsidR="001A3992" w:rsidRPr="00D83FD5" w:rsidRDefault="001A3992" w:rsidP="00C879F2">
      <w:pPr>
        <w:pStyle w:val="Heading2"/>
        <w:rPr>
          <w:lang w:val="en-AU"/>
        </w:rPr>
      </w:pPr>
      <w:r w:rsidRPr="00D83FD5">
        <w:rPr>
          <w:lang w:val="en-AU"/>
        </w:rPr>
        <w:t xml:space="preserve">Shelf life </w:t>
      </w:r>
    </w:p>
    <w:p w14:paraId="679D907A" w14:textId="2C87120D" w:rsidR="00BE01C6" w:rsidRPr="00D83FD5" w:rsidRDefault="000E7C70" w:rsidP="00BE01C6">
      <w:pPr>
        <w:rPr>
          <w:color w:val="auto"/>
          <w:lang w:val="en-AU"/>
        </w:rPr>
      </w:pPr>
      <w:r>
        <w:rPr>
          <w:color w:val="auto"/>
          <w:lang w:val="en-AU"/>
        </w:rPr>
        <w:t>12</w:t>
      </w:r>
      <w:r w:rsidR="00BE01C6" w:rsidRPr="00D83FD5">
        <w:rPr>
          <w:color w:val="auto"/>
          <w:lang w:val="en-AU"/>
        </w:rPr>
        <w:t xml:space="preserve"> months</w:t>
      </w:r>
      <w:r w:rsidR="00B75236" w:rsidRPr="00D83FD5">
        <w:rPr>
          <w:color w:val="auto"/>
          <w:lang w:val="en-AU"/>
        </w:rPr>
        <w:t>.</w:t>
      </w:r>
    </w:p>
    <w:p w14:paraId="22BC875E" w14:textId="77777777" w:rsidR="001A3992" w:rsidRPr="00D83FD5" w:rsidRDefault="001A3992" w:rsidP="00C879F2">
      <w:pPr>
        <w:pStyle w:val="Heading2"/>
        <w:rPr>
          <w:lang w:val="en-AU"/>
        </w:rPr>
      </w:pPr>
      <w:r w:rsidRPr="00D83FD5">
        <w:rPr>
          <w:lang w:val="en-AU"/>
        </w:rPr>
        <w:t xml:space="preserve">Special precautions for storage </w:t>
      </w:r>
    </w:p>
    <w:p w14:paraId="35A1DBF8" w14:textId="77777777" w:rsidR="00C432CB" w:rsidRPr="00D83FD5" w:rsidRDefault="00C432CB" w:rsidP="00C432CB">
      <w:pPr>
        <w:rPr>
          <w:color w:val="auto"/>
          <w:lang w:val="en-AU"/>
        </w:rPr>
      </w:pPr>
      <w:r w:rsidRPr="00D83FD5">
        <w:rPr>
          <w:color w:val="auto"/>
          <w:lang w:val="en-AU"/>
        </w:rPr>
        <w:t>Store at 2°C to 8°C (Refrigerate, Do not freeze). Discard if vaccine has been frozen.</w:t>
      </w:r>
    </w:p>
    <w:p w14:paraId="1D808320" w14:textId="77777777" w:rsidR="001A3992" w:rsidRPr="00D83FD5" w:rsidRDefault="001A3992" w:rsidP="00C879F2">
      <w:pPr>
        <w:pStyle w:val="Heading2"/>
        <w:rPr>
          <w:lang w:val="en-AU"/>
        </w:rPr>
      </w:pPr>
      <w:r w:rsidRPr="00D83FD5">
        <w:rPr>
          <w:lang w:val="en-AU"/>
        </w:rPr>
        <w:t xml:space="preserve">Nature and contents of container </w:t>
      </w:r>
    </w:p>
    <w:p w14:paraId="53055BD8" w14:textId="21D0F6D2" w:rsidR="004A25CE" w:rsidRPr="00D83FD5" w:rsidRDefault="007825A2" w:rsidP="004A25CE">
      <w:pPr>
        <w:rPr>
          <w:color w:val="auto"/>
          <w:lang w:val="en-AU"/>
        </w:rPr>
      </w:pPr>
      <w:r w:rsidRPr="00D83FD5">
        <w:rPr>
          <w:lang w:val="en-AU"/>
        </w:rPr>
        <w:t>Fluzone High-Dose</w:t>
      </w:r>
      <w:r>
        <w:rPr>
          <w:lang w:val="en-AU"/>
        </w:rPr>
        <w:t xml:space="preserve"> </w:t>
      </w:r>
      <w:r w:rsidRPr="008D21D2">
        <w:rPr>
          <w:color w:val="auto"/>
          <w:lang w:val="en-AU"/>
        </w:rPr>
        <w:t>Quadrivalent</w:t>
      </w:r>
      <w:r w:rsidRPr="00D83FD5">
        <w:rPr>
          <w:lang w:val="en-AU"/>
        </w:rPr>
        <w:t xml:space="preserve"> </w:t>
      </w:r>
      <w:r w:rsidR="004A25CE" w:rsidRPr="00D83FD5">
        <w:rPr>
          <w:color w:val="auto"/>
          <w:lang w:val="en-AU"/>
        </w:rPr>
        <w:t>is available as a 0.</w:t>
      </w:r>
      <w:r w:rsidR="00187766" w:rsidRPr="00D83FD5">
        <w:rPr>
          <w:color w:val="auto"/>
          <w:lang w:val="en-AU"/>
        </w:rPr>
        <w:t>7</w:t>
      </w:r>
      <w:r w:rsidR="004A25CE" w:rsidRPr="00D83FD5">
        <w:rPr>
          <w:color w:val="auto"/>
          <w:lang w:val="en-AU"/>
        </w:rPr>
        <w:t> mL single-dose, pre-filled syringe without needle. Packs of 5 or 10 syringes</w:t>
      </w:r>
      <w:r w:rsidR="00985ED6" w:rsidRPr="00D83FD5">
        <w:rPr>
          <w:color w:val="auto"/>
          <w:lang w:val="en-AU"/>
        </w:rPr>
        <w:t>*</w:t>
      </w:r>
      <w:r w:rsidR="004A25CE" w:rsidRPr="00D83FD5">
        <w:rPr>
          <w:color w:val="auto"/>
          <w:lang w:val="en-AU"/>
        </w:rPr>
        <w:t>.</w:t>
      </w:r>
    </w:p>
    <w:p w14:paraId="6F3CCD60" w14:textId="3F269749" w:rsidR="00985ED6" w:rsidRPr="00D83FD5" w:rsidRDefault="00985ED6" w:rsidP="00985ED6">
      <w:pPr>
        <w:rPr>
          <w:color w:val="auto"/>
          <w:lang w:val="en-AU"/>
        </w:rPr>
      </w:pPr>
      <w:r w:rsidRPr="00D83FD5">
        <w:rPr>
          <w:color w:val="auto"/>
          <w:lang w:val="en-AU"/>
        </w:rPr>
        <w:t>*Not all pack sizes are marketed</w:t>
      </w:r>
    </w:p>
    <w:p w14:paraId="538A1698" w14:textId="77777777" w:rsidR="001A3992" w:rsidRPr="00D83FD5" w:rsidRDefault="001A3992" w:rsidP="00C879F2">
      <w:pPr>
        <w:pStyle w:val="Heading2"/>
        <w:rPr>
          <w:lang w:val="en-AU"/>
        </w:rPr>
      </w:pPr>
      <w:r w:rsidRPr="00D83FD5">
        <w:rPr>
          <w:lang w:val="en-AU"/>
        </w:rPr>
        <w:t xml:space="preserve">Special precautions for disposal </w:t>
      </w:r>
    </w:p>
    <w:p w14:paraId="7391B77B" w14:textId="77777777" w:rsidR="00B75236" w:rsidRPr="00D83FD5" w:rsidRDefault="00B75236" w:rsidP="00C432CB">
      <w:pPr>
        <w:rPr>
          <w:noProof/>
          <w:color w:val="auto"/>
          <w:szCs w:val="16"/>
          <w:lang w:val="en-AU"/>
        </w:rPr>
      </w:pPr>
      <w:r w:rsidRPr="00D83FD5">
        <w:rPr>
          <w:noProof/>
          <w:color w:val="auto"/>
          <w:szCs w:val="16"/>
          <w:lang w:val="en-AU"/>
        </w:rPr>
        <w:t>After use, any remaining vaccine and container must be disposed of safely, according to locally acceptable procedures.</w:t>
      </w:r>
    </w:p>
    <w:p w14:paraId="3838E9F6" w14:textId="77777777" w:rsidR="001A3992" w:rsidRPr="00D83FD5" w:rsidRDefault="001A3992" w:rsidP="00C879F2">
      <w:pPr>
        <w:pStyle w:val="Heading1"/>
        <w:pageBreakBefore w:val="0"/>
        <w:rPr>
          <w:lang w:val="en-AU"/>
        </w:rPr>
      </w:pPr>
      <w:r w:rsidRPr="00D83FD5">
        <w:rPr>
          <w:lang w:val="en-AU"/>
        </w:rPr>
        <w:t>Medicine schedule (Poisons Standard)</w:t>
      </w:r>
    </w:p>
    <w:p w14:paraId="7A745B01" w14:textId="77777777" w:rsidR="009124A6" w:rsidRPr="00D83FD5" w:rsidRDefault="009124A6" w:rsidP="009124A6">
      <w:pPr>
        <w:ind w:left="567" w:hanging="567"/>
        <w:rPr>
          <w:noProof/>
          <w:color w:val="auto"/>
          <w:lang w:val="en-AU"/>
        </w:rPr>
      </w:pPr>
      <w:r w:rsidRPr="00D83FD5">
        <w:rPr>
          <w:noProof/>
          <w:color w:val="auto"/>
          <w:lang w:val="en-AU"/>
        </w:rPr>
        <w:t>S4 Prescription Only Medicine</w:t>
      </w:r>
    </w:p>
    <w:p w14:paraId="5CD430FE" w14:textId="77777777" w:rsidR="001A3992" w:rsidRPr="00D83FD5" w:rsidRDefault="001A3992" w:rsidP="00C879F2">
      <w:pPr>
        <w:pStyle w:val="Heading1"/>
        <w:pageBreakBefore w:val="0"/>
        <w:rPr>
          <w:lang w:val="en-AU"/>
        </w:rPr>
      </w:pPr>
      <w:r w:rsidRPr="00D83FD5">
        <w:rPr>
          <w:lang w:val="en-AU"/>
        </w:rPr>
        <w:t>Sponsor</w:t>
      </w:r>
    </w:p>
    <w:p w14:paraId="53687563" w14:textId="77777777" w:rsidR="009124A6" w:rsidRPr="00D83FD5" w:rsidRDefault="009124A6" w:rsidP="00C879F2">
      <w:pPr>
        <w:rPr>
          <w:lang w:val="en-AU"/>
        </w:rPr>
      </w:pPr>
      <w:proofErr w:type="spellStart"/>
      <w:r w:rsidRPr="00D83FD5">
        <w:rPr>
          <w:b/>
          <w:lang w:val="en-AU"/>
        </w:rPr>
        <w:t>sanofi-aventis</w:t>
      </w:r>
      <w:proofErr w:type="spellEnd"/>
      <w:r w:rsidRPr="00D83FD5">
        <w:rPr>
          <w:b/>
          <w:lang w:val="en-AU"/>
        </w:rPr>
        <w:t xml:space="preserve"> </w:t>
      </w:r>
      <w:proofErr w:type="spellStart"/>
      <w:r w:rsidRPr="00D83FD5">
        <w:rPr>
          <w:b/>
          <w:lang w:val="en-AU"/>
        </w:rPr>
        <w:t>australia</w:t>
      </w:r>
      <w:proofErr w:type="spellEnd"/>
      <w:r w:rsidRPr="00D83FD5">
        <w:rPr>
          <w:b/>
          <w:lang w:val="en-AU"/>
        </w:rPr>
        <w:t xml:space="preserve"> </w:t>
      </w:r>
      <w:proofErr w:type="spellStart"/>
      <w:r w:rsidRPr="00D83FD5">
        <w:rPr>
          <w:b/>
          <w:lang w:val="en-AU"/>
        </w:rPr>
        <w:t>pty</w:t>
      </w:r>
      <w:proofErr w:type="spellEnd"/>
      <w:r w:rsidRPr="00D83FD5">
        <w:rPr>
          <w:b/>
          <w:lang w:val="en-AU"/>
        </w:rPr>
        <w:t xml:space="preserve"> ltd</w:t>
      </w:r>
      <w:r w:rsidRPr="00D83FD5">
        <w:rPr>
          <w:lang w:val="en-AU"/>
        </w:rPr>
        <w:br/>
        <w:t>Talavera Corporate Centre – Building D</w:t>
      </w:r>
      <w:r w:rsidRPr="00D83FD5">
        <w:rPr>
          <w:lang w:val="en-AU"/>
        </w:rPr>
        <w:br/>
      </w:r>
      <w:r w:rsidRPr="00D83FD5">
        <w:rPr>
          <w:lang w:val="en-AU"/>
        </w:rPr>
        <w:lastRenderedPageBreak/>
        <w:t>12-24 Talavera Road</w:t>
      </w:r>
      <w:r w:rsidRPr="00D83FD5">
        <w:rPr>
          <w:lang w:val="en-AU"/>
        </w:rPr>
        <w:br/>
        <w:t>Macquarie Park NSW 2113</w:t>
      </w:r>
      <w:r w:rsidRPr="00D83FD5">
        <w:rPr>
          <w:lang w:val="en-AU"/>
        </w:rPr>
        <w:br/>
        <w:t>Australia</w:t>
      </w:r>
    </w:p>
    <w:p w14:paraId="696C2D21" w14:textId="77777777" w:rsidR="009124A6" w:rsidRPr="00D83FD5" w:rsidRDefault="009124A6" w:rsidP="00C879F2">
      <w:pPr>
        <w:rPr>
          <w:lang w:val="en-AU"/>
        </w:rPr>
      </w:pPr>
      <w:r w:rsidRPr="00D83FD5">
        <w:rPr>
          <w:lang w:val="en-AU"/>
        </w:rPr>
        <w:t>Tel: 1800 818 806</w:t>
      </w:r>
    </w:p>
    <w:p w14:paraId="760C46D7" w14:textId="4963DA1A" w:rsidR="00C879F2" w:rsidRDefault="001A3992" w:rsidP="00C879F2">
      <w:pPr>
        <w:pStyle w:val="Heading1"/>
        <w:pageBreakBefore w:val="0"/>
        <w:rPr>
          <w:lang w:val="en-AU"/>
        </w:rPr>
      </w:pPr>
      <w:r w:rsidRPr="00D83FD5">
        <w:rPr>
          <w:lang w:val="en-AU"/>
        </w:rPr>
        <w:t xml:space="preserve">Date of first approval </w:t>
      </w:r>
    </w:p>
    <w:p w14:paraId="16B2E78C" w14:textId="7E5D8404" w:rsidR="009C4641" w:rsidRPr="009C4641" w:rsidRDefault="009C4641" w:rsidP="009C4641">
      <w:pPr>
        <w:rPr>
          <w:lang w:val="en-AU"/>
        </w:rPr>
      </w:pPr>
      <w:r>
        <w:rPr>
          <w:lang w:val="en-AU"/>
        </w:rPr>
        <w:t>31 July 2020</w:t>
      </w:r>
    </w:p>
    <w:p w14:paraId="2B99C5B1" w14:textId="77777777" w:rsidR="001A3992" w:rsidRPr="00D83FD5" w:rsidRDefault="001A3992" w:rsidP="00C879F2">
      <w:pPr>
        <w:pStyle w:val="Heading1"/>
        <w:pageBreakBefore w:val="0"/>
        <w:rPr>
          <w:lang w:val="en-AU"/>
        </w:rPr>
      </w:pPr>
      <w:r w:rsidRPr="00D83FD5">
        <w:rPr>
          <w:lang w:val="en-AU"/>
        </w:rPr>
        <w:t xml:space="preserve">Date of revision </w:t>
      </w:r>
    </w:p>
    <w:p w14:paraId="6DD891F8" w14:textId="492E506D" w:rsidR="003D237B" w:rsidRPr="00D83FD5" w:rsidRDefault="003D237B" w:rsidP="00186FEC">
      <w:pPr>
        <w:tabs>
          <w:tab w:val="left" w:pos="2384"/>
        </w:tabs>
        <w:rPr>
          <w:color w:val="auto"/>
          <w:lang w:val="en-AU"/>
        </w:rPr>
      </w:pPr>
    </w:p>
    <w:p w14:paraId="2500889F" w14:textId="1C200267" w:rsidR="00186FEC" w:rsidRPr="00D83FD5" w:rsidRDefault="00186FEC" w:rsidP="00186FEC">
      <w:pPr>
        <w:tabs>
          <w:tab w:val="left" w:pos="2384"/>
        </w:tabs>
        <w:rPr>
          <w:strike/>
          <w:color w:val="auto"/>
          <w:lang w:val="en-AU"/>
        </w:rPr>
      </w:pPr>
      <w:r w:rsidRPr="00D83FD5">
        <w:rPr>
          <w:color w:val="auto"/>
          <w:lang w:val="en-AU"/>
        </w:rPr>
        <w:tab/>
      </w:r>
    </w:p>
    <w:p w14:paraId="4541CFCC" w14:textId="77777777" w:rsidR="001A3992" w:rsidRPr="00D83FD5" w:rsidRDefault="001A3992" w:rsidP="001A3992">
      <w:pPr>
        <w:pStyle w:val="Heading2"/>
        <w:numPr>
          <w:ilvl w:val="0"/>
          <w:numId w:val="0"/>
        </w:numPr>
        <w:spacing w:before="0" w:after="120"/>
        <w:rPr>
          <w:lang w:val="en-AU"/>
        </w:rPr>
      </w:pPr>
      <w:r w:rsidRPr="00D83FD5">
        <w:rPr>
          <w:lang w:val="en-AU"/>
        </w:rPr>
        <w:t>Summary table of changes</w:t>
      </w:r>
    </w:p>
    <w:tbl>
      <w:tblPr>
        <w:tblStyle w:val="LightGrid"/>
        <w:tblW w:w="9346" w:type="dxa"/>
        <w:tblCellMar>
          <w:top w:w="57" w:type="dxa"/>
          <w:bottom w:w="57" w:type="dxa"/>
        </w:tblCellMar>
        <w:tblLook w:val="06A0" w:firstRow="1" w:lastRow="0" w:firstColumn="1" w:lastColumn="0" w:noHBand="1" w:noVBand="1"/>
      </w:tblPr>
      <w:tblGrid>
        <w:gridCol w:w="1371"/>
        <w:gridCol w:w="7975"/>
      </w:tblGrid>
      <w:tr w:rsidR="00ED0937" w:rsidRPr="00B75236" w14:paraId="69DFA712" w14:textId="77777777" w:rsidTr="00FF3D2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08CD9D4E" w14:textId="77777777" w:rsidR="00ED0937" w:rsidRPr="00D83FD5" w:rsidRDefault="00ED0937" w:rsidP="00247822">
            <w:pPr>
              <w:rPr>
                <w:sz w:val="20"/>
                <w:lang w:val="en-AU"/>
              </w:rPr>
            </w:pPr>
            <w:r w:rsidRPr="00D83FD5">
              <w:rPr>
                <w:sz w:val="20"/>
                <w:lang w:val="en-AU"/>
              </w:rPr>
              <w:t>Section Changed</w:t>
            </w:r>
          </w:p>
        </w:tc>
        <w:tc>
          <w:tcPr>
            <w:tcW w:w="7975" w:type="dxa"/>
            <w:shd w:val="clear" w:color="auto" w:fill="F2F2F2" w:themeFill="background1" w:themeFillShade="F2"/>
            <w:vAlign w:val="center"/>
          </w:tcPr>
          <w:p w14:paraId="531864CB" w14:textId="77777777" w:rsidR="00ED0937" w:rsidRPr="00B75236" w:rsidRDefault="00ED0937" w:rsidP="00247822">
            <w:pPr>
              <w:cnfStyle w:val="100000000000" w:firstRow="1" w:lastRow="0" w:firstColumn="0" w:lastColumn="0" w:oddVBand="0" w:evenVBand="0" w:oddHBand="0" w:evenHBand="0" w:firstRowFirstColumn="0" w:firstRowLastColumn="0" w:lastRowFirstColumn="0" w:lastRowLastColumn="0"/>
              <w:rPr>
                <w:sz w:val="20"/>
                <w:lang w:val="en-AU"/>
              </w:rPr>
            </w:pPr>
            <w:r w:rsidRPr="00D83FD5">
              <w:rPr>
                <w:sz w:val="20"/>
                <w:lang w:val="en-AU"/>
              </w:rPr>
              <w:t>Summary of new information</w:t>
            </w:r>
          </w:p>
        </w:tc>
      </w:tr>
      <w:tr w:rsidR="00186FEC" w:rsidRPr="00B75236" w14:paraId="07D2D008" w14:textId="77777777" w:rsidTr="00FF3D27">
        <w:tc>
          <w:tcPr>
            <w:cnfStyle w:val="001000000000" w:firstRow="0" w:lastRow="0" w:firstColumn="1" w:lastColumn="0" w:oddVBand="0" w:evenVBand="0" w:oddHBand="0" w:evenHBand="0" w:firstRowFirstColumn="0" w:firstRowLastColumn="0" w:lastRowFirstColumn="0" w:lastRowLastColumn="0"/>
            <w:tcW w:w="1371" w:type="dxa"/>
            <w:vAlign w:val="center"/>
          </w:tcPr>
          <w:p w14:paraId="441949E3" w14:textId="4E479EE9" w:rsidR="00186FEC" w:rsidRPr="00B75236" w:rsidRDefault="00186FEC" w:rsidP="00FF3D27">
            <w:pPr>
              <w:spacing w:before="0"/>
              <w:rPr>
                <w:lang w:val="en-AU"/>
              </w:rPr>
            </w:pPr>
          </w:p>
        </w:tc>
        <w:tc>
          <w:tcPr>
            <w:tcW w:w="7975" w:type="dxa"/>
            <w:vAlign w:val="center"/>
          </w:tcPr>
          <w:p w14:paraId="193455F8" w14:textId="5F4752FD" w:rsidR="00186FEC" w:rsidRPr="00B75236" w:rsidRDefault="00186FEC" w:rsidP="00FF3D27">
            <w:pPr>
              <w:spacing w:before="0"/>
              <w:cnfStyle w:val="000000000000" w:firstRow="0" w:lastRow="0" w:firstColumn="0" w:lastColumn="0" w:oddVBand="0" w:evenVBand="0" w:oddHBand="0" w:evenHBand="0" w:firstRowFirstColumn="0" w:firstRowLastColumn="0" w:lastRowFirstColumn="0" w:lastRowLastColumn="0"/>
              <w:rPr>
                <w:lang w:val="en-AU"/>
              </w:rPr>
            </w:pPr>
          </w:p>
        </w:tc>
      </w:tr>
      <w:tr w:rsidR="00D45702" w:rsidRPr="00B75236" w14:paraId="0CF803B3" w14:textId="77777777" w:rsidTr="00FF3D27">
        <w:tc>
          <w:tcPr>
            <w:cnfStyle w:val="001000000000" w:firstRow="0" w:lastRow="0" w:firstColumn="1" w:lastColumn="0" w:oddVBand="0" w:evenVBand="0" w:oddHBand="0" w:evenHBand="0" w:firstRowFirstColumn="0" w:firstRowLastColumn="0" w:lastRowFirstColumn="0" w:lastRowLastColumn="0"/>
            <w:tcW w:w="1371" w:type="dxa"/>
            <w:vAlign w:val="center"/>
          </w:tcPr>
          <w:p w14:paraId="3D837A94" w14:textId="490E38C1" w:rsidR="00D45702" w:rsidRPr="00FF3D27" w:rsidRDefault="00D45702" w:rsidP="00FF3D27">
            <w:pPr>
              <w:spacing w:before="0"/>
              <w:rPr>
                <w:color w:val="auto"/>
                <w:lang w:val="en-AU"/>
              </w:rPr>
            </w:pPr>
          </w:p>
        </w:tc>
        <w:tc>
          <w:tcPr>
            <w:tcW w:w="7975" w:type="dxa"/>
            <w:vAlign w:val="center"/>
          </w:tcPr>
          <w:p w14:paraId="78025807" w14:textId="2CA82132" w:rsidR="00D45702" w:rsidRPr="00FF3D27" w:rsidRDefault="00D45702" w:rsidP="00FF3D27">
            <w:pPr>
              <w:spacing w:before="0"/>
              <w:cnfStyle w:val="000000000000" w:firstRow="0" w:lastRow="0" w:firstColumn="0" w:lastColumn="0" w:oddVBand="0" w:evenVBand="0" w:oddHBand="0" w:evenHBand="0" w:firstRowFirstColumn="0" w:firstRowLastColumn="0" w:lastRowFirstColumn="0" w:lastRowLastColumn="0"/>
              <w:rPr>
                <w:color w:val="auto"/>
                <w:lang w:val="en-AU"/>
              </w:rPr>
            </w:pPr>
          </w:p>
        </w:tc>
      </w:tr>
      <w:tr w:rsidR="00186FEC" w:rsidRPr="00B75236" w14:paraId="2876B238" w14:textId="77777777" w:rsidTr="00FF3D27">
        <w:tc>
          <w:tcPr>
            <w:cnfStyle w:val="001000000000" w:firstRow="0" w:lastRow="0" w:firstColumn="1" w:lastColumn="0" w:oddVBand="0" w:evenVBand="0" w:oddHBand="0" w:evenHBand="0" w:firstRowFirstColumn="0" w:firstRowLastColumn="0" w:lastRowFirstColumn="0" w:lastRowLastColumn="0"/>
            <w:tcW w:w="1371" w:type="dxa"/>
            <w:vAlign w:val="center"/>
          </w:tcPr>
          <w:p w14:paraId="1D39C70B" w14:textId="51E416E1" w:rsidR="00186FEC" w:rsidRPr="00FF3D27" w:rsidRDefault="00186FEC" w:rsidP="00FF3D27">
            <w:pPr>
              <w:spacing w:before="0"/>
              <w:rPr>
                <w:color w:val="auto"/>
                <w:lang w:val="en-AU"/>
              </w:rPr>
            </w:pPr>
          </w:p>
        </w:tc>
        <w:tc>
          <w:tcPr>
            <w:tcW w:w="7975" w:type="dxa"/>
            <w:vAlign w:val="center"/>
          </w:tcPr>
          <w:p w14:paraId="4C95C36B" w14:textId="41A429CB" w:rsidR="00186FEC" w:rsidRPr="00FF3D27" w:rsidRDefault="00186FEC" w:rsidP="00FF3D27">
            <w:pPr>
              <w:spacing w:before="0"/>
              <w:cnfStyle w:val="000000000000" w:firstRow="0" w:lastRow="0" w:firstColumn="0" w:lastColumn="0" w:oddVBand="0" w:evenVBand="0" w:oddHBand="0" w:evenHBand="0" w:firstRowFirstColumn="0" w:firstRowLastColumn="0" w:lastRowFirstColumn="0" w:lastRowLastColumn="0"/>
              <w:rPr>
                <w:color w:val="auto"/>
                <w:lang w:val="en-AU"/>
              </w:rPr>
            </w:pPr>
          </w:p>
        </w:tc>
      </w:tr>
      <w:tr w:rsidR="00D45702" w:rsidRPr="00B75236" w14:paraId="78419261" w14:textId="77777777" w:rsidTr="00FF3D27">
        <w:trPr>
          <w:trHeight w:val="222"/>
        </w:trPr>
        <w:tc>
          <w:tcPr>
            <w:cnfStyle w:val="001000000000" w:firstRow="0" w:lastRow="0" w:firstColumn="1" w:lastColumn="0" w:oddVBand="0" w:evenVBand="0" w:oddHBand="0" w:evenHBand="0" w:firstRowFirstColumn="0" w:firstRowLastColumn="0" w:lastRowFirstColumn="0" w:lastRowLastColumn="0"/>
            <w:tcW w:w="1371" w:type="dxa"/>
            <w:vAlign w:val="center"/>
          </w:tcPr>
          <w:p w14:paraId="21B2A6F2" w14:textId="7EFDF166" w:rsidR="00D45702" w:rsidRPr="00FF3D27" w:rsidRDefault="00D45702" w:rsidP="00FF3D27">
            <w:pPr>
              <w:spacing w:before="0"/>
              <w:rPr>
                <w:color w:val="auto"/>
                <w:lang w:val="en-AU"/>
              </w:rPr>
            </w:pPr>
          </w:p>
        </w:tc>
        <w:tc>
          <w:tcPr>
            <w:tcW w:w="7975" w:type="dxa"/>
            <w:vAlign w:val="center"/>
          </w:tcPr>
          <w:p w14:paraId="5DBB5F3D" w14:textId="364E902D" w:rsidR="00D45702" w:rsidRPr="00FF3D27" w:rsidRDefault="00D45702" w:rsidP="00FF3D27">
            <w:pPr>
              <w:spacing w:before="0"/>
              <w:cnfStyle w:val="000000000000" w:firstRow="0" w:lastRow="0" w:firstColumn="0" w:lastColumn="0" w:oddVBand="0" w:evenVBand="0" w:oddHBand="0" w:evenHBand="0" w:firstRowFirstColumn="0" w:firstRowLastColumn="0" w:lastRowFirstColumn="0" w:lastRowLastColumn="0"/>
              <w:rPr>
                <w:color w:val="auto"/>
                <w:lang w:val="en-AU"/>
              </w:rPr>
            </w:pPr>
          </w:p>
        </w:tc>
      </w:tr>
    </w:tbl>
    <w:p w14:paraId="4C4FCCA8" w14:textId="77777777" w:rsidR="00960CD5" w:rsidRPr="00B75236" w:rsidRDefault="00960CD5" w:rsidP="00FF3D27">
      <w:pPr>
        <w:spacing w:after="120"/>
        <w:rPr>
          <w:lang w:val="en-AU"/>
        </w:rPr>
      </w:pPr>
    </w:p>
    <w:sectPr w:rsidR="00960CD5" w:rsidRPr="00B752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5D657" w14:textId="77777777" w:rsidR="000D1B52" w:rsidRDefault="000D1B52" w:rsidP="001A3992">
      <w:r>
        <w:separator/>
      </w:r>
    </w:p>
  </w:endnote>
  <w:endnote w:type="continuationSeparator" w:id="0">
    <w:p w14:paraId="302C8B84" w14:textId="77777777" w:rsidR="000D1B52" w:rsidRDefault="000D1B52"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FC65" w14:textId="77777777" w:rsidR="002021BB" w:rsidRDefault="00202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512756"/>
      <w:docPartObj>
        <w:docPartGallery w:val="Page Numbers (Bottom of Page)"/>
        <w:docPartUnique/>
      </w:docPartObj>
    </w:sdtPr>
    <w:sdtEndPr>
      <w:rPr>
        <w:noProof/>
      </w:rPr>
    </w:sdtEndPr>
    <w:sdtContent>
      <w:p w14:paraId="68B96B6F" w14:textId="5FDE8182" w:rsidR="000D1B52" w:rsidRDefault="000D1B52">
        <w:pPr>
          <w:pStyle w:val="Footer"/>
          <w:jc w:val="right"/>
        </w:pPr>
        <w:r>
          <w:fldChar w:fldCharType="begin"/>
        </w:r>
        <w:r>
          <w:instrText xml:space="preserve"> PAGE   \* MERGEFORMAT </w:instrText>
        </w:r>
        <w:r>
          <w:fldChar w:fldCharType="separate"/>
        </w:r>
        <w:r w:rsidR="00F96E40">
          <w:rPr>
            <w:noProof/>
          </w:rPr>
          <w:t>16</w:t>
        </w:r>
        <w:r>
          <w:rPr>
            <w:noProof/>
          </w:rPr>
          <w:fldChar w:fldCharType="end"/>
        </w:r>
      </w:p>
    </w:sdtContent>
  </w:sdt>
  <w:p w14:paraId="2C5B7278" w14:textId="5A8A5FCB" w:rsidR="000D1B52" w:rsidRPr="00D45702" w:rsidRDefault="000D1B52" w:rsidP="002568A6">
    <w:pPr>
      <w:pStyle w:val="Footer"/>
    </w:pPr>
    <w:r>
      <w:t>fluz-hd-</w:t>
    </w:r>
    <w:r w:rsidR="00E97407">
      <w:t>qiv-</w:t>
    </w:r>
    <w:r w:rsidRPr="00FF3D27">
      <w:t>ccdsv</w:t>
    </w:r>
    <w:r>
      <w:t>2</w:t>
    </w:r>
    <w:r w:rsidRPr="00FF3D27">
      <w:t>-piv</w:t>
    </w:r>
    <w:r>
      <w:t>1</w:t>
    </w:r>
    <w:r w:rsidRPr="00FF3D27">
      <w:t>-</w:t>
    </w:r>
    <w:r w:rsidR="009C4641">
      <w:t>31</w:t>
    </w:r>
    <w:r w:rsidR="00C02C21">
      <w:t>jul</w:t>
    </w:r>
    <w:r w:rsidR="000F103C">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0428" w14:textId="77777777" w:rsidR="002021BB" w:rsidRDefault="00202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FC85B" w14:textId="77777777" w:rsidR="000D1B52" w:rsidRDefault="000D1B52" w:rsidP="001A3992">
      <w:r>
        <w:separator/>
      </w:r>
    </w:p>
  </w:footnote>
  <w:footnote w:type="continuationSeparator" w:id="0">
    <w:p w14:paraId="57851196" w14:textId="77777777" w:rsidR="000D1B52" w:rsidRDefault="000D1B52"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52736" w14:textId="77777777" w:rsidR="002021BB" w:rsidRDefault="00202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472"/>
    </w:tblGrid>
    <w:tr w:rsidR="00F96E40" w:rsidRPr="000B2145" w14:paraId="327C5BB9" w14:textId="77777777" w:rsidTr="00455E7B">
      <w:trPr>
        <w:trHeight w:val="590"/>
      </w:trPr>
      <w:tc>
        <w:tcPr>
          <w:tcW w:w="8472" w:type="dxa"/>
          <w:shd w:val="clear" w:color="auto" w:fill="E4F2E0"/>
        </w:tcPr>
        <w:p w14:paraId="3541A5A4" w14:textId="77777777" w:rsidR="00F96E40" w:rsidRPr="000B2145" w:rsidRDefault="00F96E40" w:rsidP="00F96E40">
          <w:pPr>
            <w:pStyle w:val="Footer"/>
            <w:rPr>
              <w:b/>
              <w:szCs w:val="18"/>
            </w:rPr>
          </w:pPr>
          <w:r w:rsidRPr="00EA0C3C">
            <w:rPr>
              <w:b/>
              <w:szCs w:val="18"/>
            </w:rPr>
            <w:t>Attachment 1:</w:t>
          </w:r>
          <w:r>
            <w:t xml:space="preserve"> </w:t>
          </w:r>
          <w:r w:rsidRPr="00C4466F">
            <w:rPr>
              <w:b/>
            </w:rPr>
            <w:t>AusPAR – Fluzone High-Dose Quadrivalent inactivated quadrivalent influenza vaccine (split virion) influenza virus haemagglutinin Sanofi-Aventis Australia Pty Ltd Submission PM-2019-03202-1-2</w:t>
          </w:r>
          <w:r>
            <w:rPr>
              <w:b/>
            </w:rPr>
            <w:t xml:space="preserve"> </w:t>
          </w:r>
          <w:r w:rsidRPr="00C4466F">
            <w:rPr>
              <w:b/>
            </w:rPr>
            <w:t>FINAL 27 November 2020</w:t>
          </w:r>
          <w:r w:rsidRPr="00114D9B">
            <w:rPr>
              <w:b/>
              <w:szCs w:val="18"/>
            </w:rPr>
            <w:t>.</w:t>
          </w:r>
          <w:r>
            <w:rPr>
              <w:b/>
              <w:szCs w:val="18"/>
            </w:rPr>
            <w:t xml:space="preserve"> </w:t>
          </w:r>
          <w:r w:rsidRPr="000B2145">
            <w:rPr>
              <w:b/>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Cs w:val="18"/>
              </w:rPr>
              <w:t>https://www.tga.gov.au/product-information-pi</w:t>
            </w:r>
          </w:hyperlink>
          <w:r w:rsidRPr="000B2145">
            <w:rPr>
              <w:b/>
              <w:szCs w:val="18"/>
              <w:u w:val="single"/>
            </w:rPr>
            <w:t>&gt;</w:t>
          </w:r>
        </w:p>
      </w:tc>
    </w:tr>
  </w:tbl>
  <w:p w14:paraId="27F5D3E3" w14:textId="77777777" w:rsidR="002021BB" w:rsidRDefault="00202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0853D" w14:textId="77777777" w:rsidR="002021BB" w:rsidRDefault="00202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06B9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33F3E"/>
    <w:multiLevelType w:val="hybridMultilevel"/>
    <w:tmpl w:val="60B8F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9362E"/>
    <w:multiLevelType w:val="singleLevel"/>
    <w:tmpl w:val="F424A534"/>
    <w:lvl w:ilvl="0">
      <w:start w:val="1"/>
      <w:numFmt w:val="bullet"/>
      <w:pStyle w:val="ListBullet3"/>
      <w:lvlText w:val=""/>
      <w:lvlJc w:val="left"/>
      <w:pPr>
        <w:tabs>
          <w:tab w:val="num" w:pos="360"/>
        </w:tabs>
        <w:ind w:left="216" w:hanging="216"/>
      </w:pPr>
      <w:rPr>
        <w:rFonts w:ascii="Symbol" w:hAnsi="Symbol"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268D4"/>
    <w:multiLevelType w:val="multilevel"/>
    <w:tmpl w:val="1C843A7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5" w15:restartNumberingAfterBreak="0">
    <w:nsid w:val="0E563DE3"/>
    <w:multiLevelType w:val="multilevel"/>
    <w:tmpl w:val="EA961A4C"/>
    <w:lvl w:ilvl="0">
      <w:start w:val="1"/>
      <w:numFmt w:val="lowerLetter"/>
      <w:lvlRestart w:val="0"/>
      <w:pStyle w:val="ListBulletLevel1"/>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6" w15:restartNumberingAfterBreak="0">
    <w:nsid w:val="105406C6"/>
    <w:multiLevelType w:val="hybridMultilevel"/>
    <w:tmpl w:val="094604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641A1F"/>
    <w:multiLevelType w:val="hybridMultilevel"/>
    <w:tmpl w:val="8CD0A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41614"/>
    <w:multiLevelType w:val="multilevel"/>
    <w:tmpl w:val="56767712"/>
    <w:lvl w:ilvl="0">
      <w:start w:val="1"/>
      <w:numFmt w:val="decimal"/>
      <w:lvlRestart w:val="0"/>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0" w15:restartNumberingAfterBreak="0">
    <w:nsid w:val="24435439"/>
    <w:multiLevelType w:val="hybridMultilevel"/>
    <w:tmpl w:val="D23AB816"/>
    <w:lvl w:ilvl="0" w:tplc="0C090001">
      <w:start w:val="1"/>
      <w:numFmt w:val="bullet"/>
      <w:pStyle w:val="TblText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4D086B"/>
    <w:multiLevelType w:val="multilevel"/>
    <w:tmpl w:val="98FEE14A"/>
    <w:lvl w:ilvl="0">
      <w:start w:val="1"/>
      <w:numFmt w:val="upperLetter"/>
      <w:lvlRestart w:val="0"/>
      <w:pStyle w:val="Heading1NoNumbering"/>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2"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3" w15:restartNumberingAfterBreak="0">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7486C"/>
    <w:multiLevelType w:val="hybridMultilevel"/>
    <w:tmpl w:val="3CD2B960"/>
    <w:name w:val="LT_Heading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00060F"/>
    <w:multiLevelType w:val="hybridMultilevel"/>
    <w:tmpl w:val="5BD0BEDE"/>
    <w:lvl w:ilvl="0" w:tplc="D4F07E74">
      <w:start w:val="1"/>
      <w:numFmt w:val="bullet"/>
      <w:lvlText w:val="o"/>
      <w:lvlJc w:val="left"/>
      <w:pPr>
        <w:tabs>
          <w:tab w:val="num" w:pos="720"/>
        </w:tabs>
        <w:ind w:left="720" w:hanging="360"/>
      </w:pPr>
      <w:rPr>
        <w:rFonts w:ascii="Courier New" w:hAnsi="Courier New" w:cs="Times New Roman" w:hint="default"/>
      </w:rPr>
    </w:lvl>
    <w:lvl w:ilvl="1" w:tplc="9222A836">
      <w:start w:val="1"/>
      <w:numFmt w:val="bullet"/>
      <w:lvlText w:val="o"/>
      <w:lvlJc w:val="left"/>
      <w:pPr>
        <w:tabs>
          <w:tab w:val="num" w:pos="1440"/>
        </w:tabs>
        <w:ind w:left="1440" w:hanging="360"/>
      </w:pPr>
      <w:rPr>
        <w:rFonts w:ascii="Courier New" w:hAnsi="Courier New" w:cs="Times New Roman" w:hint="default"/>
      </w:rPr>
    </w:lvl>
    <w:lvl w:ilvl="2" w:tplc="D2F8FF46">
      <w:start w:val="1"/>
      <w:numFmt w:val="bullet"/>
      <w:lvlText w:val="o"/>
      <w:lvlJc w:val="left"/>
      <w:pPr>
        <w:tabs>
          <w:tab w:val="num" w:pos="2160"/>
        </w:tabs>
        <w:ind w:left="2160" w:hanging="360"/>
      </w:pPr>
      <w:rPr>
        <w:rFonts w:ascii="Courier New" w:hAnsi="Courier New" w:cs="Times New Roman" w:hint="default"/>
      </w:rPr>
    </w:lvl>
    <w:lvl w:ilvl="3" w:tplc="B00E9FD8">
      <w:start w:val="1"/>
      <w:numFmt w:val="bullet"/>
      <w:lvlText w:val="o"/>
      <w:lvlJc w:val="left"/>
      <w:pPr>
        <w:tabs>
          <w:tab w:val="num" w:pos="2880"/>
        </w:tabs>
        <w:ind w:left="2880" w:hanging="360"/>
      </w:pPr>
      <w:rPr>
        <w:rFonts w:ascii="Courier New" w:hAnsi="Courier New" w:cs="Times New Roman" w:hint="default"/>
      </w:rPr>
    </w:lvl>
    <w:lvl w:ilvl="4" w:tplc="8824505E">
      <w:start w:val="1"/>
      <w:numFmt w:val="bullet"/>
      <w:lvlText w:val="o"/>
      <w:lvlJc w:val="left"/>
      <w:pPr>
        <w:tabs>
          <w:tab w:val="num" w:pos="3600"/>
        </w:tabs>
        <w:ind w:left="3600" w:hanging="360"/>
      </w:pPr>
      <w:rPr>
        <w:rFonts w:ascii="Courier New" w:hAnsi="Courier New" w:cs="Times New Roman" w:hint="default"/>
      </w:rPr>
    </w:lvl>
    <w:lvl w:ilvl="5" w:tplc="81BA4DA8">
      <w:start w:val="1"/>
      <w:numFmt w:val="bullet"/>
      <w:lvlText w:val="o"/>
      <w:lvlJc w:val="left"/>
      <w:pPr>
        <w:tabs>
          <w:tab w:val="num" w:pos="4320"/>
        </w:tabs>
        <w:ind w:left="4320" w:hanging="360"/>
      </w:pPr>
      <w:rPr>
        <w:rFonts w:ascii="Courier New" w:hAnsi="Courier New" w:cs="Times New Roman" w:hint="default"/>
      </w:rPr>
    </w:lvl>
    <w:lvl w:ilvl="6" w:tplc="9CB09F90">
      <w:start w:val="1"/>
      <w:numFmt w:val="bullet"/>
      <w:lvlText w:val="o"/>
      <w:lvlJc w:val="left"/>
      <w:pPr>
        <w:tabs>
          <w:tab w:val="num" w:pos="5040"/>
        </w:tabs>
        <w:ind w:left="5040" w:hanging="360"/>
      </w:pPr>
      <w:rPr>
        <w:rFonts w:ascii="Courier New" w:hAnsi="Courier New" w:cs="Times New Roman" w:hint="default"/>
      </w:rPr>
    </w:lvl>
    <w:lvl w:ilvl="7" w:tplc="EC2024B4">
      <w:start w:val="1"/>
      <w:numFmt w:val="bullet"/>
      <w:lvlText w:val="o"/>
      <w:lvlJc w:val="left"/>
      <w:pPr>
        <w:tabs>
          <w:tab w:val="num" w:pos="5760"/>
        </w:tabs>
        <w:ind w:left="5760" w:hanging="360"/>
      </w:pPr>
      <w:rPr>
        <w:rFonts w:ascii="Courier New" w:hAnsi="Courier New" w:cs="Times New Roman" w:hint="default"/>
      </w:rPr>
    </w:lvl>
    <w:lvl w:ilvl="8" w:tplc="647C6DE8">
      <w:start w:val="1"/>
      <w:numFmt w:val="bullet"/>
      <w:lvlText w:val="o"/>
      <w:lvlJc w:val="left"/>
      <w:pPr>
        <w:tabs>
          <w:tab w:val="num" w:pos="6480"/>
        </w:tabs>
        <w:ind w:left="6480" w:hanging="360"/>
      </w:pPr>
      <w:rPr>
        <w:rFonts w:ascii="Courier New" w:hAnsi="Courier New" w:cs="Times New Roman" w:hint="default"/>
      </w:rPr>
    </w:lvl>
  </w:abstractNum>
  <w:abstractNum w:abstractNumId="16" w15:restartNumberingAfterBreak="0">
    <w:nsid w:val="532E62B4"/>
    <w:multiLevelType w:val="hybridMultilevel"/>
    <w:tmpl w:val="BDC843EA"/>
    <w:lvl w:ilvl="0" w:tplc="0C090001">
      <w:start w:val="1"/>
      <w:numFmt w:val="bullet"/>
      <w:lvlText w:val=""/>
      <w:lvlJc w:val="left"/>
      <w:pPr>
        <w:tabs>
          <w:tab w:val="num" w:pos="720"/>
        </w:tabs>
        <w:ind w:left="720" w:hanging="360"/>
      </w:pPr>
      <w:rPr>
        <w:rFonts w:ascii="Symbol" w:hAnsi="Symbol" w:hint="default"/>
      </w:rPr>
    </w:lvl>
    <w:lvl w:ilvl="1" w:tplc="9222A836">
      <w:start w:val="1"/>
      <w:numFmt w:val="bullet"/>
      <w:lvlText w:val="o"/>
      <w:lvlJc w:val="left"/>
      <w:pPr>
        <w:tabs>
          <w:tab w:val="num" w:pos="1440"/>
        </w:tabs>
        <w:ind w:left="1440" w:hanging="360"/>
      </w:pPr>
      <w:rPr>
        <w:rFonts w:ascii="Courier New" w:hAnsi="Courier New" w:cs="Times New Roman" w:hint="default"/>
      </w:rPr>
    </w:lvl>
    <w:lvl w:ilvl="2" w:tplc="D2F8FF46">
      <w:start w:val="1"/>
      <w:numFmt w:val="bullet"/>
      <w:lvlText w:val="o"/>
      <w:lvlJc w:val="left"/>
      <w:pPr>
        <w:tabs>
          <w:tab w:val="num" w:pos="2160"/>
        </w:tabs>
        <w:ind w:left="2160" w:hanging="360"/>
      </w:pPr>
      <w:rPr>
        <w:rFonts w:ascii="Courier New" w:hAnsi="Courier New" w:cs="Times New Roman" w:hint="default"/>
      </w:rPr>
    </w:lvl>
    <w:lvl w:ilvl="3" w:tplc="B00E9FD8">
      <w:start w:val="1"/>
      <w:numFmt w:val="bullet"/>
      <w:lvlText w:val="o"/>
      <w:lvlJc w:val="left"/>
      <w:pPr>
        <w:tabs>
          <w:tab w:val="num" w:pos="2880"/>
        </w:tabs>
        <w:ind w:left="2880" w:hanging="360"/>
      </w:pPr>
      <w:rPr>
        <w:rFonts w:ascii="Courier New" w:hAnsi="Courier New" w:cs="Times New Roman" w:hint="default"/>
      </w:rPr>
    </w:lvl>
    <w:lvl w:ilvl="4" w:tplc="8824505E">
      <w:start w:val="1"/>
      <w:numFmt w:val="bullet"/>
      <w:lvlText w:val="o"/>
      <w:lvlJc w:val="left"/>
      <w:pPr>
        <w:tabs>
          <w:tab w:val="num" w:pos="3600"/>
        </w:tabs>
        <w:ind w:left="3600" w:hanging="360"/>
      </w:pPr>
      <w:rPr>
        <w:rFonts w:ascii="Courier New" w:hAnsi="Courier New" w:cs="Times New Roman" w:hint="default"/>
      </w:rPr>
    </w:lvl>
    <w:lvl w:ilvl="5" w:tplc="81BA4DA8">
      <w:start w:val="1"/>
      <w:numFmt w:val="bullet"/>
      <w:lvlText w:val="o"/>
      <w:lvlJc w:val="left"/>
      <w:pPr>
        <w:tabs>
          <w:tab w:val="num" w:pos="4320"/>
        </w:tabs>
        <w:ind w:left="4320" w:hanging="360"/>
      </w:pPr>
      <w:rPr>
        <w:rFonts w:ascii="Courier New" w:hAnsi="Courier New" w:cs="Times New Roman" w:hint="default"/>
      </w:rPr>
    </w:lvl>
    <w:lvl w:ilvl="6" w:tplc="9CB09F90">
      <w:start w:val="1"/>
      <w:numFmt w:val="bullet"/>
      <w:lvlText w:val="o"/>
      <w:lvlJc w:val="left"/>
      <w:pPr>
        <w:tabs>
          <w:tab w:val="num" w:pos="5040"/>
        </w:tabs>
        <w:ind w:left="5040" w:hanging="360"/>
      </w:pPr>
      <w:rPr>
        <w:rFonts w:ascii="Courier New" w:hAnsi="Courier New" w:cs="Times New Roman" w:hint="default"/>
      </w:rPr>
    </w:lvl>
    <w:lvl w:ilvl="7" w:tplc="EC2024B4">
      <w:start w:val="1"/>
      <w:numFmt w:val="bullet"/>
      <w:lvlText w:val="o"/>
      <w:lvlJc w:val="left"/>
      <w:pPr>
        <w:tabs>
          <w:tab w:val="num" w:pos="5760"/>
        </w:tabs>
        <w:ind w:left="5760" w:hanging="360"/>
      </w:pPr>
      <w:rPr>
        <w:rFonts w:ascii="Courier New" w:hAnsi="Courier New" w:cs="Times New Roman" w:hint="default"/>
      </w:rPr>
    </w:lvl>
    <w:lvl w:ilvl="8" w:tplc="647C6DE8">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57507084"/>
    <w:multiLevelType w:val="hybridMultilevel"/>
    <w:tmpl w:val="B916056E"/>
    <w:lvl w:ilvl="0" w:tplc="0C090001">
      <w:start w:val="1"/>
      <w:numFmt w:val="bullet"/>
      <w:pStyle w:val="List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36D5B"/>
    <w:multiLevelType w:val="hybridMultilevel"/>
    <w:tmpl w:val="2A767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5A375B4"/>
    <w:multiLevelType w:val="hybridMultilevel"/>
    <w:tmpl w:val="6C9C2566"/>
    <w:lvl w:ilvl="0" w:tplc="90EAEE8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1CE414F"/>
    <w:multiLevelType w:val="hybridMultilevel"/>
    <w:tmpl w:val="99F61858"/>
    <w:lvl w:ilvl="0" w:tplc="ED465E0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613446"/>
    <w:multiLevelType w:val="hybridMultilevel"/>
    <w:tmpl w:val="D384F4F4"/>
    <w:lvl w:ilvl="0" w:tplc="0C090001">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615D1E"/>
    <w:multiLevelType w:val="hybridMultilevel"/>
    <w:tmpl w:val="3EBE891E"/>
    <w:lvl w:ilvl="0" w:tplc="C8D89F6A">
      <w:start w:val="1"/>
      <w:numFmt w:val="bullet"/>
      <w:lvlText w:val="•"/>
      <w:lvlJc w:val="left"/>
      <w:pPr>
        <w:tabs>
          <w:tab w:val="num" w:pos="720"/>
        </w:tabs>
        <w:ind w:left="720" w:hanging="360"/>
      </w:pPr>
      <w:rPr>
        <w:rFonts w:ascii="Arial" w:hAnsi="Arial" w:cs="Times New Roman" w:hint="default"/>
      </w:rPr>
    </w:lvl>
    <w:lvl w:ilvl="1" w:tplc="46988172">
      <w:start w:val="1"/>
      <w:numFmt w:val="bullet"/>
      <w:lvlText w:val="•"/>
      <w:lvlJc w:val="left"/>
      <w:pPr>
        <w:tabs>
          <w:tab w:val="num" w:pos="1440"/>
        </w:tabs>
        <w:ind w:left="1440" w:hanging="360"/>
      </w:pPr>
      <w:rPr>
        <w:rFonts w:ascii="Arial" w:hAnsi="Arial" w:cs="Times New Roman" w:hint="default"/>
      </w:rPr>
    </w:lvl>
    <w:lvl w:ilvl="2" w:tplc="6896DA9C">
      <w:start w:val="1"/>
      <w:numFmt w:val="bullet"/>
      <w:lvlText w:val="•"/>
      <w:lvlJc w:val="left"/>
      <w:pPr>
        <w:tabs>
          <w:tab w:val="num" w:pos="2160"/>
        </w:tabs>
        <w:ind w:left="2160" w:hanging="360"/>
      </w:pPr>
      <w:rPr>
        <w:rFonts w:ascii="Arial" w:hAnsi="Arial" w:cs="Times New Roman" w:hint="default"/>
      </w:rPr>
    </w:lvl>
    <w:lvl w:ilvl="3" w:tplc="5094C7E8">
      <w:start w:val="1"/>
      <w:numFmt w:val="bullet"/>
      <w:lvlText w:val="•"/>
      <w:lvlJc w:val="left"/>
      <w:pPr>
        <w:tabs>
          <w:tab w:val="num" w:pos="2880"/>
        </w:tabs>
        <w:ind w:left="2880" w:hanging="360"/>
      </w:pPr>
      <w:rPr>
        <w:rFonts w:ascii="Arial" w:hAnsi="Arial" w:cs="Times New Roman" w:hint="default"/>
      </w:rPr>
    </w:lvl>
    <w:lvl w:ilvl="4" w:tplc="CB52B730">
      <w:start w:val="1"/>
      <w:numFmt w:val="bullet"/>
      <w:lvlText w:val="•"/>
      <w:lvlJc w:val="left"/>
      <w:pPr>
        <w:tabs>
          <w:tab w:val="num" w:pos="3600"/>
        </w:tabs>
        <w:ind w:left="3600" w:hanging="360"/>
      </w:pPr>
      <w:rPr>
        <w:rFonts w:ascii="Arial" w:hAnsi="Arial" w:cs="Times New Roman" w:hint="default"/>
      </w:rPr>
    </w:lvl>
    <w:lvl w:ilvl="5" w:tplc="5AD2C2AC">
      <w:start w:val="1"/>
      <w:numFmt w:val="bullet"/>
      <w:lvlText w:val="•"/>
      <w:lvlJc w:val="left"/>
      <w:pPr>
        <w:tabs>
          <w:tab w:val="num" w:pos="4320"/>
        </w:tabs>
        <w:ind w:left="4320" w:hanging="360"/>
      </w:pPr>
      <w:rPr>
        <w:rFonts w:ascii="Arial" w:hAnsi="Arial" w:cs="Times New Roman" w:hint="default"/>
      </w:rPr>
    </w:lvl>
    <w:lvl w:ilvl="6" w:tplc="B8064A2E">
      <w:start w:val="1"/>
      <w:numFmt w:val="bullet"/>
      <w:lvlText w:val="•"/>
      <w:lvlJc w:val="left"/>
      <w:pPr>
        <w:tabs>
          <w:tab w:val="num" w:pos="5040"/>
        </w:tabs>
        <w:ind w:left="5040" w:hanging="360"/>
      </w:pPr>
      <w:rPr>
        <w:rFonts w:ascii="Arial" w:hAnsi="Arial" w:cs="Times New Roman" w:hint="default"/>
      </w:rPr>
    </w:lvl>
    <w:lvl w:ilvl="7" w:tplc="191A4FD8">
      <w:start w:val="1"/>
      <w:numFmt w:val="bullet"/>
      <w:lvlText w:val="•"/>
      <w:lvlJc w:val="left"/>
      <w:pPr>
        <w:tabs>
          <w:tab w:val="num" w:pos="5760"/>
        </w:tabs>
        <w:ind w:left="5760" w:hanging="360"/>
      </w:pPr>
      <w:rPr>
        <w:rFonts w:ascii="Arial" w:hAnsi="Arial" w:cs="Times New Roman" w:hint="default"/>
      </w:rPr>
    </w:lvl>
    <w:lvl w:ilvl="8" w:tplc="6A746642">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30" w15:restartNumberingAfterBreak="0">
    <w:nsid w:val="7FB401D6"/>
    <w:multiLevelType w:val="hybridMultilevel"/>
    <w:tmpl w:val="270C463E"/>
    <w:lvl w:ilvl="0" w:tplc="0C090001">
      <w:start w:val="1"/>
      <w:numFmt w:val="bullet"/>
      <w:pStyle w:val="ListAlphabeticalLevel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
  </w:num>
  <w:num w:numId="4">
    <w:abstractNumId w:val="17"/>
  </w:num>
  <w:num w:numId="5">
    <w:abstractNumId w:val="30"/>
  </w:num>
  <w:num w:numId="6">
    <w:abstractNumId w:val="26"/>
  </w:num>
  <w:num w:numId="7">
    <w:abstractNumId w:val="23"/>
  </w:num>
  <w:num w:numId="8">
    <w:abstractNumId w:val="27"/>
  </w:num>
  <w:num w:numId="9">
    <w:abstractNumId w:val="10"/>
  </w:num>
  <w:num w:numId="10">
    <w:abstractNumId w:val="22"/>
  </w:num>
  <w:num w:numId="11">
    <w:abstractNumId w:val="8"/>
  </w:num>
  <w:num w:numId="12">
    <w:abstractNumId w:val="7"/>
  </w:num>
  <w:num w:numId="13">
    <w:abstractNumId w:val="20"/>
  </w:num>
  <w:num w:numId="14">
    <w:abstractNumId w:val="11"/>
  </w:num>
  <w:num w:numId="15">
    <w:abstractNumId w:val="9"/>
  </w:num>
  <w:num w:numId="16">
    <w:abstractNumId w:val="5"/>
  </w:num>
  <w:num w:numId="17">
    <w:abstractNumId w:val="0"/>
  </w:num>
  <w:num w:numId="18">
    <w:abstractNumId w:val="29"/>
  </w:num>
  <w:num w:numId="19">
    <w:abstractNumId w:val="12"/>
  </w:num>
  <w:num w:numId="20">
    <w:abstractNumId w:val="25"/>
  </w:num>
  <w:num w:numId="21">
    <w:abstractNumId w:val="13"/>
  </w:num>
  <w:num w:numId="22">
    <w:abstractNumId w:val="18"/>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19"/>
  </w:num>
  <w:num w:numId="40">
    <w:abstractNumId w:val="4"/>
  </w:num>
  <w:num w:numId="41">
    <w:abstractNumId w:val="4"/>
  </w:num>
  <w:num w:numId="42">
    <w:abstractNumId w:val="6"/>
  </w:num>
  <w:num w:numId="43">
    <w:abstractNumId w:val="21"/>
  </w:num>
  <w:num w:numId="44">
    <w:abstractNumId w:val="2"/>
  </w:num>
  <w:num w:numId="45">
    <w:abstractNumId w:val="4"/>
  </w:num>
  <w:num w:numId="46">
    <w:abstractNumId w:val="14"/>
  </w:num>
  <w:num w:numId="47">
    <w:abstractNumId w:val="28"/>
  </w:num>
  <w:num w:numId="48">
    <w:abstractNumId w:val="15"/>
  </w:num>
  <w:num w:numId="49">
    <w:abstractNumId w:val="1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151D7"/>
    <w:rsid w:val="000561E0"/>
    <w:rsid w:val="00057513"/>
    <w:rsid w:val="00095196"/>
    <w:rsid w:val="000A2687"/>
    <w:rsid w:val="000D1B52"/>
    <w:rsid w:val="000D7AEF"/>
    <w:rsid w:val="000E7C70"/>
    <w:rsid w:val="000F103C"/>
    <w:rsid w:val="000F2B43"/>
    <w:rsid w:val="0010586F"/>
    <w:rsid w:val="0016592E"/>
    <w:rsid w:val="001675AE"/>
    <w:rsid w:val="00173722"/>
    <w:rsid w:val="00186FEC"/>
    <w:rsid w:val="00187766"/>
    <w:rsid w:val="001947A1"/>
    <w:rsid w:val="0019771C"/>
    <w:rsid w:val="001A3992"/>
    <w:rsid w:val="001A3BFF"/>
    <w:rsid w:val="001D4344"/>
    <w:rsid w:val="001D7C5B"/>
    <w:rsid w:val="001E3592"/>
    <w:rsid w:val="001F2977"/>
    <w:rsid w:val="002021BB"/>
    <w:rsid w:val="002303F8"/>
    <w:rsid w:val="00247822"/>
    <w:rsid w:val="002568A6"/>
    <w:rsid w:val="002750DC"/>
    <w:rsid w:val="0029700E"/>
    <w:rsid w:val="002B68BB"/>
    <w:rsid w:val="002D4608"/>
    <w:rsid w:val="002E034C"/>
    <w:rsid w:val="002E277D"/>
    <w:rsid w:val="00301744"/>
    <w:rsid w:val="0031074E"/>
    <w:rsid w:val="00371F6C"/>
    <w:rsid w:val="003B5A36"/>
    <w:rsid w:val="003C6D34"/>
    <w:rsid w:val="003D237B"/>
    <w:rsid w:val="003D509E"/>
    <w:rsid w:val="003E04A5"/>
    <w:rsid w:val="003E0E5C"/>
    <w:rsid w:val="003F1346"/>
    <w:rsid w:val="003F23E8"/>
    <w:rsid w:val="004032BD"/>
    <w:rsid w:val="00431ACD"/>
    <w:rsid w:val="00436A7E"/>
    <w:rsid w:val="004A25CE"/>
    <w:rsid w:val="004A4A9B"/>
    <w:rsid w:val="004D2EA8"/>
    <w:rsid w:val="004D6D6F"/>
    <w:rsid w:val="00512BA0"/>
    <w:rsid w:val="0056499C"/>
    <w:rsid w:val="005971E1"/>
    <w:rsid w:val="005B2B28"/>
    <w:rsid w:val="005E1DD4"/>
    <w:rsid w:val="00607171"/>
    <w:rsid w:val="00613CBF"/>
    <w:rsid w:val="006141F2"/>
    <w:rsid w:val="00623C61"/>
    <w:rsid w:val="0065421A"/>
    <w:rsid w:val="00655DE3"/>
    <w:rsid w:val="006A2EBE"/>
    <w:rsid w:val="006B725B"/>
    <w:rsid w:val="006E7B6C"/>
    <w:rsid w:val="00706436"/>
    <w:rsid w:val="00717967"/>
    <w:rsid w:val="00721DB6"/>
    <w:rsid w:val="0073657F"/>
    <w:rsid w:val="007371A8"/>
    <w:rsid w:val="00767DCA"/>
    <w:rsid w:val="007825A2"/>
    <w:rsid w:val="00790EE6"/>
    <w:rsid w:val="007A5158"/>
    <w:rsid w:val="007B75F7"/>
    <w:rsid w:val="007F5866"/>
    <w:rsid w:val="00813598"/>
    <w:rsid w:val="00820D3F"/>
    <w:rsid w:val="008457B2"/>
    <w:rsid w:val="0085086F"/>
    <w:rsid w:val="008527C7"/>
    <w:rsid w:val="00857806"/>
    <w:rsid w:val="00880FDE"/>
    <w:rsid w:val="00881C1D"/>
    <w:rsid w:val="008D21D2"/>
    <w:rsid w:val="009124A6"/>
    <w:rsid w:val="00916D3A"/>
    <w:rsid w:val="00927B08"/>
    <w:rsid w:val="00947ED4"/>
    <w:rsid w:val="00955620"/>
    <w:rsid w:val="00960CD5"/>
    <w:rsid w:val="009662DF"/>
    <w:rsid w:val="00985ED6"/>
    <w:rsid w:val="009C4641"/>
    <w:rsid w:val="009C7296"/>
    <w:rsid w:val="00A12790"/>
    <w:rsid w:val="00A274AD"/>
    <w:rsid w:val="00A50F74"/>
    <w:rsid w:val="00A54452"/>
    <w:rsid w:val="00A54B0D"/>
    <w:rsid w:val="00A7735B"/>
    <w:rsid w:val="00AB0108"/>
    <w:rsid w:val="00AB5690"/>
    <w:rsid w:val="00AC5099"/>
    <w:rsid w:val="00AF090E"/>
    <w:rsid w:val="00B33F3C"/>
    <w:rsid w:val="00B56B8B"/>
    <w:rsid w:val="00B71AC3"/>
    <w:rsid w:val="00B75236"/>
    <w:rsid w:val="00B80316"/>
    <w:rsid w:val="00B8454F"/>
    <w:rsid w:val="00B9572F"/>
    <w:rsid w:val="00BA3986"/>
    <w:rsid w:val="00BC2B9D"/>
    <w:rsid w:val="00BE01C6"/>
    <w:rsid w:val="00C02C21"/>
    <w:rsid w:val="00C11F5E"/>
    <w:rsid w:val="00C32652"/>
    <w:rsid w:val="00C432CB"/>
    <w:rsid w:val="00C611FB"/>
    <w:rsid w:val="00C7395F"/>
    <w:rsid w:val="00C879F2"/>
    <w:rsid w:val="00C90473"/>
    <w:rsid w:val="00C93F5F"/>
    <w:rsid w:val="00CA5C63"/>
    <w:rsid w:val="00CA6CCF"/>
    <w:rsid w:val="00CB257A"/>
    <w:rsid w:val="00CB33DF"/>
    <w:rsid w:val="00CD1B22"/>
    <w:rsid w:val="00CD52E2"/>
    <w:rsid w:val="00CE4B4A"/>
    <w:rsid w:val="00D22F49"/>
    <w:rsid w:val="00D25662"/>
    <w:rsid w:val="00D44BA0"/>
    <w:rsid w:val="00D45702"/>
    <w:rsid w:val="00D83FD5"/>
    <w:rsid w:val="00D85F93"/>
    <w:rsid w:val="00D91E97"/>
    <w:rsid w:val="00DA5FC8"/>
    <w:rsid w:val="00DB6ECA"/>
    <w:rsid w:val="00DE2528"/>
    <w:rsid w:val="00DE6FA3"/>
    <w:rsid w:val="00DF5E99"/>
    <w:rsid w:val="00E05084"/>
    <w:rsid w:val="00E21CA4"/>
    <w:rsid w:val="00E23BC3"/>
    <w:rsid w:val="00E259C1"/>
    <w:rsid w:val="00E25EA6"/>
    <w:rsid w:val="00E74A56"/>
    <w:rsid w:val="00E97407"/>
    <w:rsid w:val="00ED0937"/>
    <w:rsid w:val="00EE534E"/>
    <w:rsid w:val="00F033B3"/>
    <w:rsid w:val="00F27464"/>
    <w:rsid w:val="00F3266C"/>
    <w:rsid w:val="00F46852"/>
    <w:rsid w:val="00F540D8"/>
    <w:rsid w:val="00F75FC4"/>
    <w:rsid w:val="00F83CEF"/>
    <w:rsid w:val="00F96E40"/>
    <w:rsid w:val="00FB23E5"/>
    <w:rsid w:val="00FB60E8"/>
    <w:rsid w:val="00FC292F"/>
    <w:rsid w:val="00FF0777"/>
    <w:rsid w:val="00FF3D2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2D149B8"/>
  <w15:docId w15:val="{893DD065-C4C9-47B3-8BD8-AB5316E7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9F2"/>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CE4B4A"/>
    <w:pPr>
      <w:keepNext/>
      <w:pageBreakBefore/>
      <w:numPr>
        <w:numId w:val="23"/>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CE4B4A"/>
    <w:pPr>
      <w:pageBreakBefore w:val="0"/>
      <w:numPr>
        <w:ilvl w:val="1"/>
      </w:numPr>
      <w:outlineLvl w:val="1"/>
    </w:pPr>
    <w:rPr>
      <w:bCs w:val="0"/>
      <w:iCs/>
      <w:sz w:val="22"/>
      <w:szCs w:val="28"/>
    </w:rPr>
  </w:style>
  <w:style w:type="paragraph" w:styleId="Heading3">
    <w:name w:val="heading 3"/>
    <w:basedOn w:val="Heading1"/>
    <w:next w:val="Normal"/>
    <w:link w:val="Heading3Char"/>
    <w:qFormat/>
    <w:rsid w:val="00CE4B4A"/>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CE4B4A"/>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CE4B4A"/>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CE4B4A"/>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CE4B4A"/>
    <w:pPr>
      <w:numPr>
        <w:ilvl w:val="6"/>
      </w:numPr>
      <w:outlineLvl w:val="6"/>
    </w:pPr>
  </w:style>
  <w:style w:type="paragraph" w:styleId="Heading8">
    <w:name w:val="heading 8"/>
    <w:basedOn w:val="Heading6"/>
    <w:next w:val="Normal"/>
    <w:link w:val="Heading8Char"/>
    <w:qFormat/>
    <w:rsid w:val="00CE4B4A"/>
    <w:pPr>
      <w:numPr>
        <w:ilvl w:val="7"/>
      </w:numPr>
      <w:outlineLvl w:val="7"/>
    </w:pPr>
    <w:rPr>
      <w:iCs/>
    </w:rPr>
  </w:style>
  <w:style w:type="paragraph" w:styleId="Heading9">
    <w:name w:val="heading 9"/>
    <w:basedOn w:val="Heading6"/>
    <w:next w:val="Normal"/>
    <w:link w:val="Heading9Char"/>
    <w:qFormat/>
    <w:rsid w:val="00CE4B4A"/>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1A3992"/>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1A3992"/>
    <w:rPr>
      <w:rFonts w:ascii="Arial" w:eastAsia="MS Gothic" w:hAnsi="Arial" w:cs="Arial"/>
      <w:b/>
      <w:kern w:val="32"/>
      <w:szCs w:val="26"/>
      <w:lang w:val="en-US"/>
    </w:rPr>
  </w:style>
  <w:style w:type="character" w:customStyle="1" w:styleId="Heading4Char">
    <w:name w:val="Heading 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basedOn w:val="DefaultParagraphFont"/>
    <w:link w:val="Heading6"/>
    <w:rsid w:val="001A3992"/>
    <w:rPr>
      <w:rFonts w:ascii="Arial" w:eastAsia="MS Gothic" w:hAnsi="Arial" w:cs="Arial"/>
      <w:kern w:val="32"/>
      <w:lang w:val="en-US"/>
    </w:rPr>
  </w:style>
  <w:style w:type="character" w:customStyle="1" w:styleId="Heading7Char">
    <w:name w:val="Heading 7 Char"/>
    <w:basedOn w:val="DefaultParagraphFont"/>
    <w:link w:val="Heading7"/>
    <w:rsid w:val="001A3992"/>
    <w:rPr>
      <w:rFonts w:ascii="Arial" w:eastAsia="MS Gothic" w:hAnsi="Arial" w:cs="Arial"/>
      <w:kern w:val="32"/>
      <w:lang w:val="en-US"/>
    </w:rPr>
  </w:style>
  <w:style w:type="character" w:customStyle="1" w:styleId="Heading8Char">
    <w:name w:val="Heading 8 Char"/>
    <w:basedOn w:val="DefaultParagraphFont"/>
    <w:link w:val="Heading8"/>
    <w:rsid w:val="001A3992"/>
    <w:rPr>
      <w:rFonts w:ascii="Arial" w:eastAsia="MS Gothic" w:hAnsi="Arial" w:cs="Arial"/>
      <w:iCs/>
      <w:kern w:val="32"/>
      <w:lang w:val="en-US"/>
    </w:rPr>
  </w:style>
  <w:style w:type="character" w:customStyle="1" w:styleId="Heading9Char">
    <w:name w:val="Heading 9 Char"/>
    <w:basedOn w:val="DefaultParagraphFont"/>
    <w:link w:val="Heading9"/>
    <w:rsid w:val="001A3992"/>
    <w:rPr>
      <w:rFonts w:ascii="Arial" w:eastAsia="MS Gothic" w:hAnsi="Arial" w:cs="Arial"/>
      <w:kern w:val="32"/>
      <w:lang w:val="en-US"/>
    </w:rPr>
  </w:style>
  <w:style w:type="paragraph" w:styleId="ListParagraph">
    <w:name w:val="List Paragraph"/>
    <w:basedOn w:val="Normal"/>
    <w:uiPriority w:val="99"/>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aliases w:val="wcp_Footnote,Footnote_Bas Page"/>
    <w:basedOn w:val="Normal"/>
    <w:link w:val="FootnoteTextChar"/>
    <w:rsid w:val="00C879F2"/>
    <w:pPr>
      <w:spacing w:before="20"/>
      <w:ind w:left="113" w:hanging="113"/>
    </w:pPr>
    <w:rPr>
      <w:sz w:val="22"/>
      <w:szCs w:val="20"/>
    </w:rPr>
  </w:style>
  <w:style w:type="character" w:customStyle="1" w:styleId="FootnoteTextChar">
    <w:name w:val="Footnote Text Char"/>
    <w:aliases w:val="wcp_Footnote Char,Footnote_Bas Page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aliases w:val="wcpc_FootnoteMark"/>
    <w:rsid w:val="00C879F2"/>
    <w:rPr>
      <w:rFonts w:ascii="Times New Roman" w:eastAsia="MS Mincho" w:hAnsi="Times New Roman"/>
      <w:color w:val="0000FF"/>
      <w:sz w:val="18"/>
      <w:vertAlign w:val="superscript"/>
    </w:rPr>
  </w:style>
  <w:style w:type="paragraph" w:styleId="ListBullet">
    <w:name w:val="List Bullet"/>
    <w:basedOn w:val="Normal"/>
    <w:rsid w:val="00C879F2"/>
    <w:pPr>
      <w:numPr>
        <w:numId w:val="6"/>
      </w:numPr>
    </w:pPr>
  </w:style>
  <w:style w:type="character" w:styleId="Hyperlink">
    <w:name w:val="Hyperlink"/>
    <w:uiPriority w:val="99"/>
    <w:rsid w:val="00C879F2"/>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C879F2"/>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rsid w:val="00C879F2"/>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rsid w:val="00CA6CCF"/>
    <w:rPr>
      <w:rFonts w:ascii="Arial" w:eastAsia="MS Gothic" w:hAnsi="Arial" w:cs="Times New Roman"/>
      <w:sz w:val="18"/>
      <w:szCs w:val="20"/>
      <w:lang w:val="en-US"/>
    </w:rPr>
  </w:style>
  <w:style w:type="paragraph" w:styleId="Caption">
    <w:name w:val="caption"/>
    <w:aliases w:val="wcp_Caption,Légende_Legend,Legend_Légende"/>
    <w:next w:val="Normal"/>
    <w:link w:val="CaptionChar"/>
    <w:qFormat/>
    <w:rsid w:val="00C879F2"/>
    <w:pPr>
      <w:keepNext/>
      <w:spacing w:before="360" w:after="120" w:line="240" w:lineRule="auto"/>
      <w:jc w:val="center"/>
    </w:pPr>
    <w:rPr>
      <w:rFonts w:ascii="Arial" w:eastAsia="MS Gothic" w:hAnsi="Arial" w:cs="Arial"/>
      <w:b/>
      <w:bCs/>
      <w:sz w:val="20"/>
      <w:szCs w:val="20"/>
      <w:lang w:val="en-US"/>
    </w:rPr>
  </w:style>
  <w:style w:type="paragraph" w:customStyle="1" w:styleId="TblTextCenter">
    <w:name w:val="Tbl Text Center"/>
    <w:basedOn w:val="TblTextLeft"/>
    <w:rsid w:val="00C879F2"/>
    <w:pPr>
      <w:jc w:val="center"/>
    </w:pPr>
  </w:style>
  <w:style w:type="paragraph" w:customStyle="1" w:styleId="TblHeadingCenter">
    <w:name w:val="Tbl Heading Center"/>
    <w:basedOn w:val="TblHeadingLeft"/>
    <w:rsid w:val="00C879F2"/>
    <w:pPr>
      <w:jc w:val="center"/>
    </w:pPr>
  </w:style>
  <w:style w:type="character" w:customStyle="1" w:styleId="CaptionChar">
    <w:name w:val="Caption Char"/>
    <w:aliases w:val="wcp_Caption Char,Légende_Legend Char,Legend_Légende Char"/>
    <w:link w:val="Caption"/>
    <w:locked/>
    <w:rsid w:val="00BA3986"/>
    <w:rPr>
      <w:rFonts w:ascii="Arial" w:eastAsia="MS Gothic" w:hAnsi="Arial" w:cs="Arial"/>
      <w:b/>
      <w:bCs/>
      <w:sz w:val="20"/>
      <w:szCs w:val="20"/>
      <w:lang w:val="en-US"/>
    </w:rPr>
  </w:style>
  <w:style w:type="paragraph" w:customStyle="1" w:styleId="Default">
    <w:name w:val="Default"/>
    <w:rsid w:val="00B80316"/>
    <w:pPr>
      <w:autoSpaceDE w:val="0"/>
      <w:autoSpaceDN w:val="0"/>
      <w:adjustRightInd w:val="0"/>
      <w:spacing w:after="0" w:line="240" w:lineRule="auto"/>
    </w:pPr>
    <w:rPr>
      <w:rFonts w:ascii="Cambria" w:hAnsi="Cambria" w:cs="Cambria"/>
      <w:color w:val="000000"/>
      <w:sz w:val="24"/>
      <w:szCs w:val="24"/>
    </w:rPr>
  </w:style>
  <w:style w:type="paragraph" w:customStyle="1" w:styleId="TblFigFootnote">
    <w:name w:val="Tbl Fig Footnote"/>
    <w:rsid w:val="00C879F2"/>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wcpTablenote">
    <w:name w:val="wcp_Tablenote"/>
    <w:basedOn w:val="FootnoteText"/>
    <w:link w:val="wcpTablenoteChar"/>
    <w:rsid w:val="00B80316"/>
    <w:pPr>
      <w:spacing w:before="60"/>
      <w:ind w:left="850" w:hanging="850"/>
    </w:pPr>
    <w:rPr>
      <w:rFonts w:eastAsia="Times New Roman"/>
      <w:lang w:val="fr-FR"/>
    </w:rPr>
  </w:style>
  <w:style w:type="character" w:customStyle="1" w:styleId="wcpTablenoteChar">
    <w:name w:val="wcp_Tablenote Char"/>
    <w:link w:val="wcpTablenote"/>
    <w:locked/>
    <w:rsid w:val="00B80316"/>
    <w:rPr>
      <w:rFonts w:ascii="Times New Roman" w:eastAsia="Times New Roman" w:hAnsi="Times New Roman" w:cs="Times New Roman"/>
      <w:sz w:val="20"/>
      <w:szCs w:val="20"/>
      <w:lang w:val="fr-FR"/>
    </w:rPr>
  </w:style>
  <w:style w:type="paragraph" w:styleId="BodyText">
    <w:name w:val="Body Text"/>
    <w:basedOn w:val="Normal"/>
    <w:link w:val="BodyTextChar"/>
    <w:uiPriority w:val="99"/>
    <w:unhideWhenUsed/>
    <w:rsid w:val="00B80316"/>
    <w:pPr>
      <w:spacing w:before="120" w:after="60"/>
      <w:jc w:val="both"/>
    </w:pPr>
    <w:rPr>
      <w:rFonts w:eastAsia="Calibri"/>
    </w:rPr>
  </w:style>
  <w:style w:type="character" w:customStyle="1" w:styleId="BodyTextChar">
    <w:name w:val="Body Text Char"/>
    <w:basedOn w:val="DefaultParagraphFont"/>
    <w:link w:val="BodyText"/>
    <w:uiPriority w:val="99"/>
    <w:rsid w:val="00B80316"/>
    <w:rPr>
      <w:rFonts w:ascii="Times New Roman" w:eastAsia="Calibri" w:hAnsi="Times New Roman" w:cs="Times New Roman"/>
      <w:sz w:val="24"/>
      <w:szCs w:val="24"/>
      <w:lang w:val="en-US"/>
    </w:rPr>
  </w:style>
  <w:style w:type="paragraph" w:customStyle="1" w:styleId="cliRTF8">
    <w:name w:val="cli_RTF8"/>
    <w:basedOn w:val="Normal"/>
    <w:rsid w:val="00B80316"/>
    <w:rPr>
      <w:rFonts w:eastAsia="Calibri"/>
      <w:sz w:val="16"/>
      <w:szCs w:val="16"/>
    </w:rPr>
  </w:style>
  <w:style w:type="paragraph" w:customStyle="1" w:styleId="Heading1NoTOC">
    <w:name w:val="Heading 1 NoTOC"/>
    <w:basedOn w:val="Heading1"/>
    <w:rsid w:val="00C879F2"/>
    <w:pPr>
      <w:numPr>
        <w:numId w:val="0"/>
      </w:numPr>
      <w:outlineLvl w:val="9"/>
    </w:pPr>
  </w:style>
  <w:style w:type="paragraph" w:styleId="Title">
    <w:name w:val="Title"/>
    <w:next w:val="Normal"/>
    <w:link w:val="TitleChar"/>
    <w:qFormat/>
    <w:rsid w:val="00C879F2"/>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F83CEF"/>
    <w:rPr>
      <w:rFonts w:ascii="Arial" w:eastAsia="MS Gothic" w:hAnsi="Arial" w:cs="Arial"/>
      <w:b/>
      <w:bCs/>
      <w:caps/>
      <w:szCs w:val="32"/>
      <w:lang w:val="en-US"/>
    </w:rPr>
  </w:style>
  <w:style w:type="paragraph" w:customStyle="1" w:styleId="TitleNoToc">
    <w:name w:val="Title NoToc"/>
    <w:basedOn w:val="Title"/>
    <w:next w:val="Normal"/>
    <w:rsid w:val="00C879F2"/>
    <w:pPr>
      <w:outlineLvl w:val="9"/>
    </w:pPr>
  </w:style>
  <w:style w:type="character" w:customStyle="1" w:styleId="InstructionsTextChar">
    <w:name w:val="Instructions Text Char"/>
    <w:link w:val="InstructionsText"/>
    <w:rsid w:val="00C879F2"/>
    <w:rPr>
      <w:rFonts w:eastAsia="MS Mincho"/>
      <w:color w:val="000000"/>
      <w:sz w:val="24"/>
      <w:szCs w:val="24"/>
      <w:shd w:val="clear" w:color="auto" w:fill="FFCC66"/>
      <w:lang w:val="en-US"/>
    </w:rPr>
  </w:style>
  <w:style w:type="paragraph" w:customStyle="1" w:styleId="ListNumbered">
    <w:name w:val="List Numbered"/>
    <w:basedOn w:val="Normal"/>
    <w:rsid w:val="00C879F2"/>
    <w:pPr>
      <w:numPr>
        <w:numId w:val="4"/>
      </w:numPr>
      <w:spacing w:before="120"/>
    </w:pPr>
  </w:style>
  <w:style w:type="paragraph" w:customStyle="1" w:styleId="ListBulletLevel1">
    <w:name w:val="List Bullet Level 1"/>
    <w:basedOn w:val="Normal"/>
    <w:rsid w:val="00C879F2"/>
    <w:pPr>
      <w:numPr>
        <w:numId w:val="16"/>
      </w:numPr>
      <w:spacing w:before="120"/>
    </w:pPr>
  </w:style>
  <w:style w:type="paragraph" w:customStyle="1" w:styleId="ListAlphabeticalLevel1">
    <w:name w:val="List Alphabetical Level 1"/>
    <w:basedOn w:val="Normal"/>
    <w:rsid w:val="00C879F2"/>
    <w:pPr>
      <w:spacing w:before="120"/>
    </w:pPr>
  </w:style>
  <w:style w:type="paragraph" w:styleId="Bibliography">
    <w:name w:val="Bibliography"/>
    <w:basedOn w:val="Normal"/>
    <w:next w:val="Normal"/>
    <w:rsid w:val="00C879F2"/>
    <w:pPr>
      <w:ind w:left="357" w:hanging="357"/>
    </w:pPr>
  </w:style>
  <w:style w:type="paragraph" w:customStyle="1" w:styleId="ListBulletLevel2">
    <w:name w:val="List Bullet Level 2"/>
    <w:basedOn w:val="Normal"/>
    <w:rsid w:val="00C879F2"/>
    <w:pPr>
      <w:numPr>
        <w:numId w:val="8"/>
      </w:numPr>
      <w:spacing w:before="120"/>
    </w:pPr>
    <w:rPr>
      <w:szCs w:val="20"/>
    </w:rPr>
  </w:style>
  <w:style w:type="paragraph" w:customStyle="1" w:styleId="InstructionsText">
    <w:name w:val="Instructions Text"/>
    <w:basedOn w:val="Normal"/>
    <w:next w:val="Normal"/>
    <w:link w:val="InstructionsTextChar"/>
    <w:rsid w:val="00C879F2"/>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C879F2"/>
    <w:pPr>
      <w:numPr>
        <w:numId w:val="14"/>
      </w:numPr>
    </w:pPr>
  </w:style>
  <w:style w:type="paragraph" w:customStyle="1" w:styleId="TblTextLeft">
    <w:name w:val="Tbl Text Left"/>
    <w:rsid w:val="00C879F2"/>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C879F2"/>
    <w:pPr>
      <w:spacing w:before="60" w:after="60" w:line="240" w:lineRule="auto"/>
    </w:pPr>
    <w:rPr>
      <w:rFonts w:ascii="Arial" w:eastAsia="MS Gothic" w:hAnsi="Arial" w:cs="Arial"/>
      <w:b/>
      <w:noProof/>
      <w:sz w:val="20"/>
      <w:szCs w:val="20"/>
      <w:lang w:val="de-DE"/>
    </w:rPr>
  </w:style>
  <w:style w:type="paragraph" w:customStyle="1" w:styleId="HeaderLandscape">
    <w:name w:val="Header Landscape"/>
    <w:basedOn w:val="Header"/>
    <w:rsid w:val="00C879F2"/>
    <w:pPr>
      <w:tabs>
        <w:tab w:val="clear" w:pos="4536"/>
        <w:tab w:val="clear" w:pos="9480"/>
        <w:tab w:val="left" w:pos="6804"/>
        <w:tab w:val="right" w:pos="14118"/>
      </w:tabs>
    </w:pPr>
  </w:style>
  <w:style w:type="paragraph" w:customStyle="1" w:styleId="FooterLandscape">
    <w:name w:val="Footer Landscape"/>
    <w:basedOn w:val="Footer"/>
    <w:rsid w:val="00C879F2"/>
    <w:pPr>
      <w:tabs>
        <w:tab w:val="clear" w:pos="9469"/>
        <w:tab w:val="right" w:pos="14118"/>
      </w:tabs>
    </w:pPr>
  </w:style>
  <w:style w:type="character" w:customStyle="1" w:styleId="TblFigFootnoteReference">
    <w:name w:val="Tbl Fig Footnote Reference"/>
    <w:rsid w:val="00C879F2"/>
    <w:rPr>
      <w:rFonts w:ascii="Arial Narrow" w:eastAsia="MS Gothic" w:hAnsi="Arial Narrow"/>
      <w:i/>
      <w:dstrike w:val="0"/>
      <w:noProof w:val="0"/>
      <w:position w:val="6"/>
      <w:sz w:val="18"/>
      <w:vertAlign w:val="baseline"/>
      <w:lang w:val="en-US"/>
    </w:rPr>
  </w:style>
  <w:style w:type="paragraph" w:customStyle="1" w:styleId="xCover">
    <w:name w:val="xCover"/>
    <w:rsid w:val="00C879F2"/>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C879F2"/>
    <w:pPr>
      <w:spacing w:before="0"/>
    </w:pPr>
  </w:style>
  <w:style w:type="paragraph" w:customStyle="1" w:styleId="xCoverDocType">
    <w:name w:val="xCoverDocType"/>
    <w:basedOn w:val="xCover"/>
    <w:rsid w:val="00C879F2"/>
    <w:pPr>
      <w:spacing w:before="360"/>
      <w:jc w:val="center"/>
    </w:pPr>
    <w:rPr>
      <w:b/>
      <w:caps/>
      <w:sz w:val="28"/>
    </w:rPr>
  </w:style>
  <w:style w:type="paragraph" w:customStyle="1" w:styleId="xCoverDocTitle">
    <w:name w:val="xCoverDocTitle"/>
    <w:basedOn w:val="xCover"/>
    <w:rsid w:val="00C879F2"/>
    <w:pPr>
      <w:spacing w:before="240"/>
      <w:jc w:val="center"/>
    </w:pPr>
    <w:rPr>
      <w:b/>
      <w:sz w:val="24"/>
    </w:rPr>
  </w:style>
  <w:style w:type="paragraph" w:styleId="EndnoteText">
    <w:name w:val="endnote text"/>
    <w:basedOn w:val="Normal"/>
    <w:link w:val="EndnoteTextChar"/>
    <w:semiHidden/>
    <w:rsid w:val="00C879F2"/>
    <w:rPr>
      <w:sz w:val="22"/>
      <w:szCs w:val="20"/>
    </w:rPr>
  </w:style>
  <w:style w:type="character" w:customStyle="1" w:styleId="EndnoteTextChar">
    <w:name w:val="Endnote Text Char"/>
    <w:basedOn w:val="DefaultParagraphFont"/>
    <w:link w:val="EndnoteText"/>
    <w:semiHidden/>
    <w:rsid w:val="00F83CEF"/>
    <w:rPr>
      <w:rFonts w:ascii="Times New Roman" w:eastAsia="MS Mincho" w:hAnsi="Times New Roman" w:cs="Times New Roman"/>
      <w:color w:val="000000"/>
      <w:szCs w:val="20"/>
      <w:lang w:val="en-US"/>
    </w:rPr>
  </w:style>
  <w:style w:type="character" w:styleId="EndnoteReference">
    <w:name w:val="endnote reference"/>
    <w:aliases w:val="wcpc_EndnoteMark,Ref CAll_Appel Ref"/>
    <w:semiHidden/>
    <w:rsid w:val="00C879F2"/>
    <w:rPr>
      <w:vertAlign w:val="superscript"/>
    </w:rPr>
  </w:style>
  <w:style w:type="paragraph" w:styleId="MacroText">
    <w:name w:val="macro"/>
    <w:link w:val="MacroTextChar"/>
    <w:semiHidden/>
    <w:rsid w:val="00C879F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F83CEF"/>
    <w:rPr>
      <w:rFonts w:ascii="Courier New" w:eastAsia="Times New Roman" w:hAnsi="Courier New" w:cs="Times New Roman"/>
      <w:sz w:val="20"/>
      <w:szCs w:val="20"/>
      <w:lang w:val="en-US"/>
    </w:rPr>
  </w:style>
  <w:style w:type="paragraph" w:styleId="TableofFigures">
    <w:name w:val="table of figures"/>
    <w:next w:val="Normal"/>
    <w:semiHidden/>
    <w:rsid w:val="00C879F2"/>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C879F2"/>
    <w:pPr>
      <w:ind w:left="240" w:hanging="240"/>
    </w:pPr>
  </w:style>
  <w:style w:type="character" w:customStyle="1" w:styleId="ReplaceText">
    <w:name w:val="Replace Text"/>
    <w:rsid w:val="00C879F2"/>
    <w:rPr>
      <w:color w:val="FF00FF"/>
    </w:rPr>
  </w:style>
  <w:style w:type="paragraph" w:styleId="TOC1">
    <w:name w:val="toc 1"/>
    <w:next w:val="Normal"/>
    <w:uiPriority w:val="39"/>
    <w:rsid w:val="00C879F2"/>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C879F2"/>
    <w:pPr>
      <w:numPr>
        <w:numId w:val="5"/>
      </w:numPr>
    </w:pPr>
  </w:style>
  <w:style w:type="paragraph" w:styleId="Index1">
    <w:name w:val="index 1"/>
    <w:basedOn w:val="Normal"/>
    <w:next w:val="Normal"/>
    <w:semiHidden/>
    <w:rsid w:val="00C879F2"/>
    <w:pPr>
      <w:tabs>
        <w:tab w:val="left" w:pos="1701"/>
        <w:tab w:val="left" w:pos="3402"/>
        <w:tab w:val="left" w:pos="5103"/>
      </w:tabs>
      <w:spacing w:before="0"/>
      <w:ind w:left="1701" w:hanging="1701"/>
    </w:pPr>
  </w:style>
  <w:style w:type="paragraph" w:styleId="TOAHeading">
    <w:name w:val="toa heading"/>
    <w:basedOn w:val="Normal"/>
    <w:next w:val="Normal"/>
    <w:semiHidden/>
    <w:rsid w:val="00C879F2"/>
    <w:pPr>
      <w:spacing w:before="120"/>
    </w:pPr>
    <w:rPr>
      <w:rFonts w:ascii="Arial" w:hAnsi="Arial" w:cs="Arial"/>
      <w:b/>
      <w:bCs/>
    </w:rPr>
  </w:style>
  <w:style w:type="character" w:customStyle="1" w:styleId="Reference">
    <w:name w:val="Reference"/>
    <w:rsid w:val="00C879F2"/>
    <w:rPr>
      <w:color w:val="0000FF"/>
    </w:rPr>
  </w:style>
  <w:style w:type="paragraph" w:customStyle="1" w:styleId="TblTextbulletedlist">
    <w:name w:val="Tbl Text bulleted list"/>
    <w:basedOn w:val="TblTextLeft"/>
    <w:rsid w:val="00C879F2"/>
    <w:pPr>
      <w:numPr>
        <w:numId w:val="9"/>
      </w:numPr>
      <w:tabs>
        <w:tab w:val="left" w:pos="216"/>
      </w:tabs>
      <w:spacing w:before="0" w:after="0"/>
      <w:ind w:left="216" w:hanging="216"/>
    </w:pPr>
  </w:style>
  <w:style w:type="paragraph" w:styleId="TOC2">
    <w:name w:val="toc 2"/>
    <w:basedOn w:val="TOC1"/>
    <w:next w:val="Normal"/>
    <w:semiHidden/>
    <w:rsid w:val="00C879F2"/>
    <w:rPr>
      <w:b w:val="0"/>
    </w:rPr>
  </w:style>
  <w:style w:type="character" w:styleId="PageNumber">
    <w:name w:val="page number"/>
    <w:basedOn w:val="DefaultParagraphFont"/>
    <w:rsid w:val="00C879F2"/>
  </w:style>
  <w:style w:type="paragraph" w:styleId="TOC3">
    <w:name w:val="toc 3"/>
    <w:basedOn w:val="TOC1"/>
    <w:next w:val="Normal"/>
    <w:semiHidden/>
    <w:rsid w:val="00C879F2"/>
    <w:pPr>
      <w:spacing w:before="120"/>
    </w:pPr>
    <w:rPr>
      <w:b w:val="0"/>
      <w:caps w:val="0"/>
    </w:rPr>
  </w:style>
  <w:style w:type="paragraph" w:styleId="TOC4">
    <w:name w:val="toc 4"/>
    <w:basedOn w:val="TOC1"/>
    <w:next w:val="Normal"/>
    <w:semiHidden/>
    <w:rsid w:val="00C879F2"/>
    <w:pPr>
      <w:spacing w:before="40"/>
    </w:pPr>
    <w:rPr>
      <w:b w:val="0"/>
      <w:caps w:val="0"/>
      <w:szCs w:val="22"/>
    </w:rPr>
  </w:style>
  <w:style w:type="paragraph" w:styleId="TOC5">
    <w:name w:val="toc 5"/>
    <w:basedOn w:val="TOC1"/>
    <w:next w:val="Normal"/>
    <w:semiHidden/>
    <w:rsid w:val="00C879F2"/>
    <w:pPr>
      <w:spacing w:before="0"/>
    </w:pPr>
    <w:rPr>
      <w:b w:val="0"/>
      <w:caps w:val="0"/>
    </w:rPr>
  </w:style>
  <w:style w:type="paragraph" w:styleId="TOC6">
    <w:name w:val="toc 6"/>
    <w:basedOn w:val="TOC1"/>
    <w:next w:val="Normal"/>
    <w:semiHidden/>
    <w:rsid w:val="00C879F2"/>
    <w:pPr>
      <w:spacing w:before="0"/>
    </w:pPr>
    <w:rPr>
      <w:b w:val="0"/>
      <w:caps w:val="0"/>
    </w:rPr>
  </w:style>
  <w:style w:type="paragraph" w:styleId="TOC7">
    <w:name w:val="toc 7"/>
    <w:basedOn w:val="TOC6"/>
    <w:next w:val="Normal"/>
    <w:semiHidden/>
    <w:rsid w:val="00C879F2"/>
  </w:style>
  <w:style w:type="paragraph" w:styleId="TOC8">
    <w:name w:val="toc 8"/>
    <w:basedOn w:val="TOC6"/>
    <w:next w:val="Normal"/>
    <w:semiHidden/>
    <w:rsid w:val="00C879F2"/>
  </w:style>
  <w:style w:type="paragraph" w:styleId="TOC9">
    <w:name w:val="toc 9"/>
    <w:basedOn w:val="TOC6"/>
    <w:next w:val="Normal"/>
    <w:semiHidden/>
    <w:rsid w:val="00C879F2"/>
  </w:style>
  <w:style w:type="character" w:customStyle="1" w:styleId="TblFigFootnoteChar">
    <w:name w:val="Tbl Fig Footnote Char"/>
    <w:rsid w:val="00C879F2"/>
    <w:rPr>
      <w:rFonts w:ascii="Arial Narrow" w:eastAsia="MS Gothic" w:hAnsi="Arial Narrow"/>
      <w:sz w:val="18"/>
      <w:lang w:val="en-US" w:eastAsia="en-US" w:bidi="ar-SA"/>
    </w:rPr>
  </w:style>
  <w:style w:type="character" w:styleId="FollowedHyperlink">
    <w:name w:val="FollowedHyperlink"/>
    <w:rsid w:val="00C879F2"/>
    <w:rPr>
      <w:color w:val="800080"/>
      <w:u w:val="single"/>
    </w:rPr>
  </w:style>
  <w:style w:type="paragraph" w:styleId="CommentSubject">
    <w:name w:val="annotation subject"/>
    <w:basedOn w:val="CommentText"/>
    <w:next w:val="CommentText"/>
    <w:link w:val="CommentSubjectChar"/>
    <w:uiPriority w:val="99"/>
    <w:semiHidden/>
    <w:unhideWhenUsed/>
    <w:rsid w:val="002568A6"/>
    <w:rPr>
      <w:rFonts w:ascii="Times New Roman" w:hAnsi="Times New Roman"/>
      <w:b/>
      <w:bCs/>
    </w:rPr>
  </w:style>
  <w:style w:type="character" w:customStyle="1" w:styleId="CommentSubjectChar">
    <w:name w:val="Comment Subject Char"/>
    <w:basedOn w:val="CommentTextChar"/>
    <w:link w:val="CommentSubject"/>
    <w:uiPriority w:val="99"/>
    <w:semiHidden/>
    <w:rsid w:val="002568A6"/>
    <w:rPr>
      <w:rFonts w:ascii="Times New Roman" w:eastAsia="MS Mincho" w:hAnsi="Times New Roman" w:cs="Times New Roman"/>
      <w:b/>
      <w:bCs/>
      <w:color w:val="000000"/>
      <w:sz w:val="20"/>
      <w:szCs w:val="20"/>
      <w:lang w:val="en-US"/>
    </w:rPr>
  </w:style>
  <w:style w:type="paragraph" w:customStyle="1" w:styleId="wcpTableContent">
    <w:name w:val="wcp_TableContent"/>
    <w:basedOn w:val="Normal"/>
    <w:link w:val="wcpTableContentChar"/>
    <w:rsid w:val="00D22F49"/>
    <w:pPr>
      <w:widowControl w:val="0"/>
      <w:autoSpaceDE w:val="0"/>
      <w:autoSpaceDN w:val="0"/>
      <w:spacing w:before="40" w:after="40"/>
    </w:pPr>
    <w:rPr>
      <w:rFonts w:eastAsia="Times New Roman"/>
      <w:color w:val="auto"/>
      <w:sz w:val="22"/>
      <w:szCs w:val="20"/>
    </w:rPr>
  </w:style>
  <w:style w:type="character" w:customStyle="1" w:styleId="wcpTableContentChar">
    <w:name w:val="wcp_TableContent Char"/>
    <w:link w:val="wcpTableContent"/>
    <w:rsid w:val="00D22F49"/>
    <w:rPr>
      <w:rFonts w:ascii="Times New Roman" w:eastAsia="Times New Roman" w:hAnsi="Times New Roman" w:cs="Times New Roman"/>
      <w:szCs w:val="20"/>
      <w:lang w:val="en-US"/>
    </w:rPr>
  </w:style>
  <w:style w:type="paragraph" w:customStyle="1" w:styleId="wcpTableColHeader">
    <w:name w:val="wcp_TableColHeader"/>
    <w:basedOn w:val="Normal"/>
    <w:rsid w:val="00D22F49"/>
    <w:pPr>
      <w:keepNext/>
      <w:widowControl w:val="0"/>
      <w:autoSpaceDE w:val="0"/>
      <w:autoSpaceDN w:val="0"/>
      <w:spacing w:before="120" w:after="120"/>
      <w:jc w:val="center"/>
    </w:pPr>
    <w:rPr>
      <w:rFonts w:eastAsia="Times New Roman"/>
      <w:b/>
      <w:color w:val="auto"/>
      <w:sz w:val="22"/>
      <w:szCs w:val="20"/>
    </w:rPr>
  </w:style>
  <w:style w:type="paragraph" w:customStyle="1" w:styleId="wcpTableRowHeader">
    <w:name w:val="wcp_TableRowHeader"/>
    <w:basedOn w:val="Normal"/>
    <w:link w:val="wcpTableRowHeaderChar"/>
    <w:rsid w:val="00D22F49"/>
    <w:pPr>
      <w:widowControl w:val="0"/>
      <w:autoSpaceDE w:val="0"/>
      <w:autoSpaceDN w:val="0"/>
      <w:spacing w:before="40" w:after="40"/>
    </w:pPr>
    <w:rPr>
      <w:rFonts w:eastAsia="Times New Roman"/>
      <w:b/>
      <w:color w:val="auto"/>
      <w:sz w:val="22"/>
      <w:szCs w:val="20"/>
    </w:rPr>
  </w:style>
  <w:style w:type="character" w:customStyle="1" w:styleId="wcpTableRowHeaderChar">
    <w:name w:val="wcp_TableRowHeader Char"/>
    <w:link w:val="wcpTableRowHeader"/>
    <w:rsid w:val="00D22F49"/>
    <w:rPr>
      <w:rFonts w:ascii="Times New Roman" w:eastAsia="Times New Roman" w:hAnsi="Times New Roman" w:cs="Times New Roman"/>
      <w:b/>
      <w:szCs w:val="20"/>
      <w:lang w:val="en-US"/>
    </w:rPr>
  </w:style>
  <w:style w:type="paragraph" w:customStyle="1" w:styleId="wcpSubHeading">
    <w:name w:val="wcp_SubHeading"/>
    <w:basedOn w:val="Normal"/>
    <w:next w:val="Normal"/>
    <w:rsid w:val="00D22F49"/>
    <w:pPr>
      <w:keepNext/>
      <w:widowControl w:val="0"/>
      <w:autoSpaceDE w:val="0"/>
      <w:autoSpaceDN w:val="0"/>
      <w:spacing w:before="120"/>
    </w:pPr>
    <w:rPr>
      <w:rFonts w:eastAsia="Times New Roman"/>
      <w:b/>
      <w:i/>
      <w:color w:val="auto"/>
      <w:szCs w:val="20"/>
    </w:rPr>
  </w:style>
  <w:style w:type="paragraph" w:styleId="ListBullet3">
    <w:name w:val="List Bullet 3"/>
    <w:aliases w:val="wcp_ListBulleted3,List dot_point 3"/>
    <w:basedOn w:val="ListBullet2"/>
    <w:rsid w:val="00721DB6"/>
    <w:pPr>
      <w:widowControl w:val="0"/>
      <w:numPr>
        <w:numId w:val="44"/>
      </w:numPr>
      <w:tabs>
        <w:tab w:val="clear" w:pos="360"/>
        <w:tab w:val="left" w:pos="425"/>
        <w:tab w:val="num" w:pos="680"/>
        <w:tab w:val="num" w:pos="1276"/>
      </w:tabs>
      <w:autoSpaceDE w:val="0"/>
      <w:autoSpaceDN w:val="0"/>
      <w:spacing w:before="0"/>
      <w:ind w:left="1276" w:hanging="425"/>
      <w:contextualSpacing w:val="0"/>
    </w:pPr>
    <w:rPr>
      <w:rFonts w:eastAsia="Times New Roman"/>
      <w:color w:val="auto"/>
      <w:szCs w:val="20"/>
    </w:rPr>
  </w:style>
  <w:style w:type="paragraph" w:styleId="ListBullet2">
    <w:name w:val="List Bullet 2"/>
    <w:basedOn w:val="Normal"/>
    <w:uiPriority w:val="99"/>
    <w:semiHidden/>
    <w:unhideWhenUsed/>
    <w:rsid w:val="00721DB6"/>
    <w:pPr>
      <w:tabs>
        <w:tab w:val="num" w:pos="360"/>
      </w:tabs>
      <w:contextualSpacing/>
    </w:pPr>
  </w:style>
  <w:style w:type="table" w:styleId="TableGrid">
    <w:name w:val="Table Grid"/>
    <w:basedOn w:val="TableNormal"/>
    <w:uiPriority w:val="59"/>
    <w:rsid w:val="00F96E40"/>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41522">
      <w:bodyDiv w:val="1"/>
      <w:marLeft w:val="0"/>
      <w:marRight w:val="0"/>
      <w:marTop w:val="0"/>
      <w:marBottom w:val="0"/>
      <w:divBdr>
        <w:top w:val="none" w:sz="0" w:space="0" w:color="auto"/>
        <w:left w:val="none" w:sz="0" w:space="0" w:color="auto"/>
        <w:bottom w:val="none" w:sz="0" w:space="0" w:color="auto"/>
        <w:right w:val="none" w:sz="0" w:space="0" w:color="auto"/>
      </w:divBdr>
    </w:div>
    <w:div w:id="200835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5114</Words>
  <Characters>29463</Characters>
  <Application>Microsoft Office Word</Application>
  <DocSecurity>0</DocSecurity>
  <Lines>601</Lines>
  <Paragraphs>293</Paragraphs>
  <ScaleCrop>false</ScaleCrop>
  <HeadingPairs>
    <vt:vector size="2" baseType="variant">
      <vt:variant>
        <vt:lpstr>Title</vt:lpstr>
      </vt:variant>
      <vt:variant>
        <vt:i4>1</vt:i4>
      </vt:variant>
    </vt:vector>
  </HeadingPairs>
  <TitlesOfParts>
    <vt:vector size="1" baseType="lpstr">
      <vt:lpstr>Attachment: Product Information for Inactivated quadrivalent influenza vaccine (split virion) influenza virus haemagglutinin</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Inactivated quadrivalent influenza vaccine (split virion) influenza virus haemagglutinin</dc:title>
  <dc:subject>prescription medicines</dc:subject>
  <dc:creator>Sanofi-aventis</dc:creator>
  <cp:lastPrinted>2017-09-05T05:25:00Z</cp:lastPrinted>
  <dcterms:created xsi:type="dcterms:W3CDTF">2020-12-02T07:20:00Z</dcterms:created>
  <dcterms:modified xsi:type="dcterms:W3CDTF">2020-12-02T07:21:00Z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ies>
</file>