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0E4C9F6F" w14:textId="77777777" w:rsidTr="00BF1190">
        <w:trPr>
          <w:trHeight w:val="1863"/>
        </w:trPr>
        <w:tc>
          <w:tcPr>
            <w:tcW w:w="3652" w:type="dxa"/>
            <w:tcBorders>
              <w:top w:val="nil"/>
              <w:left w:val="nil"/>
              <w:bottom w:val="nil"/>
              <w:right w:val="nil"/>
            </w:tcBorders>
          </w:tcPr>
          <w:p w14:paraId="6E60AFFE" w14:textId="77777777" w:rsidR="008E7846" w:rsidRPr="00096AA7" w:rsidRDefault="002A7FDF" w:rsidP="00096AA7">
            <w:pPr>
              <w:rPr>
                <w:rFonts w:ascii="Arial" w:hAnsi="Arial" w:cs="Arial"/>
                <w:b/>
                <w:color w:val="002C47"/>
                <w:sz w:val="36"/>
                <w:szCs w:val="36"/>
              </w:rPr>
            </w:pPr>
            <w:r>
              <w:rPr>
                <w:rFonts w:ascii="Arial" w:hAnsi="Arial" w:cs="Arial"/>
                <w:b/>
                <w:color w:val="002C47"/>
                <w:sz w:val="36"/>
                <w:szCs w:val="36"/>
              </w:rPr>
              <w:t>December 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BE08370" w14:textId="77777777" w:rsidTr="0032583B">
        <w:trPr>
          <w:trHeight w:val="868"/>
        </w:trPr>
        <w:tc>
          <w:tcPr>
            <w:tcW w:w="9079" w:type="dxa"/>
          </w:tcPr>
          <w:p w14:paraId="2C8D180D" w14:textId="77777777"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2A7FDF" w:rsidRPr="002A7FDF">
              <w:rPr>
                <w:color w:val="FFFFFF" w:themeColor="background1"/>
              </w:rPr>
              <w:t xml:space="preserve">Inactivated </w:t>
            </w:r>
            <w:proofErr w:type="spellStart"/>
            <w:r w:rsidR="002A7FDF" w:rsidRPr="002A7FDF">
              <w:rPr>
                <w:color w:val="FFFFFF" w:themeColor="background1"/>
              </w:rPr>
              <w:t>quadrivalent</w:t>
            </w:r>
            <w:proofErr w:type="spellEnd"/>
            <w:r w:rsidR="002A7FDF" w:rsidRPr="002A7FDF">
              <w:rPr>
                <w:color w:val="FFFFFF" w:themeColor="background1"/>
              </w:rPr>
              <w:t xml:space="preserve"> influenza vaccine (split </w:t>
            </w:r>
            <w:proofErr w:type="spellStart"/>
            <w:r w:rsidR="002A7FDF" w:rsidRPr="002A7FDF">
              <w:rPr>
                <w:color w:val="FFFFFF" w:themeColor="background1"/>
              </w:rPr>
              <w:t>virion</w:t>
            </w:r>
            <w:proofErr w:type="spellEnd"/>
            <w:r w:rsidR="002A7FDF" w:rsidRPr="002A7FDF">
              <w:rPr>
                <w:color w:val="FFFFFF" w:themeColor="background1"/>
              </w:rPr>
              <w:t>)</w:t>
            </w:r>
          </w:p>
        </w:tc>
      </w:tr>
      <w:tr w:rsidR="0032583B" w:rsidRPr="00B64760" w14:paraId="5C4ABD93" w14:textId="77777777" w:rsidTr="0032583B">
        <w:tc>
          <w:tcPr>
            <w:tcW w:w="9079" w:type="dxa"/>
          </w:tcPr>
          <w:p w14:paraId="2F1F3BED" w14:textId="77777777" w:rsidR="0032583B" w:rsidRPr="008E7846" w:rsidRDefault="0032583B" w:rsidP="0032583B">
            <w:pPr>
              <w:pStyle w:val="Subtitle"/>
              <w:rPr>
                <w:color w:val="FFFFFF" w:themeColor="background1"/>
              </w:rPr>
            </w:pPr>
            <w:r w:rsidRPr="008E7846">
              <w:rPr>
                <w:color w:val="FFFFFF" w:themeColor="background1"/>
              </w:rPr>
              <w:t xml:space="preserve">Proprietary Product Name: </w:t>
            </w:r>
            <w:proofErr w:type="spellStart"/>
            <w:r w:rsidR="002A7FDF" w:rsidRPr="002A7FDF">
              <w:rPr>
                <w:color w:val="FFFFFF" w:themeColor="background1"/>
              </w:rPr>
              <w:t>Vaxigrip</w:t>
            </w:r>
            <w:proofErr w:type="spellEnd"/>
            <w:r w:rsidR="002A7FDF" w:rsidRPr="002A7FDF">
              <w:rPr>
                <w:color w:val="FFFFFF" w:themeColor="background1"/>
              </w:rPr>
              <w:t xml:space="preserve"> Tetra</w:t>
            </w:r>
          </w:p>
        </w:tc>
      </w:tr>
      <w:tr w:rsidR="0032583B" w:rsidRPr="00B64760" w14:paraId="4E89D9BA" w14:textId="77777777" w:rsidTr="0032583B">
        <w:trPr>
          <w:trHeight w:val="486"/>
        </w:trPr>
        <w:tc>
          <w:tcPr>
            <w:tcW w:w="9079" w:type="dxa"/>
          </w:tcPr>
          <w:p w14:paraId="3A579F5F" w14:textId="77777777" w:rsidR="0032583B" w:rsidRPr="008E7846" w:rsidRDefault="0032583B" w:rsidP="0032583B">
            <w:pPr>
              <w:pStyle w:val="Subtitle"/>
              <w:rPr>
                <w:color w:val="FFFFFF" w:themeColor="background1"/>
              </w:rPr>
            </w:pPr>
            <w:r w:rsidRPr="008E7846">
              <w:rPr>
                <w:color w:val="FFFFFF" w:themeColor="background1"/>
              </w:rPr>
              <w:t xml:space="preserve">Sponsor: </w:t>
            </w:r>
            <w:r w:rsidR="002A7FDF" w:rsidRPr="002A7FDF">
              <w:rPr>
                <w:color w:val="FFFFFF" w:themeColor="background1"/>
              </w:rPr>
              <w:t>Sanofi-Aventis Australia Pty Ltd</w:t>
            </w:r>
          </w:p>
        </w:tc>
      </w:tr>
    </w:tbl>
    <w:p w14:paraId="197282B9" w14:textId="77777777" w:rsidR="008E7846" w:rsidRPr="0085156D" w:rsidRDefault="008E7846" w:rsidP="0085156D">
      <w:r w:rsidRPr="0085156D">
        <w:br w:type="page"/>
      </w:r>
    </w:p>
    <w:p w14:paraId="590DB7FD" w14:textId="0AB6E68A" w:rsidR="008E7846" w:rsidRPr="001F6CBA" w:rsidRDefault="008E7846" w:rsidP="008E7846">
      <w:pPr>
        <w:pStyle w:val="NonTOCHeading2"/>
      </w:pPr>
      <w:r w:rsidRPr="001F6CBA">
        <w:lastRenderedPageBreak/>
        <w:t>About the Therapeutic Goods Administration (TGA)</w:t>
      </w:r>
    </w:p>
    <w:p w14:paraId="7E585B5E" w14:textId="77777777" w:rsidR="008E7846" w:rsidRDefault="008E7846" w:rsidP="00A613B3">
      <w:pPr>
        <w:pStyle w:val="ListBullet"/>
      </w:pPr>
      <w:r>
        <w:t xml:space="preserve">The Therapeutic Goods Administration (TGA) is </w:t>
      </w:r>
      <w:r w:rsidR="00E624A5">
        <w:t xml:space="preserve">part </w:t>
      </w:r>
      <w:r>
        <w:t>of the Australian Government Department of Health and is responsible for regulating medicines and medical devices.</w:t>
      </w:r>
    </w:p>
    <w:p w14:paraId="1EB62C06"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4DC393DB"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630C22CE"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63A02867"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123AE305" w14:textId="1D2E2E39" w:rsidR="008E7846" w:rsidRDefault="008E7846" w:rsidP="00875A6B">
      <w:pPr>
        <w:pStyle w:val="NonTOCHeading2"/>
      </w:pPr>
      <w:r>
        <w:t>About AusPARs</w:t>
      </w:r>
    </w:p>
    <w:p w14:paraId="7823E3FF"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13EE9BC9" w14:textId="77777777" w:rsidR="008E7846" w:rsidRDefault="008E7846" w:rsidP="008E7846">
      <w:pPr>
        <w:pStyle w:val="ListBullet"/>
        <w:numPr>
          <w:ilvl w:val="0"/>
          <w:numId w:val="3"/>
        </w:numPr>
        <w:ind w:left="357" w:hanging="357"/>
      </w:pPr>
      <w:r>
        <w:t>AusPARs are prepared and published by the TGA.</w:t>
      </w:r>
    </w:p>
    <w:p w14:paraId="43DB2218"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48B7D5C6"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4F90EBB7"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05AF9CB5" w14:textId="54B8C8B8" w:rsidR="00924482" w:rsidRPr="00DF1D7F" w:rsidRDefault="00924482" w:rsidP="00F54B65">
      <w:pPr>
        <w:pStyle w:val="LegalSubheading"/>
        <w:spacing w:before="3120"/>
      </w:pPr>
      <w:r w:rsidRPr="00DF1D7F">
        <w:t>Copyright</w:t>
      </w:r>
    </w:p>
    <w:p w14:paraId="3D1B7B55" w14:textId="77777777" w:rsidR="00924482" w:rsidRDefault="00924482" w:rsidP="00924482">
      <w:pPr>
        <w:pStyle w:val="LegalCopy"/>
      </w:pPr>
      <w:r w:rsidRPr="00191B3B">
        <w:rPr>
          <w:rFonts w:cs="Arial"/>
          <w:lang w:val="en-GB"/>
        </w:rPr>
        <w:t>© Comm</w:t>
      </w:r>
      <w:r>
        <w:rPr>
          <w:rFonts w:cs="Arial"/>
          <w:lang w:val="en-GB"/>
        </w:rPr>
        <w:t>onwealth of Australia 201</w:t>
      </w:r>
      <w:r w:rsidR="00C52E24">
        <w:rPr>
          <w:rFonts w:cs="Arial"/>
          <w:lang w:val="en-GB"/>
        </w:rPr>
        <w:t>9</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625752D4"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B117EE2" w14:textId="77777777" w:rsidR="0089635C" w:rsidRPr="0089635C" w:rsidRDefault="0089635C" w:rsidP="0010788A">
          <w:pPr>
            <w:pStyle w:val="Contents"/>
          </w:pPr>
          <w:r w:rsidRPr="0010788A">
            <w:t>Cont</w:t>
          </w:r>
          <w:bookmarkStart w:id="2" w:name="_GoBack"/>
          <w:bookmarkEnd w:id="2"/>
          <w:r w:rsidRPr="0010788A">
            <w:t>ents</w:t>
          </w:r>
        </w:p>
        <w:p w14:paraId="62741F85" w14:textId="0FE811AE" w:rsidR="00A613B3" w:rsidRDefault="00CD2383">
          <w:pPr>
            <w:pStyle w:val="TOC2"/>
            <w:rPr>
              <w:rFonts w:asciiTheme="minorHAnsi" w:eastAsiaTheme="minorEastAsia" w:hAnsiTheme="minorHAnsi" w:cstheme="minorBidi"/>
              <w:b w:val="0"/>
              <w:noProof/>
              <w:sz w:val="22"/>
              <w:lang w:eastAsia="en-AU"/>
            </w:rPr>
          </w:pPr>
          <w:r>
            <w:rPr>
              <w:rFonts w:ascii="Arial" w:hAnsi="Arial"/>
              <w:sz w:val="32"/>
            </w:rPr>
            <w:fldChar w:fldCharType="begin"/>
          </w:r>
          <w:r>
            <w:rPr>
              <w:rFonts w:ascii="Arial" w:hAnsi="Arial"/>
              <w:sz w:val="32"/>
            </w:rPr>
            <w:instrText xml:space="preserve"> TOC \o "3-3" \h \z \t "Heading 2,2" </w:instrText>
          </w:r>
          <w:r>
            <w:rPr>
              <w:rFonts w:ascii="Arial" w:hAnsi="Arial"/>
              <w:sz w:val="32"/>
            </w:rPr>
            <w:fldChar w:fldCharType="separate"/>
          </w:r>
          <w:hyperlink w:anchor="_Toc30581696" w:history="1">
            <w:r w:rsidR="00A613B3" w:rsidRPr="003B6410">
              <w:rPr>
                <w:rStyle w:val="Hyperlink"/>
                <w:noProof/>
              </w:rPr>
              <w:t>Common abbreviations</w:t>
            </w:r>
            <w:r w:rsidR="00A613B3">
              <w:rPr>
                <w:noProof/>
                <w:webHidden/>
              </w:rPr>
              <w:tab/>
            </w:r>
            <w:r w:rsidR="00A613B3">
              <w:rPr>
                <w:noProof/>
                <w:webHidden/>
              </w:rPr>
              <w:fldChar w:fldCharType="begin"/>
            </w:r>
            <w:r w:rsidR="00A613B3">
              <w:rPr>
                <w:noProof/>
                <w:webHidden/>
              </w:rPr>
              <w:instrText xml:space="preserve"> PAGEREF _Toc30581696 \h </w:instrText>
            </w:r>
            <w:r w:rsidR="00A613B3">
              <w:rPr>
                <w:noProof/>
                <w:webHidden/>
              </w:rPr>
            </w:r>
            <w:r w:rsidR="00A613B3">
              <w:rPr>
                <w:noProof/>
                <w:webHidden/>
              </w:rPr>
              <w:fldChar w:fldCharType="separate"/>
            </w:r>
            <w:r w:rsidR="00A613B3">
              <w:rPr>
                <w:noProof/>
                <w:webHidden/>
              </w:rPr>
              <w:t>4</w:t>
            </w:r>
            <w:r w:rsidR="00A613B3">
              <w:rPr>
                <w:noProof/>
                <w:webHidden/>
              </w:rPr>
              <w:fldChar w:fldCharType="end"/>
            </w:r>
          </w:hyperlink>
        </w:p>
        <w:p w14:paraId="1BEA0ED4" w14:textId="58A2C81A" w:rsidR="00A613B3" w:rsidRDefault="00A613B3">
          <w:pPr>
            <w:pStyle w:val="TOC2"/>
            <w:rPr>
              <w:rFonts w:asciiTheme="minorHAnsi" w:eastAsiaTheme="minorEastAsia" w:hAnsiTheme="minorHAnsi" w:cstheme="minorBidi"/>
              <w:b w:val="0"/>
              <w:noProof/>
              <w:sz w:val="22"/>
              <w:lang w:eastAsia="en-AU"/>
            </w:rPr>
          </w:pPr>
          <w:hyperlink w:anchor="_Toc30581697" w:history="1">
            <w:r w:rsidRPr="003B6410">
              <w:rPr>
                <w:rStyle w:val="Hyperlink"/>
                <w:noProof/>
              </w:rPr>
              <w:t>I. Introduction to product submission</w:t>
            </w:r>
            <w:r>
              <w:rPr>
                <w:noProof/>
                <w:webHidden/>
              </w:rPr>
              <w:tab/>
            </w:r>
            <w:r>
              <w:rPr>
                <w:noProof/>
                <w:webHidden/>
              </w:rPr>
              <w:fldChar w:fldCharType="begin"/>
            </w:r>
            <w:r>
              <w:rPr>
                <w:noProof/>
                <w:webHidden/>
              </w:rPr>
              <w:instrText xml:space="preserve"> PAGEREF _Toc30581697 \h </w:instrText>
            </w:r>
            <w:r>
              <w:rPr>
                <w:noProof/>
                <w:webHidden/>
              </w:rPr>
            </w:r>
            <w:r>
              <w:rPr>
                <w:noProof/>
                <w:webHidden/>
              </w:rPr>
              <w:fldChar w:fldCharType="separate"/>
            </w:r>
            <w:r>
              <w:rPr>
                <w:noProof/>
                <w:webHidden/>
              </w:rPr>
              <w:t>6</w:t>
            </w:r>
            <w:r>
              <w:rPr>
                <w:noProof/>
                <w:webHidden/>
              </w:rPr>
              <w:fldChar w:fldCharType="end"/>
            </w:r>
          </w:hyperlink>
        </w:p>
        <w:p w14:paraId="7D47A8DD" w14:textId="7D457A63" w:rsidR="00A613B3" w:rsidRDefault="00A613B3">
          <w:pPr>
            <w:pStyle w:val="TOC3"/>
            <w:rPr>
              <w:rFonts w:asciiTheme="minorHAnsi" w:eastAsiaTheme="minorEastAsia" w:hAnsiTheme="minorHAnsi" w:cstheme="minorBidi"/>
              <w:noProof/>
              <w:lang w:eastAsia="en-AU"/>
            </w:rPr>
          </w:pPr>
          <w:hyperlink w:anchor="_Toc30581698" w:history="1">
            <w:r w:rsidRPr="003B6410">
              <w:rPr>
                <w:rStyle w:val="Hyperlink"/>
                <w:noProof/>
                <w:lang w:eastAsia="en-AU"/>
              </w:rPr>
              <w:t>Submission details</w:t>
            </w:r>
            <w:r>
              <w:rPr>
                <w:noProof/>
                <w:webHidden/>
              </w:rPr>
              <w:tab/>
            </w:r>
            <w:r>
              <w:rPr>
                <w:noProof/>
                <w:webHidden/>
              </w:rPr>
              <w:fldChar w:fldCharType="begin"/>
            </w:r>
            <w:r>
              <w:rPr>
                <w:noProof/>
                <w:webHidden/>
              </w:rPr>
              <w:instrText xml:space="preserve"> PAGEREF _Toc30581698 \h </w:instrText>
            </w:r>
            <w:r>
              <w:rPr>
                <w:noProof/>
                <w:webHidden/>
              </w:rPr>
            </w:r>
            <w:r>
              <w:rPr>
                <w:noProof/>
                <w:webHidden/>
              </w:rPr>
              <w:fldChar w:fldCharType="separate"/>
            </w:r>
            <w:r>
              <w:rPr>
                <w:noProof/>
                <w:webHidden/>
              </w:rPr>
              <w:t>6</w:t>
            </w:r>
            <w:r>
              <w:rPr>
                <w:noProof/>
                <w:webHidden/>
              </w:rPr>
              <w:fldChar w:fldCharType="end"/>
            </w:r>
          </w:hyperlink>
        </w:p>
        <w:p w14:paraId="41261BEC" w14:textId="5323705C" w:rsidR="00A613B3" w:rsidRDefault="00A613B3">
          <w:pPr>
            <w:pStyle w:val="TOC3"/>
            <w:rPr>
              <w:rFonts w:asciiTheme="minorHAnsi" w:eastAsiaTheme="minorEastAsia" w:hAnsiTheme="minorHAnsi" w:cstheme="minorBidi"/>
              <w:noProof/>
              <w:lang w:eastAsia="en-AU"/>
            </w:rPr>
          </w:pPr>
          <w:hyperlink w:anchor="_Toc30581699" w:history="1">
            <w:r w:rsidRPr="003B6410">
              <w:rPr>
                <w:rStyle w:val="Hyperlink"/>
                <w:noProof/>
              </w:rPr>
              <w:t>Product background</w:t>
            </w:r>
            <w:r>
              <w:rPr>
                <w:noProof/>
                <w:webHidden/>
              </w:rPr>
              <w:tab/>
            </w:r>
            <w:r>
              <w:rPr>
                <w:noProof/>
                <w:webHidden/>
              </w:rPr>
              <w:fldChar w:fldCharType="begin"/>
            </w:r>
            <w:r>
              <w:rPr>
                <w:noProof/>
                <w:webHidden/>
              </w:rPr>
              <w:instrText xml:space="preserve"> PAGEREF _Toc30581699 \h </w:instrText>
            </w:r>
            <w:r>
              <w:rPr>
                <w:noProof/>
                <w:webHidden/>
              </w:rPr>
            </w:r>
            <w:r>
              <w:rPr>
                <w:noProof/>
                <w:webHidden/>
              </w:rPr>
              <w:fldChar w:fldCharType="separate"/>
            </w:r>
            <w:r>
              <w:rPr>
                <w:noProof/>
                <w:webHidden/>
              </w:rPr>
              <w:t>7</w:t>
            </w:r>
            <w:r>
              <w:rPr>
                <w:noProof/>
                <w:webHidden/>
              </w:rPr>
              <w:fldChar w:fldCharType="end"/>
            </w:r>
          </w:hyperlink>
        </w:p>
        <w:p w14:paraId="6E0A0D77" w14:textId="1FC8FC57" w:rsidR="00A613B3" w:rsidRDefault="00A613B3">
          <w:pPr>
            <w:pStyle w:val="TOC3"/>
            <w:rPr>
              <w:rFonts w:asciiTheme="minorHAnsi" w:eastAsiaTheme="minorEastAsia" w:hAnsiTheme="minorHAnsi" w:cstheme="minorBidi"/>
              <w:noProof/>
              <w:lang w:eastAsia="en-AU"/>
            </w:rPr>
          </w:pPr>
          <w:hyperlink w:anchor="_Toc30581700" w:history="1">
            <w:r w:rsidRPr="003B6410">
              <w:rPr>
                <w:rStyle w:val="Hyperlink"/>
                <w:noProof/>
              </w:rPr>
              <w:t>Regulatory status</w:t>
            </w:r>
            <w:r>
              <w:rPr>
                <w:noProof/>
                <w:webHidden/>
              </w:rPr>
              <w:tab/>
            </w:r>
            <w:r>
              <w:rPr>
                <w:noProof/>
                <w:webHidden/>
              </w:rPr>
              <w:fldChar w:fldCharType="begin"/>
            </w:r>
            <w:r>
              <w:rPr>
                <w:noProof/>
                <w:webHidden/>
              </w:rPr>
              <w:instrText xml:space="preserve"> PAGEREF _Toc30581700 \h </w:instrText>
            </w:r>
            <w:r>
              <w:rPr>
                <w:noProof/>
                <w:webHidden/>
              </w:rPr>
            </w:r>
            <w:r>
              <w:rPr>
                <w:noProof/>
                <w:webHidden/>
              </w:rPr>
              <w:fldChar w:fldCharType="separate"/>
            </w:r>
            <w:r>
              <w:rPr>
                <w:noProof/>
                <w:webHidden/>
              </w:rPr>
              <w:t>8</w:t>
            </w:r>
            <w:r>
              <w:rPr>
                <w:noProof/>
                <w:webHidden/>
              </w:rPr>
              <w:fldChar w:fldCharType="end"/>
            </w:r>
          </w:hyperlink>
        </w:p>
        <w:p w14:paraId="12B37B2E" w14:textId="2B24CEF2" w:rsidR="00A613B3" w:rsidRDefault="00A613B3">
          <w:pPr>
            <w:pStyle w:val="TOC3"/>
            <w:rPr>
              <w:rFonts w:asciiTheme="minorHAnsi" w:eastAsiaTheme="minorEastAsia" w:hAnsiTheme="minorHAnsi" w:cstheme="minorBidi"/>
              <w:noProof/>
              <w:lang w:eastAsia="en-AU"/>
            </w:rPr>
          </w:pPr>
          <w:hyperlink w:anchor="_Toc30581701" w:history="1">
            <w:r w:rsidRPr="003B6410">
              <w:rPr>
                <w:rStyle w:val="Hyperlink"/>
                <w:noProof/>
              </w:rPr>
              <w:t>Product Information</w:t>
            </w:r>
            <w:r>
              <w:rPr>
                <w:noProof/>
                <w:webHidden/>
              </w:rPr>
              <w:tab/>
            </w:r>
            <w:r>
              <w:rPr>
                <w:noProof/>
                <w:webHidden/>
              </w:rPr>
              <w:fldChar w:fldCharType="begin"/>
            </w:r>
            <w:r>
              <w:rPr>
                <w:noProof/>
                <w:webHidden/>
              </w:rPr>
              <w:instrText xml:space="preserve"> PAGEREF _Toc30581701 \h </w:instrText>
            </w:r>
            <w:r>
              <w:rPr>
                <w:noProof/>
                <w:webHidden/>
              </w:rPr>
            </w:r>
            <w:r>
              <w:rPr>
                <w:noProof/>
                <w:webHidden/>
              </w:rPr>
              <w:fldChar w:fldCharType="separate"/>
            </w:r>
            <w:r>
              <w:rPr>
                <w:noProof/>
                <w:webHidden/>
              </w:rPr>
              <w:t>8</w:t>
            </w:r>
            <w:r>
              <w:rPr>
                <w:noProof/>
                <w:webHidden/>
              </w:rPr>
              <w:fldChar w:fldCharType="end"/>
            </w:r>
          </w:hyperlink>
        </w:p>
        <w:p w14:paraId="0A894B63" w14:textId="0DC58888" w:rsidR="00A613B3" w:rsidRDefault="00A613B3">
          <w:pPr>
            <w:pStyle w:val="TOC2"/>
            <w:rPr>
              <w:rFonts w:asciiTheme="minorHAnsi" w:eastAsiaTheme="minorEastAsia" w:hAnsiTheme="minorHAnsi" w:cstheme="minorBidi"/>
              <w:b w:val="0"/>
              <w:noProof/>
              <w:sz w:val="22"/>
              <w:lang w:eastAsia="en-AU"/>
            </w:rPr>
          </w:pPr>
          <w:hyperlink w:anchor="_Toc30581702" w:history="1">
            <w:r w:rsidRPr="003B6410">
              <w:rPr>
                <w:rStyle w:val="Hyperlink"/>
                <w:noProof/>
              </w:rPr>
              <w:t>II. Registration timeline</w:t>
            </w:r>
            <w:r>
              <w:rPr>
                <w:noProof/>
                <w:webHidden/>
              </w:rPr>
              <w:tab/>
            </w:r>
            <w:r>
              <w:rPr>
                <w:noProof/>
                <w:webHidden/>
              </w:rPr>
              <w:fldChar w:fldCharType="begin"/>
            </w:r>
            <w:r>
              <w:rPr>
                <w:noProof/>
                <w:webHidden/>
              </w:rPr>
              <w:instrText xml:space="preserve"> PAGEREF _Toc30581702 \h </w:instrText>
            </w:r>
            <w:r>
              <w:rPr>
                <w:noProof/>
                <w:webHidden/>
              </w:rPr>
            </w:r>
            <w:r>
              <w:rPr>
                <w:noProof/>
                <w:webHidden/>
              </w:rPr>
              <w:fldChar w:fldCharType="separate"/>
            </w:r>
            <w:r>
              <w:rPr>
                <w:noProof/>
                <w:webHidden/>
              </w:rPr>
              <w:t>8</w:t>
            </w:r>
            <w:r>
              <w:rPr>
                <w:noProof/>
                <w:webHidden/>
              </w:rPr>
              <w:fldChar w:fldCharType="end"/>
            </w:r>
          </w:hyperlink>
        </w:p>
        <w:p w14:paraId="501DC6DE" w14:textId="132FDC7B" w:rsidR="00A613B3" w:rsidRDefault="00A613B3">
          <w:pPr>
            <w:pStyle w:val="TOC2"/>
            <w:rPr>
              <w:rFonts w:asciiTheme="minorHAnsi" w:eastAsiaTheme="minorEastAsia" w:hAnsiTheme="minorHAnsi" w:cstheme="minorBidi"/>
              <w:b w:val="0"/>
              <w:noProof/>
              <w:sz w:val="22"/>
              <w:lang w:eastAsia="en-AU"/>
            </w:rPr>
          </w:pPr>
          <w:hyperlink w:anchor="_Toc30581703" w:history="1">
            <w:r w:rsidRPr="003B6410">
              <w:rPr>
                <w:rStyle w:val="Hyperlink"/>
                <w:noProof/>
              </w:rPr>
              <w:t>III. Submission overview and risk/benefit assessment</w:t>
            </w:r>
            <w:r>
              <w:rPr>
                <w:noProof/>
                <w:webHidden/>
              </w:rPr>
              <w:tab/>
            </w:r>
            <w:r>
              <w:rPr>
                <w:noProof/>
                <w:webHidden/>
              </w:rPr>
              <w:fldChar w:fldCharType="begin"/>
            </w:r>
            <w:r>
              <w:rPr>
                <w:noProof/>
                <w:webHidden/>
              </w:rPr>
              <w:instrText xml:space="preserve"> PAGEREF _Toc30581703 \h </w:instrText>
            </w:r>
            <w:r>
              <w:rPr>
                <w:noProof/>
                <w:webHidden/>
              </w:rPr>
            </w:r>
            <w:r>
              <w:rPr>
                <w:noProof/>
                <w:webHidden/>
              </w:rPr>
              <w:fldChar w:fldCharType="separate"/>
            </w:r>
            <w:r>
              <w:rPr>
                <w:noProof/>
                <w:webHidden/>
              </w:rPr>
              <w:t>9</w:t>
            </w:r>
            <w:r>
              <w:rPr>
                <w:noProof/>
                <w:webHidden/>
              </w:rPr>
              <w:fldChar w:fldCharType="end"/>
            </w:r>
          </w:hyperlink>
        </w:p>
        <w:p w14:paraId="21630B71" w14:textId="0121417F" w:rsidR="00A613B3" w:rsidRDefault="00A613B3">
          <w:pPr>
            <w:pStyle w:val="TOC3"/>
            <w:rPr>
              <w:rFonts w:asciiTheme="minorHAnsi" w:eastAsiaTheme="minorEastAsia" w:hAnsiTheme="minorHAnsi" w:cstheme="minorBidi"/>
              <w:noProof/>
              <w:lang w:eastAsia="en-AU"/>
            </w:rPr>
          </w:pPr>
          <w:hyperlink w:anchor="_Toc30581704" w:history="1">
            <w:r w:rsidRPr="003B6410">
              <w:rPr>
                <w:rStyle w:val="Hyperlink"/>
                <w:noProof/>
              </w:rPr>
              <w:t>Quality</w:t>
            </w:r>
            <w:r>
              <w:rPr>
                <w:noProof/>
                <w:webHidden/>
              </w:rPr>
              <w:tab/>
            </w:r>
            <w:r>
              <w:rPr>
                <w:noProof/>
                <w:webHidden/>
              </w:rPr>
              <w:fldChar w:fldCharType="begin"/>
            </w:r>
            <w:r>
              <w:rPr>
                <w:noProof/>
                <w:webHidden/>
              </w:rPr>
              <w:instrText xml:space="preserve"> PAGEREF _Toc30581704 \h </w:instrText>
            </w:r>
            <w:r>
              <w:rPr>
                <w:noProof/>
                <w:webHidden/>
              </w:rPr>
            </w:r>
            <w:r>
              <w:rPr>
                <w:noProof/>
                <w:webHidden/>
              </w:rPr>
              <w:fldChar w:fldCharType="separate"/>
            </w:r>
            <w:r>
              <w:rPr>
                <w:noProof/>
                <w:webHidden/>
              </w:rPr>
              <w:t>9</w:t>
            </w:r>
            <w:r>
              <w:rPr>
                <w:noProof/>
                <w:webHidden/>
              </w:rPr>
              <w:fldChar w:fldCharType="end"/>
            </w:r>
          </w:hyperlink>
        </w:p>
        <w:p w14:paraId="6FBAAAE4" w14:textId="457D40EE" w:rsidR="00A613B3" w:rsidRDefault="00A613B3">
          <w:pPr>
            <w:pStyle w:val="TOC3"/>
            <w:rPr>
              <w:rFonts w:asciiTheme="minorHAnsi" w:eastAsiaTheme="minorEastAsia" w:hAnsiTheme="minorHAnsi" w:cstheme="minorBidi"/>
              <w:noProof/>
              <w:lang w:eastAsia="en-AU"/>
            </w:rPr>
          </w:pPr>
          <w:hyperlink w:anchor="_Toc30581705" w:history="1">
            <w:r w:rsidRPr="003B6410">
              <w:rPr>
                <w:rStyle w:val="Hyperlink"/>
                <w:noProof/>
              </w:rPr>
              <w:t>Nonclinical</w:t>
            </w:r>
            <w:r>
              <w:rPr>
                <w:noProof/>
                <w:webHidden/>
              </w:rPr>
              <w:tab/>
            </w:r>
            <w:r>
              <w:rPr>
                <w:noProof/>
                <w:webHidden/>
              </w:rPr>
              <w:fldChar w:fldCharType="begin"/>
            </w:r>
            <w:r>
              <w:rPr>
                <w:noProof/>
                <w:webHidden/>
              </w:rPr>
              <w:instrText xml:space="preserve"> PAGEREF _Toc30581705 \h </w:instrText>
            </w:r>
            <w:r>
              <w:rPr>
                <w:noProof/>
                <w:webHidden/>
              </w:rPr>
            </w:r>
            <w:r>
              <w:rPr>
                <w:noProof/>
                <w:webHidden/>
              </w:rPr>
              <w:fldChar w:fldCharType="separate"/>
            </w:r>
            <w:r>
              <w:rPr>
                <w:noProof/>
                <w:webHidden/>
              </w:rPr>
              <w:t>12</w:t>
            </w:r>
            <w:r>
              <w:rPr>
                <w:noProof/>
                <w:webHidden/>
              </w:rPr>
              <w:fldChar w:fldCharType="end"/>
            </w:r>
          </w:hyperlink>
        </w:p>
        <w:p w14:paraId="673AD98C" w14:textId="4887988F" w:rsidR="00A613B3" w:rsidRDefault="00A613B3">
          <w:pPr>
            <w:pStyle w:val="TOC3"/>
            <w:rPr>
              <w:rFonts w:asciiTheme="minorHAnsi" w:eastAsiaTheme="minorEastAsia" w:hAnsiTheme="minorHAnsi" w:cstheme="minorBidi"/>
              <w:noProof/>
              <w:lang w:eastAsia="en-AU"/>
            </w:rPr>
          </w:pPr>
          <w:hyperlink w:anchor="_Toc30581706" w:history="1">
            <w:r w:rsidRPr="003B6410">
              <w:rPr>
                <w:rStyle w:val="Hyperlink"/>
                <w:noProof/>
              </w:rPr>
              <w:t>Clinical</w:t>
            </w:r>
            <w:r>
              <w:rPr>
                <w:noProof/>
                <w:webHidden/>
              </w:rPr>
              <w:tab/>
            </w:r>
            <w:r>
              <w:rPr>
                <w:noProof/>
                <w:webHidden/>
              </w:rPr>
              <w:fldChar w:fldCharType="begin"/>
            </w:r>
            <w:r>
              <w:rPr>
                <w:noProof/>
                <w:webHidden/>
              </w:rPr>
              <w:instrText xml:space="preserve"> PAGEREF _Toc30581706 \h </w:instrText>
            </w:r>
            <w:r>
              <w:rPr>
                <w:noProof/>
                <w:webHidden/>
              </w:rPr>
            </w:r>
            <w:r>
              <w:rPr>
                <w:noProof/>
                <w:webHidden/>
              </w:rPr>
              <w:fldChar w:fldCharType="separate"/>
            </w:r>
            <w:r>
              <w:rPr>
                <w:noProof/>
                <w:webHidden/>
              </w:rPr>
              <w:t>13</w:t>
            </w:r>
            <w:r>
              <w:rPr>
                <w:noProof/>
                <w:webHidden/>
              </w:rPr>
              <w:fldChar w:fldCharType="end"/>
            </w:r>
          </w:hyperlink>
        </w:p>
        <w:p w14:paraId="57B8BF47" w14:textId="3D452005" w:rsidR="00A613B3" w:rsidRDefault="00A613B3">
          <w:pPr>
            <w:pStyle w:val="TOC3"/>
            <w:rPr>
              <w:rFonts w:asciiTheme="minorHAnsi" w:eastAsiaTheme="minorEastAsia" w:hAnsiTheme="minorHAnsi" w:cstheme="minorBidi"/>
              <w:noProof/>
              <w:lang w:eastAsia="en-AU"/>
            </w:rPr>
          </w:pPr>
          <w:hyperlink w:anchor="_Toc30581707" w:history="1">
            <w:r w:rsidRPr="003B6410">
              <w:rPr>
                <w:rStyle w:val="Hyperlink"/>
                <w:noProof/>
                <w:lang w:eastAsia="en-AU"/>
              </w:rPr>
              <w:t>Risk management plan</w:t>
            </w:r>
            <w:r>
              <w:rPr>
                <w:noProof/>
                <w:webHidden/>
              </w:rPr>
              <w:tab/>
            </w:r>
            <w:r>
              <w:rPr>
                <w:noProof/>
                <w:webHidden/>
              </w:rPr>
              <w:fldChar w:fldCharType="begin"/>
            </w:r>
            <w:r>
              <w:rPr>
                <w:noProof/>
                <w:webHidden/>
              </w:rPr>
              <w:instrText xml:space="preserve"> PAGEREF _Toc30581707 \h </w:instrText>
            </w:r>
            <w:r>
              <w:rPr>
                <w:noProof/>
                <w:webHidden/>
              </w:rPr>
            </w:r>
            <w:r>
              <w:rPr>
                <w:noProof/>
                <w:webHidden/>
              </w:rPr>
              <w:fldChar w:fldCharType="separate"/>
            </w:r>
            <w:r>
              <w:rPr>
                <w:noProof/>
                <w:webHidden/>
              </w:rPr>
              <w:t>22</w:t>
            </w:r>
            <w:r>
              <w:rPr>
                <w:noProof/>
                <w:webHidden/>
              </w:rPr>
              <w:fldChar w:fldCharType="end"/>
            </w:r>
          </w:hyperlink>
        </w:p>
        <w:p w14:paraId="658EE474" w14:textId="12E10219" w:rsidR="00A613B3" w:rsidRDefault="00A613B3">
          <w:pPr>
            <w:pStyle w:val="TOC3"/>
            <w:rPr>
              <w:rFonts w:asciiTheme="minorHAnsi" w:eastAsiaTheme="minorEastAsia" w:hAnsiTheme="minorHAnsi" w:cstheme="minorBidi"/>
              <w:noProof/>
              <w:lang w:eastAsia="en-AU"/>
            </w:rPr>
          </w:pPr>
          <w:hyperlink w:anchor="_Toc30581708" w:history="1">
            <w:r w:rsidRPr="003B6410">
              <w:rPr>
                <w:rStyle w:val="Hyperlink"/>
                <w:noProof/>
              </w:rPr>
              <w:t>Risk-benefit analysis</w:t>
            </w:r>
            <w:r>
              <w:rPr>
                <w:noProof/>
                <w:webHidden/>
              </w:rPr>
              <w:tab/>
            </w:r>
            <w:r>
              <w:rPr>
                <w:noProof/>
                <w:webHidden/>
              </w:rPr>
              <w:fldChar w:fldCharType="begin"/>
            </w:r>
            <w:r>
              <w:rPr>
                <w:noProof/>
                <w:webHidden/>
              </w:rPr>
              <w:instrText xml:space="preserve"> PAGEREF _Toc30581708 \h </w:instrText>
            </w:r>
            <w:r>
              <w:rPr>
                <w:noProof/>
                <w:webHidden/>
              </w:rPr>
            </w:r>
            <w:r>
              <w:rPr>
                <w:noProof/>
                <w:webHidden/>
              </w:rPr>
              <w:fldChar w:fldCharType="separate"/>
            </w:r>
            <w:r>
              <w:rPr>
                <w:noProof/>
                <w:webHidden/>
              </w:rPr>
              <w:t>23</w:t>
            </w:r>
            <w:r>
              <w:rPr>
                <w:noProof/>
                <w:webHidden/>
              </w:rPr>
              <w:fldChar w:fldCharType="end"/>
            </w:r>
          </w:hyperlink>
        </w:p>
        <w:p w14:paraId="35DF11EE" w14:textId="466F253D" w:rsidR="00A613B3" w:rsidRDefault="00A613B3">
          <w:pPr>
            <w:pStyle w:val="TOC3"/>
            <w:rPr>
              <w:rFonts w:asciiTheme="minorHAnsi" w:eastAsiaTheme="minorEastAsia" w:hAnsiTheme="minorHAnsi" w:cstheme="minorBidi"/>
              <w:noProof/>
              <w:lang w:eastAsia="en-AU"/>
            </w:rPr>
          </w:pPr>
          <w:hyperlink w:anchor="_Toc30581709" w:history="1">
            <w:r w:rsidRPr="003B6410">
              <w:rPr>
                <w:rStyle w:val="Hyperlink"/>
                <w:noProof/>
              </w:rPr>
              <w:t>Outcome</w:t>
            </w:r>
            <w:r>
              <w:rPr>
                <w:noProof/>
                <w:webHidden/>
              </w:rPr>
              <w:tab/>
            </w:r>
            <w:r>
              <w:rPr>
                <w:noProof/>
                <w:webHidden/>
              </w:rPr>
              <w:fldChar w:fldCharType="begin"/>
            </w:r>
            <w:r>
              <w:rPr>
                <w:noProof/>
                <w:webHidden/>
              </w:rPr>
              <w:instrText xml:space="preserve"> PAGEREF _Toc30581709 \h </w:instrText>
            </w:r>
            <w:r>
              <w:rPr>
                <w:noProof/>
                <w:webHidden/>
              </w:rPr>
            </w:r>
            <w:r>
              <w:rPr>
                <w:noProof/>
                <w:webHidden/>
              </w:rPr>
              <w:fldChar w:fldCharType="separate"/>
            </w:r>
            <w:r>
              <w:rPr>
                <w:noProof/>
                <w:webHidden/>
              </w:rPr>
              <w:t>26</w:t>
            </w:r>
            <w:r>
              <w:rPr>
                <w:noProof/>
                <w:webHidden/>
              </w:rPr>
              <w:fldChar w:fldCharType="end"/>
            </w:r>
          </w:hyperlink>
        </w:p>
        <w:p w14:paraId="49BF9E7E" w14:textId="2296D585" w:rsidR="00A613B3" w:rsidRDefault="00A613B3">
          <w:pPr>
            <w:pStyle w:val="TOC2"/>
            <w:rPr>
              <w:rFonts w:asciiTheme="minorHAnsi" w:eastAsiaTheme="minorEastAsia" w:hAnsiTheme="minorHAnsi" w:cstheme="minorBidi"/>
              <w:b w:val="0"/>
              <w:noProof/>
              <w:sz w:val="22"/>
              <w:lang w:eastAsia="en-AU"/>
            </w:rPr>
          </w:pPr>
          <w:hyperlink w:anchor="_Toc30581710" w:history="1">
            <w:r w:rsidRPr="003B6410">
              <w:rPr>
                <w:rStyle w:val="Hyperlink"/>
                <w:noProof/>
              </w:rPr>
              <w:t>Attachment 1. Product Information</w:t>
            </w:r>
            <w:r>
              <w:rPr>
                <w:noProof/>
                <w:webHidden/>
              </w:rPr>
              <w:tab/>
            </w:r>
            <w:r>
              <w:rPr>
                <w:noProof/>
                <w:webHidden/>
              </w:rPr>
              <w:fldChar w:fldCharType="begin"/>
            </w:r>
            <w:r>
              <w:rPr>
                <w:noProof/>
                <w:webHidden/>
              </w:rPr>
              <w:instrText xml:space="preserve"> PAGEREF _Toc30581710 \h </w:instrText>
            </w:r>
            <w:r>
              <w:rPr>
                <w:noProof/>
                <w:webHidden/>
              </w:rPr>
            </w:r>
            <w:r>
              <w:rPr>
                <w:noProof/>
                <w:webHidden/>
              </w:rPr>
              <w:fldChar w:fldCharType="separate"/>
            </w:r>
            <w:r>
              <w:rPr>
                <w:noProof/>
                <w:webHidden/>
              </w:rPr>
              <w:t>29</w:t>
            </w:r>
            <w:r>
              <w:rPr>
                <w:noProof/>
                <w:webHidden/>
              </w:rPr>
              <w:fldChar w:fldCharType="end"/>
            </w:r>
          </w:hyperlink>
        </w:p>
        <w:p w14:paraId="750BF916" w14:textId="58CD9904" w:rsidR="003A7F6C" w:rsidRPr="00B811C6" w:rsidRDefault="00CD2383" w:rsidP="00B811C6">
          <w:pPr>
            <w:pStyle w:val="TOC2"/>
          </w:pPr>
          <w:r>
            <w:rPr>
              <w:rFonts w:ascii="Arial" w:hAnsi="Arial"/>
              <w:sz w:val="32"/>
            </w:rPr>
            <w:fldChar w:fldCharType="end"/>
          </w:r>
        </w:p>
      </w:sdtContent>
    </w:sdt>
    <w:bookmarkStart w:id="3" w:name="_Toc314842482" w:displacedByCustomXml="prev"/>
    <w:p w14:paraId="675FA71E" w14:textId="77777777" w:rsidR="00FD119B" w:rsidRDefault="00FD119B">
      <w:pPr>
        <w:spacing w:before="0" w:after="200" w:line="0" w:lineRule="auto"/>
      </w:pPr>
      <w:r>
        <w:br w:type="page"/>
      </w:r>
    </w:p>
    <w:p w14:paraId="683E150D" w14:textId="34CDFB15" w:rsidR="00C52E24" w:rsidRPr="00C52E24" w:rsidRDefault="00441C3F" w:rsidP="005A5895">
      <w:pPr>
        <w:pStyle w:val="Heading2"/>
      </w:pPr>
      <w:bookmarkStart w:id="4" w:name="_Toc351716269"/>
      <w:bookmarkStart w:id="5" w:name="_Toc351718881"/>
      <w:bookmarkStart w:id="6" w:name="_Toc355338616"/>
      <w:bookmarkStart w:id="7" w:name="_Toc356306144"/>
      <w:bookmarkStart w:id="8" w:name="_Toc30581696"/>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830"/>
      </w:tblGrid>
      <w:tr w:rsidR="005A5895" w:rsidRPr="000C2FEC" w14:paraId="2E6061C4" w14:textId="77777777" w:rsidTr="00F23105">
        <w:trPr>
          <w:cnfStyle w:val="100000000000" w:firstRow="1" w:lastRow="0" w:firstColumn="0" w:lastColumn="0" w:oddVBand="0" w:evenVBand="0" w:oddHBand="0" w:evenHBand="0" w:firstRowFirstColumn="0" w:firstRowLastColumn="0" w:lastRowFirstColumn="0" w:lastRowLastColumn="0"/>
        </w:trPr>
        <w:tc>
          <w:tcPr>
            <w:tcW w:w="1890" w:type="dxa"/>
          </w:tcPr>
          <w:p w14:paraId="7249216F" w14:textId="77777777" w:rsidR="005A5895" w:rsidRPr="000C2FEC" w:rsidRDefault="005A5895" w:rsidP="000C2FEC">
            <w:pPr>
              <w:rPr>
                <w:lang w:eastAsia="en-US"/>
              </w:rPr>
            </w:pPr>
            <w:r w:rsidRPr="000C2FEC">
              <w:rPr>
                <w:lang w:eastAsia="en-US"/>
              </w:rPr>
              <w:t>Abbreviation</w:t>
            </w:r>
          </w:p>
        </w:tc>
        <w:tc>
          <w:tcPr>
            <w:tcW w:w="6830" w:type="dxa"/>
          </w:tcPr>
          <w:p w14:paraId="7A948287" w14:textId="77777777" w:rsidR="005A5895" w:rsidRPr="000C2FEC" w:rsidRDefault="005A5895" w:rsidP="000C2FEC">
            <w:pPr>
              <w:rPr>
                <w:lang w:eastAsia="en-US"/>
              </w:rPr>
            </w:pPr>
            <w:r w:rsidRPr="000C2FEC">
              <w:rPr>
                <w:lang w:eastAsia="en-US"/>
              </w:rPr>
              <w:t>Meaning</w:t>
            </w:r>
          </w:p>
        </w:tc>
      </w:tr>
      <w:tr w:rsidR="005A5895" w:rsidRPr="000C2FEC" w14:paraId="455AB301" w14:textId="77777777" w:rsidTr="00F23105">
        <w:tc>
          <w:tcPr>
            <w:tcW w:w="1890" w:type="dxa"/>
          </w:tcPr>
          <w:p w14:paraId="42936542" w14:textId="77777777" w:rsidR="005A5895" w:rsidRPr="000C2FEC" w:rsidRDefault="005A5895" w:rsidP="000C2FEC">
            <w:pPr>
              <w:rPr>
                <w:rFonts w:asciiTheme="minorHAnsi" w:hAnsiTheme="minorHAnsi" w:cs="Calibri"/>
                <w:color w:val="000000"/>
                <w:szCs w:val="22"/>
              </w:rPr>
            </w:pPr>
            <w:r w:rsidRPr="000C2FEC">
              <w:rPr>
                <w:rFonts w:asciiTheme="minorHAnsi" w:hAnsiTheme="minorHAnsi" w:cs="Calibri"/>
                <w:color w:val="000000"/>
                <w:szCs w:val="22"/>
              </w:rPr>
              <w:t>ACIP</w:t>
            </w:r>
          </w:p>
        </w:tc>
        <w:tc>
          <w:tcPr>
            <w:tcW w:w="6830" w:type="dxa"/>
          </w:tcPr>
          <w:p w14:paraId="2BA072A3" w14:textId="42C4AC5B" w:rsidR="005A5895" w:rsidRPr="000C2FEC" w:rsidRDefault="005A5895" w:rsidP="000C2FEC">
            <w:pPr>
              <w:rPr>
                <w:rFonts w:asciiTheme="minorHAnsi" w:hAnsiTheme="minorHAnsi" w:cs="Calibri"/>
                <w:color w:val="000000"/>
                <w:szCs w:val="22"/>
              </w:rPr>
            </w:pPr>
            <w:r w:rsidRPr="000C2FEC">
              <w:rPr>
                <w:rFonts w:asciiTheme="minorHAnsi" w:eastAsia="TimesNewRoman" w:hAnsiTheme="minorHAnsi" w:cs="TimesNewRoman"/>
                <w:szCs w:val="22"/>
              </w:rPr>
              <w:t>Advisory Committee on Immunization Practices</w:t>
            </w:r>
            <w:r w:rsidR="00F32723">
              <w:rPr>
                <w:rFonts w:asciiTheme="minorHAnsi" w:eastAsia="TimesNewRoman" w:hAnsiTheme="minorHAnsi" w:cs="TimesNewRoman"/>
                <w:szCs w:val="22"/>
              </w:rPr>
              <w:t xml:space="preserve"> (USA)</w:t>
            </w:r>
          </w:p>
        </w:tc>
      </w:tr>
      <w:tr w:rsidR="005A5895" w:rsidRPr="000C2FEC" w14:paraId="778FC624" w14:textId="77777777" w:rsidTr="00F23105">
        <w:tc>
          <w:tcPr>
            <w:tcW w:w="1890" w:type="dxa"/>
          </w:tcPr>
          <w:p w14:paraId="4391F465" w14:textId="77777777" w:rsidR="005A5895" w:rsidRPr="000C2FEC" w:rsidRDefault="005A5895" w:rsidP="000C2FEC">
            <w:pPr>
              <w:rPr>
                <w:rFonts w:asciiTheme="minorHAnsi" w:hAnsiTheme="minorHAnsi"/>
                <w:szCs w:val="22"/>
              </w:rPr>
            </w:pPr>
            <w:r w:rsidRPr="000C2FEC">
              <w:rPr>
                <w:rFonts w:asciiTheme="minorHAnsi" w:hAnsiTheme="minorHAnsi" w:cs="Calibri"/>
                <w:color w:val="000000"/>
                <w:szCs w:val="22"/>
              </w:rPr>
              <w:t>AE</w:t>
            </w:r>
          </w:p>
        </w:tc>
        <w:tc>
          <w:tcPr>
            <w:tcW w:w="6830" w:type="dxa"/>
          </w:tcPr>
          <w:p w14:paraId="5159A806" w14:textId="2D629C8F" w:rsidR="005A5895" w:rsidRPr="000C2FEC" w:rsidRDefault="005A5895" w:rsidP="000C2FEC">
            <w:pPr>
              <w:rPr>
                <w:rFonts w:asciiTheme="minorHAnsi" w:hAnsiTheme="minorHAnsi"/>
                <w:szCs w:val="22"/>
              </w:rPr>
            </w:pPr>
            <w:r w:rsidRPr="000C2FEC">
              <w:rPr>
                <w:rFonts w:asciiTheme="minorHAnsi" w:hAnsiTheme="minorHAnsi" w:cs="Calibri"/>
                <w:color w:val="000000"/>
                <w:szCs w:val="22"/>
              </w:rPr>
              <w:t>Adverse event</w:t>
            </w:r>
            <w:r w:rsidR="001C63C1">
              <w:rPr>
                <w:rFonts w:asciiTheme="minorHAnsi" w:hAnsiTheme="minorHAnsi" w:cs="Calibri"/>
                <w:color w:val="000000"/>
                <w:szCs w:val="22"/>
              </w:rPr>
              <w:t>(s)</w:t>
            </w:r>
          </w:p>
        </w:tc>
      </w:tr>
      <w:tr w:rsidR="00452FEA" w:rsidRPr="000C2FEC" w14:paraId="6F7EB87C" w14:textId="77777777" w:rsidTr="00F23105">
        <w:tc>
          <w:tcPr>
            <w:tcW w:w="1890" w:type="dxa"/>
          </w:tcPr>
          <w:p w14:paraId="32BF866A" w14:textId="09DBC280" w:rsidR="00452FEA" w:rsidRPr="000C2FEC" w:rsidRDefault="00452FEA" w:rsidP="000C2FEC">
            <w:pPr>
              <w:autoSpaceDE w:val="0"/>
              <w:autoSpaceDN w:val="0"/>
              <w:adjustRightInd w:val="0"/>
              <w:rPr>
                <w:rFonts w:asciiTheme="minorHAnsi" w:eastAsiaTheme="minorHAnsi" w:hAnsiTheme="minorHAnsi"/>
                <w:color w:val="000000"/>
              </w:rPr>
            </w:pPr>
            <w:r>
              <w:rPr>
                <w:rFonts w:asciiTheme="minorHAnsi" w:eastAsiaTheme="minorHAnsi" w:hAnsiTheme="minorHAnsi"/>
                <w:color w:val="000000"/>
              </w:rPr>
              <w:t>AR</w:t>
            </w:r>
          </w:p>
        </w:tc>
        <w:tc>
          <w:tcPr>
            <w:tcW w:w="6830" w:type="dxa"/>
          </w:tcPr>
          <w:p w14:paraId="789461F4" w14:textId="6E17191C" w:rsidR="00452FEA" w:rsidRPr="000C2FEC" w:rsidRDefault="00452FEA" w:rsidP="000C2FEC">
            <w:pPr>
              <w:autoSpaceDE w:val="0"/>
              <w:autoSpaceDN w:val="0"/>
              <w:adjustRightInd w:val="0"/>
              <w:rPr>
                <w:rFonts w:asciiTheme="minorHAnsi" w:eastAsiaTheme="minorHAnsi" w:hAnsiTheme="minorHAnsi"/>
                <w:color w:val="000000"/>
              </w:rPr>
            </w:pPr>
            <w:r>
              <w:rPr>
                <w:rFonts w:asciiTheme="minorHAnsi" w:eastAsiaTheme="minorHAnsi" w:hAnsiTheme="minorHAnsi"/>
                <w:color w:val="000000"/>
              </w:rPr>
              <w:t>Adverse reaction</w:t>
            </w:r>
          </w:p>
        </w:tc>
      </w:tr>
      <w:tr w:rsidR="005A5895" w:rsidRPr="000C2FEC" w14:paraId="71A5AC27" w14:textId="77777777" w:rsidTr="00F23105">
        <w:tc>
          <w:tcPr>
            <w:tcW w:w="1890" w:type="dxa"/>
          </w:tcPr>
          <w:p w14:paraId="4AD380A5" w14:textId="77777777" w:rsidR="005A5895" w:rsidRPr="000C2FEC" w:rsidRDefault="005A5895" w:rsidP="000C2FEC">
            <w:pPr>
              <w:autoSpaceDE w:val="0"/>
              <w:autoSpaceDN w:val="0"/>
              <w:adjustRightInd w:val="0"/>
              <w:rPr>
                <w:rFonts w:asciiTheme="minorHAnsi" w:hAnsiTheme="minorHAnsi" w:cs="ArialNarrow"/>
                <w:szCs w:val="22"/>
              </w:rPr>
            </w:pPr>
            <w:r w:rsidRPr="000C2FEC">
              <w:rPr>
                <w:rFonts w:asciiTheme="minorHAnsi" w:hAnsiTheme="minorHAnsi" w:cs="ArialNarrow"/>
                <w:szCs w:val="22"/>
              </w:rPr>
              <w:t>ASA</w:t>
            </w:r>
          </w:p>
        </w:tc>
        <w:tc>
          <w:tcPr>
            <w:tcW w:w="6830" w:type="dxa"/>
          </w:tcPr>
          <w:p w14:paraId="2EFB16C7" w14:textId="2E3D98F8" w:rsidR="005A5895" w:rsidRPr="000C2FEC" w:rsidRDefault="00452FEA" w:rsidP="00F32723">
            <w:pPr>
              <w:autoSpaceDE w:val="0"/>
              <w:autoSpaceDN w:val="0"/>
              <w:adjustRightInd w:val="0"/>
              <w:rPr>
                <w:rFonts w:asciiTheme="minorHAnsi" w:hAnsiTheme="minorHAnsi" w:cs="ArialNarrow"/>
                <w:szCs w:val="22"/>
              </w:rPr>
            </w:pPr>
            <w:r>
              <w:rPr>
                <w:rFonts w:asciiTheme="minorHAnsi" w:eastAsiaTheme="minorHAnsi" w:hAnsiTheme="minorHAnsi" w:cs="Cambria"/>
                <w:color w:val="000000"/>
                <w:szCs w:val="22"/>
              </w:rPr>
              <w:t xml:space="preserve">Australian </w:t>
            </w:r>
            <w:r w:rsidR="00F32723">
              <w:rPr>
                <w:rFonts w:asciiTheme="minorHAnsi" w:eastAsiaTheme="minorHAnsi" w:hAnsiTheme="minorHAnsi" w:cs="Cambria"/>
                <w:color w:val="000000"/>
                <w:szCs w:val="22"/>
              </w:rPr>
              <w:t>specific annex</w:t>
            </w:r>
          </w:p>
        </w:tc>
      </w:tr>
      <w:tr w:rsidR="005A5895" w:rsidRPr="000C2FEC" w14:paraId="6003B14E" w14:textId="77777777" w:rsidTr="00F23105">
        <w:tc>
          <w:tcPr>
            <w:tcW w:w="1890" w:type="dxa"/>
          </w:tcPr>
          <w:p w14:paraId="3687E32E" w14:textId="3C9ECEDB" w:rsidR="005A5895" w:rsidRPr="000C2FEC" w:rsidRDefault="00F23105" w:rsidP="00F23105">
            <w:pPr>
              <w:autoSpaceDE w:val="0"/>
              <w:autoSpaceDN w:val="0"/>
              <w:adjustRightInd w:val="0"/>
              <w:rPr>
                <w:rFonts w:asciiTheme="minorHAnsi" w:hAnsiTheme="minorHAnsi" w:cs="Calibri"/>
                <w:color w:val="000000"/>
                <w:szCs w:val="22"/>
              </w:rPr>
            </w:pPr>
            <w:r>
              <w:rPr>
                <w:rFonts w:asciiTheme="minorHAnsi" w:hAnsiTheme="minorHAnsi" w:cs="ArialNarrow"/>
                <w:szCs w:val="22"/>
              </w:rPr>
              <w:t>CHMP</w:t>
            </w:r>
          </w:p>
        </w:tc>
        <w:tc>
          <w:tcPr>
            <w:tcW w:w="6830" w:type="dxa"/>
          </w:tcPr>
          <w:p w14:paraId="1623370D" w14:textId="70CB771F" w:rsidR="005A5895" w:rsidRPr="000C2FEC" w:rsidRDefault="005A5895" w:rsidP="000C2FEC">
            <w:pPr>
              <w:autoSpaceDE w:val="0"/>
              <w:autoSpaceDN w:val="0"/>
              <w:adjustRightInd w:val="0"/>
              <w:rPr>
                <w:rFonts w:asciiTheme="minorHAnsi" w:hAnsiTheme="minorHAnsi" w:cs="ArialNarrow"/>
                <w:szCs w:val="22"/>
              </w:rPr>
            </w:pPr>
            <w:r w:rsidRPr="000C2FEC">
              <w:rPr>
                <w:rFonts w:asciiTheme="minorHAnsi" w:hAnsiTheme="minorHAnsi" w:cs="ArialNarrow"/>
                <w:szCs w:val="22"/>
              </w:rPr>
              <w:t>Committee for Medicinal Products for Human Use</w:t>
            </w:r>
            <w:r w:rsidR="00F32723">
              <w:rPr>
                <w:rFonts w:asciiTheme="minorHAnsi" w:hAnsiTheme="minorHAnsi" w:cs="ArialNarrow"/>
                <w:szCs w:val="22"/>
              </w:rPr>
              <w:t xml:space="preserve"> (EU)</w:t>
            </w:r>
          </w:p>
        </w:tc>
      </w:tr>
      <w:tr w:rsidR="00F23105" w:rsidRPr="000C2FEC" w14:paraId="283AE90E" w14:textId="77777777" w:rsidTr="00F23105">
        <w:tc>
          <w:tcPr>
            <w:tcW w:w="1890" w:type="dxa"/>
          </w:tcPr>
          <w:p w14:paraId="65FA7CA9" w14:textId="3D551EA3" w:rsidR="00F23105" w:rsidRPr="000C2FEC" w:rsidRDefault="00F23105" w:rsidP="000C2FEC">
            <w:pPr>
              <w:autoSpaceDE w:val="0"/>
              <w:autoSpaceDN w:val="0"/>
              <w:adjustRightInd w:val="0"/>
              <w:rPr>
                <w:rFonts w:asciiTheme="minorHAnsi" w:hAnsiTheme="minorHAnsi" w:cs="ArialNarrow"/>
              </w:rPr>
            </w:pPr>
            <w:r>
              <w:t>CPMP</w:t>
            </w:r>
          </w:p>
        </w:tc>
        <w:tc>
          <w:tcPr>
            <w:tcW w:w="6830" w:type="dxa"/>
          </w:tcPr>
          <w:p w14:paraId="558D491E" w14:textId="48A5DFDD" w:rsidR="00F23105" w:rsidRPr="000C2FEC" w:rsidRDefault="00F23105" w:rsidP="00F23105">
            <w:pPr>
              <w:autoSpaceDE w:val="0"/>
              <w:autoSpaceDN w:val="0"/>
              <w:adjustRightInd w:val="0"/>
              <w:rPr>
                <w:rFonts w:asciiTheme="minorHAnsi" w:hAnsiTheme="minorHAnsi" w:cs="ArialNarrow"/>
              </w:rPr>
            </w:pPr>
            <w:r w:rsidRPr="00733D82">
              <w:t>Committee for</w:t>
            </w:r>
            <w:r>
              <w:t xml:space="preserve"> Proprietary Medicinal Products</w:t>
            </w:r>
            <w:r w:rsidR="00F32723">
              <w:t xml:space="preserve"> (EU)</w:t>
            </w:r>
          </w:p>
        </w:tc>
      </w:tr>
      <w:tr w:rsidR="005A5895" w:rsidRPr="000C2FEC" w14:paraId="124F9532" w14:textId="77777777" w:rsidTr="00F23105">
        <w:tc>
          <w:tcPr>
            <w:tcW w:w="1890" w:type="dxa"/>
          </w:tcPr>
          <w:p w14:paraId="08B5F766" w14:textId="4C157711" w:rsidR="005A5895" w:rsidRPr="000C2FEC" w:rsidRDefault="00F23105" w:rsidP="000C2FEC">
            <w:pPr>
              <w:autoSpaceDE w:val="0"/>
              <w:autoSpaceDN w:val="0"/>
              <w:adjustRightInd w:val="0"/>
              <w:rPr>
                <w:rFonts w:asciiTheme="minorHAnsi" w:hAnsiTheme="minorHAnsi" w:cs="ArialNarrow"/>
                <w:szCs w:val="22"/>
              </w:rPr>
            </w:pPr>
            <w:r>
              <w:rPr>
                <w:rFonts w:asciiTheme="minorHAnsi" w:hAnsiTheme="minorHAnsi" w:cs="ArialNarrow"/>
                <w:szCs w:val="22"/>
              </w:rPr>
              <w:t>CI</w:t>
            </w:r>
          </w:p>
        </w:tc>
        <w:tc>
          <w:tcPr>
            <w:tcW w:w="6830" w:type="dxa"/>
          </w:tcPr>
          <w:p w14:paraId="47E0B369" w14:textId="6C990DBF" w:rsidR="005A5895" w:rsidRPr="000C2FEC" w:rsidRDefault="00F23643" w:rsidP="000C2FEC">
            <w:pPr>
              <w:autoSpaceDE w:val="0"/>
              <w:autoSpaceDN w:val="0"/>
              <w:adjustRightInd w:val="0"/>
              <w:rPr>
                <w:rFonts w:asciiTheme="minorHAnsi" w:hAnsiTheme="minorHAnsi" w:cs="Calibri"/>
                <w:color w:val="000000"/>
                <w:szCs w:val="22"/>
              </w:rPr>
            </w:pPr>
            <w:r>
              <w:rPr>
                <w:rFonts w:asciiTheme="minorHAnsi" w:hAnsiTheme="minorHAnsi" w:cs="ArialNarrow"/>
                <w:szCs w:val="22"/>
              </w:rPr>
              <w:t>Confidence i</w:t>
            </w:r>
            <w:r w:rsidR="005A5895" w:rsidRPr="000C2FEC">
              <w:rPr>
                <w:rFonts w:asciiTheme="minorHAnsi" w:hAnsiTheme="minorHAnsi" w:cs="ArialNarrow"/>
                <w:szCs w:val="22"/>
              </w:rPr>
              <w:t>nterval</w:t>
            </w:r>
          </w:p>
        </w:tc>
      </w:tr>
      <w:tr w:rsidR="00490D74" w:rsidRPr="000C2FEC" w14:paraId="3EEE19D5" w14:textId="77777777" w:rsidTr="00F23105">
        <w:tc>
          <w:tcPr>
            <w:tcW w:w="1890" w:type="dxa"/>
          </w:tcPr>
          <w:p w14:paraId="0011B6B3" w14:textId="0C5EDD17" w:rsidR="00490D74" w:rsidRPr="000C2FEC" w:rsidRDefault="00490D74" w:rsidP="000C2FEC">
            <w:pPr>
              <w:autoSpaceDE w:val="0"/>
              <w:autoSpaceDN w:val="0"/>
              <w:adjustRightInd w:val="0"/>
              <w:rPr>
                <w:rFonts w:asciiTheme="minorHAnsi" w:hAnsiTheme="minorHAnsi" w:cs="ArialNarrow"/>
              </w:rPr>
            </w:pPr>
            <w:r>
              <w:rPr>
                <w:rFonts w:asciiTheme="minorHAnsi" w:hAnsiTheme="minorHAnsi" w:cs="ArialNarrow"/>
              </w:rPr>
              <w:t>CMI</w:t>
            </w:r>
          </w:p>
        </w:tc>
        <w:tc>
          <w:tcPr>
            <w:tcW w:w="6830" w:type="dxa"/>
          </w:tcPr>
          <w:p w14:paraId="429A925F" w14:textId="0829F145" w:rsidR="00490D74" w:rsidRPr="000C2FEC" w:rsidRDefault="00490D74" w:rsidP="000C2FEC">
            <w:pPr>
              <w:autoSpaceDE w:val="0"/>
              <w:autoSpaceDN w:val="0"/>
              <w:adjustRightInd w:val="0"/>
              <w:rPr>
                <w:rFonts w:asciiTheme="minorHAnsi" w:hAnsiTheme="minorHAnsi" w:cs="ArialNarrow"/>
              </w:rPr>
            </w:pPr>
            <w:r>
              <w:rPr>
                <w:rFonts w:asciiTheme="minorHAnsi" w:hAnsiTheme="minorHAnsi" w:cs="ArialNarrow"/>
              </w:rPr>
              <w:t>Consumer Medicines Information</w:t>
            </w:r>
          </w:p>
        </w:tc>
      </w:tr>
      <w:tr w:rsidR="00452FEA" w:rsidRPr="000C2FEC" w14:paraId="488BFA76" w14:textId="77777777" w:rsidTr="00F23105">
        <w:tc>
          <w:tcPr>
            <w:tcW w:w="1890" w:type="dxa"/>
          </w:tcPr>
          <w:p w14:paraId="67F53CF4" w14:textId="681A2F48" w:rsidR="00452FEA" w:rsidRDefault="00452FEA" w:rsidP="000C2FEC">
            <w:pPr>
              <w:autoSpaceDE w:val="0"/>
              <w:autoSpaceDN w:val="0"/>
              <w:adjustRightInd w:val="0"/>
              <w:rPr>
                <w:rFonts w:asciiTheme="minorHAnsi" w:hAnsiTheme="minorHAnsi" w:cs="ArialNarrow"/>
              </w:rPr>
            </w:pPr>
            <w:r>
              <w:t>DLP</w:t>
            </w:r>
          </w:p>
        </w:tc>
        <w:tc>
          <w:tcPr>
            <w:tcW w:w="6830" w:type="dxa"/>
          </w:tcPr>
          <w:p w14:paraId="46305DD1" w14:textId="707AECB8" w:rsidR="00452FEA" w:rsidRDefault="00452FEA" w:rsidP="00452FEA">
            <w:pPr>
              <w:autoSpaceDE w:val="0"/>
              <w:autoSpaceDN w:val="0"/>
              <w:adjustRightInd w:val="0"/>
              <w:rPr>
                <w:rFonts w:asciiTheme="minorHAnsi" w:hAnsiTheme="minorHAnsi" w:cs="ArialNarrow"/>
              </w:rPr>
            </w:pPr>
            <w:r>
              <w:t>Data lock point</w:t>
            </w:r>
          </w:p>
        </w:tc>
      </w:tr>
      <w:tr w:rsidR="00A660E4" w:rsidRPr="000C2FEC" w14:paraId="2276EF25" w14:textId="77777777" w:rsidTr="00F23105">
        <w:tc>
          <w:tcPr>
            <w:tcW w:w="1890" w:type="dxa"/>
          </w:tcPr>
          <w:p w14:paraId="19B01EFF" w14:textId="26E1ED92" w:rsidR="00A660E4" w:rsidRDefault="00A660E4" w:rsidP="000C2FEC">
            <w:pPr>
              <w:autoSpaceDE w:val="0"/>
              <w:autoSpaceDN w:val="0"/>
              <w:adjustRightInd w:val="0"/>
            </w:pPr>
            <w:r>
              <w:t>DP</w:t>
            </w:r>
          </w:p>
        </w:tc>
        <w:tc>
          <w:tcPr>
            <w:tcW w:w="6830" w:type="dxa"/>
          </w:tcPr>
          <w:p w14:paraId="14A1E911" w14:textId="5DD0810C" w:rsidR="00A660E4" w:rsidRDefault="00A660E4" w:rsidP="00F32723">
            <w:pPr>
              <w:autoSpaceDE w:val="0"/>
              <w:autoSpaceDN w:val="0"/>
              <w:adjustRightInd w:val="0"/>
            </w:pPr>
            <w:r>
              <w:t xml:space="preserve">Drug </w:t>
            </w:r>
            <w:r w:rsidR="00F32723">
              <w:t>product</w:t>
            </w:r>
          </w:p>
        </w:tc>
      </w:tr>
      <w:tr w:rsidR="00A660E4" w:rsidRPr="000C2FEC" w14:paraId="7F8600AE" w14:textId="77777777" w:rsidTr="00F23105">
        <w:tc>
          <w:tcPr>
            <w:tcW w:w="1890" w:type="dxa"/>
          </w:tcPr>
          <w:p w14:paraId="3CEED79F" w14:textId="4F65A920" w:rsidR="00A660E4" w:rsidRDefault="00A660E4" w:rsidP="000C2FEC">
            <w:pPr>
              <w:autoSpaceDE w:val="0"/>
              <w:autoSpaceDN w:val="0"/>
              <w:adjustRightInd w:val="0"/>
              <w:rPr>
                <w:rFonts w:asciiTheme="minorHAnsi" w:hAnsiTheme="minorHAnsi" w:cs="ArialNarrow"/>
              </w:rPr>
            </w:pPr>
            <w:r>
              <w:t>DS</w:t>
            </w:r>
          </w:p>
        </w:tc>
        <w:tc>
          <w:tcPr>
            <w:tcW w:w="6830" w:type="dxa"/>
          </w:tcPr>
          <w:p w14:paraId="31D2D018" w14:textId="3D147CA8" w:rsidR="00A660E4" w:rsidRDefault="00A660E4" w:rsidP="00A660E4">
            <w:pPr>
              <w:autoSpaceDE w:val="0"/>
              <w:autoSpaceDN w:val="0"/>
              <w:adjustRightInd w:val="0"/>
              <w:rPr>
                <w:rFonts w:asciiTheme="minorHAnsi" w:hAnsiTheme="minorHAnsi" w:cs="ArialNarrow"/>
              </w:rPr>
            </w:pPr>
            <w:r>
              <w:t>Drug substance</w:t>
            </w:r>
          </w:p>
        </w:tc>
      </w:tr>
      <w:tr w:rsidR="005A5895" w:rsidRPr="000C2FEC" w14:paraId="4113976F" w14:textId="77777777" w:rsidTr="00F23105">
        <w:tc>
          <w:tcPr>
            <w:tcW w:w="1890" w:type="dxa"/>
          </w:tcPr>
          <w:p w14:paraId="121B4EAC" w14:textId="6ACD99A9" w:rsidR="005A5895" w:rsidRPr="000C2FEC" w:rsidRDefault="00733D82" w:rsidP="000C2FEC">
            <w:pPr>
              <w:autoSpaceDE w:val="0"/>
              <w:autoSpaceDN w:val="0"/>
              <w:adjustRightInd w:val="0"/>
              <w:rPr>
                <w:rFonts w:asciiTheme="minorHAnsi" w:hAnsiTheme="minorHAnsi" w:cs="ArialNarrow"/>
                <w:szCs w:val="22"/>
              </w:rPr>
            </w:pPr>
            <w:r>
              <w:rPr>
                <w:rFonts w:asciiTheme="minorHAnsi" w:hAnsiTheme="minorHAnsi" w:cs="ArialNarrow"/>
                <w:szCs w:val="22"/>
              </w:rPr>
              <w:t>EM</w:t>
            </w:r>
            <w:r w:rsidR="005A5895" w:rsidRPr="000C2FEC">
              <w:rPr>
                <w:rFonts w:asciiTheme="minorHAnsi" w:hAnsiTheme="minorHAnsi" w:cs="ArialNarrow"/>
                <w:szCs w:val="22"/>
              </w:rPr>
              <w:t>A</w:t>
            </w:r>
          </w:p>
        </w:tc>
        <w:tc>
          <w:tcPr>
            <w:tcW w:w="6830" w:type="dxa"/>
          </w:tcPr>
          <w:p w14:paraId="3CA5D61B" w14:textId="56DCC67A" w:rsidR="005A5895" w:rsidRPr="000C2FEC" w:rsidRDefault="005A5895" w:rsidP="000C2FEC">
            <w:pPr>
              <w:autoSpaceDE w:val="0"/>
              <w:autoSpaceDN w:val="0"/>
              <w:adjustRightInd w:val="0"/>
              <w:rPr>
                <w:rFonts w:asciiTheme="minorHAnsi" w:hAnsiTheme="minorHAnsi" w:cs="ArialNarrow"/>
                <w:szCs w:val="22"/>
              </w:rPr>
            </w:pPr>
            <w:r w:rsidRPr="000C2FEC">
              <w:rPr>
                <w:rFonts w:asciiTheme="minorHAnsi" w:hAnsiTheme="minorHAnsi" w:cs="ArialNarrow"/>
                <w:szCs w:val="22"/>
              </w:rPr>
              <w:t>European Medicines Agency</w:t>
            </w:r>
            <w:r w:rsidR="00F32723">
              <w:rPr>
                <w:rFonts w:asciiTheme="minorHAnsi" w:hAnsiTheme="minorHAnsi" w:cs="ArialNarrow"/>
                <w:szCs w:val="22"/>
              </w:rPr>
              <w:t xml:space="preserve"> (EU)</w:t>
            </w:r>
          </w:p>
        </w:tc>
      </w:tr>
      <w:tr w:rsidR="005A5895" w:rsidRPr="000C2FEC" w14:paraId="03A40CCC" w14:textId="77777777" w:rsidTr="00F23105">
        <w:tc>
          <w:tcPr>
            <w:tcW w:w="1890" w:type="dxa"/>
          </w:tcPr>
          <w:p w14:paraId="27A55E0F" w14:textId="77777777" w:rsidR="005A5895" w:rsidRPr="000C2FEC" w:rsidRDefault="005A5895" w:rsidP="000C2FEC">
            <w:pPr>
              <w:autoSpaceDE w:val="0"/>
              <w:autoSpaceDN w:val="0"/>
              <w:adjustRightInd w:val="0"/>
              <w:rPr>
                <w:rFonts w:asciiTheme="minorHAnsi" w:hAnsiTheme="minorHAnsi" w:cs="ArialNarrow"/>
                <w:szCs w:val="22"/>
              </w:rPr>
            </w:pPr>
            <w:r w:rsidRPr="000C2FEC">
              <w:rPr>
                <w:rFonts w:asciiTheme="minorHAnsi" w:hAnsiTheme="minorHAnsi" w:cs="ArialNarrow"/>
                <w:szCs w:val="22"/>
              </w:rPr>
              <w:t>EU</w:t>
            </w:r>
          </w:p>
        </w:tc>
        <w:tc>
          <w:tcPr>
            <w:tcW w:w="6830" w:type="dxa"/>
          </w:tcPr>
          <w:p w14:paraId="0E162C09" w14:textId="77777777" w:rsidR="005A5895" w:rsidRPr="000C2FEC" w:rsidRDefault="005A5895" w:rsidP="000C2FEC">
            <w:pPr>
              <w:autoSpaceDE w:val="0"/>
              <w:autoSpaceDN w:val="0"/>
              <w:adjustRightInd w:val="0"/>
              <w:rPr>
                <w:rFonts w:asciiTheme="minorHAnsi" w:hAnsiTheme="minorHAnsi" w:cs="ArialNarrow"/>
                <w:szCs w:val="22"/>
              </w:rPr>
            </w:pPr>
            <w:r w:rsidRPr="000C2FEC">
              <w:rPr>
                <w:rFonts w:asciiTheme="minorHAnsi" w:hAnsiTheme="minorHAnsi" w:cs="ArialNarrow"/>
                <w:szCs w:val="22"/>
              </w:rPr>
              <w:t>European Union</w:t>
            </w:r>
          </w:p>
        </w:tc>
      </w:tr>
      <w:tr w:rsidR="00452FEA" w:rsidRPr="000C2FEC" w14:paraId="057F8286" w14:textId="77777777" w:rsidTr="00F23105">
        <w:tc>
          <w:tcPr>
            <w:tcW w:w="1890" w:type="dxa"/>
          </w:tcPr>
          <w:p w14:paraId="301F9EA4" w14:textId="38120541" w:rsidR="00452FEA" w:rsidRPr="000C2FEC" w:rsidRDefault="00452FEA" w:rsidP="000C2FEC">
            <w:pPr>
              <w:autoSpaceDE w:val="0"/>
              <w:autoSpaceDN w:val="0"/>
              <w:adjustRightInd w:val="0"/>
              <w:rPr>
                <w:rFonts w:asciiTheme="minorHAnsi" w:hAnsiTheme="minorHAnsi" w:cs="ArialNarrow"/>
              </w:rPr>
            </w:pPr>
            <w:r>
              <w:t>EU-RMP</w:t>
            </w:r>
          </w:p>
        </w:tc>
        <w:tc>
          <w:tcPr>
            <w:tcW w:w="6830" w:type="dxa"/>
          </w:tcPr>
          <w:p w14:paraId="4815C04F" w14:textId="004FE628" w:rsidR="00452FEA" w:rsidRPr="000C2FEC" w:rsidRDefault="00452FEA" w:rsidP="00452FEA">
            <w:pPr>
              <w:autoSpaceDE w:val="0"/>
              <w:autoSpaceDN w:val="0"/>
              <w:adjustRightInd w:val="0"/>
              <w:rPr>
                <w:rFonts w:asciiTheme="minorHAnsi" w:hAnsiTheme="minorHAnsi" w:cs="ArialNarrow"/>
              </w:rPr>
            </w:pPr>
            <w:r>
              <w:t>European Union Risk Management Plan</w:t>
            </w:r>
          </w:p>
        </w:tc>
      </w:tr>
      <w:tr w:rsidR="005A5895" w:rsidRPr="000C2FEC" w14:paraId="6ABC8A47" w14:textId="77777777" w:rsidTr="00F23105">
        <w:tc>
          <w:tcPr>
            <w:tcW w:w="1890" w:type="dxa"/>
          </w:tcPr>
          <w:p w14:paraId="478B9213" w14:textId="77777777" w:rsidR="005A5895" w:rsidRPr="000C2FEC" w:rsidRDefault="005A5895" w:rsidP="000C2FEC">
            <w:pPr>
              <w:autoSpaceDE w:val="0"/>
              <w:autoSpaceDN w:val="0"/>
              <w:adjustRightInd w:val="0"/>
              <w:rPr>
                <w:rFonts w:asciiTheme="minorHAnsi" w:hAnsiTheme="minorHAnsi" w:cs="ArialNarrow"/>
                <w:szCs w:val="22"/>
              </w:rPr>
            </w:pPr>
            <w:r w:rsidRPr="000C2FEC">
              <w:rPr>
                <w:rFonts w:asciiTheme="minorHAnsi" w:hAnsiTheme="minorHAnsi" w:cs="ArialNarrow"/>
                <w:szCs w:val="22"/>
              </w:rPr>
              <w:t>FAS</w:t>
            </w:r>
          </w:p>
        </w:tc>
        <w:tc>
          <w:tcPr>
            <w:tcW w:w="6830" w:type="dxa"/>
          </w:tcPr>
          <w:p w14:paraId="506FC3EF" w14:textId="133EA499" w:rsidR="005A5895" w:rsidRPr="000C2FEC" w:rsidRDefault="005A5895" w:rsidP="00AC57E8">
            <w:pPr>
              <w:autoSpaceDE w:val="0"/>
              <w:autoSpaceDN w:val="0"/>
              <w:adjustRightInd w:val="0"/>
              <w:rPr>
                <w:rFonts w:asciiTheme="minorHAnsi" w:hAnsiTheme="minorHAnsi" w:cs="ArialNarrow"/>
                <w:szCs w:val="22"/>
              </w:rPr>
            </w:pPr>
            <w:r w:rsidRPr="000C2FEC">
              <w:rPr>
                <w:rFonts w:asciiTheme="minorHAnsi" w:hAnsiTheme="minorHAnsi" w:cs="ArialNarrow"/>
                <w:szCs w:val="22"/>
              </w:rPr>
              <w:t>Full analysis s</w:t>
            </w:r>
            <w:r w:rsidR="00AC57E8">
              <w:rPr>
                <w:rFonts w:asciiTheme="minorHAnsi" w:hAnsiTheme="minorHAnsi" w:cs="ArialNarrow"/>
                <w:szCs w:val="22"/>
              </w:rPr>
              <w:t>et</w:t>
            </w:r>
          </w:p>
        </w:tc>
      </w:tr>
      <w:tr w:rsidR="005A5895" w:rsidRPr="000C2FEC" w14:paraId="038E9B3E" w14:textId="77777777" w:rsidTr="00F23105">
        <w:tc>
          <w:tcPr>
            <w:tcW w:w="1890" w:type="dxa"/>
          </w:tcPr>
          <w:p w14:paraId="5E11B98E" w14:textId="77777777" w:rsidR="005A5895" w:rsidRPr="000C2FEC" w:rsidRDefault="005A5895" w:rsidP="000C2FEC">
            <w:pPr>
              <w:autoSpaceDE w:val="0"/>
              <w:autoSpaceDN w:val="0"/>
              <w:adjustRightInd w:val="0"/>
              <w:rPr>
                <w:rFonts w:asciiTheme="minorHAnsi" w:hAnsiTheme="minorHAnsi" w:cs="ArialNarrow"/>
                <w:szCs w:val="22"/>
              </w:rPr>
            </w:pPr>
            <w:r w:rsidRPr="000C2FEC">
              <w:rPr>
                <w:rFonts w:asciiTheme="minorHAnsi" w:hAnsiTheme="minorHAnsi" w:cs="ArialNarrow"/>
                <w:szCs w:val="22"/>
              </w:rPr>
              <w:t>FASE</w:t>
            </w:r>
          </w:p>
        </w:tc>
        <w:tc>
          <w:tcPr>
            <w:tcW w:w="6830" w:type="dxa"/>
          </w:tcPr>
          <w:p w14:paraId="69086EC6" w14:textId="77777777" w:rsidR="005A5895" w:rsidRPr="000C2FEC" w:rsidRDefault="005A5895" w:rsidP="000C2FEC">
            <w:pPr>
              <w:autoSpaceDE w:val="0"/>
              <w:autoSpaceDN w:val="0"/>
              <w:adjustRightInd w:val="0"/>
              <w:rPr>
                <w:rFonts w:asciiTheme="minorHAnsi" w:eastAsiaTheme="minorHAnsi" w:hAnsiTheme="minorHAnsi" w:cs="TimesNewRoman"/>
                <w:szCs w:val="22"/>
              </w:rPr>
            </w:pPr>
            <w:r w:rsidRPr="000C2FEC">
              <w:rPr>
                <w:rFonts w:asciiTheme="minorHAnsi" w:eastAsiaTheme="minorHAnsi" w:hAnsiTheme="minorHAnsi" w:cs="TimesNewRoman"/>
                <w:szCs w:val="22"/>
              </w:rPr>
              <w:t>Full analysis set for efficacy</w:t>
            </w:r>
          </w:p>
        </w:tc>
      </w:tr>
      <w:tr w:rsidR="005A5895" w:rsidRPr="000C2FEC" w14:paraId="613A239C" w14:textId="77777777" w:rsidTr="00F23105">
        <w:tc>
          <w:tcPr>
            <w:tcW w:w="1890" w:type="dxa"/>
          </w:tcPr>
          <w:p w14:paraId="10E64FED" w14:textId="77777777" w:rsidR="005A5895" w:rsidRPr="000C2FEC" w:rsidRDefault="005A5895" w:rsidP="000C2FEC">
            <w:pPr>
              <w:autoSpaceDE w:val="0"/>
              <w:autoSpaceDN w:val="0"/>
              <w:adjustRightInd w:val="0"/>
              <w:rPr>
                <w:rFonts w:asciiTheme="minorHAnsi" w:hAnsiTheme="minorHAnsi" w:cs="ArialNarrow"/>
                <w:szCs w:val="22"/>
              </w:rPr>
            </w:pPr>
            <w:r w:rsidRPr="000C2FEC">
              <w:rPr>
                <w:rFonts w:asciiTheme="minorHAnsi" w:hAnsiTheme="minorHAnsi" w:cs="ArialNarrow"/>
                <w:szCs w:val="22"/>
              </w:rPr>
              <w:t>FASI</w:t>
            </w:r>
          </w:p>
        </w:tc>
        <w:tc>
          <w:tcPr>
            <w:tcW w:w="6830" w:type="dxa"/>
          </w:tcPr>
          <w:p w14:paraId="6E94E5A0" w14:textId="77777777" w:rsidR="005A5895" w:rsidRPr="000C2FEC" w:rsidRDefault="005A5895" w:rsidP="000C2FEC">
            <w:pPr>
              <w:autoSpaceDE w:val="0"/>
              <w:autoSpaceDN w:val="0"/>
              <w:adjustRightInd w:val="0"/>
              <w:rPr>
                <w:rFonts w:asciiTheme="minorHAnsi" w:eastAsiaTheme="minorHAnsi" w:hAnsiTheme="minorHAnsi" w:cs="TimesNewRoman"/>
                <w:szCs w:val="22"/>
              </w:rPr>
            </w:pPr>
            <w:r w:rsidRPr="000C2FEC">
              <w:rPr>
                <w:rFonts w:asciiTheme="minorHAnsi" w:eastAsiaTheme="minorHAnsi" w:hAnsiTheme="minorHAnsi" w:cs="TimesNewRoman"/>
                <w:szCs w:val="22"/>
              </w:rPr>
              <w:t>Full analysis set for immunogenicity</w:t>
            </w:r>
          </w:p>
        </w:tc>
      </w:tr>
      <w:tr w:rsidR="007166E1" w:rsidRPr="000C2FEC" w14:paraId="488D9956" w14:textId="77777777" w:rsidTr="00F23105">
        <w:tc>
          <w:tcPr>
            <w:tcW w:w="1890" w:type="dxa"/>
          </w:tcPr>
          <w:p w14:paraId="19D00C5F" w14:textId="44FDDF59" w:rsidR="007166E1" w:rsidRPr="000C2FEC" w:rsidRDefault="007166E1" w:rsidP="000C2FEC">
            <w:pPr>
              <w:autoSpaceDE w:val="0"/>
              <w:autoSpaceDN w:val="0"/>
              <w:adjustRightInd w:val="0"/>
              <w:rPr>
                <w:rFonts w:asciiTheme="minorHAnsi" w:hAnsiTheme="minorHAnsi" w:cs="ArialNarrow"/>
              </w:rPr>
            </w:pPr>
            <w:r>
              <w:t>FDA</w:t>
            </w:r>
          </w:p>
        </w:tc>
        <w:tc>
          <w:tcPr>
            <w:tcW w:w="6830" w:type="dxa"/>
          </w:tcPr>
          <w:p w14:paraId="5D7765EA" w14:textId="6EB72C41" w:rsidR="007166E1" w:rsidRPr="000C2FEC" w:rsidRDefault="007166E1" w:rsidP="007166E1">
            <w:pPr>
              <w:autoSpaceDE w:val="0"/>
              <w:autoSpaceDN w:val="0"/>
              <w:adjustRightInd w:val="0"/>
              <w:rPr>
                <w:rFonts w:asciiTheme="minorHAnsi" w:eastAsiaTheme="minorHAnsi" w:hAnsiTheme="minorHAnsi" w:cs="TimesNewRoman"/>
              </w:rPr>
            </w:pPr>
            <w:r>
              <w:t>Food and Drug Administration</w:t>
            </w:r>
            <w:r w:rsidR="00F32723">
              <w:t xml:space="preserve"> (USA)</w:t>
            </w:r>
          </w:p>
        </w:tc>
      </w:tr>
      <w:tr w:rsidR="005A5895" w:rsidRPr="000C2FEC" w14:paraId="5B003F0A" w14:textId="77777777" w:rsidTr="00F23105">
        <w:tc>
          <w:tcPr>
            <w:tcW w:w="1890" w:type="dxa"/>
          </w:tcPr>
          <w:p w14:paraId="3209D345" w14:textId="77777777" w:rsidR="005A5895" w:rsidRPr="000C2FEC" w:rsidRDefault="005A5895" w:rsidP="000C2FEC">
            <w:pPr>
              <w:autoSpaceDE w:val="0"/>
              <w:autoSpaceDN w:val="0"/>
              <w:adjustRightInd w:val="0"/>
              <w:rPr>
                <w:rFonts w:asciiTheme="minorHAnsi" w:hAnsiTheme="minorHAnsi" w:cs="ArialNarrow"/>
                <w:szCs w:val="22"/>
              </w:rPr>
            </w:pPr>
            <w:r w:rsidRPr="000C2FEC">
              <w:rPr>
                <w:rFonts w:asciiTheme="minorHAnsi" w:hAnsiTheme="minorHAnsi" w:cs="ArialNarrow"/>
                <w:szCs w:val="22"/>
              </w:rPr>
              <w:t>GBS</w:t>
            </w:r>
          </w:p>
        </w:tc>
        <w:tc>
          <w:tcPr>
            <w:tcW w:w="6830" w:type="dxa"/>
          </w:tcPr>
          <w:p w14:paraId="3DFAD669" w14:textId="77777777" w:rsidR="005A5895" w:rsidRPr="000C2FEC" w:rsidRDefault="005A5895" w:rsidP="000C2FEC">
            <w:pPr>
              <w:autoSpaceDE w:val="0"/>
              <w:autoSpaceDN w:val="0"/>
              <w:adjustRightInd w:val="0"/>
              <w:rPr>
                <w:rFonts w:asciiTheme="minorHAnsi" w:hAnsiTheme="minorHAnsi" w:cs="ArialNarrow"/>
                <w:szCs w:val="22"/>
              </w:rPr>
            </w:pPr>
            <w:proofErr w:type="spellStart"/>
            <w:r w:rsidRPr="000C2FEC">
              <w:rPr>
                <w:rFonts w:asciiTheme="minorHAnsi" w:hAnsiTheme="minorHAnsi" w:cs="ArialNarrow"/>
                <w:szCs w:val="22"/>
              </w:rPr>
              <w:t>Guillain</w:t>
            </w:r>
            <w:proofErr w:type="spellEnd"/>
            <w:r w:rsidRPr="000C2FEC">
              <w:rPr>
                <w:rFonts w:asciiTheme="minorHAnsi" w:hAnsiTheme="minorHAnsi" w:cs="ArialNarrow"/>
                <w:szCs w:val="22"/>
              </w:rPr>
              <w:t xml:space="preserve"> </w:t>
            </w:r>
            <w:proofErr w:type="spellStart"/>
            <w:r w:rsidRPr="000C2FEC">
              <w:rPr>
                <w:rFonts w:asciiTheme="minorHAnsi" w:hAnsiTheme="minorHAnsi" w:cs="ArialNarrow"/>
                <w:szCs w:val="22"/>
              </w:rPr>
              <w:t>Barré</w:t>
            </w:r>
            <w:proofErr w:type="spellEnd"/>
            <w:r w:rsidRPr="000C2FEC">
              <w:rPr>
                <w:rFonts w:asciiTheme="minorHAnsi" w:hAnsiTheme="minorHAnsi" w:cs="ArialNarrow"/>
                <w:szCs w:val="22"/>
              </w:rPr>
              <w:t xml:space="preserve"> syndrome</w:t>
            </w:r>
          </w:p>
        </w:tc>
      </w:tr>
      <w:tr w:rsidR="005A5895" w:rsidRPr="000C2FEC" w14:paraId="3FA90F3B" w14:textId="77777777" w:rsidTr="00F23105">
        <w:tc>
          <w:tcPr>
            <w:tcW w:w="1890" w:type="dxa"/>
          </w:tcPr>
          <w:p w14:paraId="2CA1F7B3" w14:textId="65886203" w:rsidR="005A5895" w:rsidRPr="000C2FEC" w:rsidRDefault="00F23643" w:rsidP="000C2FEC">
            <w:pPr>
              <w:autoSpaceDE w:val="0"/>
              <w:autoSpaceDN w:val="0"/>
              <w:adjustRightInd w:val="0"/>
              <w:rPr>
                <w:rFonts w:asciiTheme="minorHAnsi" w:hAnsiTheme="minorHAnsi" w:cs="Calibri"/>
                <w:szCs w:val="22"/>
              </w:rPr>
            </w:pPr>
            <w:r>
              <w:rPr>
                <w:rFonts w:asciiTheme="minorHAnsi" w:hAnsiTheme="minorHAnsi" w:cs="ArialNarrow"/>
                <w:szCs w:val="22"/>
              </w:rPr>
              <w:t>GMT</w:t>
            </w:r>
          </w:p>
        </w:tc>
        <w:tc>
          <w:tcPr>
            <w:tcW w:w="6830" w:type="dxa"/>
          </w:tcPr>
          <w:p w14:paraId="5CA84D44" w14:textId="5938C86F" w:rsidR="005A5895" w:rsidRPr="000C2FEC" w:rsidRDefault="005A5895" w:rsidP="000C2FEC">
            <w:pPr>
              <w:autoSpaceDE w:val="0"/>
              <w:autoSpaceDN w:val="0"/>
              <w:adjustRightInd w:val="0"/>
              <w:rPr>
                <w:rFonts w:asciiTheme="minorHAnsi" w:hAnsiTheme="minorHAnsi" w:cs="ArialNarrow"/>
                <w:szCs w:val="22"/>
              </w:rPr>
            </w:pPr>
            <w:r w:rsidRPr="000C2FEC">
              <w:rPr>
                <w:rFonts w:asciiTheme="minorHAnsi" w:hAnsiTheme="minorHAnsi" w:cs="ArialNarrow"/>
                <w:szCs w:val="22"/>
              </w:rPr>
              <w:t xml:space="preserve">Geometric </w:t>
            </w:r>
            <w:r w:rsidR="00AC57E8" w:rsidRPr="000C2FEC">
              <w:rPr>
                <w:rFonts w:asciiTheme="minorHAnsi" w:hAnsiTheme="minorHAnsi" w:cs="ArialNarrow"/>
                <w:szCs w:val="22"/>
              </w:rPr>
              <w:t>mean titres</w:t>
            </w:r>
          </w:p>
        </w:tc>
      </w:tr>
      <w:tr w:rsidR="00F23643" w:rsidRPr="000C2FEC" w14:paraId="35E62E5B" w14:textId="77777777" w:rsidTr="00F23105">
        <w:tc>
          <w:tcPr>
            <w:tcW w:w="1890" w:type="dxa"/>
          </w:tcPr>
          <w:p w14:paraId="57145FF8" w14:textId="18035501" w:rsidR="00F23643" w:rsidRPr="000C2FEC" w:rsidRDefault="00F23643" w:rsidP="000C2FEC">
            <w:pPr>
              <w:autoSpaceDE w:val="0"/>
              <w:autoSpaceDN w:val="0"/>
              <w:adjustRightInd w:val="0"/>
              <w:rPr>
                <w:rFonts w:asciiTheme="minorHAnsi" w:hAnsiTheme="minorHAnsi" w:cs="ArialNarrow"/>
              </w:rPr>
            </w:pPr>
            <w:r>
              <w:t>GMTR</w:t>
            </w:r>
          </w:p>
        </w:tc>
        <w:tc>
          <w:tcPr>
            <w:tcW w:w="6830" w:type="dxa"/>
          </w:tcPr>
          <w:p w14:paraId="43B29AB7" w14:textId="05C2597C" w:rsidR="00F23643" w:rsidRPr="000C2FEC" w:rsidRDefault="00F23643" w:rsidP="00F23643">
            <w:pPr>
              <w:autoSpaceDE w:val="0"/>
              <w:autoSpaceDN w:val="0"/>
              <w:adjustRightInd w:val="0"/>
              <w:rPr>
                <w:rFonts w:asciiTheme="minorHAnsi" w:hAnsiTheme="minorHAnsi" w:cs="ArialNarrow"/>
              </w:rPr>
            </w:pPr>
            <w:r>
              <w:t>Geometric mean titre ratio</w:t>
            </w:r>
          </w:p>
        </w:tc>
      </w:tr>
      <w:tr w:rsidR="00452FEA" w:rsidRPr="000C2FEC" w14:paraId="16E9519B" w14:textId="77777777" w:rsidTr="00F23105">
        <w:tc>
          <w:tcPr>
            <w:tcW w:w="1890" w:type="dxa"/>
          </w:tcPr>
          <w:p w14:paraId="7965A94F" w14:textId="1A0662D4" w:rsidR="00452FEA" w:rsidRPr="000C2FEC" w:rsidRDefault="00452FEA" w:rsidP="000C2FEC">
            <w:pPr>
              <w:autoSpaceDE w:val="0"/>
              <w:autoSpaceDN w:val="0"/>
              <w:adjustRightInd w:val="0"/>
              <w:rPr>
                <w:rFonts w:asciiTheme="minorHAnsi" w:hAnsiTheme="minorHAnsi" w:cs="Calibri"/>
              </w:rPr>
            </w:pPr>
            <w:r>
              <w:t>GPE</w:t>
            </w:r>
          </w:p>
        </w:tc>
        <w:tc>
          <w:tcPr>
            <w:tcW w:w="6830" w:type="dxa"/>
          </w:tcPr>
          <w:p w14:paraId="4C1D30E3" w14:textId="4141FA2F" w:rsidR="00452FEA" w:rsidRPr="000C2FEC" w:rsidRDefault="00452FEA" w:rsidP="00F32723">
            <w:pPr>
              <w:autoSpaceDE w:val="0"/>
              <w:autoSpaceDN w:val="0"/>
              <w:adjustRightInd w:val="0"/>
              <w:rPr>
                <w:rFonts w:asciiTheme="minorHAnsi" w:hAnsiTheme="minorHAnsi" w:cs="ArialNarrow"/>
              </w:rPr>
            </w:pPr>
            <w:r>
              <w:t xml:space="preserve">Global </w:t>
            </w:r>
            <w:r w:rsidR="00F32723">
              <w:t xml:space="preserve">pharmacovigilance </w:t>
            </w:r>
            <w:r>
              <w:t xml:space="preserve">and </w:t>
            </w:r>
            <w:r w:rsidR="00F32723">
              <w:t>epidemiology</w:t>
            </w:r>
          </w:p>
        </w:tc>
      </w:tr>
      <w:tr w:rsidR="005A5895" w:rsidRPr="000C2FEC" w14:paraId="521168EA" w14:textId="77777777" w:rsidTr="00F23105">
        <w:tc>
          <w:tcPr>
            <w:tcW w:w="1890" w:type="dxa"/>
          </w:tcPr>
          <w:p w14:paraId="62A05DBD" w14:textId="77777777" w:rsidR="005A5895" w:rsidRPr="000C2FEC" w:rsidRDefault="005A5895" w:rsidP="000C2FEC">
            <w:pPr>
              <w:autoSpaceDE w:val="0"/>
              <w:autoSpaceDN w:val="0"/>
              <w:adjustRightInd w:val="0"/>
              <w:rPr>
                <w:rFonts w:asciiTheme="minorHAnsi" w:hAnsiTheme="minorHAnsi" w:cs="Calibri"/>
                <w:i/>
                <w:iCs/>
                <w:szCs w:val="22"/>
              </w:rPr>
            </w:pPr>
            <w:r w:rsidRPr="000C2FEC">
              <w:rPr>
                <w:rFonts w:asciiTheme="minorHAnsi" w:hAnsiTheme="minorHAnsi" w:cs="ArialNarrow"/>
                <w:szCs w:val="22"/>
              </w:rPr>
              <w:t>HA</w:t>
            </w:r>
          </w:p>
        </w:tc>
        <w:tc>
          <w:tcPr>
            <w:tcW w:w="6830" w:type="dxa"/>
          </w:tcPr>
          <w:p w14:paraId="3D391618" w14:textId="77777777" w:rsidR="005A5895" w:rsidRPr="000C2FEC" w:rsidRDefault="005A5895" w:rsidP="000C2FEC">
            <w:pPr>
              <w:autoSpaceDE w:val="0"/>
              <w:autoSpaceDN w:val="0"/>
              <w:adjustRightInd w:val="0"/>
              <w:rPr>
                <w:rFonts w:asciiTheme="minorHAnsi" w:hAnsiTheme="minorHAnsi" w:cs="ArialNarrow"/>
                <w:szCs w:val="22"/>
              </w:rPr>
            </w:pPr>
            <w:proofErr w:type="spellStart"/>
            <w:r w:rsidRPr="000C2FEC">
              <w:rPr>
                <w:rFonts w:asciiTheme="minorHAnsi" w:hAnsiTheme="minorHAnsi" w:cs="ArialNarrow"/>
                <w:szCs w:val="22"/>
              </w:rPr>
              <w:t>Haemagglutinin</w:t>
            </w:r>
            <w:proofErr w:type="spellEnd"/>
          </w:p>
        </w:tc>
      </w:tr>
      <w:tr w:rsidR="005A5895" w:rsidRPr="000C2FEC" w14:paraId="39E931B6" w14:textId="77777777" w:rsidTr="00F23105">
        <w:tc>
          <w:tcPr>
            <w:tcW w:w="1890" w:type="dxa"/>
          </w:tcPr>
          <w:p w14:paraId="00F2BCD1" w14:textId="3C4B4DEF" w:rsidR="005A5895" w:rsidRPr="000C2FEC" w:rsidRDefault="00F23105" w:rsidP="000C2FEC">
            <w:pPr>
              <w:autoSpaceDE w:val="0"/>
              <w:autoSpaceDN w:val="0"/>
              <w:adjustRightInd w:val="0"/>
              <w:rPr>
                <w:rFonts w:asciiTheme="minorHAnsi" w:hAnsiTheme="minorHAnsi" w:cs="Calibri"/>
                <w:i/>
                <w:iCs/>
                <w:szCs w:val="22"/>
              </w:rPr>
            </w:pPr>
            <w:r>
              <w:rPr>
                <w:rFonts w:asciiTheme="minorHAnsi" w:hAnsiTheme="minorHAnsi" w:cs="ArialNarrow"/>
                <w:szCs w:val="22"/>
              </w:rPr>
              <w:t>HAI</w:t>
            </w:r>
          </w:p>
        </w:tc>
        <w:tc>
          <w:tcPr>
            <w:tcW w:w="6830" w:type="dxa"/>
          </w:tcPr>
          <w:p w14:paraId="7B424F4D" w14:textId="21DD0ACE" w:rsidR="005A5895" w:rsidRPr="000C2FEC" w:rsidRDefault="005A5895" w:rsidP="000C2FEC">
            <w:pPr>
              <w:autoSpaceDE w:val="0"/>
              <w:autoSpaceDN w:val="0"/>
              <w:adjustRightInd w:val="0"/>
              <w:rPr>
                <w:rFonts w:asciiTheme="minorHAnsi" w:hAnsiTheme="minorHAnsi" w:cs="ArialNarrow"/>
                <w:szCs w:val="22"/>
              </w:rPr>
            </w:pPr>
            <w:proofErr w:type="spellStart"/>
            <w:r w:rsidRPr="000C2FEC">
              <w:rPr>
                <w:rFonts w:asciiTheme="minorHAnsi" w:hAnsiTheme="minorHAnsi" w:cs="ArialNarrow"/>
                <w:szCs w:val="22"/>
              </w:rPr>
              <w:t>Haemagglutination</w:t>
            </w:r>
            <w:proofErr w:type="spellEnd"/>
            <w:r w:rsidRPr="000C2FEC">
              <w:rPr>
                <w:rFonts w:asciiTheme="minorHAnsi" w:hAnsiTheme="minorHAnsi" w:cs="ArialNarrow"/>
                <w:szCs w:val="22"/>
              </w:rPr>
              <w:t xml:space="preserve"> </w:t>
            </w:r>
            <w:r w:rsidR="00F32723">
              <w:rPr>
                <w:rFonts w:asciiTheme="minorHAnsi" w:hAnsiTheme="minorHAnsi" w:cs="ArialNarrow"/>
                <w:szCs w:val="22"/>
              </w:rPr>
              <w:t>i</w:t>
            </w:r>
            <w:r w:rsidRPr="000C2FEC">
              <w:rPr>
                <w:rFonts w:asciiTheme="minorHAnsi" w:hAnsiTheme="minorHAnsi" w:cs="ArialNarrow"/>
                <w:szCs w:val="22"/>
              </w:rPr>
              <w:t>nhibition</w:t>
            </w:r>
          </w:p>
        </w:tc>
      </w:tr>
      <w:tr w:rsidR="005A5895" w:rsidRPr="000C2FEC" w14:paraId="77CCF999" w14:textId="77777777" w:rsidTr="00F23105">
        <w:tc>
          <w:tcPr>
            <w:tcW w:w="1890" w:type="dxa"/>
          </w:tcPr>
          <w:p w14:paraId="3943E335" w14:textId="1F905176" w:rsidR="005A5895" w:rsidRPr="000C2FEC" w:rsidRDefault="00244C61" w:rsidP="000C2FEC">
            <w:pPr>
              <w:autoSpaceDE w:val="0"/>
              <w:autoSpaceDN w:val="0"/>
              <w:adjustRightInd w:val="0"/>
              <w:rPr>
                <w:rFonts w:asciiTheme="minorHAnsi" w:hAnsiTheme="minorHAnsi" w:cs="ArialNarrow"/>
                <w:szCs w:val="22"/>
              </w:rPr>
            </w:pPr>
            <w:r>
              <w:rPr>
                <w:rFonts w:asciiTheme="minorHAnsi" w:hAnsiTheme="minorHAnsi" w:cs="ArialNarrow"/>
                <w:szCs w:val="22"/>
              </w:rPr>
              <w:t>IM</w:t>
            </w:r>
          </w:p>
        </w:tc>
        <w:tc>
          <w:tcPr>
            <w:tcW w:w="6830" w:type="dxa"/>
          </w:tcPr>
          <w:p w14:paraId="7C7035CD" w14:textId="77777777" w:rsidR="005A5895" w:rsidRPr="000C2FEC" w:rsidRDefault="005A5895" w:rsidP="000C2FEC">
            <w:pPr>
              <w:autoSpaceDE w:val="0"/>
              <w:autoSpaceDN w:val="0"/>
              <w:adjustRightInd w:val="0"/>
              <w:rPr>
                <w:rFonts w:asciiTheme="minorHAnsi" w:hAnsiTheme="minorHAnsi" w:cs="Calibri"/>
                <w:color w:val="000000"/>
                <w:szCs w:val="22"/>
              </w:rPr>
            </w:pPr>
            <w:r w:rsidRPr="000C2FEC">
              <w:rPr>
                <w:rFonts w:asciiTheme="minorHAnsi" w:hAnsiTheme="minorHAnsi" w:cs="ArialNarrow"/>
                <w:szCs w:val="22"/>
              </w:rPr>
              <w:t>Intramuscular</w:t>
            </w:r>
          </w:p>
        </w:tc>
      </w:tr>
      <w:tr w:rsidR="005A5895" w:rsidRPr="000C2FEC" w14:paraId="28A9CCA5" w14:textId="77777777" w:rsidTr="00F23105">
        <w:tc>
          <w:tcPr>
            <w:tcW w:w="1890" w:type="dxa"/>
          </w:tcPr>
          <w:p w14:paraId="297A6FCB" w14:textId="77777777" w:rsidR="005A5895" w:rsidRPr="000C2FEC" w:rsidRDefault="005A5895" w:rsidP="000C2FEC">
            <w:pPr>
              <w:rPr>
                <w:rFonts w:asciiTheme="minorHAnsi" w:eastAsiaTheme="minorHAnsi" w:hAnsiTheme="minorHAnsi"/>
                <w:szCs w:val="22"/>
              </w:rPr>
            </w:pPr>
            <w:r w:rsidRPr="000C2FEC">
              <w:rPr>
                <w:rFonts w:asciiTheme="minorHAnsi" w:eastAsiaTheme="minorHAnsi" w:hAnsiTheme="minorHAnsi"/>
                <w:szCs w:val="22"/>
              </w:rPr>
              <w:lastRenderedPageBreak/>
              <w:t>LL</w:t>
            </w:r>
          </w:p>
        </w:tc>
        <w:tc>
          <w:tcPr>
            <w:tcW w:w="6830" w:type="dxa"/>
          </w:tcPr>
          <w:p w14:paraId="591F8122" w14:textId="4D8112F8" w:rsidR="005A5895" w:rsidRPr="000C2FEC" w:rsidRDefault="00AC57E8" w:rsidP="000C2FEC">
            <w:pPr>
              <w:autoSpaceDE w:val="0"/>
              <w:autoSpaceDN w:val="0"/>
              <w:adjustRightInd w:val="0"/>
              <w:rPr>
                <w:rFonts w:asciiTheme="minorHAnsi" w:hAnsiTheme="minorHAnsi" w:cs="ArialNarrow"/>
                <w:szCs w:val="22"/>
              </w:rPr>
            </w:pPr>
            <w:r>
              <w:rPr>
                <w:rFonts w:asciiTheme="minorHAnsi" w:hAnsiTheme="minorHAnsi" w:cs="ArialNarrow"/>
                <w:szCs w:val="22"/>
              </w:rPr>
              <w:t>Lower l</w:t>
            </w:r>
            <w:r w:rsidR="005A5895" w:rsidRPr="000C2FEC">
              <w:rPr>
                <w:rFonts w:asciiTheme="minorHAnsi" w:hAnsiTheme="minorHAnsi" w:cs="ArialNarrow"/>
                <w:szCs w:val="22"/>
              </w:rPr>
              <w:t>imit</w:t>
            </w:r>
          </w:p>
        </w:tc>
      </w:tr>
      <w:tr w:rsidR="005A5895" w:rsidRPr="000C2FEC" w14:paraId="545B26C0" w14:textId="77777777" w:rsidTr="00F23105">
        <w:tc>
          <w:tcPr>
            <w:tcW w:w="1890" w:type="dxa"/>
          </w:tcPr>
          <w:p w14:paraId="7E7FBDED" w14:textId="77777777" w:rsidR="005A5895" w:rsidRPr="000C2FEC" w:rsidRDefault="005A5895" w:rsidP="000C2FEC">
            <w:pPr>
              <w:autoSpaceDE w:val="0"/>
              <w:autoSpaceDN w:val="0"/>
              <w:adjustRightInd w:val="0"/>
              <w:rPr>
                <w:rFonts w:asciiTheme="minorHAnsi" w:hAnsiTheme="minorHAnsi" w:cs="ArialNarrow"/>
                <w:szCs w:val="22"/>
              </w:rPr>
            </w:pPr>
            <w:r w:rsidRPr="000C2FEC">
              <w:rPr>
                <w:rFonts w:asciiTheme="minorHAnsi" w:hAnsiTheme="minorHAnsi" w:cs="ArialNarrow"/>
                <w:szCs w:val="22"/>
              </w:rPr>
              <w:t>mL</w:t>
            </w:r>
          </w:p>
        </w:tc>
        <w:tc>
          <w:tcPr>
            <w:tcW w:w="6830" w:type="dxa"/>
          </w:tcPr>
          <w:p w14:paraId="05A63565" w14:textId="52B93DE5" w:rsidR="005A5895" w:rsidRPr="000C2FEC" w:rsidRDefault="005A5895" w:rsidP="000C2FEC">
            <w:pPr>
              <w:autoSpaceDE w:val="0"/>
              <w:autoSpaceDN w:val="0"/>
              <w:adjustRightInd w:val="0"/>
              <w:rPr>
                <w:rFonts w:asciiTheme="minorHAnsi" w:hAnsiTheme="minorHAnsi" w:cs="ArialNarrow"/>
                <w:szCs w:val="22"/>
              </w:rPr>
            </w:pPr>
            <w:r w:rsidRPr="000C2FEC">
              <w:rPr>
                <w:rFonts w:asciiTheme="minorHAnsi" w:hAnsiTheme="minorHAnsi" w:cs="ArialNarrow"/>
                <w:szCs w:val="22"/>
              </w:rPr>
              <w:t>Millilitre</w:t>
            </w:r>
            <w:r w:rsidR="00F32723">
              <w:rPr>
                <w:rFonts w:asciiTheme="minorHAnsi" w:hAnsiTheme="minorHAnsi" w:cs="ArialNarrow"/>
                <w:szCs w:val="22"/>
              </w:rPr>
              <w:t>(</w:t>
            </w:r>
            <w:r w:rsidRPr="000C2FEC">
              <w:rPr>
                <w:rFonts w:asciiTheme="minorHAnsi" w:hAnsiTheme="minorHAnsi" w:cs="ArialNarrow"/>
                <w:szCs w:val="22"/>
              </w:rPr>
              <w:t>s</w:t>
            </w:r>
            <w:r w:rsidR="00F32723">
              <w:rPr>
                <w:rFonts w:asciiTheme="minorHAnsi" w:hAnsiTheme="minorHAnsi" w:cs="ArialNarrow"/>
                <w:szCs w:val="22"/>
              </w:rPr>
              <w:t>)</w:t>
            </w:r>
          </w:p>
        </w:tc>
      </w:tr>
      <w:tr w:rsidR="005A5895" w:rsidRPr="000C2FEC" w14:paraId="39C13B71" w14:textId="77777777" w:rsidTr="00F23105">
        <w:tc>
          <w:tcPr>
            <w:tcW w:w="1890" w:type="dxa"/>
          </w:tcPr>
          <w:p w14:paraId="0A93828F" w14:textId="77777777" w:rsidR="005A5895" w:rsidRPr="000C2FEC" w:rsidRDefault="005A5895" w:rsidP="000C2FEC">
            <w:pPr>
              <w:autoSpaceDE w:val="0"/>
              <w:autoSpaceDN w:val="0"/>
              <w:adjustRightInd w:val="0"/>
              <w:rPr>
                <w:rFonts w:asciiTheme="minorHAnsi" w:eastAsiaTheme="minorHAnsi" w:hAnsiTheme="minorHAnsi"/>
                <w:szCs w:val="22"/>
              </w:rPr>
            </w:pPr>
            <w:r>
              <w:rPr>
                <w:rFonts w:asciiTheme="minorHAnsi" w:eastAsiaTheme="minorHAnsi" w:hAnsiTheme="minorHAnsi"/>
                <w:szCs w:val="22"/>
              </w:rPr>
              <w:t>NA</w:t>
            </w:r>
          </w:p>
        </w:tc>
        <w:tc>
          <w:tcPr>
            <w:tcW w:w="6830" w:type="dxa"/>
          </w:tcPr>
          <w:p w14:paraId="5804586D" w14:textId="77777777" w:rsidR="005A5895" w:rsidRPr="000C2FEC" w:rsidRDefault="005A5895" w:rsidP="000C2FEC">
            <w:pPr>
              <w:autoSpaceDE w:val="0"/>
              <w:autoSpaceDN w:val="0"/>
              <w:adjustRightInd w:val="0"/>
              <w:rPr>
                <w:rFonts w:asciiTheme="minorHAnsi" w:eastAsiaTheme="minorHAnsi" w:hAnsiTheme="minorHAnsi"/>
                <w:szCs w:val="22"/>
              </w:rPr>
            </w:pPr>
            <w:r w:rsidRPr="000C2FEC">
              <w:rPr>
                <w:rFonts w:asciiTheme="minorHAnsi" w:eastAsia="TimesNewRoman" w:hAnsiTheme="minorHAnsi" w:cs="TimesNewRoman"/>
                <w:szCs w:val="22"/>
              </w:rPr>
              <w:t>Neuraminidase</w:t>
            </w:r>
          </w:p>
        </w:tc>
      </w:tr>
      <w:tr w:rsidR="005A5895" w:rsidRPr="000C2FEC" w14:paraId="2CE7594D" w14:textId="77777777" w:rsidTr="00F23105">
        <w:tc>
          <w:tcPr>
            <w:tcW w:w="1890" w:type="dxa"/>
          </w:tcPr>
          <w:p w14:paraId="234D5410" w14:textId="77777777" w:rsidR="005A5895" w:rsidRPr="000C2FEC" w:rsidRDefault="005A5895" w:rsidP="000C2FEC">
            <w:pPr>
              <w:autoSpaceDE w:val="0"/>
              <w:autoSpaceDN w:val="0"/>
              <w:adjustRightInd w:val="0"/>
              <w:rPr>
                <w:rFonts w:asciiTheme="minorHAnsi" w:hAnsiTheme="minorHAnsi" w:cs="ArialNarrow"/>
                <w:szCs w:val="22"/>
              </w:rPr>
            </w:pPr>
            <w:r w:rsidRPr="000C2FEC">
              <w:rPr>
                <w:rFonts w:asciiTheme="minorHAnsi" w:hAnsiTheme="minorHAnsi" w:cs="ArialNarrow"/>
                <w:szCs w:val="22"/>
              </w:rPr>
              <w:t>NH</w:t>
            </w:r>
          </w:p>
        </w:tc>
        <w:tc>
          <w:tcPr>
            <w:tcW w:w="6830" w:type="dxa"/>
          </w:tcPr>
          <w:p w14:paraId="689EBDE1" w14:textId="77777777" w:rsidR="005A5895" w:rsidRPr="000C2FEC" w:rsidRDefault="005A5895" w:rsidP="000C2FEC">
            <w:pPr>
              <w:autoSpaceDE w:val="0"/>
              <w:autoSpaceDN w:val="0"/>
              <w:adjustRightInd w:val="0"/>
              <w:rPr>
                <w:rFonts w:asciiTheme="minorHAnsi" w:hAnsiTheme="minorHAnsi" w:cs="ArialNarrow"/>
                <w:szCs w:val="22"/>
              </w:rPr>
            </w:pPr>
            <w:r w:rsidRPr="000C2FEC">
              <w:rPr>
                <w:rFonts w:asciiTheme="minorHAnsi" w:hAnsiTheme="minorHAnsi" w:cs="ArialNarrow"/>
                <w:szCs w:val="22"/>
              </w:rPr>
              <w:t>Northern Hemisphere</w:t>
            </w:r>
          </w:p>
        </w:tc>
      </w:tr>
      <w:tr w:rsidR="00733D82" w:rsidRPr="000C2FEC" w14:paraId="45E89686" w14:textId="77777777" w:rsidTr="00F23105">
        <w:tc>
          <w:tcPr>
            <w:tcW w:w="1890" w:type="dxa"/>
          </w:tcPr>
          <w:p w14:paraId="75805142" w14:textId="5B7A029F" w:rsidR="00733D82" w:rsidRPr="000C2FEC" w:rsidRDefault="00733D82" w:rsidP="000C2FEC">
            <w:pPr>
              <w:autoSpaceDE w:val="0"/>
              <w:autoSpaceDN w:val="0"/>
              <w:adjustRightInd w:val="0"/>
              <w:rPr>
                <w:rFonts w:asciiTheme="minorHAnsi" w:hAnsiTheme="minorHAnsi" w:cs="ArialNarrow"/>
              </w:rPr>
            </w:pPr>
            <w:r>
              <w:t>PD</w:t>
            </w:r>
          </w:p>
        </w:tc>
        <w:tc>
          <w:tcPr>
            <w:tcW w:w="6830" w:type="dxa"/>
          </w:tcPr>
          <w:p w14:paraId="56BA58AC" w14:textId="79D6D96E" w:rsidR="00733D82" w:rsidRPr="000C2FEC" w:rsidRDefault="00733D82" w:rsidP="00733D82">
            <w:pPr>
              <w:autoSpaceDE w:val="0"/>
              <w:autoSpaceDN w:val="0"/>
              <w:adjustRightInd w:val="0"/>
              <w:rPr>
                <w:rFonts w:asciiTheme="minorHAnsi" w:hAnsiTheme="minorHAnsi" w:cs="ArialNarrow"/>
              </w:rPr>
            </w:pPr>
            <w:proofErr w:type="spellStart"/>
            <w:r>
              <w:t>Pharmacodynamic</w:t>
            </w:r>
            <w:proofErr w:type="spellEnd"/>
            <w:r>
              <w:t>(s)</w:t>
            </w:r>
          </w:p>
        </w:tc>
      </w:tr>
      <w:tr w:rsidR="00490D74" w:rsidRPr="000C2FEC" w14:paraId="4AE4470A" w14:textId="77777777" w:rsidTr="00F23105">
        <w:tc>
          <w:tcPr>
            <w:tcW w:w="1890" w:type="dxa"/>
          </w:tcPr>
          <w:p w14:paraId="3A4282CE" w14:textId="36E462CA" w:rsidR="00490D74" w:rsidRPr="000C2FEC" w:rsidRDefault="00490D74" w:rsidP="000C2FEC">
            <w:pPr>
              <w:autoSpaceDE w:val="0"/>
              <w:autoSpaceDN w:val="0"/>
              <w:adjustRightInd w:val="0"/>
              <w:rPr>
                <w:rFonts w:asciiTheme="minorHAnsi" w:hAnsiTheme="minorHAnsi" w:cs="ArialNarrow"/>
              </w:rPr>
            </w:pPr>
            <w:r w:rsidRPr="00490D74">
              <w:rPr>
                <w:rFonts w:asciiTheme="minorHAnsi" w:hAnsiTheme="minorHAnsi" w:cs="ArialNarrow"/>
              </w:rPr>
              <w:t xml:space="preserve">Ph. </w:t>
            </w:r>
            <w:proofErr w:type="spellStart"/>
            <w:r w:rsidRPr="00490D74">
              <w:rPr>
                <w:rFonts w:asciiTheme="minorHAnsi" w:hAnsiTheme="minorHAnsi" w:cs="ArialNarrow"/>
              </w:rPr>
              <w:t>Eur</w:t>
            </w:r>
            <w:proofErr w:type="spellEnd"/>
          </w:p>
        </w:tc>
        <w:tc>
          <w:tcPr>
            <w:tcW w:w="6830" w:type="dxa"/>
          </w:tcPr>
          <w:p w14:paraId="24A0E0FE" w14:textId="704E3E87" w:rsidR="00490D74" w:rsidRPr="000C2FEC" w:rsidRDefault="00490D74" w:rsidP="00490D74">
            <w:pPr>
              <w:autoSpaceDE w:val="0"/>
              <w:autoSpaceDN w:val="0"/>
              <w:adjustRightInd w:val="0"/>
              <w:rPr>
                <w:rFonts w:asciiTheme="minorHAnsi" w:hAnsiTheme="minorHAnsi" w:cs="ArialNarrow"/>
              </w:rPr>
            </w:pPr>
            <w:r>
              <w:rPr>
                <w:rFonts w:asciiTheme="minorHAnsi" w:hAnsiTheme="minorHAnsi" w:cs="ArialNarrow"/>
              </w:rPr>
              <w:t>European Pharmacopoeia</w:t>
            </w:r>
          </w:p>
        </w:tc>
      </w:tr>
      <w:tr w:rsidR="005A5895" w:rsidRPr="000C2FEC" w14:paraId="6F923865" w14:textId="77777777" w:rsidTr="00F23105">
        <w:tc>
          <w:tcPr>
            <w:tcW w:w="1890" w:type="dxa"/>
          </w:tcPr>
          <w:p w14:paraId="6BC59AD0" w14:textId="77777777" w:rsidR="005A5895" w:rsidRPr="000C2FEC" w:rsidRDefault="005A5895" w:rsidP="000C2FEC">
            <w:pPr>
              <w:autoSpaceDE w:val="0"/>
              <w:autoSpaceDN w:val="0"/>
              <w:adjustRightInd w:val="0"/>
              <w:rPr>
                <w:rFonts w:asciiTheme="minorHAnsi" w:hAnsiTheme="minorHAnsi" w:cs="Calibri"/>
                <w:szCs w:val="22"/>
              </w:rPr>
            </w:pPr>
            <w:r w:rsidRPr="000C2FEC">
              <w:rPr>
                <w:rFonts w:asciiTheme="minorHAnsi" w:hAnsiTheme="minorHAnsi" w:cs="Calibri"/>
                <w:szCs w:val="22"/>
              </w:rPr>
              <w:t>PP</w:t>
            </w:r>
          </w:p>
        </w:tc>
        <w:tc>
          <w:tcPr>
            <w:tcW w:w="6830" w:type="dxa"/>
          </w:tcPr>
          <w:p w14:paraId="16D11EAB" w14:textId="77777777" w:rsidR="005A5895" w:rsidRPr="000C2FEC" w:rsidRDefault="005A5895" w:rsidP="000C2FEC">
            <w:pPr>
              <w:autoSpaceDE w:val="0"/>
              <w:autoSpaceDN w:val="0"/>
              <w:adjustRightInd w:val="0"/>
              <w:rPr>
                <w:rFonts w:asciiTheme="minorHAnsi" w:hAnsiTheme="minorHAnsi" w:cs="ArialNarrow"/>
                <w:szCs w:val="22"/>
              </w:rPr>
            </w:pPr>
            <w:r w:rsidRPr="000C2FEC">
              <w:rPr>
                <w:rFonts w:asciiTheme="minorHAnsi" w:hAnsiTheme="minorHAnsi" w:cs="ArialNarrow"/>
                <w:szCs w:val="22"/>
              </w:rPr>
              <w:t>Per protocol</w:t>
            </w:r>
          </w:p>
        </w:tc>
      </w:tr>
      <w:tr w:rsidR="00AC57E8" w:rsidRPr="000C2FEC" w14:paraId="0F7C2149" w14:textId="77777777" w:rsidTr="00F23105">
        <w:tc>
          <w:tcPr>
            <w:tcW w:w="1890" w:type="dxa"/>
          </w:tcPr>
          <w:p w14:paraId="0F86AD18" w14:textId="0BD01B1C" w:rsidR="00AC57E8" w:rsidRPr="000C2FEC" w:rsidRDefault="00AC57E8" w:rsidP="000C2FEC">
            <w:pPr>
              <w:autoSpaceDE w:val="0"/>
              <w:autoSpaceDN w:val="0"/>
              <w:adjustRightInd w:val="0"/>
              <w:rPr>
                <w:rFonts w:asciiTheme="minorHAnsi" w:hAnsiTheme="minorHAnsi" w:cs="Calibri"/>
              </w:rPr>
            </w:pPr>
            <w:r>
              <w:t>PPAS</w:t>
            </w:r>
          </w:p>
        </w:tc>
        <w:tc>
          <w:tcPr>
            <w:tcW w:w="6830" w:type="dxa"/>
          </w:tcPr>
          <w:p w14:paraId="3CAB377A" w14:textId="0DA541C2" w:rsidR="00AC57E8" w:rsidRPr="000C2FEC" w:rsidRDefault="00AC57E8" w:rsidP="00AC57E8">
            <w:pPr>
              <w:autoSpaceDE w:val="0"/>
              <w:autoSpaceDN w:val="0"/>
              <w:adjustRightInd w:val="0"/>
              <w:rPr>
                <w:rFonts w:asciiTheme="minorHAnsi" w:hAnsiTheme="minorHAnsi" w:cs="ArialNarrow"/>
              </w:rPr>
            </w:pPr>
            <w:r>
              <w:t>Per-protocol analysis set</w:t>
            </w:r>
          </w:p>
        </w:tc>
      </w:tr>
      <w:tr w:rsidR="005A5895" w:rsidRPr="000C2FEC" w14:paraId="3163A016" w14:textId="77777777" w:rsidTr="00F23105">
        <w:tc>
          <w:tcPr>
            <w:tcW w:w="1890" w:type="dxa"/>
          </w:tcPr>
          <w:p w14:paraId="578A7652" w14:textId="77777777" w:rsidR="005A5895" w:rsidRPr="000C2FEC" w:rsidRDefault="005A5895" w:rsidP="000C2FEC">
            <w:pPr>
              <w:autoSpaceDE w:val="0"/>
              <w:autoSpaceDN w:val="0"/>
              <w:adjustRightInd w:val="0"/>
              <w:rPr>
                <w:rFonts w:asciiTheme="minorHAnsi" w:hAnsiTheme="minorHAnsi" w:cs="Calibri"/>
                <w:szCs w:val="22"/>
              </w:rPr>
            </w:pPr>
            <w:r w:rsidRPr="000C2FEC">
              <w:rPr>
                <w:rFonts w:asciiTheme="minorHAnsi" w:hAnsiTheme="minorHAnsi" w:cs="Calibri"/>
                <w:szCs w:val="22"/>
              </w:rPr>
              <w:t>PPE</w:t>
            </w:r>
          </w:p>
        </w:tc>
        <w:tc>
          <w:tcPr>
            <w:tcW w:w="6830" w:type="dxa"/>
          </w:tcPr>
          <w:p w14:paraId="75EA1CE6" w14:textId="77777777" w:rsidR="005A5895" w:rsidRPr="000C2FEC" w:rsidRDefault="005A5895" w:rsidP="000C2FEC">
            <w:pPr>
              <w:autoSpaceDE w:val="0"/>
              <w:autoSpaceDN w:val="0"/>
              <w:adjustRightInd w:val="0"/>
              <w:rPr>
                <w:rFonts w:asciiTheme="minorHAnsi" w:hAnsiTheme="minorHAnsi"/>
                <w:szCs w:val="22"/>
              </w:rPr>
            </w:pPr>
            <w:r w:rsidRPr="000C2FEC">
              <w:rPr>
                <w:rFonts w:asciiTheme="minorHAnsi" w:eastAsiaTheme="minorHAnsi" w:hAnsiTheme="minorHAnsi" w:cs="TimesNewRoman"/>
                <w:szCs w:val="22"/>
              </w:rPr>
              <w:t>Per-protocol analysis set for efficacy</w:t>
            </w:r>
          </w:p>
        </w:tc>
      </w:tr>
      <w:tr w:rsidR="005A5895" w:rsidRPr="000C2FEC" w14:paraId="70E6783B" w14:textId="77777777" w:rsidTr="00F23105">
        <w:tc>
          <w:tcPr>
            <w:tcW w:w="1890" w:type="dxa"/>
          </w:tcPr>
          <w:p w14:paraId="560141A2" w14:textId="77777777" w:rsidR="005A5895" w:rsidRPr="000C2FEC" w:rsidRDefault="005A5895" w:rsidP="000C2FEC">
            <w:pPr>
              <w:autoSpaceDE w:val="0"/>
              <w:autoSpaceDN w:val="0"/>
              <w:adjustRightInd w:val="0"/>
              <w:rPr>
                <w:rFonts w:asciiTheme="minorHAnsi" w:hAnsiTheme="minorHAnsi" w:cs="Calibri"/>
                <w:szCs w:val="22"/>
              </w:rPr>
            </w:pPr>
            <w:r w:rsidRPr="000C2FEC">
              <w:rPr>
                <w:rFonts w:asciiTheme="minorHAnsi" w:hAnsiTheme="minorHAnsi" w:cs="Calibri"/>
                <w:szCs w:val="22"/>
              </w:rPr>
              <w:t>PPI</w:t>
            </w:r>
          </w:p>
        </w:tc>
        <w:tc>
          <w:tcPr>
            <w:tcW w:w="6830" w:type="dxa"/>
          </w:tcPr>
          <w:p w14:paraId="093FD54C" w14:textId="77777777" w:rsidR="005A5895" w:rsidRPr="000C2FEC" w:rsidRDefault="005A5895" w:rsidP="000C2FEC">
            <w:pPr>
              <w:autoSpaceDE w:val="0"/>
              <w:autoSpaceDN w:val="0"/>
              <w:adjustRightInd w:val="0"/>
              <w:rPr>
                <w:rFonts w:asciiTheme="minorHAnsi" w:hAnsiTheme="minorHAnsi"/>
                <w:szCs w:val="22"/>
              </w:rPr>
            </w:pPr>
            <w:r w:rsidRPr="000C2FEC">
              <w:rPr>
                <w:rFonts w:asciiTheme="minorHAnsi" w:eastAsiaTheme="minorHAnsi" w:hAnsiTheme="minorHAnsi" w:cs="TimesNewRoman"/>
                <w:szCs w:val="22"/>
              </w:rPr>
              <w:t>Per-protocol analysis set for immunogenicity</w:t>
            </w:r>
          </w:p>
        </w:tc>
      </w:tr>
      <w:tr w:rsidR="005A5895" w:rsidRPr="000C2FEC" w14:paraId="557E22B4" w14:textId="77777777" w:rsidTr="00F23105">
        <w:tc>
          <w:tcPr>
            <w:tcW w:w="1890" w:type="dxa"/>
          </w:tcPr>
          <w:p w14:paraId="31CEE166" w14:textId="77777777" w:rsidR="005A5895" w:rsidRPr="000C2FEC" w:rsidRDefault="005A5895" w:rsidP="000C2FEC">
            <w:pPr>
              <w:autoSpaceDE w:val="0"/>
              <w:autoSpaceDN w:val="0"/>
              <w:adjustRightInd w:val="0"/>
              <w:rPr>
                <w:rFonts w:asciiTheme="minorHAnsi" w:hAnsiTheme="minorHAnsi" w:cs="Calibri"/>
                <w:szCs w:val="22"/>
              </w:rPr>
            </w:pPr>
            <w:r w:rsidRPr="000C2FEC">
              <w:rPr>
                <w:rFonts w:asciiTheme="minorHAnsi" w:hAnsiTheme="minorHAnsi" w:cs="Calibri"/>
                <w:szCs w:val="22"/>
              </w:rPr>
              <w:t>QIV</w:t>
            </w:r>
          </w:p>
        </w:tc>
        <w:tc>
          <w:tcPr>
            <w:tcW w:w="6830" w:type="dxa"/>
          </w:tcPr>
          <w:p w14:paraId="68A9CF2F" w14:textId="17057485" w:rsidR="005A5895" w:rsidRPr="000C2FEC" w:rsidRDefault="005A5895" w:rsidP="000C2FEC">
            <w:pPr>
              <w:autoSpaceDE w:val="0"/>
              <w:autoSpaceDN w:val="0"/>
              <w:adjustRightInd w:val="0"/>
              <w:rPr>
                <w:rFonts w:asciiTheme="minorHAnsi" w:hAnsiTheme="minorHAnsi" w:cs="ArialNarrow"/>
                <w:szCs w:val="22"/>
              </w:rPr>
            </w:pPr>
            <w:proofErr w:type="spellStart"/>
            <w:r w:rsidRPr="000C2FEC">
              <w:rPr>
                <w:rFonts w:asciiTheme="minorHAnsi" w:hAnsiTheme="minorHAnsi"/>
                <w:szCs w:val="22"/>
              </w:rPr>
              <w:t>Quadrivalent</w:t>
            </w:r>
            <w:proofErr w:type="spellEnd"/>
            <w:r w:rsidRPr="000C2FEC">
              <w:rPr>
                <w:rFonts w:asciiTheme="minorHAnsi" w:hAnsiTheme="minorHAnsi"/>
                <w:szCs w:val="22"/>
              </w:rPr>
              <w:t xml:space="preserve"> inactivated </w:t>
            </w:r>
            <w:r w:rsidR="00733D82" w:rsidRPr="000C2FEC">
              <w:rPr>
                <w:rFonts w:asciiTheme="minorHAnsi" w:hAnsiTheme="minorHAnsi"/>
                <w:szCs w:val="22"/>
              </w:rPr>
              <w:t>influenza vaccine</w:t>
            </w:r>
          </w:p>
        </w:tc>
      </w:tr>
      <w:tr w:rsidR="005A5895" w:rsidRPr="000C2FEC" w14:paraId="0D1DA05F" w14:textId="77777777" w:rsidTr="00F23105">
        <w:tc>
          <w:tcPr>
            <w:tcW w:w="1890" w:type="dxa"/>
          </w:tcPr>
          <w:p w14:paraId="63062B0E" w14:textId="77777777" w:rsidR="005A5895" w:rsidRPr="000C2FEC" w:rsidRDefault="005A5895" w:rsidP="000C2FEC">
            <w:pPr>
              <w:autoSpaceDE w:val="0"/>
              <w:autoSpaceDN w:val="0"/>
              <w:adjustRightInd w:val="0"/>
              <w:rPr>
                <w:rFonts w:asciiTheme="minorHAnsi" w:hAnsiTheme="minorHAnsi" w:cs="ArialNarrow"/>
                <w:szCs w:val="22"/>
              </w:rPr>
            </w:pPr>
            <w:r w:rsidRPr="000C2FEC">
              <w:rPr>
                <w:rFonts w:asciiTheme="minorHAnsi" w:hAnsiTheme="minorHAnsi" w:cs="ArialNarrow"/>
                <w:szCs w:val="22"/>
              </w:rPr>
              <w:t>RMP</w:t>
            </w:r>
          </w:p>
        </w:tc>
        <w:tc>
          <w:tcPr>
            <w:tcW w:w="6830" w:type="dxa"/>
          </w:tcPr>
          <w:p w14:paraId="7EAEA5DA" w14:textId="29709179" w:rsidR="005A5895" w:rsidRPr="000C2FEC" w:rsidRDefault="005A5895" w:rsidP="00F32723">
            <w:pPr>
              <w:autoSpaceDE w:val="0"/>
              <w:autoSpaceDN w:val="0"/>
              <w:adjustRightInd w:val="0"/>
              <w:rPr>
                <w:rFonts w:asciiTheme="minorHAnsi" w:hAnsiTheme="minorHAnsi" w:cs="ArialNarrow"/>
                <w:szCs w:val="22"/>
              </w:rPr>
            </w:pPr>
            <w:r w:rsidRPr="000C2FEC">
              <w:rPr>
                <w:rFonts w:asciiTheme="minorHAnsi" w:hAnsiTheme="minorHAnsi" w:cs="ArialNarrow"/>
                <w:szCs w:val="22"/>
              </w:rPr>
              <w:t xml:space="preserve">Risk </w:t>
            </w:r>
            <w:r w:rsidR="00F32723">
              <w:rPr>
                <w:rFonts w:asciiTheme="minorHAnsi" w:hAnsiTheme="minorHAnsi" w:cs="ArialNarrow"/>
                <w:szCs w:val="22"/>
              </w:rPr>
              <w:t>m</w:t>
            </w:r>
            <w:r w:rsidR="00F32723" w:rsidRPr="000C2FEC">
              <w:rPr>
                <w:rFonts w:asciiTheme="minorHAnsi" w:hAnsiTheme="minorHAnsi" w:cs="ArialNarrow"/>
                <w:szCs w:val="22"/>
              </w:rPr>
              <w:t xml:space="preserve">anagement </w:t>
            </w:r>
            <w:r w:rsidR="00F32723">
              <w:rPr>
                <w:rFonts w:asciiTheme="minorHAnsi" w:hAnsiTheme="minorHAnsi" w:cs="ArialNarrow"/>
                <w:szCs w:val="22"/>
              </w:rPr>
              <w:t>p</w:t>
            </w:r>
            <w:r w:rsidRPr="000C2FEC">
              <w:rPr>
                <w:rFonts w:asciiTheme="minorHAnsi" w:hAnsiTheme="minorHAnsi" w:cs="ArialNarrow"/>
                <w:szCs w:val="22"/>
              </w:rPr>
              <w:t>lan</w:t>
            </w:r>
          </w:p>
        </w:tc>
      </w:tr>
      <w:tr w:rsidR="005A5895" w:rsidRPr="000C2FEC" w14:paraId="7E7D9D02" w14:textId="77777777" w:rsidTr="00F23105">
        <w:tc>
          <w:tcPr>
            <w:tcW w:w="1890" w:type="dxa"/>
          </w:tcPr>
          <w:p w14:paraId="431D16CC" w14:textId="77777777" w:rsidR="005A5895" w:rsidRPr="000C2FEC" w:rsidRDefault="005A5895" w:rsidP="000C2FEC">
            <w:pPr>
              <w:autoSpaceDE w:val="0"/>
              <w:autoSpaceDN w:val="0"/>
              <w:adjustRightInd w:val="0"/>
              <w:rPr>
                <w:rFonts w:asciiTheme="minorHAnsi" w:hAnsiTheme="minorHAnsi" w:cs="ArialNarrow"/>
                <w:szCs w:val="22"/>
              </w:rPr>
            </w:pPr>
            <w:proofErr w:type="spellStart"/>
            <w:r w:rsidRPr="000C2FEC">
              <w:rPr>
                <w:rFonts w:asciiTheme="minorHAnsi" w:eastAsiaTheme="minorHAnsi" w:hAnsiTheme="minorHAnsi"/>
                <w:szCs w:val="22"/>
              </w:rPr>
              <w:t>SafAS</w:t>
            </w:r>
            <w:proofErr w:type="spellEnd"/>
          </w:p>
        </w:tc>
        <w:tc>
          <w:tcPr>
            <w:tcW w:w="6830" w:type="dxa"/>
          </w:tcPr>
          <w:p w14:paraId="4E0059B0" w14:textId="38AFDDF1" w:rsidR="005A5895" w:rsidRPr="000C2FEC" w:rsidRDefault="005A5895" w:rsidP="000C2FEC">
            <w:pPr>
              <w:autoSpaceDE w:val="0"/>
              <w:autoSpaceDN w:val="0"/>
              <w:adjustRightInd w:val="0"/>
              <w:rPr>
                <w:rFonts w:asciiTheme="minorHAnsi" w:hAnsiTheme="minorHAnsi" w:cs="ArialNarrow"/>
                <w:szCs w:val="22"/>
              </w:rPr>
            </w:pPr>
            <w:r w:rsidRPr="000C2FEC">
              <w:rPr>
                <w:rFonts w:asciiTheme="minorHAnsi" w:hAnsiTheme="minorHAnsi" w:cs="ArialNarrow"/>
                <w:szCs w:val="22"/>
              </w:rPr>
              <w:t>Safety analy</w:t>
            </w:r>
            <w:r w:rsidR="00F32723">
              <w:rPr>
                <w:rFonts w:asciiTheme="minorHAnsi" w:hAnsiTheme="minorHAnsi" w:cs="ArialNarrow"/>
                <w:szCs w:val="22"/>
              </w:rPr>
              <w:t>s</w:t>
            </w:r>
            <w:r w:rsidRPr="000C2FEC">
              <w:rPr>
                <w:rFonts w:asciiTheme="minorHAnsi" w:hAnsiTheme="minorHAnsi" w:cs="ArialNarrow"/>
                <w:szCs w:val="22"/>
              </w:rPr>
              <w:t>is population</w:t>
            </w:r>
          </w:p>
        </w:tc>
      </w:tr>
      <w:tr w:rsidR="00244C61" w:rsidRPr="000C2FEC" w14:paraId="65B61EF5" w14:textId="77777777" w:rsidTr="00F23105">
        <w:tc>
          <w:tcPr>
            <w:tcW w:w="1890" w:type="dxa"/>
          </w:tcPr>
          <w:p w14:paraId="04225973" w14:textId="509A4617" w:rsidR="00244C61" w:rsidRPr="000C2FEC" w:rsidRDefault="00244C61" w:rsidP="000C2FEC">
            <w:pPr>
              <w:autoSpaceDE w:val="0"/>
              <w:autoSpaceDN w:val="0"/>
              <w:adjustRightInd w:val="0"/>
              <w:rPr>
                <w:rFonts w:asciiTheme="minorHAnsi" w:eastAsiaTheme="minorHAnsi" w:hAnsiTheme="minorHAnsi"/>
              </w:rPr>
            </w:pPr>
            <w:r>
              <w:rPr>
                <w:rFonts w:asciiTheme="minorHAnsi" w:eastAsiaTheme="minorHAnsi" w:hAnsiTheme="minorHAnsi"/>
              </w:rPr>
              <w:t>SC</w:t>
            </w:r>
          </w:p>
        </w:tc>
        <w:tc>
          <w:tcPr>
            <w:tcW w:w="6830" w:type="dxa"/>
          </w:tcPr>
          <w:p w14:paraId="34CE3438" w14:textId="56B82376" w:rsidR="00244C61" w:rsidRPr="000C2FEC" w:rsidRDefault="00244C61" w:rsidP="000C2FEC">
            <w:pPr>
              <w:autoSpaceDE w:val="0"/>
              <w:autoSpaceDN w:val="0"/>
              <w:adjustRightInd w:val="0"/>
              <w:rPr>
                <w:rFonts w:asciiTheme="minorHAnsi" w:hAnsiTheme="minorHAnsi" w:cs="ArialNarrow"/>
              </w:rPr>
            </w:pPr>
            <w:r>
              <w:rPr>
                <w:rFonts w:asciiTheme="minorHAnsi" w:hAnsiTheme="minorHAnsi" w:cs="ArialNarrow"/>
              </w:rPr>
              <w:t>Subcutaneous</w:t>
            </w:r>
          </w:p>
        </w:tc>
      </w:tr>
      <w:tr w:rsidR="005A5895" w:rsidRPr="000C2FEC" w14:paraId="24E14707" w14:textId="77777777" w:rsidTr="00F23105">
        <w:tc>
          <w:tcPr>
            <w:tcW w:w="1890" w:type="dxa"/>
          </w:tcPr>
          <w:p w14:paraId="3907C846" w14:textId="34ECC06F" w:rsidR="005A5895" w:rsidRPr="000C2FEC" w:rsidRDefault="00F23105" w:rsidP="000C2FEC">
            <w:pPr>
              <w:autoSpaceDE w:val="0"/>
              <w:autoSpaceDN w:val="0"/>
              <w:adjustRightInd w:val="0"/>
              <w:rPr>
                <w:rFonts w:asciiTheme="minorHAnsi" w:hAnsiTheme="minorHAnsi" w:cs="ArialNarrow"/>
                <w:szCs w:val="22"/>
              </w:rPr>
            </w:pPr>
            <w:r>
              <w:rPr>
                <w:rFonts w:asciiTheme="minorHAnsi" w:hAnsiTheme="minorHAnsi" w:cs="ArialNarrow"/>
                <w:szCs w:val="22"/>
              </w:rPr>
              <w:t>SCR</w:t>
            </w:r>
          </w:p>
        </w:tc>
        <w:tc>
          <w:tcPr>
            <w:tcW w:w="6830" w:type="dxa"/>
          </w:tcPr>
          <w:p w14:paraId="7A9AEF75" w14:textId="4DB10831" w:rsidR="005A5895" w:rsidRPr="000C2FEC" w:rsidRDefault="00F23105" w:rsidP="000C2FEC">
            <w:pPr>
              <w:autoSpaceDE w:val="0"/>
              <w:autoSpaceDN w:val="0"/>
              <w:adjustRightInd w:val="0"/>
              <w:rPr>
                <w:rFonts w:asciiTheme="minorHAnsi" w:hAnsiTheme="minorHAnsi" w:cs="Calibri"/>
                <w:color w:val="000000"/>
                <w:szCs w:val="22"/>
              </w:rPr>
            </w:pPr>
            <w:r>
              <w:rPr>
                <w:rFonts w:asciiTheme="minorHAnsi" w:hAnsiTheme="minorHAnsi" w:cs="ArialNarrow"/>
                <w:szCs w:val="22"/>
              </w:rPr>
              <w:t>Seroconversion r</w:t>
            </w:r>
            <w:r w:rsidR="005A5895" w:rsidRPr="000C2FEC">
              <w:rPr>
                <w:rFonts w:asciiTheme="minorHAnsi" w:hAnsiTheme="minorHAnsi" w:cs="ArialNarrow"/>
                <w:szCs w:val="22"/>
              </w:rPr>
              <w:t>ate</w:t>
            </w:r>
          </w:p>
        </w:tc>
      </w:tr>
      <w:tr w:rsidR="005A5895" w:rsidRPr="000C2FEC" w14:paraId="5E00C59A" w14:textId="77777777" w:rsidTr="00F23105">
        <w:tc>
          <w:tcPr>
            <w:tcW w:w="1890" w:type="dxa"/>
          </w:tcPr>
          <w:p w14:paraId="0F3FDE92" w14:textId="77777777" w:rsidR="005A5895" w:rsidRPr="000C2FEC" w:rsidRDefault="005A5895" w:rsidP="000C2FEC">
            <w:pPr>
              <w:autoSpaceDE w:val="0"/>
              <w:autoSpaceDN w:val="0"/>
              <w:adjustRightInd w:val="0"/>
              <w:rPr>
                <w:rFonts w:asciiTheme="minorHAnsi" w:hAnsiTheme="minorHAnsi" w:cs="ArialNarrow"/>
                <w:szCs w:val="22"/>
              </w:rPr>
            </w:pPr>
            <w:r w:rsidRPr="000C2FEC">
              <w:rPr>
                <w:rFonts w:asciiTheme="minorHAnsi" w:hAnsiTheme="minorHAnsi" w:cs="ArialNarrow"/>
                <w:szCs w:val="22"/>
              </w:rPr>
              <w:t>SH</w:t>
            </w:r>
          </w:p>
        </w:tc>
        <w:tc>
          <w:tcPr>
            <w:tcW w:w="6830" w:type="dxa"/>
          </w:tcPr>
          <w:p w14:paraId="204A508C" w14:textId="77777777" w:rsidR="005A5895" w:rsidRPr="000C2FEC" w:rsidRDefault="005A5895" w:rsidP="000C2FEC">
            <w:pPr>
              <w:autoSpaceDE w:val="0"/>
              <w:autoSpaceDN w:val="0"/>
              <w:adjustRightInd w:val="0"/>
              <w:rPr>
                <w:rFonts w:asciiTheme="minorHAnsi" w:hAnsiTheme="minorHAnsi" w:cs="ArialNarrow"/>
                <w:szCs w:val="22"/>
              </w:rPr>
            </w:pPr>
            <w:r w:rsidRPr="000C2FEC">
              <w:rPr>
                <w:rFonts w:asciiTheme="minorHAnsi" w:hAnsiTheme="minorHAnsi" w:cs="ArialNarrow"/>
                <w:szCs w:val="22"/>
              </w:rPr>
              <w:t>Southern Hemisphere</w:t>
            </w:r>
          </w:p>
        </w:tc>
      </w:tr>
      <w:tr w:rsidR="005A5895" w:rsidRPr="000C2FEC" w14:paraId="2D4F9593" w14:textId="77777777" w:rsidTr="00F23105">
        <w:tc>
          <w:tcPr>
            <w:tcW w:w="1890" w:type="dxa"/>
          </w:tcPr>
          <w:p w14:paraId="7A943026" w14:textId="77777777" w:rsidR="005A5895" w:rsidRPr="000C2FEC" w:rsidRDefault="005A5895" w:rsidP="000C2FEC">
            <w:pPr>
              <w:autoSpaceDE w:val="0"/>
              <w:autoSpaceDN w:val="0"/>
              <w:adjustRightInd w:val="0"/>
              <w:rPr>
                <w:rFonts w:asciiTheme="minorHAnsi" w:hAnsiTheme="minorHAnsi" w:cs="ArialNarrow"/>
                <w:szCs w:val="22"/>
              </w:rPr>
            </w:pPr>
            <w:r w:rsidRPr="000C2FEC">
              <w:rPr>
                <w:rFonts w:asciiTheme="minorHAnsi" w:hAnsiTheme="minorHAnsi" w:cs="ArialNarrow"/>
                <w:szCs w:val="22"/>
              </w:rPr>
              <w:t>TGA</w:t>
            </w:r>
          </w:p>
        </w:tc>
        <w:tc>
          <w:tcPr>
            <w:tcW w:w="6830" w:type="dxa"/>
          </w:tcPr>
          <w:p w14:paraId="220823BC" w14:textId="77777777" w:rsidR="005A5895" w:rsidRPr="000C2FEC" w:rsidRDefault="005A5895" w:rsidP="000C2FEC">
            <w:pPr>
              <w:autoSpaceDE w:val="0"/>
              <w:autoSpaceDN w:val="0"/>
              <w:adjustRightInd w:val="0"/>
              <w:rPr>
                <w:rFonts w:asciiTheme="minorHAnsi" w:hAnsiTheme="minorHAnsi" w:cs="ArialNarrow"/>
                <w:szCs w:val="22"/>
              </w:rPr>
            </w:pPr>
            <w:r w:rsidRPr="000C2FEC">
              <w:rPr>
                <w:rFonts w:asciiTheme="minorHAnsi" w:hAnsiTheme="minorHAnsi" w:cs="ArialNarrow"/>
                <w:szCs w:val="22"/>
              </w:rPr>
              <w:t>Therapeutic Goods Administration</w:t>
            </w:r>
          </w:p>
        </w:tc>
      </w:tr>
      <w:tr w:rsidR="005A5895" w:rsidRPr="000C2FEC" w14:paraId="3EF2DA39" w14:textId="77777777" w:rsidTr="00F23105">
        <w:tc>
          <w:tcPr>
            <w:tcW w:w="1890" w:type="dxa"/>
          </w:tcPr>
          <w:p w14:paraId="6129FDAB" w14:textId="77777777" w:rsidR="005A5895" w:rsidRPr="000C2FEC" w:rsidRDefault="005A5895" w:rsidP="000C2FEC">
            <w:pPr>
              <w:autoSpaceDE w:val="0"/>
              <w:autoSpaceDN w:val="0"/>
              <w:adjustRightInd w:val="0"/>
              <w:rPr>
                <w:rFonts w:asciiTheme="minorHAnsi" w:hAnsiTheme="minorHAnsi" w:cs="Calibri"/>
                <w:color w:val="000000"/>
                <w:szCs w:val="22"/>
              </w:rPr>
            </w:pPr>
            <w:r w:rsidRPr="000C2FEC">
              <w:rPr>
                <w:rFonts w:asciiTheme="minorHAnsi" w:hAnsiTheme="minorHAnsi" w:cs="ArialNarrow"/>
                <w:szCs w:val="22"/>
              </w:rPr>
              <w:t>TIV</w:t>
            </w:r>
          </w:p>
        </w:tc>
        <w:tc>
          <w:tcPr>
            <w:tcW w:w="6830" w:type="dxa"/>
          </w:tcPr>
          <w:p w14:paraId="22F57E16" w14:textId="5EE7CFEC" w:rsidR="005A5895" w:rsidRPr="000C2FEC" w:rsidRDefault="005A5895" w:rsidP="000C2FEC">
            <w:pPr>
              <w:autoSpaceDE w:val="0"/>
              <w:autoSpaceDN w:val="0"/>
              <w:adjustRightInd w:val="0"/>
              <w:rPr>
                <w:rFonts w:asciiTheme="minorHAnsi" w:hAnsiTheme="minorHAnsi" w:cs="ArialNarrow"/>
                <w:szCs w:val="22"/>
              </w:rPr>
            </w:pPr>
            <w:r w:rsidRPr="000C2FEC">
              <w:rPr>
                <w:rFonts w:asciiTheme="minorHAnsi" w:hAnsiTheme="minorHAnsi" w:cs="ArialNarrow"/>
                <w:szCs w:val="22"/>
              </w:rPr>
              <w:t xml:space="preserve">Trivalent </w:t>
            </w:r>
            <w:r w:rsidR="00733D82" w:rsidRPr="000C2FEC">
              <w:rPr>
                <w:rFonts w:asciiTheme="minorHAnsi" w:hAnsiTheme="minorHAnsi" w:cs="ArialNarrow"/>
                <w:szCs w:val="22"/>
              </w:rPr>
              <w:t>inactivated influenza vaccine</w:t>
            </w:r>
          </w:p>
        </w:tc>
      </w:tr>
      <w:tr w:rsidR="005A5895" w:rsidRPr="000C2FEC" w14:paraId="6190ECC1" w14:textId="77777777" w:rsidTr="00F23105">
        <w:tc>
          <w:tcPr>
            <w:tcW w:w="1890" w:type="dxa"/>
          </w:tcPr>
          <w:p w14:paraId="1E0CD43B" w14:textId="4378B09E" w:rsidR="005A5895" w:rsidRPr="000C2FEC" w:rsidRDefault="005A5895" w:rsidP="000C2FEC">
            <w:pPr>
              <w:autoSpaceDE w:val="0"/>
              <w:autoSpaceDN w:val="0"/>
              <w:adjustRightInd w:val="0"/>
              <w:rPr>
                <w:rFonts w:asciiTheme="minorHAnsi" w:hAnsiTheme="minorHAnsi" w:cs="Calibri"/>
                <w:color w:val="000000"/>
                <w:szCs w:val="22"/>
              </w:rPr>
            </w:pPr>
            <w:r w:rsidRPr="000C2FEC">
              <w:rPr>
                <w:rFonts w:asciiTheme="minorHAnsi" w:hAnsiTheme="minorHAnsi" w:cs="ArialNarrow"/>
                <w:szCs w:val="22"/>
              </w:rPr>
              <w:t>US</w:t>
            </w:r>
            <w:r w:rsidR="00F32723">
              <w:rPr>
                <w:rFonts w:asciiTheme="minorHAnsi" w:hAnsiTheme="minorHAnsi" w:cs="ArialNarrow"/>
                <w:szCs w:val="22"/>
              </w:rPr>
              <w:t>(A)</w:t>
            </w:r>
          </w:p>
        </w:tc>
        <w:tc>
          <w:tcPr>
            <w:tcW w:w="6830" w:type="dxa"/>
          </w:tcPr>
          <w:p w14:paraId="6D369221" w14:textId="081C8195" w:rsidR="005A5895" w:rsidRPr="000C2FEC" w:rsidRDefault="005A5895" w:rsidP="000C2FEC">
            <w:pPr>
              <w:autoSpaceDE w:val="0"/>
              <w:autoSpaceDN w:val="0"/>
              <w:adjustRightInd w:val="0"/>
              <w:rPr>
                <w:rFonts w:asciiTheme="minorHAnsi" w:hAnsiTheme="minorHAnsi" w:cs="ArialNarrow"/>
                <w:szCs w:val="22"/>
              </w:rPr>
            </w:pPr>
            <w:r w:rsidRPr="000C2FEC">
              <w:rPr>
                <w:rFonts w:asciiTheme="minorHAnsi" w:hAnsiTheme="minorHAnsi" w:cs="ArialNarrow"/>
                <w:szCs w:val="22"/>
              </w:rPr>
              <w:t>United States</w:t>
            </w:r>
            <w:r w:rsidR="00F32723">
              <w:rPr>
                <w:rFonts w:asciiTheme="minorHAnsi" w:hAnsiTheme="minorHAnsi" w:cs="ArialNarrow"/>
                <w:szCs w:val="22"/>
              </w:rPr>
              <w:t xml:space="preserve"> (of America)</w:t>
            </w:r>
          </w:p>
        </w:tc>
      </w:tr>
      <w:tr w:rsidR="005A5895" w:rsidRPr="000C2FEC" w14:paraId="4F11DBDC" w14:textId="77777777" w:rsidTr="00F23105">
        <w:tc>
          <w:tcPr>
            <w:tcW w:w="1890" w:type="dxa"/>
          </w:tcPr>
          <w:p w14:paraId="01A8EBE5" w14:textId="77777777" w:rsidR="005A5895" w:rsidRPr="000C2FEC" w:rsidRDefault="005A5895" w:rsidP="000C2FEC">
            <w:pPr>
              <w:autoSpaceDE w:val="0"/>
              <w:autoSpaceDN w:val="0"/>
              <w:adjustRightInd w:val="0"/>
              <w:rPr>
                <w:rFonts w:asciiTheme="minorHAnsi" w:hAnsiTheme="minorHAnsi"/>
                <w:szCs w:val="22"/>
              </w:rPr>
            </w:pPr>
            <w:r w:rsidRPr="000C2FEC">
              <w:rPr>
                <w:rFonts w:asciiTheme="minorHAnsi" w:hAnsiTheme="minorHAnsi"/>
                <w:szCs w:val="22"/>
              </w:rPr>
              <w:t>VE</w:t>
            </w:r>
          </w:p>
        </w:tc>
        <w:tc>
          <w:tcPr>
            <w:tcW w:w="6830" w:type="dxa"/>
          </w:tcPr>
          <w:p w14:paraId="486E6B29" w14:textId="77777777" w:rsidR="005A5895" w:rsidRPr="000C2FEC" w:rsidRDefault="005A5895" w:rsidP="000C2FEC">
            <w:pPr>
              <w:rPr>
                <w:rFonts w:asciiTheme="minorHAnsi" w:hAnsiTheme="minorHAnsi"/>
                <w:szCs w:val="22"/>
              </w:rPr>
            </w:pPr>
            <w:r w:rsidRPr="000C2FEC">
              <w:rPr>
                <w:rFonts w:asciiTheme="minorHAnsi" w:hAnsiTheme="minorHAnsi"/>
                <w:szCs w:val="22"/>
              </w:rPr>
              <w:t>Vaccine efficacy</w:t>
            </w:r>
          </w:p>
        </w:tc>
      </w:tr>
      <w:tr w:rsidR="005A5895" w:rsidRPr="000C2FEC" w14:paraId="6EBD7315" w14:textId="77777777" w:rsidTr="00F23105">
        <w:tc>
          <w:tcPr>
            <w:tcW w:w="1890" w:type="dxa"/>
          </w:tcPr>
          <w:p w14:paraId="06E6E7D9" w14:textId="77777777" w:rsidR="005A5895" w:rsidRPr="000C2FEC" w:rsidRDefault="005A5895" w:rsidP="000C2FEC">
            <w:pPr>
              <w:autoSpaceDE w:val="0"/>
              <w:autoSpaceDN w:val="0"/>
              <w:adjustRightInd w:val="0"/>
              <w:rPr>
                <w:rFonts w:asciiTheme="minorHAnsi" w:hAnsiTheme="minorHAnsi" w:cs="ArialNarrow"/>
                <w:szCs w:val="22"/>
              </w:rPr>
            </w:pPr>
            <w:r w:rsidRPr="000C2FEC">
              <w:rPr>
                <w:rFonts w:asciiTheme="minorHAnsi" w:hAnsiTheme="minorHAnsi" w:cs="ArialNarrow"/>
                <w:szCs w:val="22"/>
              </w:rPr>
              <w:t>WHO</w:t>
            </w:r>
          </w:p>
        </w:tc>
        <w:tc>
          <w:tcPr>
            <w:tcW w:w="6830" w:type="dxa"/>
          </w:tcPr>
          <w:p w14:paraId="63592A6D" w14:textId="77777777" w:rsidR="005A5895" w:rsidRPr="000C2FEC" w:rsidRDefault="005A5895" w:rsidP="000C2FEC">
            <w:pPr>
              <w:rPr>
                <w:rFonts w:asciiTheme="minorHAnsi" w:hAnsiTheme="minorHAnsi" w:cs="ArialNarrow"/>
                <w:szCs w:val="22"/>
              </w:rPr>
            </w:pPr>
            <w:r w:rsidRPr="000C2FEC">
              <w:rPr>
                <w:rFonts w:asciiTheme="minorHAnsi" w:hAnsiTheme="minorHAnsi" w:cs="ArialNarrow"/>
                <w:szCs w:val="22"/>
              </w:rPr>
              <w:t>World Health Organization</w:t>
            </w:r>
          </w:p>
        </w:tc>
      </w:tr>
    </w:tbl>
    <w:p w14:paraId="240658B7" w14:textId="77777777" w:rsidR="00FD119B" w:rsidRDefault="00FD119B" w:rsidP="00FD119B"/>
    <w:p w14:paraId="228635DB" w14:textId="77777777" w:rsidR="00FD119B" w:rsidRPr="00FD119B" w:rsidRDefault="00FD119B" w:rsidP="00FD119B">
      <w:pPr>
        <w:spacing w:before="0" w:after="200" w:line="0" w:lineRule="auto"/>
        <w:rPr>
          <w:b/>
          <w:i/>
          <w:sz w:val="24"/>
          <w:szCs w:val="24"/>
        </w:rPr>
      </w:pPr>
      <w:r w:rsidRPr="00FD119B">
        <w:rPr>
          <w:b/>
          <w:i/>
          <w:sz w:val="24"/>
          <w:szCs w:val="24"/>
        </w:rPr>
        <w:br w:type="page"/>
      </w:r>
    </w:p>
    <w:p w14:paraId="11CCD014" w14:textId="77777777" w:rsidR="008E7846" w:rsidRDefault="00F53C07" w:rsidP="008E7846">
      <w:pPr>
        <w:pStyle w:val="Heading2"/>
      </w:pPr>
      <w:bookmarkStart w:id="9" w:name="_Toc30581697"/>
      <w:r>
        <w:lastRenderedPageBreak/>
        <w:t>I.</w:t>
      </w:r>
      <w:r w:rsidR="008E7846">
        <w:t xml:space="preserve"> Introduction to product submission</w:t>
      </w:r>
      <w:bookmarkEnd w:id="0"/>
      <w:bookmarkEnd w:id="3"/>
      <w:bookmarkEnd w:id="9"/>
    </w:p>
    <w:p w14:paraId="7957479C" w14:textId="77777777" w:rsidR="008E7846" w:rsidRDefault="008E7846" w:rsidP="008E7846">
      <w:pPr>
        <w:pStyle w:val="Heading3"/>
        <w:rPr>
          <w:lang w:eastAsia="en-AU"/>
        </w:rPr>
      </w:pPr>
      <w:bookmarkStart w:id="10" w:name="_Toc247691502"/>
      <w:bookmarkStart w:id="11" w:name="_Toc314842483"/>
      <w:bookmarkStart w:id="12" w:name="_Toc30581698"/>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2203365D" w14:textId="77777777" w:rsidTr="003735BC">
        <w:tc>
          <w:tcPr>
            <w:tcW w:w="2907" w:type="dxa"/>
          </w:tcPr>
          <w:p w14:paraId="24631C4B"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09411D06" w14:textId="77777777" w:rsidR="008E7846" w:rsidRPr="003D1E62" w:rsidRDefault="002835DD" w:rsidP="001B5C90">
            <w:r>
              <w:t>New biological entity</w:t>
            </w:r>
          </w:p>
        </w:tc>
      </w:tr>
      <w:tr w:rsidR="008E7846" w:rsidRPr="003D1E62" w14:paraId="472E8E35" w14:textId="77777777" w:rsidTr="003735BC">
        <w:tc>
          <w:tcPr>
            <w:tcW w:w="2907" w:type="dxa"/>
          </w:tcPr>
          <w:p w14:paraId="704956B0" w14:textId="77777777" w:rsidR="008E7846" w:rsidRPr="003D1E62" w:rsidRDefault="008E7846" w:rsidP="003D1E62">
            <w:r w:rsidRPr="003D1E62">
              <w:rPr>
                <w:i/>
              </w:rPr>
              <w:t>Decision</w:t>
            </w:r>
            <w:r w:rsidRPr="003D1E62">
              <w:t>:</w:t>
            </w:r>
          </w:p>
        </w:tc>
        <w:tc>
          <w:tcPr>
            <w:tcW w:w="6307" w:type="dxa"/>
          </w:tcPr>
          <w:p w14:paraId="488F9406" w14:textId="77777777" w:rsidR="008E7846" w:rsidRPr="003D1E62" w:rsidRDefault="002835DD" w:rsidP="002835DD">
            <w:r>
              <w:t>Approved</w:t>
            </w:r>
          </w:p>
        </w:tc>
      </w:tr>
      <w:tr w:rsidR="008E7846" w:rsidRPr="003D1E62" w14:paraId="5DE35346" w14:textId="77777777" w:rsidTr="003735BC">
        <w:tc>
          <w:tcPr>
            <w:tcW w:w="2907" w:type="dxa"/>
          </w:tcPr>
          <w:p w14:paraId="601273E6"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3EF526EE" w14:textId="77777777" w:rsidR="008E7846" w:rsidRPr="003D1E62" w:rsidRDefault="002835DD" w:rsidP="001B5C90">
            <w:r>
              <w:t>15 May 2019</w:t>
            </w:r>
          </w:p>
        </w:tc>
      </w:tr>
      <w:tr w:rsidR="00ED2922" w:rsidRPr="003D1E62" w14:paraId="604111E3" w14:textId="77777777" w:rsidTr="003735BC">
        <w:tc>
          <w:tcPr>
            <w:tcW w:w="2907" w:type="dxa"/>
          </w:tcPr>
          <w:p w14:paraId="74FE83F6" w14:textId="77777777" w:rsidR="00ED2922" w:rsidRPr="00441C3F" w:rsidRDefault="00ED2922" w:rsidP="001B5C90">
            <w:pPr>
              <w:rPr>
                <w:i/>
              </w:rPr>
            </w:pPr>
            <w:r w:rsidRPr="00441C3F">
              <w:rPr>
                <w:i/>
              </w:rPr>
              <w:t>Date of entry onto ARTG</w:t>
            </w:r>
            <w:r w:rsidR="00500337">
              <w:rPr>
                <w:i/>
              </w:rPr>
              <w:t>:</w:t>
            </w:r>
          </w:p>
        </w:tc>
        <w:tc>
          <w:tcPr>
            <w:tcW w:w="6307" w:type="dxa"/>
          </w:tcPr>
          <w:p w14:paraId="631964E8" w14:textId="77777777" w:rsidR="00ED2922" w:rsidRPr="00441C3F" w:rsidRDefault="0080237B" w:rsidP="00D153D8">
            <w:pPr>
              <w:rPr>
                <w:i/>
              </w:rPr>
            </w:pPr>
            <w:r>
              <w:t>20 May 2019</w:t>
            </w:r>
          </w:p>
        </w:tc>
      </w:tr>
      <w:tr w:rsidR="00500337" w:rsidRPr="003D1E62" w14:paraId="6E8C042D" w14:textId="77777777" w:rsidTr="003735BC">
        <w:tc>
          <w:tcPr>
            <w:tcW w:w="2907" w:type="dxa"/>
          </w:tcPr>
          <w:p w14:paraId="3B582A1A" w14:textId="77777777" w:rsidR="00500337" w:rsidRPr="00441C3F" w:rsidRDefault="0080237B" w:rsidP="001B5C90">
            <w:pPr>
              <w:rPr>
                <w:i/>
              </w:rPr>
            </w:pPr>
            <w:r>
              <w:rPr>
                <w:i/>
              </w:rPr>
              <w:t>ARTG numbers</w:t>
            </w:r>
            <w:r w:rsidR="00500337">
              <w:rPr>
                <w:i/>
              </w:rPr>
              <w:t>:</w:t>
            </w:r>
          </w:p>
        </w:tc>
        <w:tc>
          <w:tcPr>
            <w:tcW w:w="6307" w:type="dxa"/>
          </w:tcPr>
          <w:p w14:paraId="4053EBDB" w14:textId="77777777" w:rsidR="00500337" w:rsidRPr="00441C3F" w:rsidRDefault="0080237B" w:rsidP="00EC463D">
            <w:r w:rsidRPr="0080237B">
              <w:t>299922</w:t>
            </w:r>
            <w:r>
              <w:t xml:space="preserve">, </w:t>
            </w:r>
            <w:r w:rsidRPr="0080237B">
              <w:t>315082</w:t>
            </w:r>
          </w:p>
        </w:tc>
      </w:tr>
      <w:tr w:rsidR="003735BC" w:rsidRPr="003D1E62" w14:paraId="2F5FFEA2" w14:textId="77777777" w:rsidTr="003735BC">
        <w:tc>
          <w:tcPr>
            <w:tcW w:w="2907" w:type="dxa"/>
          </w:tcPr>
          <w:p w14:paraId="0C892777"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14:paraId="04BBB01D" w14:textId="77777777" w:rsidR="003735BC" w:rsidRPr="00487162" w:rsidRDefault="0080237B" w:rsidP="003735BC">
            <w:r>
              <w:t>No</w:t>
            </w:r>
          </w:p>
        </w:tc>
      </w:tr>
    </w:tbl>
    <w:p w14:paraId="10B86C3D" w14:textId="77777777"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14:paraId="1DF3B410" w14:textId="77777777" w:rsidTr="00BF1190">
        <w:tc>
          <w:tcPr>
            <w:tcW w:w="2907" w:type="dxa"/>
          </w:tcPr>
          <w:p w14:paraId="0E1D1C68" w14:textId="77777777" w:rsidR="008E7846" w:rsidRPr="00487162" w:rsidRDefault="0080237B" w:rsidP="00E45619">
            <w:pPr>
              <w:rPr>
                <w:i/>
              </w:rPr>
            </w:pPr>
            <w:r>
              <w:rPr>
                <w:i/>
              </w:rPr>
              <w:t>Active ingredient</w:t>
            </w:r>
            <w:r w:rsidR="001B5C90">
              <w:rPr>
                <w:i/>
              </w:rPr>
              <w:t>:</w:t>
            </w:r>
          </w:p>
        </w:tc>
        <w:tc>
          <w:tcPr>
            <w:tcW w:w="6307" w:type="dxa"/>
          </w:tcPr>
          <w:p w14:paraId="0DD776C2" w14:textId="77777777" w:rsidR="008E7846" w:rsidRPr="00487162" w:rsidRDefault="002835DD" w:rsidP="00E55CB0">
            <w:r w:rsidRPr="002835DD">
              <w:t xml:space="preserve">Inactivated </w:t>
            </w:r>
            <w:proofErr w:type="spellStart"/>
            <w:r w:rsidRPr="002835DD">
              <w:t>quadrivalent</w:t>
            </w:r>
            <w:proofErr w:type="spellEnd"/>
            <w:r w:rsidRPr="002835DD">
              <w:t xml:space="preserve"> influenza vaccine (split </w:t>
            </w:r>
            <w:proofErr w:type="spellStart"/>
            <w:r w:rsidRPr="002835DD">
              <w:t>virion</w:t>
            </w:r>
            <w:proofErr w:type="spellEnd"/>
            <w:r w:rsidRPr="002835DD">
              <w:t xml:space="preserve">) influenza virus </w:t>
            </w:r>
            <w:proofErr w:type="spellStart"/>
            <w:r w:rsidRPr="002835DD">
              <w:t>haemagglutinin</w:t>
            </w:r>
            <w:proofErr w:type="spellEnd"/>
          </w:p>
        </w:tc>
      </w:tr>
      <w:tr w:rsidR="008E7846" w:rsidRPr="00487162" w14:paraId="1B396AF7" w14:textId="77777777" w:rsidTr="00BF1190">
        <w:tc>
          <w:tcPr>
            <w:tcW w:w="2907" w:type="dxa"/>
          </w:tcPr>
          <w:p w14:paraId="294F9D82" w14:textId="77777777" w:rsidR="008E7846" w:rsidRPr="00487162" w:rsidRDefault="008E7846" w:rsidP="001B5C90">
            <w:pPr>
              <w:rPr>
                <w:i/>
              </w:rPr>
            </w:pPr>
            <w:r w:rsidRPr="00487162">
              <w:rPr>
                <w:i/>
              </w:rPr>
              <w:t>Product</w:t>
            </w:r>
            <w:r w:rsidR="0080237B">
              <w:rPr>
                <w:i/>
              </w:rPr>
              <w:t xml:space="preserve"> name</w:t>
            </w:r>
            <w:r w:rsidR="001B5C90">
              <w:rPr>
                <w:i/>
              </w:rPr>
              <w:t>:</w:t>
            </w:r>
          </w:p>
        </w:tc>
        <w:tc>
          <w:tcPr>
            <w:tcW w:w="6307" w:type="dxa"/>
          </w:tcPr>
          <w:p w14:paraId="6E5A59F1" w14:textId="77777777" w:rsidR="008E7846" w:rsidRPr="00487162" w:rsidRDefault="002835DD" w:rsidP="002835DD">
            <w:proofErr w:type="spellStart"/>
            <w:r w:rsidRPr="002835DD">
              <w:t>Vaxigrip</w:t>
            </w:r>
            <w:proofErr w:type="spellEnd"/>
            <w:r w:rsidRPr="002835DD">
              <w:t xml:space="preserve"> Tetra</w:t>
            </w:r>
          </w:p>
        </w:tc>
      </w:tr>
      <w:tr w:rsidR="008E7846" w:rsidRPr="00487162" w14:paraId="5F1496C7" w14:textId="77777777" w:rsidTr="00BF1190">
        <w:tc>
          <w:tcPr>
            <w:tcW w:w="2907" w:type="dxa"/>
          </w:tcPr>
          <w:p w14:paraId="04C93550"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360EFEA7" w14:textId="77777777" w:rsidR="002835DD" w:rsidRDefault="002835DD" w:rsidP="002835DD">
            <w:r>
              <w:t>Sanofi-Aventis Australia Pty Ltd</w:t>
            </w:r>
          </w:p>
          <w:p w14:paraId="784C162B" w14:textId="77777777" w:rsidR="002835DD" w:rsidRDefault="002835DD" w:rsidP="002835DD">
            <w:r>
              <w:t>12-24 Talavera Road</w:t>
            </w:r>
          </w:p>
          <w:p w14:paraId="19FB7718" w14:textId="77777777" w:rsidR="008E7846" w:rsidRPr="00487162" w:rsidRDefault="002835DD" w:rsidP="002835DD">
            <w:r>
              <w:t>Macquarie Park NSW 2113</w:t>
            </w:r>
          </w:p>
        </w:tc>
      </w:tr>
      <w:tr w:rsidR="008E7846" w:rsidRPr="00487162" w14:paraId="2F6A19C1" w14:textId="77777777" w:rsidTr="00BF1190">
        <w:tc>
          <w:tcPr>
            <w:tcW w:w="2907" w:type="dxa"/>
          </w:tcPr>
          <w:p w14:paraId="33E93FF0" w14:textId="77777777" w:rsidR="008E7846" w:rsidRPr="00487162" w:rsidRDefault="0080237B" w:rsidP="00E45619">
            <w:pPr>
              <w:rPr>
                <w:i/>
              </w:rPr>
            </w:pPr>
            <w:r>
              <w:rPr>
                <w:i/>
              </w:rPr>
              <w:t>Dose form</w:t>
            </w:r>
            <w:r w:rsidR="001B5C90">
              <w:rPr>
                <w:i/>
              </w:rPr>
              <w:t>:</w:t>
            </w:r>
          </w:p>
        </w:tc>
        <w:tc>
          <w:tcPr>
            <w:tcW w:w="6307" w:type="dxa"/>
          </w:tcPr>
          <w:p w14:paraId="1646A664" w14:textId="77777777" w:rsidR="008E7846" w:rsidRPr="00487162" w:rsidRDefault="0080237B" w:rsidP="00E45619">
            <w:r>
              <w:t>S</w:t>
            </w:r>
            <w:r w:rsidRPr="0080237B">
              <w:t>uspension for injection</w:t>
            </w:r>
          </w:p>
        </w:tc>
      </w:tr>
      <w:tr w:rsidR="008E7846" w:rsidRPr="00487162" w14:paraId="3882FC42" w14:textId="77777777" w:rsidTr="00BF1190">
        <w:tc>
          <w:tcPr>
            <w:tcW w:w="2907" w:type="dxa"/>
          </w:tcPr>
          <w:p w14:paraId="146AC946" w14:textId="77777777" w:rsidR="008E7846" w:rsidRPr="00487162" w:rsidRDefault="0080237B" w:rsidP="00E45619">
            <w:pPr>
              <w:rPr>
                <w:i/>
              </w:rPr>
            </w:pPr>
            <w:r>
              <w:rPr>
                <w:i/>
              </w:rPr>
              <w:t>Strength</w:t>
            </w:r>
            <w:r w:rsidR="008E7846" w:rsidRPr="00487162">
              <w:rPr>
                <w:i/>
              </w:rPr>
              <w:t xml:space="preserve">: </w:t>
            </w:r>
          </w:p>
        </w:tc>
        <w:tc>
          <w:tcPr>
            <w:tcW w:w="6307" w:type="dxa"/>
          </w:tcPr>
          <w:p w14:paraId="5FB832D5" w14:textId="77777777" w:rsidR="008E7846" w:rsidRPr="00487162" w:rsidRDefault="0080237B" w:rsidP="00E45619">
            <w:r>
              <w:t>60 µg/</w:t>
            </w:r>
            <w:r w:rsidRPr="0080237B">
              <w:t>0.5</w:t>
            </w:r>
            <w:r>
              <w:t xml:space="preserve"> </w:t>
            </w:r>
            <w:r w:rsidRPr="0080237B">
              <w:t>mL</w:t>
            </w:r>
          </w:p>
        </w:tc>
      </w:tr>
      <w:tr w:rsidR="008E7846" w:rsidRPr="00487162" w14:paraId="44A62AFA" w14:textId="77777777" w:rsidTr="00BF1190">
        <w:tc>
          <w:tcPr>
            <w:tcW w:w="2907" w:type="dxa"/>
          </w:tcPr>
          <w:p w14:paraId="14143284" w14:textId="77777777" w:rsidR="008E7846" w:rsidRPr="00487162" w:rsidRDefault="0080237B" w:rsidP="00E45619">
            <w:pPr>
              <w:rPr>
                <w:i/>
              </w:rPr>
            </w:pPr>
            <w:r>
              <w:rPr>
                <w:i/>
              </w:rPr>
              <w:t>Containers</w:t>
            </w:r>
            <w:r w:rsidR="008E7846" w:rsidRPr="00487162">
              <w:rPr>
                <w:i/>
              </w:rPr>
              <w:t>:</w:t>
            </w:r>
          </w:p>
        </w:tc>
        <w:tc>
          <w:tcPr>
            <w:tcW w:w="6307" w:type="dxa"/>
          </w:tcPr>
          <w:p w14:paraId="65E2B0D1" w14:textId="77777777" w:rsidR="008E7846" w:rsidRPr="00487162" w:rsidRDefault="002835DD" w:rsidP="002835DD">
            <w:r>
              <w:t>Prefilled syringe needle free and prefilled syringe with attached needle</w:t>
            </w:r>
          </w:p>
        </w:tc>
      </w:tr>
      <w:tr w:rsidR="008E7846" w:rsidRPr="00487162" w14:paraId="232C7F98" w14:textId="77777777" w:rsidTr="00BF1190">
        <w:tc>
          <w:tcPr>
            <w:tcW w:w="2907" w:type="dxa"/>
          </w:tcPr>
          <w:p w14:paraId="35CB859F" w14:textId="77777777" w:rsidR="008E7846" w:rsidRPr="00487162" w:rsidRDefault="0080237B" w:rsidP="00E45619">
            <w:pPr>
              <w:rPr>
                <w:i/>
              </w:rPr>
            </w:pPr>
            <w:r>
              <w:rPr>
                <w:i/>
              </w:rPr>
              <w:t>Pack sizes</w:t>
            </w:r>
            <w:r w:rsidR="008E7846" w:rsidRPr="00487162">
              <w:rPr>
                <w:i/>
              </w:rPr>
              <w:t>:</w:t>
            </w:r>
          </w:p>
        </w:tc>
        <w:tc>
          <w:tcPr>
            <w:tcW w:w="6307" w:type="dxa"/>
          </w:tcPr>
          <w:p w14:paraId="5BD20591" w14:textId="77777777" w:rsidR="008E7846" w:rsidRPr="00487162" w:rsidRDefault="0080237B" w:rsidP="00E45619">
            <w:r>
              <w:t>1 or 10</w:t>
            </w:r>
          </w:p>
        </w:tc>
      </w:tr>
      <w:tr w:rsidR="008E7846" w:rsidRPr="00487162" w14:paraId="0CE35DD2" w14:textId="77777777" w:rsidTr="00BF1190">
        <w:tc>
          <w:tcPr>
            <w:tcW w:w="2907" w:type="dxa"/>
          </w:tcPr>
          <w:p w14:paraId="7D279D9E"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73D6A776" w14:textId="77777777" w:rsidR="008E7846" w:rsidRPr="007B52D6" w:rsidRDefault="0080237B" w:rsidP="0080237B">
            <w:pPr>
              <w:rPr>
                <w:i/>
              </w:rPr>
            </w:pPr>
            <w:proofErr w:type="spellStart"/>
            <w:r w:rsidRPr="007B52D6">
              <w:rPr>
                <w:i/>
              </w:rPr>
              <w:t>Vaxigrip</w:t>
            </w:r>
            <w:proofErr w:type="spellEnd"/>
            <w:r w:rsidRPr="007B52D6">
              <w:rPr>
                <w:i/>
              </w:rPr>
              <w:t xml:space="preserve"> Tetra is indicated for active immunisation of adults and children from 6 months of age and older for the prevention of influenza disease caused by the two influenza A virus subtypes and the two influenza B virus types contained in the vaccine.</w:t>
            </w:r>
          </w:p>
        </w:tc>
      </w:tr>
      <w:tr w:rsidR="008E7846" w:rsidRPr="00487162" w14:paraId="5D0021FB" w14:textId="77777777" w:rsidTr="00BF1190">
        <w:tc>
          <w:tcPr>
            <w:tcW w:w="2907" w:type="dxa"/>
          </w:tcPr>
          <w:p w14:paraId="0992EFD3" w14:textId="77777777" w:rsidR="008E7846" w:rsidRPr="00487162" w:rsidRDefault="00C37281" w:rsidP="00E45619">
            <w:pPr>
              <w:rPr>
                <w:i/>
              </w:rPr>
            </w:pPr>
            <w:r>
              <w:rPr>
                <w:i/>
              </w:rPr>
              <w:t>Routes</w:t>
            </w:r>
            <w:r w:rsidR="008E7846" w:rsidRPr="00487162">
              <w:rPr>
                <w:i/>
              </w:rPr>
              <w:t xml:space="preserve"> of administration:</w:t>
            </w:r>
          </w:p>
        </w:tc>
        <w:tc>
          <w:tcPr>
            <w:tcW w:w="6307" w:type="dxa"/>
          </w:tcPr>
          <w:p w14:paraId="65071D69" w14:textId="77777777" w:rsidR="008E7846" w:rsidRPr="00487162" w:rsidRDefault="0080237B" w:rsidP="00E45619">
            <w:r>
              <w:t>I</w:t>
            </w:r>
            <w:r w:rsidRPr="0080237B">
              <w:t>ntramuscular or deep subcutaneous injection</w:t>
            </w:r>
          </w:p>
        </w:tc>
      </w:tr>
      <w:tr w:rsidR="008E7846" w:rsidRPr="00487162" w14:paraId="71BF08BD" w14:textId="77777777" w:rsidTr="00BF1190">
        <w:tc>
          <w:tcPr>
            <w:tcW w:w="2907" w:type="dxa"/>
          </w:tcPr>
          <w:p w14:paraId="6924760B" w14:textId="77777777" w:rsidR="008E7846" w:rsidRPr="00487162" w:rsidRDefault="008E7846" w:rsidP="00E45619">
            <w:pPr>
              <w:rPr>
                <w:i/>
              </w:rPr>
            </w:pPr>
            <w:r w:rsidRPr="00487162">
              <w:rPr>
                <w:i/>
              </w:rPr>
              <w:t>Dosage:</w:t>
            </w:r>
          </w:p>
        </w:tc>
        <w:tc>
          <w:tcPr>
            <w:tcW w:w="6307" w:type="dxa"/>
          </w:tcPr>
          <w:p w14:paraId="36D1785C" w14:textId="77777777" w:rsidR="0080237B" w:rsidRDefault="0080237B" w:rsidP="0080237B">
            <w:proofErr w:type="spellStart"/>
            <w:r>
              <w:t>Vaxigrip</w:t>
            </w:r>
            <w:proofErr w:type="spellEnd"/>
            <w:r>
              <w:t xml:space="preserve"> Tetra should be given in accordance with the national recommendation as per the current Immunisation Handbook.</w:t>
            </w:r>
          </w:p>
          <w:p w14:paraId="1D033EA3" w14:textId="77777777" w:rsidR="0080237B" w:rsidRDefault="0080237B" w:rsidP="0080237B">
            <w:r>
              <w:t>Given the antigenic variation in circulating influenza viruses and the duration of immunity provided by the vaccine, it is recommended to perform vaccination against influenza every year at the beginning of the risk period.</w:t>
            </w:r>
          </w:p>
          <w:p w14:paraId="2086A532" w14:textId="77777777" w:rsidR="0080237B" w:rsidRDefault="0080237B" w:rsidP="0080237B">
            <w:r>
              <w:t>Individuals from 9 years of age: one injection of 0.5 mL dose.</w:t>
            </w:r>
          </w:p>
          <w:p w14:paraId="687C288F" w14:textId="77777777" w:rsidR="0080237B" w:rsidRDefault="0080237B" w:rsidP="0080237B">
            <w:r>
              <w:t>Children from 6 months to 8 years of age:</w:t>
            </w:r>
          </w:p>
          <w:p w14:paraId="7E2CD508" w14:textId="77777777" w:rsidR="0080237B" w:rsidRDefault="0080237B" w:rsidP="0080237B">
            <w:pPr>
              <w:pStyle w:val="ListParagraph"/>
              <w:numPr>
                <w:ilvl w:val="0"/>
                <w:numId w:val="29"/>
              </w:numPr>
            </w:pPr>
            <w:r>
              <w:lastRenderedPageBreak/>
              <w:t>If the child has not previously been vaccinated: two 0.5 mL injections at least one month apart.</w:t>
            </w:r>
          </w:p>
          <w:p w14:paraId="18F58101" w14:textId="77777777" w:rsidR="008E7846" w:rsidRDefault="0080237B" w:rsidP="0080237B">
            <w:pPr>
              <w:pStyle w:val="ListParagraph"/>
              <w:numPr>
                <w:ilvl w:val="0"/>
                <w:numId w:val="29"/>
              </w:numPr>
            </w:pPr>
            <w:r>
              <w:t>If the child has been previously vaccinated: a single 0.5 mL injection.</w:t>
            </w:r>
          </w:p>
          <w:p w14:paraId="1D62C8D3" w14:textId="77777777" w:rsidR="0080237B" w:rsidRPr="00487162" w:rsidRDefault="0080237B" w:rsidP="0080237B">
            <w:r>
              <w:t>For further information refer to the Product Information.</w:t>
            </w:r>
          </w:p>
        </w:tc>
      </w:tr>
    </w:tbl>
    <w:p w14:paraId="48BF1C71" w14:textId="77777777" w:rsidR="008E7846" w:rsidRDefault="008E7846" w:rsidP="008E7846">
      <w:pPr>
        <w:pStyle w:val="Heading3"/>
      </w:pPr>
      <w:bookmarkStart w:id="13" w:name="_Toc247691503"/>
      <w:bookmarkStart w:id="14" w:name="_Toc314842484"/>
      <w:bookmarkStart w:id="15" w:name="_Toc30581699"/>
      <w:r>
        <w:lastRenderedPageBreak/>
        <w:t>Product background</w:t>
      </w:r>
      <w:bookmarkEnd w:id="13"/>
      <w:bookmarkEnd w:id="14"/>
      <w:bookmarkEnd w:id="15"/>
    </w:p>
    <w:p w14:paraId="66B2F689" w14:textId="4EF22938" w:rsidR="008E7846" w:rsidRDefault="00940A89" w:rsidP="00940A89">
      <w:r w:rsidRPr="00940A89">
        <w:t xml:space="preserve">This AusPAR describes the application by </w:t>
      </w:r>
      <w:r w:rsidR="00C37281">
        <w:t>Sanofi-Aventis Australia Pty Ltd</w:t>
      </w:r>
      <w:r w:rsidR="00C37281" w:rsidRPr="00940A89">
        <w:t xml:space="preserve"> </w:t>
      </w:r>
      <w:r w:rsidR="00C37281">
        <w:t>(</w:t>
      </w:r>
      <w:r w:rsidRPr="00940A89">
        <w:t>the sponsor</w:t>
      </w:r>
      <w:r w:rsidR="00C37281">
        <w:t>)</w:t>
      </w:r>
      <w:r w:rsidRPr="00940A89">
        <w:t xml:space="preserve"> to register </w:t>
      </w:r>
      <w:proofErr w:type="spellStart"/>
      <w:r w:rsidR="00C37281">
        <w:t>Vaxigrip</w:t>
      </w:r>
      <w:proofErr w:type="spellEnd"/>
      <w:r w:rsidR="00C37281">
        <w:t xml:space="preserve"> Tetra (</w:t>
      </w:r>
      <w:r w:rsidR="00617247">
        <w:t>i</w:t>
      </w:r>
      <w:r w:rsidR="00C37281" w:rsidRPr="002835DD">
        <w:t xml:space="preserve">nactivated </w:t>
      </w:r>
      <w:proofErr w:type="spellStart"/>
      <w:r w:rsidR="00C37281" w:rsidRPr="002835DD">
        <w:t>quadrivalent</w:t>
      </w:r>
      <w:proofErr w:type="spellEnd"/>
      <w:r w:rsidR="00C37281" w:rsidRPr="002835DD">
        <w:t xml:space="preserve"> influenza vaccine (split </w:t>
      </w:r>
      <w:proofErr w:type="spellStart"/>
      <w:r w:rsidR="00C37281" w:rsidRPr="002835DD">
        <w:t>virion</w:t>
      </w:r>
      <w:proofErr w:type="spellEnd"/>
      <w:r w:rsidR="00C37281" w:rsidRPr="002835DD">
        <w:t xml:space="preserve">) influenza virus </w:t>
      </w:r>
      <w:proofErr w:type="spellStart"/>
      <w:r w:rsidR="00C37281" w:rsidRPr="002835DD">
        <w:t>haemagglutinin</w:t>
      </w:r>
      <w:proofErr w:type="spellEnd"/>
      <w:r w:rsidR="00C37281">
        <w:t>)</w:t>
      </w:r>
      <w:r w:rsidRPr="00940A89">
        <w:t xml:space="preserve"> for the follow</w:t>
      </w:r>
      <w:r w:rsidR="00C37281">
        <w:t>ing indication:</w:t>
      </w:r>
    </w:p>
    <w:p w14:paraId="7AA8DDA7" w14:textId="77777777" w:rsidR="00C37281" w:rsidRPr="00C37281" w:rsidRDefault="00C37281" w:rsidP="00C37281">
      <w:pPr>
        <w:ind w:left="720"/>
        <w:rPr>
          <w:i/>
        </w:rPr>
      </w:pPr>
      <w:r w:rsidRPr="00C37281">
        <w:rPr>
          <w:i/>
        </w:rPr>
        <w:t>[…] active immunisation of adults and children from 6 months of age and older for the prevention of influenza disease.</w:t>
      </w:r>
    </w:p>
    <w:p w14:paraId="20D164DA" w14:textId="7C8E7BA5" w:rsidR="00F72B59" w:rsidRPr="00A26064" w:rsidRDefault="00F72B59" w:rsidP="00F72B59">
      <w:r w:rsidRPr="00F32723">
        <w:t xml:space="preserve">Influenza is a seasonal infectious disease caused by an </w:t>
      </w:r>
      <w:proofErr w:type="spellStart"/>
      <w:r w:rsidRPr="00F32723">
        <w:t>orthomyxovirus</w:t>
      </w:r>
      <w:proofErr w:type="spellEnd"/>
      <w:r w:rsidRPr="00F32723">
        <w:t xml:space="preserve"> that can lead to considerable morbidity and mortality. Influenza is a highly infectious disease that occurs in epidemics throughout the Northern Hemisphere (NH) and Southern Hemisphere (SH) winter months</w:t>
      </w:r>
      <w:r w:rsidRPr="00A26064">
        <w:t xml:space="preserve">. Minor or major epidemics of influenza occur in most years, usually during the winter months in temperate regions. </w:t>
      </w:r>
      <w:r w:rsidRPr="00322211">
        <w:t xml:space="preserve">In general, influenza resolves within two to seven days, although symptoms of cough and malaise may be prolonged. However, for some population </w:t>
      </w:r>
      <w:r w:rsidR="005A5895" w:rsidRPr="00322211">
        <w:t>group</w:t>
      </w:r>
      <w:r w:rsidRPr="00322211">
        <w:t>s, notably the elderly and those with chronic diseases influenza can exacerbate underlying medical conditions and/or lead to secondary viral or bacterial pneumonia</w:t>
      </w:r>
      <w:r w:rsidRPr="005B0AF4">
        <w:rPr>
          <w:rFonts w:asciiTheme="minorHAnsi" w:hAnsiTheme="minorHAnsi" w:cs="TimesNewRoman"/>
        </w:rPr>
        <w:t>.</w:t>
      </w:r>
      <w:bookmarkStart w:id="16" w:name="_Ref26342967"/>
      <w:r w:rsidR="005A5895">
        <w:rPr>
          <w:rStyle w:val="FootnoteReference"/>
          <w:rFonts w:asciiTheme="minorHAnsi" w:hAnsiTheme="minorHAnsi" w:cs="TimesNewRoman"/>
        </w:rPr>
        <w:footnoteReference w:id="1"/>
      </w:r>
      <w:bookmarkEnd w:id="16"/>
      <w:r w:rsidR="00F32723" w:rsidRPr="00322211">
        <w:rPr>
          <w:rFonts w:asciiTheme="minorHAnsi" w:hAnsiTheme="minorHAnsi" w:cs="TimesNewRoman"/>
          <w:vertAlign w:val="superscript"/>
        </w:rPr>
        <w:t>,</w:t>
      </w:r>
      <w:r w:rsidR="005A5895">
        <w:rPr>
          <w:rStyle w:val="FootnoteReference"/>
          <w:rFonts w:asciiTheme="minorHAnsi" w:hAnsiTheme="minorHAnsi" w:cs="TimesNewRoman"/>
        </w:rPr>
        <w:footnoteReference w:id="2"/>
      </w:r>
      <w:r w:rsidR="00F32723">
        <w:rPr>
          <w:rFonts w:asciiTheme="minorHAnsi" w:hAnsiTheme="minorHAnsi" w:cs="TimesNewRoman"/>
        </w:rPr>
        <w:t xml:space="preserve"> </w:t>
      </w:r>
      <w:r w:rsidRPr="00322211">
        <w:t>During influenza epidemics, there is an increased mortality risk among older adults (age &gt;</w:t>
      </w:r>
      <w:r w:rsidR="00617247" w:rsidRPr="00322211">
        <w:t xml:space="preserve"> </w:t>
      </w:r>
      <w:r w:rsidRPr="00322211">
        <w:t>65 y</w:t>
      </w:r>
      <w:r w:rsidR="00D47FAA">
        <w:t>ea</w:t>
      </w:r>
      <w:r w:rsidRPr="00322211">
        <w:t>rs), people with chronic diseases, and very</w:t>
      </w:r>
      <w:r w:rsidR="00617247" w:rsidRPr="00322211">
        <w:t xml:space="preserve"> young children (age 0 to 12 </w:t>
      </w:r>
      <w:r w:rsidRPr="00322211">
        <w:t>m</w:t>
      </w:r>
      <w:r w:rsidR="00617247" w:rsidRPr="00322211">
        <w:t>onths</w:t>
      </w:r>
      <w:r w:rsidRPr="00322211">
        <w:t>), as well as an increase in morbidity and hospitalis</w:t>
      </w:r>
      <w:r w:rsidR="00617247" w:rsidRPr="00322211">
        <w:t>ation because of influenza</w:t>
      </w:r>
      <w:r w:rsidR="00617247" w:rsidRPr="00322211">
        <w:noBreakHyphen/>
      </w:r>
      <w:r w:rsidRPr="00322211">
        <w:t>associated complications</w:t>
      </w:r>
      <w:r w:rsidRPr="005B0AF4">
        <w:rPr>
          <w:rFonts w:asciiTheme="minorHAnsi" w:hAnsiTheme="minorHAnsi" w:cs="TimesNewRoman"/>
        </w:rPr>
        <w:t>.</w:t>
      </w:r>
      <w:r w:rsidR="005A5895" w:rsidRPr="00322211">
        <w:rPr>
          <w:vertAlign w:val="superscript"/>
        </w:rPr>
        <w:fldChar w:fldCharType="begin"/>
      </w:r>
      <w:r w:rsidR="005A5895" w:rsidRPr="00322211">
        <w:rPr>
          <w:vertAlign w:val="superscript"/>
        </w:rPr>
        <w:instrText xml:space="preserve"> NOTEREF _Ref26342967 \f \h </w:instrText>
      </w:r>
      <w:r w:rsidR="00F32723" w:rsidRPr="00322211">
        <w:rPr>
          <w:vertAlign w:val="superscript"/>
        </w:rPr>
        <w:instrText xml:space="preserve"> \* MERGEFORMAT </w:instrText>
      </w:r>
      <w:r w:rsidR="005A5895" w:rsidRPr="00322211">
        <w:rPr>
          <w:vertAlign w:val="superscript"/>
        </w:rPr>
      </w:r>
      <w:r w:rsidR="005A5895" w:rsidRPr="00322211">
        <w:rPr>
          <w:vertAlign w:val="superscript"/>
        </w:rPr>
        <w:fldChar w:fldCharType="separate"/>
      </w:r>
      <w:r w:rsidR="005A5895" w:rsidRPr="00322211">
        <w:rPr>
          <w:vertAlign w:val="superscript"/>
        </w:rPr>
        <w:t>1</w:t>
      </w:r>
      <w:r w:rsidR="005A5895" w:rsidRPr="00322211">
        <w:rPr>
          <w:vertAlign w:val="superscript"/>
        </w:rPr>
        <w:fldChar w:fldCharType="end"/>
      </w:r>
      <w:r w:rsidR="00F32723" w:rsidRPr="00322211">
        <w:rPr>
          <w:vertAlign w:val="superscript"/>
        </w:rPr>
        <w:t>,</w:t>
      </w:r>
      <w:r w:rsidR="005A5895" w:rsidRPr="00322211">
        <w:rPr>
          <w:vertAlign w:val="superscript"/>
        </w:rPr>
        <w:footnoteReference w:id="3"/>
      </w:r>
      <w:r w:rsidR="00F32723">
        <w:t xml:space="preserve"> </w:t>
      </w:r>
      <w:r w:rsidRPr="00F32723">
        <w:t>The impact of influenza is often substantially underestimated.</w:t>
      </w:r>
    </w:p>
    <w:p w14:paraId="3F4E288E" w14:textId="2C584842" w:rsidR="00F72B59" w:rsidRDefault="00F72B59" w:rsidP="00F72B59">
      <w:r>
        <w:t xml:space="preserve">Influenza </w:t>
      </w:r>
      <w:r w:rsidR="00B93073">
        <w:t xml:space="preserve">types </w:t>
      </w:r>
      <w:r>
        <w:t xml:space="preserve">A and B cause most human disease. Influenza A viruses are divided into subtypes based on two viral external proteins, the </w:t>
      </w:r>
      <w:proofErr w:type="spellStart"/>
      <w:r>
        <w:t>haemagglutinin</w:t>
      </w:r>
      <w:proofErr w:type="spellEnd"/>
      <w:r>
        <w:t xml:space="preserve"> (HA) and the neuraminidase (NA)</w:t>
      </w:r>
      <w:r w:rsidR="00F32723">
        <w:t xml:space="preserve"> proteins</w:t>
      </w:r>
      <w:r>
        <w:t xml:space="preserve">. Of the influenza type A virus subtypes, the </w:t>
      </w:r>
      <w:r w:rsidR="00F32723">
        <w:t xml:space="preserve">influenza </w:t>
      </w:r>
      <w:r>
        <w:t>A/H3N2 and A/H1N1 subtypes are clinically the most important. Influenza type B viruses show extensive variation in antigenicity. Influenza B viruses are separated into two distinct genetic lineages, Yamagata and Victoria. In terms of infection, influenza type A viruses have been isolated from several non-human species, including birds, horses, and swine, whereas influenza type B viruses almost exclusively affect humans. The influenza A or B surface glycoprotein HA is the key antigen involved in attachment of the virus to receptors on respiratory epithelial cells, whereas the NA glycoprotein is involved in release of the virus from the cell surface. During infection, the virus stimulates production of antibodies in the serum (immunoglobulin G) and nasal secretions (immunoglobulin A) to these surface glycoproteins. High levels of virus type-specific antibodies are associated with protection from disease due to infections with homologous and closely</w:t>
      </w:r>
      <w:r w:rsidR="00B93073">
        <w:t xml:space="preserve"> related influenza virus strains.</w:t>
      </w:r>
      <w:r w:rsidR="00B93073" w:rsidRPr="00322211">
        <w:rPr>
          <w:vertAlign w:val="superscript"/>
        </w:rPr>
        <w:fldChar w:fldCharType="begin"/>
      </w:r>
      <w:r w:rsidR="00B93073" w:rsidRPr="00322211">
        <w:rPr>
          <w:vertAlign w:val="superscript"/>
        </w:rPr>
        <w:instrText xml:space="preserve"> NOTEREF _Ref26342967 \f \h </w:instrText>
      </w:r>
      <w:r w:rsidR="00F32723">
        <w:rPr>
          <w:vertAlign w:val="superscript"/>
        </w:rPr>
        <w:instrText xml:space="preserve"> \* MERGEFORMAT </w:instrText>
      </w:r>
      <w:r w:rsidR="00B93073" w:rsidRPr="00322211">
        <w:rPr>
          <w:vertAlign w:val="superscript"/>
        </w:rPr>
      </w:r>
      <w:r w:rsidR="00B93073" w:rsidRPr="00322211">
        <w:rPr>
          <w:vertAlign w:val="superscript"/>
        </w:rPr>
        <w:fldChar w:fldCharType="separate"/>
      </w:r>
      <w:r w:rsidR="00B93073" w:rsidRPr="00F32723">
        <w:rPr>
          <w:rStyle w:val="FootnoteReference"/>
        </w:rPr>
        <w:t>1</w:t>
      </w:r>
      <w:r w:rsidR="00B93073" w:rsidRPr="00322211">
        <w:rPr>
          <w:vertAlign w:val="superscript"/>
        </w:rPr>
        <w:fldChar w:fldCharType="end"/>
      </w:r>
      <w:r w:rsidR="00F32723" w:rsidRPr="00322211">
        <w:rPr>
          <w:vertAlign w:val="superscript"/>
        </w:rPr>
        <w:t>,</w:t>
      </w:r>
      <w:bookmarkStart w:id="17" w:name="_Ref26343246"/>
      <w:r w:rsidR="00B93073" w:rsidRPr="00F32723">
        <w:rPr>
          <w:rStyle w:val="FootnoteReference"/>
        </w:rPr>
        <w:footnoteReference w:id="4"/>
      </w:r>
      <w:bookmarkEnd w:id="17"/>
      <w:r>
        <w:t xml:space="preserve"> Novel influenza strains arise from antigenic drift due to point mutation and recombination events that occur during viral replication. These events result in the emergence of new strains of the influenza virus capab</w:t>
      </w:r>
      <w:r w:rsidR="00617247">
        <w:t>le of causing epidemics, as pre</w:t>
      </w:r>
      <w:r w:rsidR="00617247">
        <w:noBreakHyphen/>
      </w:r>
      <w:r>
        <w:t>existing antibodies resulting from previous virus exposure or vaccination are generally not cross-protective.</w:t>
      </w:r>
      <w:r w:rsidR="00B93073">
        <w:fldChar w:fldCharType="begin"/>
      </w:r>
      <w:r w:rsidR="00B93073">
        <w:instrText xml:space="preserve"> NOTEREF _Ref26343246 \f \h </w:instrText>
      </w:r>
      <w:r w:rsidR="00B93073">
        <w:fldChar w:fldCharType="separate"/>
      </w:r>
      <w:r w:rsidR="00B93073" w:rsidRPr="00B93073">
        <w:rPr>
          <w:rStyle w:val="FootnoteReference"/>
        </w:rPr>
        <w:t>4</w:t>
      </w:r>
      <w:r w:rsidR="00B93073">
        <w:fldChar w:fldCharType="end"/>
      </w:r>
    </w:p>
    <w:p w14:paraId="1C16C242" w14:textId="2D7E69C8" w:rsidR="00F72B59" w:rsidRDefault="00F72B59" w:rsidP="00F72B59">
      <w:r w:rsidRPr="0056215A">
        <w:rPr>
          <w:rFonts w:asciiTheme="minorHAnsi" w:hAnsiTheme="minorHAnsi"/>
        </w:rPr>
        <w:lastRenderedPageBreak/>
        <w:t xml:space="preserve">Prevention of influenza illness is achieved by annual prophylactic immunisation, the exact composition of which changes according to what are predicted to be the predominant A and B strain(s) circulating in either the </w:t>
      </w:r>
      <w:r>
        <w:rPr>
          <w:rFonts w:asciiTheme="minorHAnsi" w:hAnsiTheme="minorHAnsi"/>
        </w:rPr>
        <w:t>NH or SH</w:t>
      </w:r>
      <w:r w:rsidRPr="0056215A">
        <w:rPr>
          <w:rFonts w:asciiTheme="minorHAnsi" w:hAnsiTheme="minorHAnsi"/>
        </w:rPr>
        <w:t xml:space="preserve"> for that influenza season.</w:t>
      </w:r>
      <w:r w:rsidRPr="0056215A">
        <w:rPr>
          <w:rFonts w:asciiTheme="minorHAnsi" w:eastAsiaTheme="minorHAnsi" w:hAnsiTheme="minorHAnsi"/>
          <w:bCs/>
        </w:rPr>
        <w:t xml:space="preserve"> </w:t>
      </w:r>
      <w:r>
        <w:t xml:space="preserve">The awareness and analysis of the potential for B strain mismatch between circulating strains and vaccine included strains has led to new strategies for improved vaccine protection. Specifically, a number of </w:t>
      </w:r>
      <w:proofErr w:type="spellStart"/>
      <w:r>
        <w:t>quadrivalent</w:t>
      </w:r>
      <w:proofErr w:type="spellEnd"/>
      <w:r>
        <w:t xml:space="preserve"> vaccines with representative strains of both major B strain lineages have been developed.</w:t>
      </w:r>
    </w:p>
    <w:p w14:paraId="3B4C417C" w14:textId="67EF6440" w:rsidR="00940A89" w:rsidRDefault="00F72B59" w:rsidP="00F72B59">
      <w:r>
        <w:t>In Australia, annual influenza vaccination is currently</w:t>
      </w:r>
      <w:r w:rsidR="00617247">
        <w:t xml:space="preserve"> recommended for any person ≥ 6 </w:t>
      </w:r>
      <w:r>
        <w:t>months of age who wishes to reduce the likelihood of becoming ill with influenza, as well as a range of co-morbid conditions that place persons at risk of complications from influenza infection.</w:t>
      </w:r>
    </w:p>
    <w:p w14:paraId="77790896" w14:textId="77777777" w:rsidR="008E7846" w:rsidRPr="003F31A2" w:rsidRDefault="00386150" w:rsidP="008E7846">
      <w:pPr>
        <w:pStyle w:val="Heading3"/>
      </w:pPr>
      <w:bookmarkStart w:id="18" w:name="_Toc314842485"/>
      <w:bookmarkStart w:id="19" w:name="_Toc247691504"/>
      <w:bookmarkStart w:id="20" w:name="_Toc30581700"/>
      <w:r>
        <w:t>Regulatory s</w:t>
      </w:r>
      <w:r w:rsidR="008E7846">
        <w:t>tatus</w:t>
      </w:r>
      <w:bookmarkEnd w:id="18"/>
      <w:bookmarkEnd w:id="19"/>
      <w:bookmarkEnd w:id="20"/>
    </w:p>
    <w:p w14:paraId="794B5AD3" w14:textId="77777777" w:rsidR="00940A89" w:rsidRDefault="00C37281" w:rsidP="00940A89">
      <w:bookmarkStart w:id="21" w:name="_Toc247691505"/>
      <w:bookmarkStart w:id="22" w:name="_Toc314842486"/>
      <w:proofErr w:type="spellStart"/>
      <w:r>
        <w:t>Vaxigrip</w:t>
      </w:r>
      <w:proofErr w:type="spellEnd"/>
      <w:r>
        <w:t xml:space="preserve"> Tetra (i</w:t>
      </w:r>
      <w:r w:rsidRPr="002835DD">
        <w:t xml:space="preserve">nactivated </w:t>
      </w:r>
      <w:proofErr w:type="spellStart"/>
      <w:r w:rsidRPr="002835DD">
        <w:t>quadrivalent</w:t>
      </w:r>
      <w:proofErr w:type="spellEnd"/>
      <w:r w:rsidRPr="002835DD">
        <w:t xml:space="preserve"> influenza vaccine (split </w:t>
      </w:r>
      <w:proofErr w:type="spellStart"/>
      <w:r w:rsidRPr="002835DD">
        <w:t>virion</w:t>
      </w:r>
      <w:proofErr w:type="spellEnd"/>
      <w:r w:rsidRPr="002835DD">
        <w:t xml:space="preserve">) influenza virus </w:t>
      </w:r>
      <w:proofErr w:type="spellStart"/>
      <w:r w:rsidRPr="002835DD">
        <w:t>haemagglutinin</w:t>
      </w:r>
      <w:proofErr w:type="spellEnd"/>
      <w:r>
        <w:t>) is considered a new biological entity for Australian regulatory purposes.</w:t>
      </w:r>
    </w:p>
    <w:p w14:paraId="1BD4C5EE" w14:textId="1172417A" w:rsidR="007A6505" w:rsidRDefault="00F72B59" w:rsidP="00F72B59">
      <w:r>
        <w:t xml:space="preserve">The initial application for </w:t>
      </w:r>
      <w:proofErr w:type="spellStart"/>
      <w:r>
        <w:t>Vaxigrip</w:t>
      </w:r>
      <w:proofErr w:type="spellEnd"/>
      <w:r>
        <w:t xml:space="preserve"> Tetra for individuals aged ≥</w:t>
      </w:r>
      <w:r w:rsidR="00E37302">
        <w:t xml:space="preserve"> </w:t>
      </w:r>
      <w:r>
        <w:t xml:space="preserve">3 years was submitted in 2015 under </w:t>
      </w:r>
      <w:r w:rsidR="00F32723">
        <w:t>the d</w:t>
      </w:r>
      <w:r>
        <w:t xml:space="preserve">ecentralised </w:t>
      </w:r>
      <w:r w:rsidR="00F32723">
        <w:t>p</w:t>
      </w:r>
      <w:r>
        <w:t xml:space="preserve">rocedure in </w:t>
      </w:r>
      <w:r w:rsidR="00F32723">
        <w:t xml:space="preserve">the </w:t>
      </w:r>
      <w:r>
        <w:t>Europe</w:t>
      </w:r>
      <w:r w:rsidR="00F32723">
        <w:t>an Union (EU)</w:t>
      </w:r>
      <w:r>
        <w:t>. Following the approval, a variation application to lower the age indication to ≥</w:t>
      </w:r>
      <w:r w:rsidR="00244C61">
        <w:t xml:space="preserve"> </w:t>
      </w:r>
      <w:r>
        <w:t xml:space="preserve">6 months of age was submitted in July 2017, and approved in some countries. The </w:t>
      </w:r>
      <w:r w:rsidR="00F32723">
        <w:t>r</w:t>
      </w:r>
      <w:r>
        <w:t xml:space="preserve">eference </w:t>
      </w:r>
      <w:r w:rsidR="00F32723">
        <w:t xml:space="preserve">member state </w:t>
      </w:r>
      <w:r>
        <w:t>is Germany for both applications.</w:t>
      </w:r>
      <w:r w:rsidR="00F81880">
        <w:t xml:space="preserve"> At the time this submission was under consideration</w:t>
      </w:r>
      <w:r w:rsidR="00E37302">
        <w:t>,</w:t>
      </w:r>
      <w:r w:rsidR="00D47FAA">
        <w:t xml:space="preserve"> the ≥ </w:t>
      </w:r>
      <w:r w:rsidR="00F81880">
        <w:t>6 months of age indication was approved in over 40</w:t>
      </w:r>
      <w:r w:rsidR="00E37302">
        <w:t xml:space="preserve"> countries worldwide, and was under consideration in Italy, Slovakia, </w:t>
      </w:r>
      <w:r w:rsidR="00E37302" w:rsidRPr="00E37302">
        <w:t>Brunei Darussalam</w:t>
      </w:r>
      <w:r w:rsidR="00E37302">
        <w:t xml:space="preserve"> and Costa</w:t>
      </w:r>
      <w:r w:rsidR="00A26064">
        <w:t> </w:t>
      </w:r>
      <w:r w:rsidR="00E37302">
        <w:t>Rica.</w:t>
      </w:r>
    </w:p>
    <w:p w14:paraId="4CBA0770" w14:textId="77777777" w:rsidR="008E7846" w:rsidRDefault="008E7846" w:rsidP="00940A89">
      <w:pPr>
        <w:pStyle w:val="Heading3"/>
      </w:pPr>
      <w:bookmarkStart w:id="23" w:name="_Toc30581701"/>
      <w:r>
        <w:t>Product Information</w:t>
      </w:r>
      <w:bookmarkEnd w:id="21"/>
      <w:bookmarkEnd w:id="22"/>
      <w:bookmarkEnd w:id="23"/>
    </w:p>
    <w:p w14:paraId="17BC3493" w14:textId="77777777" w:rsidR="00940A89" w:rsidRDefault="006136D7" w:rsidP="00940A89">
      <w:bookmarkStart w:id="24" w:name="_Toc247691506"/>
      <w:bookmarkStart w:id="25"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2A39998F" w14:textId="77777777" w:rsidR="00500337" w:rsidRDefault="00C37281" w:rsidP="00500337">
      <w:pPr>
        <w:pStyle w:val="Heading2"/>
      </w:pPr>
      <w:bookmarkStart w:id="26" w:name="_Toc504480011"/>
      <w:bookmarkStart w:id="27" w:name="_Toc30581702"/>
      <w:r>
        <w:t>II. Registration time</w:t>
      </w:r>
      <w:r w:rsidR="00500337">
        <w:t>line</w:t>
      </w:r>
      <w:bookmarkEnd w:id="26"/>
      <w:bookmarkEnd w:id="27"/>
    </w:p>
    <w:p w14:paraId="7EC4D897" w14:textId="0310AEA0" w:rsidR="00500337" w:rsidRDefault="00E37302" w:rsidP="00500337">
      <w:r>
        <w:fldChar w:fldCharType="begin"/>
      </w:r>
      <w:r>
        <w:instrText xml:space="preserve"> REF _Ref26344817 \h </w:instrText>
      </w:r>
      <w:r>
        <w:fldChar w:fldCharType="separate"/>
      </w:r>
      <w:r>
        <w:t xml:space="preserve">Table </w:t>
      </w:r>
      <w:r>
        <w:rPr>
          <w:noProof/>
        </w:rPr>
        <w:t>1</w:t>
      </w:r>
      <w:r>
        <w:fldChar w:fldCharType="end"/>
      </w:r>
      <w:r>
        <w:t xml:space="preserve"> </w:t>
      </w:r>
      <w:r w:rsidR="00500337">
        <w:t>captures the key steps and dates for this application and which are detailed and discussed in this AusPAR.</w:t>
      </w:r>
    </w:p>
    <w:p w14:paraId="42B5DFC0" w14:textId="4214EF43" w:rsidR="00500337" w:rsidRPr="00377BD4" w:rsidRDefault="00E37302" w:rsidP="00E37302">
      <w:pPr>
        <w:pStyle w:val="TableTitle"/>
      </w:pPr>
      <w:bookmarkStart w:id="28" w:name="_Ref26344817"/>
      <w:r>
        <w:t xml:space="preserve">Table </w:t>
      </w:r>
      <w:r w:rsidR="00A613B3">
        <w:fldChar w:fldCharType="begin"/>
      </w:r>
      <w:r w:rsidR="00A613B3">
        <w:instrText xml:space="preserve"> SEQ Table \* ARABIC </w:instrText>
      </w:r>
      <w:r w:rsidR="00A613B3">
        <w:fldChar w:fldCharType="separate"/>
      </w:r>
      <w:r w:rsidR="00452FEA">
        <w:rPr>
          <w:noProof/>
        </w:rPr>
        <w:t>1</w:t>
      </w:r>
      <w:r w:rsidR="00A613B3">
        <w:rPr>
          <w:noProof/>
        </w:rPr>
        <w:fldChar w:fldCharType="end"/>
      </w:r>
      <w:bookmarkEnd w:id="28"/>
      <w:r>
        <w:t xml:space="preserve">: </w:t>
      </w:r>
      <w:r w:rsidR="006A58A8" w:rsidRPr="006A58A8">
        <w:t xml:space="preserve">Timeline for Submission </w:t>
      </w:r>
      <w:r w:rsidR="00A02978" w:rsidRPr="002A7FDF">
        <w:t>PM-2018-00583-1-2</w:t>
      </w:r>
    </w:p>
    <w:tbl>
      <w:tblPr>
        <w:tblStyle w:val="TableTGAblue"/>
        <w:tblW w:w="0" w:type="auto"/>
        <w:tblLook w:val="04A0" w:firstRow="1" w:lastRow="0" w:firstColumn="1" w:lastColumn="0" w:noHBand="0" w:noVBand="1"/>
      </w:tblPr>
      <w:tblGrid>
        <w:gridCol w:w="4360"/>
        <w:gridCol w:w="4360"/>
      </w:tblGrid>
      <w:tr w:rsidR="00500337" w14:paraId="5746B1A8"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56558FEE" w14:textId="77777777" w:rsidR="00500337" w:rsidRDefault="00500337" w:rsidP="00500337">
            <w:pPr>
              <w:ind w:left="0" w:right="0"/>
            </w:pPr>
            <w:r>
              <w:t>Description</w:t>
            </w:r>
          </w:p>
        </w:tc>
        <w:tc>
          <w:tcPr>
            <w:tcW w:w="4360" w:type="dxa"/>
          </w:tcPr>
          <w:p w14:paraId="2B7F8CBB" w14:textId="77777777" w:rsidR="00500337" w:rsidRDefault="00500337" w:rsidP="00500337">
            <w:pPr>
              <w:ind w:left="0" w:right="0"/>
            </w:pPr>
            <w:r>
              <w:t>Date</w:t>
            </w:r>
          </w:p>
        </w:tc>
      </w:tr>
      <w:tr w:rsidR="00500337" w14:paraId="1C354B19" w14:textId="77777777" w:rsidTr="00500337">
        <w:tc>
          <w:tcPr>
            <w:tcW w:w="4360" w:type="dxa"/>
          </w:tcPr>
          <w:p w14:paraId="4E1A5E0F" w14:textId="77777777" w:rsidR="00500337" w:rsidRDefault="00500337" w:rsidP="00500337">
            <w:pPr>
              <w:ind w:left="0" w:right="0"/>
            </w:pPr>
            <w:r>
              <w:t>Submission dossier accepted and first round evaluation commenced</w:t>
            </w:r>
          </w:p>
        </w:tc>
        <w:tc>
          <w:tcPr>
            <w:tcW w:w="4360" w:type="dxa"/>
          </w:tcPr>
          <w:p w14:paraId="64975218" w14:textId="77777777" w:rsidR="00500337" w:rsidRDefault="00075877" w:rsidP="00500337">
            <w:pPr>
              <w:ind w:left="0" w:right="0"/>
            </w:pPr>
            <w:r>
              <w:t>29 March 2018</w:t>
            </w:r>
          </w:p>
        </w:tc>
      </w:tr>
      <w:tr w:rsidR="00500337" w14:paraId="1838E9BC" w14:textId="77777777" w:rsidTr="00500337">
        <w:tc>
          <w:tcPr>
            <w:tcW w:w="4360" w:type="dxa"/>
          </w:tcPr>
          <w:p w14:paraId="438EB288" w14:textId="77777777" w:rsidR="00500337" w:rsidRDefault="00500337" w:rsidP="00500337">
            <w:pPr>
              <w:ind w:left="0" w:right="0"/>
            </w:pPr>
            <w:r>
              <w:t>First round evaluation completed</w:t>
            </w:r>
          </w:p>
        </w:tc>
        <w:tc>
          <w:tcPr>
            <w:tcW w:w="4360" w:type="dxa"/>
          </w:tcPr>
          <w:p w14:paraId="5463EAF0" w14:textId="77777777" w:rsidR="00500337" w:rsidRDefault="00075877" w:rsidP="00500337">
            <w:pPr>
              <w:ind w:left="0" w:right="0"/>
            </w:pPr>
            <w:r>
              <w:t>4 September 2018</w:t>
            </w:r>
          </w:p>
        </w:tc>
      </w:tr>
      <w:tr w:rsidR="00500337" w14:paraId="5E3EC02C" w14:textId="77777777" w:rsidTr="00500337">
        <w:tc>
          <w:tcPr>
            <w:tcW w:w="4360" w:type="dxa"/>
          </w:tcPr>
          <w:p w14:paraId="5A6B7E07" w14:textId="77777777" w:rsidR="00500337" w:rsidRDefault="00500337" w:rsidP="00500337">
            <w:pPr>
              <w:ind w:left="0" w:right="0"/>
            </w:pPr>
            <w:r>
              <w:t>Sponsor provides responses on questions raised in first round evaluation</w:t>
            </w:r>
          </w:p>
        </w:tc>
        <w:tc>
          <w:tcPr>
            <w:tcW w:w="4360" w:type="dxa"/>
          </w:tcPr>
          <w:p w14:paraId="68CEBD3D" w14:textId="77777777" w:rsidR="00500337" w:rsidRDefault="00075877" w:rsidP="00500337">
            <w:pPr>
              <w:ind w:left="0" w:right="0"/>
            </w:pPr>
            <w:r>
              <w:t>31 October 2018</w:t>
            </w:r>
          </w:p>
        </w:tc>
      </w:tr>
      <w:tr w:rsidR="00500337" w14:paraId="1907C2BB" w14:textId="77777777" w:rsidTr="00500337">
        <w:tc>
          <w:tcPr>
            <w:tcW w:w="4360" w:type="dxa"/>
          </w:tcPr>
          <w:p w14:paraId="285F5138" w14:textId="77777777" w:rsidR="00500337" w:rsidRDefault="00500337" w:rsidP="00500337">
            <w:pPr>
              <w:ind w:left="0" w:right="0"/>
            </w:pPr>
            <w:r>
              <w:t>Second round evaluation completed</w:t>
            </w:r>
          </w:p>
        </w:tc>
        <w:tc>
          <w:tcPr>
            <w:tcW w:w="4360" w:type="dxa"/>
          </w:tcPr>
          <w:p w14:paraId="6BBBA722" w14:textId="77777777" w:rsidR="00500337" w:rsidRDefault="00075877" w:rsidP="00500337">
            <w:pPr>
              <w:ind w:left="0" w:right="0"/>
            </w:pPr>
            <w:r>
              <w:t>30 November 2018</w:t>
            </w:r>
          </w:p>
        </w:tc>
      </w:tr>
      <w:tr w:rsidR="00500337" w14:paraId="15DD8B25" w14:textId="77777777" w:rsidTr="00500337">
        <w:tc>
          <w:tcPr>
            <w:tcW w:w="4360" w:type="dxa"/>
          </w:tcPr>
          <w:p w14:paraId="59C651AE" w14:textId="77777777" w:rsidR="00500337" w:rsidRDefault="00500337" w:rsidP="00500337">
            <w:pPr>
              <w:ind w:left="0" w:right="0"/>
            </w:pPr>
            <w:r>
              <w:t>Delegate’s Overall benefit-risk assessment and request for Advisory Committee advice</w:t>
            </w:r>
          </w:p>
        </w:tc>
        <w:tc>
          <w:tcPr>
            <w:tcW w:w="4360" w:type="dxa"/>
          </w:tcPr>
          <w:p w14:paraId="28386092" w14:textId="77777777" w:rsidR="00500337" w:rsidRDefault="00075877" w:rsidP="00500337">
            <w:pPr>
              <w:ind w:left="0" w:right="0"/>
            </w:pPr>
            <w:r>
              <w:t>5 March 2019</w:t>
            </w:r>
          </w:p>
        </w:tc>
      </w:tr>
      <w:tr w:rsidR="00500337" w14:paraId="635A3F7D" w14:textId="77777777" w:rsidTr="00500337">
        <w:tc>
          <w:tcPr>
            <w:tcW w:w="4360" w:type="dxa"/>
          </w:tcPr>
          <w:p w14:paraId="6F2FD691" w14:textId="77777777" w:rsidR="00500337" w:rsidRDefault="00500337" w:rsidP="00500337">
            <w:pPr>
              <w:ind w:left="0" w:right="0"/>
            </w:pPr>
            <w:r>
              <w:lastRenderedPageBreak/>
              <w:t>Sponsor’s pre-Advisory Committee response</w:t>
            </w:r>
          </w:p>
        </w:tc>
        <w:tc>
          <w:tcPr>
            <w:tcW w:w="4360" w:type="dxa"/>
          </w:tcPr>
          <w:p w14:paraId="1947677F" w14:textId="77777777" w:rsidR="00500337" w:rsidRDefault="00075877" w:rsidP="00500337">
            <w:pPr>
              <w:ind w:left="0" w:right="0"/>
            </w:pPr>
            <w:r>
              <w:t>19 March 2019</w:t>
            </w:r>
          </w:p>
        </w:tc>
      </w:tr>
      <w:tr w:rsidR="00500337" w14:paraId="2B79A7FD" w14:textId="77777777" w:rsidTr="00500337">
        <w:tc>
          <w:tcPr>
            <w:tcW w:w="4360" w:type="dxa"/>
          </w:tcPr>
          <w:p w14:paraId="18427BC6" w14:textId="77777777" w:rsidR="00500337" w:rsidRDefault="00500337" w:rsidP="00500337">
            <w:pPr>
              <w:ind w:left="0" w:right="0"/>
            </w:pPr>
            <w:r>
              <w:t>Advisory Committee meeting</w:t>
            </w:r>
          </w:p>
        </w:tc>
        <w:tc>
          <w:tcPr>
            <w:tcW w:w="4360" w:type="dxa"/>
          </w:tcPr>
          <w:p w14:paraId="49931AD8" w14:textId="77777777" w:rsidR="00500337" w:rsidRDefault="00075877" w:rsidP="00500337">
            <w:pPr>
              <w:ind w:left="0" w:right="0"/>
            </w:pPr>
            <w:r>
              <w:t>3 April 2019</w:t>
            </w:r>
          </w:p>
        </w:tc>
      </w:tr>
      <w:tr w:rsidR="00500337" w14:paraId="697A9101" w14:textId="77777777" w:rsidTr="00500337">
        <w:tc>
          <w:tcPr>
            <w:tcW w:w="4360" w:type="dxa"/>
          </w:tcPr>
          <w:p w14:paraId="752E4E61" w14:textId="77777777" w:rsidR="00500337" w:rsidRDefault="00500337" w:rsidP="00500337">
            <w:pPr>
              <w:ind w:left="0" w:right="0"/>
            </w:pPr>
            <w:r>
              <w:t>Registration decision (Outcome)</w:t>
            </w:r>
          </w:p>
        </w:tc>
        <w:tc>
          <w:tcPr>
            <w:tcW w:w="4360" w:type="dxa"/>
          </w:tcPr>
          <w:p w14:paraId="0C81C54B" w14:textId="77777777" w:rsidR="00500337" w:rsidRDefault="00075877" w:rsidP="00500337">
            <w:pPr>
              <w:ind w:left="0" w:right="0"/>
            </w:pPr>
            <w:r>
              <w:t>15 May 2019</w:t>
            </w:r>
          </w:p>
        </w:tc>
      </w:tr>
      <w:tr w:rsidR="00500337" w14:paraId="53353594" w14:textId="77777777" w:rsidTr="00500337">
        <w:tc>
          <w:tcPr>
            <w:tcW w:w="4360" w:type="dxa"/>
          </w:tcPr>
          <w:p w14:paraId="1E19CD80" w14:textId="53945EF7" w:rsidR="00500337" w:rsidRDefault="00500337" w:rsidP="00500337">
            <w:pPr>
              <w:ind w:left="0" w:right="0"/>
            </w:pPr>
            <w:r>
              <w:t xml:space="preserve">Completion of administrative activities and registration on </w:t>
            </w:r>
            <w:r w:rsidR="00A26064">
              <w:t xml:space="preserve">the </w:t>
            </w:r>
            <w:r>
              <w:t>ARTG</w:t>
            </w:r>
          </w:p>
        </w:tc>
        <w:tc>
          <w:tcPr>
            <w:tcW w:w="4360" w:type="dxa"/>
          </w:tcPr>
          <w:p w14:paraId="5EED5DD2" w14:textId="77777777" w:rsidR="00500337" w:rsidRDefault="00075877" w:rsidP="00500337">
            <w:pPr>
              <w:ind w:left="0" w:right="0"/>
            </w:pPr>
            <w:r>
              <w:t>20 May 2019</w:t>
            </w:r>
          </w:p>
        </w:tc>
      </w:tr>
      <w:tr w:rsidR="00500337" w14:paraId="67D622D2" w14:textId="77777777" w:rsidTr="00500337">
        <w:tc>
          <w:tcPr>
            <w:tcW w:w="4360" w:type="dxa"/>
          </w:tcPr>
          <w:p w14:paraId="3B554502" w14:textId="77777777" w:rsidR="00500337" w:rsidRDefault="00500337" w:rsidP="00500337">
            <w:pPr>
              <w:ind w:left="0" w:right="0"/>
            </w:pPr>
            <w:r>
              <w:t>Number of working days from submission dossier acceptance to registration decision*</w:t>
            </w:r>
          </w:p>
        </w:tc>
        <w:tc>
          <w:tcPr>
            <w:tcW w:w="4360" w:type="dxa"/>
          </w:tcPr>
          <w:p w14:paraId="51453A30" w14:textId="77777777" w:rsidR="00500337" w:rsidRDefault="00075877" w:rsidP="00500337">
            <w:pPr>
              <w:ind w:left="0" w:right="0"/>
            </w:pPr>
            <w:r>
              <w:t>168</w:t>
            </w:r>
          </w:p>
        </w:tc>
      </w:tr>
    </w:tbl>
    <w:p w14:paraId="1D02B4E6"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0BE29088" w14:textId="77777777" w:rsidR="008E7846" w:rsidRPr="00792A32" w:rsidRDefault="00456765" w:rsidP="008E7846">
      <w:pPr>
        <w:pStyle w:val="Heading2"/>
      </w:pPr>
      <w:bookmarkStart w:id="29" w:name="_Toc196046504"/>
      <w:bookmarkStart w:id="30" w:name="_Toc247691527"/>
      <w:bookmarkStart w:id="31" w:name="_Toc314842510"/>
      <w:bookmarkStart w:id="32" w:name="_Toc163441390"/>
      <w:bookmarkStart w:id="33" w:name="_Toc30581703"/>
      <w:bookmarkEnd w:id="1"/>
      <w:bookmarkEnd w:id="24"/>
      <w:bookmarkEnd w:id="25"/>
      <w:r>
        <w:t>I</w:t>
      </w:r>
      <w:r w:rsidR="00DA64CB">
        <w:t>I</w:t>
      </w:r>
      <w:r w:rsidR="008E7846">
        <w:t xml:space="preserve">I. </w:t>
      </w:r>
      <w:r w:rsidR="000C2FEC">
        <w:t>Submission overview</w:t>
      </w:r>
      <w:r w:rsidR="008E7846" w:rsidRPr="00792A32">
        <w:t xml:space="preserve"> and </w:t>
      </w:r>
      <w:r w:rsidR="008E7846">
        <w:t>r</w:t>
      </w:r>
      <w:r w:rsidR="008E7846" w:rsidRPr="00792A32">
        <w:t>isk/</w:t>
      </w:r>
      <w:r w:rsidR="008E7846">
        <w:t>b</w:t>
      </w:r>
      <w:r w:rsidR="008E7846" w:rsidRPr="00792A32">
        <w:t xml:space="preserve">enefit </w:t>
      </w:r>
      <w:r w:rsidR="008E7846">
        <w:t>a</w:t>
      </w:r>
      <w:r w:rsidR="008E7846" w:rsidRPr="00792A32">
        <w:t>ssessment</w:t>
      </w:r>
      <w:bookmarkEnd w:id="29"/>
      <w:bookmarkEnd w:id="30"/>
      <w:bookmarkEnd w:id="31"/>
      <w:bookmarkEnd w:id="33"/>
    </w:p>
    <w:p w14:paraId="0DCF74FF" w14:textId="77777777" w:rsidR="008E7846" w:rsidRDefault="008E7846" w:rsidP="008E7846">
      <w:bookmarkStart w:id="34" w:name="_Toc247691528"/>
      <w:r>
        <w:t xml:space="preserve">The submission was summarised in the following </w:t>
      </w:r>
      <w:r w:rsidRPr="00EF5C48">
        <w:t xml:space="preserve">Delegate’s </w:t>
      </w:r>
      <w:r>
        <w:t>overview</w:t>
      </w:r>
      <w:r w:rsidRPr="00EF5C48">
        <w:t xml:space="preserve"> and recommendation</w:t>
      </w:r>
      <w:r w:rsidR="000C2FEC">
        <w:t>s.</w:t>
      </w:r>
    </w:p>
    <w:p w14:paraId="6AC807F7" w14:textId="77777777" w:rsidR="00D73400" w:rsidRDefault="008E7846" w:rsidP="00D73400">
      <w:pPr>
        <w:pStyle w:val="Heading3"/>
      </w:pPr>
      <w:bookmarkStart w:id="35" w:name="_Toc314842511"/>
      <w:bookmarkStart w:id="36" w:name="_Toc30581704"/>
      <w:r>
        <w:t>Quality</w:t>
      </w:r>
      <w:bookmarkEnd w:id="34"/>
      <w:bookmarkEnd w:id="35"/>
      <w:bookmarkEnd w:id="36"/>
    </w:p>
    <w:p w14:paraId="16E68AD1" w14:textId="2AF98E84" w:rsidR="00D73400" w:rsidRDefault="00D73400" w:rsidP="00D73400">
      <w:r>
        <w:t>The submission is for registra</w:t>
      </w:r>
      <w:r w:rsidR="00E37302">
        <w:t xml:space="preserve">tion of </w:t>
      </w:r>
      <w:proofErr w:type="spellStart"/>
      <w:r w:rsidR="00E37302">
        <w:t>Vaxigrip</w:t>
      </w:r>
      <w:proofErr w:type="spellEnd"/>
      <w:r w:rsidR="00E37302">
        <w:t xml:space="preserve"> Tetra, </w:t>
      </w:r>
      <w:r>
        <w:t xml:space="preserve">an inactivated (split </w:t>
      </w:r>
      <w:proofErr w:type="spellStart"/>
      <w:r>
        <w:t>virion</w:t>
      </w:r>
      <w:proofErr w:type="spellEnd"/>
      <w:r>
        <w:t xml:space="preserve">) </w:t>
      </w:r>
      <w:proofErr w:type="spellStart"/>
      <w:r>
        <w:t>quadrivalent</w:t>
      </w:r>
      <w:proofErr w:type="spellEnd"/>
      <w:r>
        <w:t>, influenza vaccine. The drug product is presented in 1</w:t>
      </w:r>
      <w:r w:rsidR="00A26064">
        <w:t> </w:t>
      </w:r>
      <w:r>
        <w:t>mL clear glass syringes with each syringe containing 0.5</w:t>
      </w:r>
      <w:r w:rsidR="00E37302">
        <w:t xml:space="preserve"> </w:t>
      </w:r>
      <w:r>
        <w:t>mL of vaccine which nominally contains 60</w:t>
      </w:r>
      <w:r w:rsidR="00E37302">
        <w:t xml:space="preserve"> </w:t>
      </w:r>
      <w:r>
        <w:t xml:space="preserve">µg </w:t>
      </w:r>
      <w:r w:rsidR="00E37302">
        <w:t>HA</w:t>
      </w:r>
      <w:r>
        <w:t xml:space="preserve"> antigen. The 60</w:t>
      </w:r>
      <w:r w:rsidR="00E37302">
        <w:t xml:space="preserve"> </w:t>
      </w:r>
      <w:r>
        <w:t>µg HA comprises 15</w:t>
      </w:r>
      <w:r w:rsidR="00E37302">
        <w:t xml:space="preserve"> </w:t>
      </w:r>
      <w:r>
        <w:t>µg of each of four strains of virus (</w:t>
      </w:r>
      <w:r w:rsidR="00A26064">
        <w:t xml:space="preserve">influenza </w:t>
      </w:r>
      <w:r>
        <w:t>A/H1N1, A/H3N2, B (Yamagata lineage) and B (Victoria lineage)). This product is similar to the currently registered and previously supplied inactivated trivalent inf</w:t>
      </w:r>
      <w:r w:rsidR="00B93073">
        <w:t xml:space="preserve">luenza virus vaccine, </w:t>
      </w:r>
      <w:proofErr w:type="spellStart"/>
      <w:r w:rsidR="00B93073">
        <w:t>Vaxigrip</w:t>
      </w:r>
      <w:proofErr w:type="spellEnd"/>
      <w:r w:rsidR="00B93073">
        <w:t xml:space="preserve"> (which </w:t>
      </w:r>
      <w:r>
        <w:t>contains a nominal 4</w:t>
      </w:r>
      <w:r w:rsidR="00B93073">
        <w:t>5</w:t>
      </w:r>
      <w:r w:rsidR="00E37302">
        <w:t xml:space="preserve"> </w:t>
      </w:r>
      <w:r w:rsidR="00B93073">
        <w:t xml:space="preserve">µg of </w:t>
      </w:r>
      <w:r w:rsidR="00A26064">
        <w:t>HA</w:t>
      </w:r>
      <w:r w:rsidR="00B93073">
        <w:t xml:space="preserve">; </w:t>
      </w:r>
      <w:r>
        <w:t>15</w:t>
      </w:r>
      <w:r w:rsidR="00E37302">
        <w:t xml:space="preserve"> </w:t>
      </w:r>
      <w:r>
        <w:t>µg of each of three strains (</w:t>
      </w:r>
      <w:r w:rsidR="00A26064">
        <w:t xml:space="preserve">influenza </w:t>
      </w:r>
      <w:r>
        <w:t>A/H1N1, A/H3N2, and a B strain of either Yamagata or Victoria lineage)</w:t>
      </w:r>
      <w:r w:rsidR="00B93073">
        <w:t>)</w:t>
      </w:r>
      <w:r>
        <w:t>.</w:t>
      </w:r>
    </w:p>
    <w:p w14:paraId="25681F9C" w14:textId="450151A4" w:rsidR="000C2FEC" w:rsidRDefault="000C2FEC" w:rsidP="000C2FEC">
      <w:r>
        <w:t xml:space="preserve">The </w:t>
      </w:r>
      <w:r w:rsidR="00B93073">
        <w:t>quality</w:t>
      </w:r>
      <w:r>
        <w:t xml:space="preserve"> </w:t>
      </w:r>
      <w:r w:rsidR="00B93073">
        <w:t>evaluator</w:t>
      </w:r>
      <w:r>
        <w:t xml:space="preserve"> advises that on the basis of the </w:t>
      </w:r>
      <w:r w:rsidR="00B93073">
        <w:t>quality</w:t>
      </w:r>
      <w:r>
        <w:t xml:space="preserve"> assessment, there are no identified quality issues that would preclude the registration of the product, however, there are some issues that need to be fully resolved before it is possible to provide assurances that the product is able to meet all of the requirements of the Therapeutics Goods Act 1989 and its associated instruments.</w:t>
      </w:r>
    </w:p>
    <w:p w14:paraId="7597C5FE" w14:textId="10E3F64A" w:rsidR="00490D74" w:rsidRDefault="000C2FEC" w:rsidP="00490D74">
      <w:r>
        <w:t xml:space="preserve">The </w:t>
      </w:r>
      <w:r w:rsidR="00B93073">
        <w:t>quality</w:t>
      </w:r>
      <w:r>
        <w:t xml:space="preserve"> </w:t>
      </w:r>
      <w:r w:rsidR="00490D74">
        <w:t>evaluator</w:t>
      </w:r>
      <w:r>
        <w:t xml:space="preserve"> has proposed a list of qualit</w:t>
      </w:r>
      <w:r w:rsidR="00B93073">
        <w:t>y</w:t>
      </w:r>
      <w:r w:rsidR="00490D74">
        <w:t xml:space="preserve"> ‘conditions of registration’</w:t>
      </w:r>
      <w:r>
        <w:t xml:space="preserve"> to ensure the product is fully compliant with all of the previously mentioned instruments before release of the product into the market in Australia</w:t>
      </w:r>
      <w:r w:rsidR="00490D74">
        <w:t xml:space="preserve"> (see ‘</w:t>
      </w:r>
      <w:r w:rsidR="00490D74" w:rsidRPr="00490D74">
        <w:rPr>
          <w:i/>
        </w:rPr>
        <w:t>Proposed quality conditions of registration</w:t>
      </w:r>
      <w:r w:rsidR="00490D74">
        <w:t>’, below)</w:t>
      </w:r>
      <w:r>
        <w:t>.</w:t>
      </w:r>
    </w:p>
    <w:p w14:paraId="35F0831E" w14:textId="1D8FABED" w:rsidR="000C2FEC" w:rsidRDefault="000C2FEC" w:rsidP="000C2FEC">
      <w:r>
        <w:t xml:space="preserve">The </w:t>
      </w:r>
      <w:r w:rsidR="00244C61">
        <w:t>quality evaluator</w:t>
      </w:r>
      <w:r>
        <w:t xml:space="preserve"> has summarised the identified quality issues, and</w:t>
      </w:r>
      <w:r w:rsidR="00490D74">
        <w:t xml:space="preserve"> has also advised the clinical D</w:t>
      </w:r>
      <w:r>
        <w:t>elegate that some of the issues could be managed through the evaluation of future requests for seasonal variations while other issues have to be addressed through the proposed quality conditions of registration.</w:t>
      </w:r>
    </w:p>
    <w:p w14:paraId="66E2E386" w14:textId="3267B869" w:rsidR="000C2FEC" w:rsidRDefault="000C2FEC" w:rsidP="000C2FEC">
      <w:r>
        <w:t xml:space="preserve">The </w:t>
      </w:r>
      <w:r w:rsidR="00244C61">
        <w:t>quality evaluator</w:t>
      </w:r>
      <w:r>
        <w:t xml:space="preserve"> also raises the issue with the label </w:t>
      </w:r>
      <w:r w:rsidR="00244C61">
        <w:t>name currently proposed by the s</w:t>
      </w:r>
      <w:r>
        <w:t>ponsor:</w:t>
      </w:r>
    </w:p>
    <w:p w14:paraId="293F6C6A" w14:textId="32A2F841" w:rsidR="000C2FEC" w:rsidRDefault="000C2FEC" w:rsidP="00B93073">
      <w:pPr>
        <w:ind w:left="720"/>
      </w:pPr>
      <w:proofErr w:type="spellStart"/>
      <w:r>
        <w:t>Vaxigrip</w:t>
      </w:r>
      <w:proofErr w:type="spellEnd"/>
      <w:r>
        <w:t xml:space="preserve"> Tetra Inactivated </w:t>
      </w:r>
      <w:proofErr w:type="spellStart"/>
      <w:r>
        <w:t>Quadrivalent</w:t>
      </w:r>
      <w:proofErr w:type="spellEnd"/>
      <w:r>
        <w:t xml:space="preserve"> Influenza Vaccine (Split </w:t>
      </w:r>
      <w:proofErr w:type="spellStart"/>
      <w:r>
        <w:t>Virion</w:t>
      </w:r>
      <w:proofErr w:type="spellEnd"/>
      <w:r>
        <w:t xml:space="preserve">), Influenza Virus </w:t>
      </w:r>
      <w:proofErr w:type="spellStart"/>
      <w:r>
        <w:t>Haemagglutinin</w:t>
      </w:r>
      <w:proofErr w:type="spellEnd"/>
      <w:r>
        <w:t xml:space="preserve"> 60</w:t>
      </w:r>
      <w:r w:rsidR="00A26064">
        <w:t xml:space="preserve"> </w:t>
      </w:r>
      <w:r>
        <w:t>mcg, 0.5</w:t>
      </w:r>
      <w:r w:rsidR="00A26064">
        <w:t xml:space="preserve"> </w:t>
      </w:r>
      <w:r>
        <w:t>m</w:t>
      </w:r>
      <w:r w:rsidR="00A26064">
        <w:t>L</w:t>
      </w:r>
      <w:r>
        <w:t xml:space="preserve">, Suspension For Injection In Pre-Filled Syringe Influenza virus </w:t>
      </w:r>
      <w:proofErr w:type="spellStart"/>
      <w:r>
        <w:t>haemagglutinin</w:t>
      </w:r>
      <w:proofErr w:type="spellEnd"/>
      <w:r>
        <w:t>.</w:t>
      </w:r>
    </w:p>
    <w:p w14:paraId="012EE518" w14:textId="44FB4B31" w:rsidR="000C2FEC" w:rsidRDefault="000C2FEC" w:rsidP="000C2FEC">
      <w:r>
        <w:lastRenderedPageBreak/>
        <w:t xml:space="preserve">For clarity and to align better with other products in the marketplace, the </w:t>
      </w:r>
      <w:r w:rsidR="00244C61">
        <w:t>quality</w:t>
      </w:r>
      <w:r>
        <w:t xml:space="preserve"> evaluator recommends that the label name be amended to:</w:t>
      </w:r>
    </w:p>
    <w:p w14:paraId="7F17813D" w14:textId="00D8A2E3" w:rsidR="000C2FEC" w:rsidRDefault="000C2FEC" w:rsidP="00B93073">
      <w:pPr>
        <w:ind w:left="720"/>
      </w:pPr>
      <w:proofErr w:type="spellStart"/>
      <w:r>
        <w:t>Vaxigrip</w:t>
      </w:r>
      <w:proofErr w:type="spellEnd"/>
      <w:r>
        <w:t xml:space="preserve"> Tetra Inactivated </w:t>
      </w:r>
      <w:proofErr w:type="spellStart"/>
      <w:r>
        <w:t>Quadrivalent</w:t>
      </w:r>
      <w:proofErr w:type="spellEnd"/>
      <w:r>
        <w:t xml:space="preserve"> Influenza Vaccine (Split </w:t>
      </w:r>
      <w:proofErr w:type="spellStart"/>
      <w:r>
        <w:t>Virion</w:t>
      </w:r>
      <w:proofErr w:type="spellEnd"/>
      <w:r>
        <w:t xml:space="preserve">), Influenza Virus </w:t>
      </w:r>
      <w:proofErr w:type="spellStart"/>
      <w:r>
        <w:t>Haemagglutinin</w:t>
      </w:r>
      <w:proofErr w:type="spellEnd"/>
      <w:r>
        <w:t xml:space="preserve"> 60</w:t>
      </w:r>
      <w:r w:rsidR="00A26064">
        <w:t xml:space="preserve"> </w:t>
      </w:r>
      <w:r>
        <w:t>mcg, 0.5</w:t>
      </w:r>
      <w:r w:rsidR="00A26064">
        <w:t xml:space="preserve"> </w:t>
      </w:r>
      <w:r>
        <w:t>m</w:t>
      </w:r>
      <w:r w:rsidR="00A26064">
        <w:t>L</w:t>
      </w:r>
      <w:r>
        <w:t>, Suspension For Injection, Pre-Filled Syringe, needle-free.</w:t>
      </w:r>
    </w:p>
    <w:p w14:paraId="43C5F1DB" w14:textId="72E42326" w:rsidR="00730F8A" w:rsidRDefault="000C2FEC" w:rsidP="000C2FEC">
      <w:r>
        <w:t xml:space="preserve">Consequent changes that are not covered elsewhere also need to be made to the PI, the </w:t>
      </w:r>
      <w:r w:rsidR="00244C61">
        <w:t>Consumer Medicines Information (</w:t>
      </w:r>
      <w:r>
        <w:t>CMI</w:t>
      </w:r>
      <w:r w:rsidR="00244C61">
        <w:t>)</w:t>
      </w:r>
      <w:r>
        <w:t xml:space="preserve"> and the packaging as a result of the name change.</w:t>
      </w:r>
    </w:p>
    <w:p w14:paraId="2EE85370" w14:textId="4D224A32" w:rsidR="00490D74" w:rsidRDefault="00490D74" w:rsidP="00490D74">
      <w:pPr>
        <w:pStyle w:val="Heading4"/>
      </w:pPr>
      <w:r>
        <w:t>Proposed quality conditions of registration</w:t>
      </w:r>
    </w:p>
    <w:p w14:paraId="483B43B6" w14:textId="6B15659E" w:rsidR="00490D74" w:rsidRDefault="00490D74" w:rsidP="00490D74">
      <w:r>
        <w:t>Before it is possible to provide assurances that the product is of suitable quality within the framework of the Therapeutics Goods Act 1989 and its associated instruments, the following conditions of registration will need to be met:</w:t>
      </w:r>
    </w:p>
    <w:p w14:paraId="24A172E9" w14:textId="5FE0CF31" w:rsidR="00490D74" w:rsidRPr="00A26064" w:rsidRDefault="00490D74" w:rsidP="00322211">
      <w:pPr>
        <w:pStyle w:val="ListBullet"/>
      </w:pPr>
      <w:r w:rsidRPr="00A26064">
        <w:t>Qualit</w:t>
      </w:r>
      <w:r w:rsidR="00A26064" w:rsidRPr="00A26064">
        <w:t xml:space="preserve">y; </w:t>
      </w:r>
      <w:r w:rsidRPr="00A26064">
        <w:t xml:space="preserve">including compliance with European Pharmacopoeia (Ph. </w:t>
      </w:r>
      <w:proofErr w:type="spellStart"/>
      <w:r w:rsidRPr="00A26064">
        <w:t>Eur</w:t>
      </w:r>
      <w:proofErr w:type="spellEnd"/>
      <w:r w:rsidRPr="00A26064">
        <w:t>) 2.6.16 (</w:t>
      </w:r>
      <w:r w:rsidR="00A26064" w:rsidRPr="00A26064">
        <w:t>infectious disease safety</w:t>
      </w:r>
      <w:r w:rsidRPr="00A26064">
        <w:t>)</w:t>
      </w:r>
    </w:p>
    <w:p w14:paraId="60C22DA8" w14:textId="77777777" w:rsidR="00490D74" w:rsidRDefault="00490D74" w:rsidP="00490D74">
      <w:r>
        <w:t>It is a condition of registration that:</w:t>
      </w:r>
    </w:p>
    <w:p w14:paraId="145E7E25" w14:textId="33F38428" w:rsidR="00490D74" w:rsidRDefault="00490D74" w:rsidP="00490D74">
      <w:pPr>
        <w:pStyle w:val="Numberbullet0"/>
      </w:pPr>
      <w:r>
        <w:t>At least 45 working days before the submission of the first request under s9D(3) of the Therapeutic Goods Act 1989 for a change to the strain composition of the vaccine, and not later than 31 October 2019, the following be provided to the TGA for approval under s9D(3) of the Act:</w:t>
      </w:r>
    </w:p>
    <w:p w14:paraId="081A0B71" w14:textId="79200A83" w:rsidR="00490D74" w:rsidRDefault="00490D74" w:rsidP="00490D74">
      <w:pPr>
        <w:pStyle w:val="Numberbullet2"/>
      </w:pPr>
      <w:r>
        <w:t>Revised syringe labels that clearly show the age indication for the product and, amended packaging that meets the requirement of TGO91.</w:t>
      </w:r>
    </w:p>
    <w:p w14:paraId="6A3591CA" w14:textId="59D2DC79" w:rsidR="00490D74" w:rsidRDefault="00490D74" w:rsidP="00490D74">
      <w:pPr>
        <w:pStyle w:val="Numberbullet2"/>
      </w:pPr>
      <w:r>
        <w:t>Summaries of historical inactivation data and stability data is to be provided in a suitable format in a clearly identified section of the dossier.</w:t>
      </w:r>
    </w:p>
    <w:p w14:paraId="2426E4E0" w14:textId="57AA0BF0" w:rsidR="00490D74" w:rsidRDefault="00490D74" w:rsidP="00490D74">
      <w:pPr>
        <w:pStyle w:val="Numberbullet2"/>
      </w:pPr>
      <w:r>
        <w:t>Evidence demonstrating that the factors responsible for the presence of particles/filaments in samples of monovalent bulk (drug substance) used for the Appearance Test (conducted under Q_0001593) have been adequately addressed to significantly reduce the risk of contamination of test samples with extraneous particles.</w:t>
      </w:r>
    </w:p>
    <w:p w14:paraId="03272DD6" w14:textId="6A6B0185" w:rsidR="00490D74" w:rsidRDefault="00490D74" w:rsidP="00490D74">
      <w:pPr>
        <w:pStyle w:val="Numberbullet2"/>
      </w:pPr>
      <w:r>
        <w:t>Demonstration that the product:</w:t>
      </w:r>
    </w:p>
    <w:p w14:paraId="111610A9" w14:textId="667F7BED" w:rsidR="00490D74" w:rsidRDefault="00490D74" w:rsidP="00490D74">
      <w:pPr>
        <w:pStyle w:val="Numberbullet3"/>
      </w:pPr>
      <w:r>
        <w:t>Conforms to the tests which are invoked by the European Pharmacopoeia (Ph. Eur.) General Monograph 07/2018:0153 Vaccines for human use that control for non-specific extraneous agents including non-enveloped viruses. These tests are specified in Ph. Eur. Methods of Analysis 2.6.16 Tests for extraneous agents in viral vaccines for human use; or</w:t>
      </w:r>
    </w:p>
    <w:p w14:paraId="1689D36E" w14:textId="6BFC313E" w:rsidR="00490D74" w:rsidRDefault="00490D74" w:rsidP="00490D74">
      <w:pPr>
        <w:pStyle w:val="Numberbullet3"/>
      </w:pPr>
      <w:r>
        <w:t>has alternative measures applied that are effective at managing the risk of contamination with known, emerging, and unknown non-enveloped viruses, to an equivalent or greater level than the measures prescribed by Ph. Eur. 2.6.16.</w:t>
      </w:r>
    </w:p>
    <w:p w14:paraId="4080D7A3" w14:textId="7F8F7B5B" w:rsidR="00490D74" w:rsidRDefault="00490D74" w:rsidP="00490D74">
      <w:pPr>
        <w:pStyle w:val="Numberbullet2"/>
      </w:pPr>
      <w:r>
        <w:t>An updated risk assessment and risk management procedure which:</w:t>
      </w:r>
    </w:p>
    <w:p w14:paraId="29DD564B" w14:textId="4C7276EA" w:rsidR="00490D74" w:rsidRDefault="00490D74" w:rsidP="00490D74">
      <w:pPr>
        <w:pStyle w:val="Numberbullet3"/>
      </w:pPr>
      <w:r>
        <w:t xml:space="preserve">provides specific coverage on how </w:t>
      </w:r>
      <w:r w:rsidR="00A26064">
        <w:t>the sponsor</w:t>
      </w:r>
      <w:r>
        <w:t xml:space="preserve"> addresses product contamination risks posed due to entry of known, emerging, and unknown viruses in candidate virus vaccine or egg substrates; and</w:t>
      </w:r>
    </w:p>
    <w:p w14:paraId="2B443910" w14:textId="0921881B" w:rsidR="00490D74" w:rsidRDefault="00490D74" w:rsidP="00490D74">
      <w:pPr>
        <w:pStyle w:val="Numberbullet3"/>
      </w:pPr>
      <w:r>
        <w:t>summarises the risk management strategies for ensuring ongoing freedom from extraneous agents in final product.</w:t>
      </w:r>
    </w:p>
    <w:p w14:paraId="734DEF07" w14:textId="77777777" w:rsidR="00490D74" w:rsidRDefault="00490D74" w:rsidP="00490D74">
      <w:pPr>
        <w:pStyle w:val="Numberbullet0"/>
        <w:numPr>
          <w:ilvl w:val="0"/>
          <w:numId w:val="0"/>
        </w:numPr>
        <w:ind w:left="425"/>
      </w:pPr>
      <w:r>
        <w:t>Any extension beyond the time frame and dates indicated above would be would be subject to written agreement with the TGA.</w:t>
      </w:r>
    </w:p>
    <w:p w14:paraId="0FD7E60B" w14:textId="2F5B0CB2" w:rsidR="00490D74" w:rsidRDefault="00490D74" w:rsidP="00490D74">
      <w:pPr>
        <w:pStyle w:val="Numberbullet0"/>
      </w:pPr>
      <w:r>
        <w:lastRenderedPageBreak/>
        <w:t xml:space="preserve">The shelf-life of the drug substance (DS) will be 24 months with the condition that any DS to be used for formulation of drug product will be retested if it is to be used in the manufacture of </w:t>
      </w:r>
      <w:r w:rsidR="00A26064">
        <w:t>drug p</w:t>
      </w:r>
      <w:r>
        <w:t xml:space="preserve">roduct (DP) more than three (3) months after its date of manufacture. The DS must meet the specification of having an HA content of not less </w:t>
      </w:r>
      <w:proofErr w:type="spellStart"/>
      <w:r>
        <w:t>that</w:t>
      </w:r>
      <w:proofErr w:type="spellEnd"/>
      <w:r>
        <w:t xml:space="preserve"> 70% of the content estimated in the first test after manufacture before it can be used for the manufacture of DP. Summary protocols of manufacture must provide the results for both tests on the DS.</w:t>
      </w:r>
    </w:p>
    <w:p w14:paraId="68A0E945" w14:textId="0063E4F7" w:rsidR="00490D74" w:rsidRPr="00490D74" w:rsidRDefault="00490D74" w:rsidP="00322211">
      <w:pPr>
        <w:pStyle w:val="ListBullet"/>
      </w:pPr>
      <w:r w:rsidRPr="00490D74">
        <w:t xml:space="preserve">Batch </w:t>
      </w:r>
      <w:r w:rsidR="00A26064">
        <w:t>r</w:t>
      </w:r>
      <w:r w:rsidRPr="00490D74">
        <w:t xml:space="preserve">elease </w:t>
      </w:r>
      <w:r w:rsidR="00A26064">
        <w:t>t</w:t>
      </w:r>
      <w:r w:rsidRPr="00490D74">
        <w:t xml:space="preserve">esting </w:t>
      </w:r>
      <w:r w:rsidR="00322211" w:rsidRPr="00490D74">
        <w:t xml:space="preserve">and compliance </w:t>
      </w:r>
      <w:r w:rsidRPr="00490D74">
        <w:t>with the Certified Product Details</w:t>
      </w:r>
    </w:p>
    <w:p w14:paraId="0021DB87" w14:textId="77777777" w:rsidR="00490D74" w:rsidRDefault="00490D74" w:rsidP="00322211">
      <w:pPr>
        <w:ind w:left="360"/>
      </w:pPr>
      <w:r>
        <w:t xml:space="preserve">It is a condition of registration that all independent batches of </w:t>
      </w:r>
      <w:proofErr w:type="spellStart"/>
      <w:r>
        <w:t>Vaxigrip</w:t>
      </w:r>
      <w:proofErr w:type="spellEnd"/>
      <w:r>
        <w:t xml:space="preserve"> Tetra and </w:t>
      </w:r>
      <w:proofErr w:type="spellStart"/>
      <w:r>
        <w:t>Vaxigrip</w:t>
      </w:r>
      <w:proofErr w:type="spellEnd"/>
      <w:r>
        <w:t xml:space="preserve"> Tetra Junior imported into Australia are not released for sale until samples and the manufacturer’s release data have been assessed and you have received notification acknowledging release from the Laboratories Branch, TGA.</w:t>
      </w:r>
    </w:p>
    <w:p w14:paraId="2DEF8D41" w14:textId="39FDC25E" w:rsidR="00490D74" w:rsidRDefault="00490D74" w:rsidP="00322211">
      <w:pPr>
        <w:ind w:left="360"/>
      </w:pPr>
      <w:r>
        <w:t>For each independent batch of the produc</w:t>
      </w:r>
      <w:r w:rsidR="00A660E4">
        <w:t>t imported into Australia, the s</w:t>
      </w:r>
      <w:r>
        <w:t>ponsor must supply the following:</w:t>
      </w:r>
    </w:p>
    <w:p w14:paraId="5A0ACDD4" w14:textId="0E13D085" w:rsidR="00490D74" w:rsidRDefault="00490D74" w:rsidP="00322211">
      <w:pPr>
        <w:pStyle w:val="ListBullet2"/>
      </w:pPr>
      <w:r>
        <w:t>A completed Request for Release Form, available from vaccines@health.gov.au.</w:t>
      </w:r>
    </w:p>
    <w:p w14:paraId="6B8736B9" w14:textId="56F9095F" w:rsidR="00490D74" w:rsidRDefault="00490D74" w:rsidP="00322211">
      <w:pPr>
        <w:pStyle w:val="ListBullet2"/>
      </w:pPr>
      <w:r>
        <w:t>Complete summary protocols for manufacture and QC, including all steps in production.</w:t>
      </w:r>
    </w:p>
    <w:p w14:paraId="3D4B48F3" w14:textId="48D2971C" w:rsidR="00490D74" w:rsidRDefault="00490D74" w:rsidP="00322211">
      <w:pPr>
        <w:pStyle w:val="ListBullet2"/>
      </w:pPr>
      <w:r>
        <w:t xml:space="preserve">At least 20 (twenty) doses of the first consignment of each batch of </w:t>
      </w:r>
      <w:proofErr w:type="spellStart"/>
      <w:r>
        <w:t>Vaxigrip</w:t>
      </w:r>
      <w:proofErr w:type="spellEnd"/>
      <w:r>
        <w:t xml:space="preserve"> Tetra with the Australian approved labels, PI and packaging and 40 (forty) doses of the first consignment of each batch of </w:t>
      </w:r>
      <w:proofErr w:type="spellStart"/>
      <w:r>
        <w:t>Vaxigrip</w:t>
      </w:r>
      <w:proofErr w:type="spellEnd"/>
      <w:r>
        <w:t xml:space="preserve"> Tetra Junior with the Australian approved labels, PI and packaging</w:t>
      </w:r>
    </w:p>
    <w:p w14:paraId="0C3A61EE" w14:textId="63B5345D" w:rsidR="00490D74" w:rsidRDefault="00490D74" w:rsidP="00322211">
      <w:pPr>
        <w:pStyle w:val="ListBullet2"/>
      </w:pPr>
      <w:r>
        <w:t xml:space="preserve">At least 10 (ten) doses of any further consignment of each batch of </w:t>
      </w:r>
      <w:proofErr w:type="spellStart"/>
      <w:r>
        <w:t>Vaxigrip</w:t>
      </w:r>
      <w:proofErr w:type="spellEnd"/>
      <w:r>
        <w:t xml:space="preserve"> Tetra with the Australian approved labels, PI and packaging and at least 20 (twenty) doses of any further consignment of each batch of </w:t>
      </w:r>
      <w:proofErr w:type="spellStart"/>
      <w:r>
        <w:t>Vaxigrip</w:t>
      </w:r>
      <w:proofErr w:type="spellEnd"/>
      <w:r>
        <w:t xml:space="preserve"> Tetra Junior with the Australian approved labels, PI and packaging.</w:t>
      </w:r>
    </w:p>
    <w:p w14:paraId="36CB9E29" w14:textId="1111C21D" w:rsidR="00490D74" w:rsidRDefault="00490D74" w:rsidP="00322211">
      <w:pPr>
        <w:pStyle w:val="ListBullet2"/>
      </w:pPr>
      <w:r>
        <w:t>Certificate of Release from regulatory agency acting for the country of origin such as an OMCL (if available).</w:t>
      </w:r>
    </w:p>
    <w:p w14:paraId="3C7F554D" w14:textId="16336289" w:rsidR="00490D74" w:rsidRDefault="00490D74" w:rsidP="00322211">
      <w:pPr>
        <w:pStyle w:val="ListBullet2"/>
      </w:pPr>
      <w:r>
        <w:t>Any reagents, reference material and standards required to undertake testing, as requested by Laboratories Branch, TGA.</w:t>
      </w:r>
    </w:p>
    <w:p w14:paraId="7BF82C9B" w14:textId="77777777" w:rsidR="00490D74" w:rsidRDefault="00490D74" w:rsidP="00322211">
      <w:pPr>
        <w:ind w:left="360"/>
      </w:pPr>
      <w:r>
        <w:t>Distribution of each shipment of each batch of vaccine is conditional upon fulfilment of these conditions and receipt of a letter from the Laboratories Branch acknowledging release.</w:t>
      </w:r>
    </w:p>
    <w:p w14:paraId="74C9EE94" w14:textId="5D53651D" w:rsidR="00490D74" w:rsidRDefault="00490D74" w:rsidP="00322211">
      <w:pPr>
        <w:ind w:left="360"/>
      </w:pPr>
      <w:r>
        <w:t xml:space="preserve">Samples and data should be forwarded to the </w:t>
      </w:r>
      <w:proofErr w:type="spellStart"/>
      <w:r>
        <w:t>Immunobiology</w:t>
      </w:r>
      <w:proofErr w:type="spellEnd"/>
      <w:r>
        <w:t xml:space="preserve"> Section, Laboratories Branch before release of each batch and with sufficient lead time to allow for Laboratories Branch testin</w:t>
      </w:r>
      <w:r w:rsidR="00356C80">
        <w:t>g.</w:t>
      </w:r>
    </w:p>
    <w:p w14:paraId="01D29D9A" w14:textId="3D3B531C" w:rsidR="00490D74" w:rsidRDefault="00490D74" w:rsidP="00322211">
      <w:pPr>
        <w:ind w:left="360"/>
      </w:pPr>
      <w:r>
        <w:t xml:space="preserve">All shipments (including reagents) must be sent to TGA from the Australian </w:t>
      </w:r>
      <w:r w:rsidR="00A660E4">
        <w:t>sponsor/a</w:t>
      </w:r>
      <w:r>
        <w:t>gent who will be required to facilitate the import and customs clearance process.</w:t>
      </w:r>
    </w:p>
    <w:p w14:paraId="07F4DDE9" w14:textId="77777777" w:rsidR="00490D74" w:rsidRPr="00356C80" w:rsidRDefault="00490D74" w:rsidP="00322211">
      <w:pPr>
        <w:pStyle w:val="ListBullet2"/>
      </w:pPr>
      <w:r w:rsidRPr="00356C80">
        <w:t>Certified Product Details</w:t>
      </w:r>
    </w:p>
    <w:p w14:paraId="35255CA5" w14:textId="60C35549" w:rsidR="00490D74" w:rsidRDefault="00490D74" w:rsidP="00322211">
      <w:pPr>
        <w:ind w:left="360"/>
      </w:pPr>
      <w:r>
        <w:t>An electronic copy of the Certified Product Details (CPD) as described in Guidance 7: Certified Product Details of the Australian Regulatory Guidelines for Prescription Medicines (ARGPM) https://www.tga.gov.au/guidance-7-certified-product-details should be provided upon registration of the therapeutic good. In addition, an updated CPD, for the above products incorporating the approved changes is to be provided within one month of the date of approval letter. A template for preparation of CPD for biologi</w:t>
      </w:r>
      <w:r w:rsidR="00A6734A">
        <w:t>cal prescription medicines and v</w:t>
      </w:r>
      <w:r>
        <w:t>accines can be obtained from the TGA website https://www.tga.gov.au/form/certified-product-details-cpd-bi</w:t>
      </w:r>
      <w:r w:rsidR="00356C80">
        <w:t>ological-prescription-medicines</w:t>
      </w:r>
      <w:r>
        <w:t xml:space="preserve">. The CPD should be sent as a single bookmarked PDF document to </w:t>
      </w:r>
      <w:r w:rsidR="00A26064">
        <w:lastRenderedPageBreak/>
        <w:t>vaccines</w:t>
      </w:r>
      <w:r>
        <w:t>@health.gov.au as soon as possible after registration/approval of the product or any subsequent changes as indicated above.</w:t>
      </w:r>
    </w:p>
    <w:p w14:paraId="1BDC24C5" w14:textId="77777777" w:rsidR="008E7846" w:rsidRDefault="008E7846" w:rsidP="008E7846">
      <w:pPr>
        <w:pStyle w:val="Heading3"/>
      </w:pPr>
      <w:bookmarkStart w:id="37" w:name="_Toc314842512"/>
      <w:bookmarkStart w:id="38" w:name="_Toc30581705"/>
      <w:r>
        <w:t>Nonclinical</w:t>
      </w:r>
      <w:bookmarkEnd w:id="37"/>
      <w:bookmarkEnd w:id="38"/>
    </w:p>
    <w:p w14:paraId="677B549C" w14:textId="59299F67" w:rsidR="00D73400" w:rsidRPr="00620618" w:rsidRDefault="00D73400" w:rsidP="00244C61">
      <w:proofErr w:type="spellStart"/>
      <w:r w:rsidRPr="00244C61">
        <w:t>Vaxigrip</w:t>
      </w:r>
      <w:proofErr w:type="spellEnd"/>
      <w:r w:rsidRPr="00244C61">
        <w:t xml:space="preserve"> Tetra </w:t>
      </w:r>
      <w:r w:rsidRPr="00620618">
        <w:t>is proposed for the active immunisation of adults and children from 6</w:t>
      </w:r>
      <w:r w:rsidR="00A26064">
        <w:t> </w:t>
      </w:r>
      <w:r w:rsidRPr="00620618">
        <w:t>months of age and older for the prevention of influenza disease caused by the two influenza A virus subtypes and the two influenza B virus types contained in the vaccine</w:t>
      </w:r>
      <w:r>
        <w:t>, which will be administered via</w:t>
      </w:r>
      <w:r w:rsidRPr="00620618">
        <w:t xml:space="preserve"> intramuscular</w:t>
      </w:r>
      <w:r>
        <w:t xml:space="preserve"> (IM)</w:t>
      </w:r>
      <w:r w:rsidRPr="00620618">
        <w:t xml:space="preserve"> or deep subcutaneous</w:t>
      </w:r>
      <w:r>
        <w:t xml:space="preserve"> (SC)</w:t>
      </w:r>
      <w:r w:rsidRPr="00620618">
        <w:t xml:space="preserve"> injection.</w:t>
      </w:r>
    </w:p>
    <w:p w14:paraId="0169C39C" w14:textId="0B9959A6" w:rsidR="00D73400" w:rsidRDefault="00D73400" w:rsidP="00244C61">
      <w:pPr>
        <w:rPr>
          <w:kern w:val="2"/>
        </w:rPr>
      </w:pPr>
      <w:r w:rsidRPr="00620618">
        <w:t xml:space="preserve">The </w:t>
      </w:r>
      <w:r>
        <w:t>number</w:t>
      </w:r>
      <w:r w:rsidRPr="00620618">
        <w:t xml:space="preserve"> of new nonclinical studies </w:t>
      </w:r>
      <w:r>
        <w:t xml:space="preserve">conducted </w:t>
      </w:r>
      <w:r w:rsidRPr="00620618">
        <w:t>with</w:t>
      </w:r>
      <w:r>
        <w:t xml:space="preserve"> </w:t>
      </w:r>
      <w:proofErr w:type="spellStart"/>
      <w:r w:rsidRPr="00244C61">
        <w:t>Vaxigrip</w:t>
      </w:r>
      <w:proofErr w:type="spellEnd"/>
      <w:r w:rsidRPr="00244C61">
        <w:t xml:space="preserve"> Tetra</w:t>
      </w:r>
      <w:r w:rsidRPr="00620618">
        <w:t xml:space="preserve"> is </w:t>
      </w:r>
      <w:r>
        <w:t>in accordance</w:t>
      </w:r>
      <w:r w:rsidRPr="00620618">
        <w:t xml:space="preserve"> with </w:t>
      </w:r>
      <w:r w:rsidR="00A26064">
        <w:t>European Medicines Agency (</w:t>
      </w:r>
      <w:r w:rsidRPr="00620618">
        <w:t>EMA</w:t>
      </w:r>
      <w:r w:rsidR="00A26064">
        <w:t>)</w:t>
      </w:r>
      <w:r w:rsidRPr="00620618">
        <w:t xml:space="preserve"> guidance</w:t>
      </w:r>
      <w:r w:rsidR="00A660E4">
        <w:t>;</w:t>
      </w:r>
      <w:bookmarkStart w:id="39" w:name="_Ref26347586"/>
      <w:r>
        <w:rPr>
          <w:rStyle w:val="FootnoteReference"/>
        </w:rPr>
        <w:footnoteReference w:id="5"/>
      </w:r>
      <w:bookmarkEnd w:id="39"/>
      <w:r w:rsidRPr="00620618">
        <w:t xml:space="preserve"> for a new influenza vaccine based on an existing manufacturing process</w:t>
      </w:r>
      <w:r>
        <w:t xml:space="preserve"> by the sponsor</w:t>
      </w:r>
      <w:r w:rsidRPr="00620618">
        <w:t>.</w:t>
      </w:r>
      <w:r>
        <w:t xml:space="preserve"> </w:t>
      </w:r>
      <w:r w:rsidR="00A660E4">
        <w:rPr>
          <w:kern w:val="2"/>
        </w:rPr>
        <w:t>The nonclinical dossier</w:t>
      </w:r>
      <w:r w:rsidRPr="0021035D">
        <w:rPr>
          <w:kern w:val="2"/>
        </w:rPr>
        <w:t xml:space="preserve"> comprised of four new nonclinical studies</w:t>
      </w:r>
      <w:r>
        <w:rPr>
          <w:kern w:val="2"/>
        </w:rPr>
        <w:t>:</w:t>
      </w:r>
    </w:p>
    <w:p w14:paraId="5181F077" w14:textId="6FEC9721" w:rsidR="00D73400" w:rsidRPr="00F72B59" w:rsidRDefault="00A660E4" w:rsidP="00A660E4">
      <w:pPr>
        <w:pStyle w:val="ListBullet"/>
      </w:pPr>
      <w:r>
        <w:rPr>
          <w:kern w:val="2"/>
        </w:rPr>
        <w:t xml:space="preserve">Primary pharmacology (Study </w:t>
      </w:r>
      <w:r>
        <w:t xml:space="preserve">F.RE.QIV002.Ms; </w:t>
      </w:r>
      <w:r w:rsidR="00A26064">
        <w:t xml:space="preserve">in </w:t>
      </w:r>
      <w:r>
        <w:t>m</w:t>
      </w:r>
      <w:r w:rsidR="00D73400" w:rsidRPr="00F72B59">
        <w:t>ice</w:t>
      </w:r>
      <w:r w:rsidR="00733D82">
        <w:rPr>
          <w:kern w:val="2"/>
        </w:rPr>
        <w:t>)</w:t>
      </w:r>
      <w:r w:rsidR="00A26064">
        <w:rPr>
          <w:kern w:val="2"/>
        </w:rPr>
        <w:t>;</w:t>
      </w:r>
      <w:r w:rsidR="00733D82">
        <w:rPr>
          <w:kern w:val="2"/>
        </w:rPr>
        <w:t xml:space="preserve"> </w:t>
      </w:r>
      <w:r w:rsidR="00A26064">
        <w:t>t</w:t>
      </w:r>
      <w:r w:rsidR="00D73400" w:rsidRPr="00F72B59">
        <w:t>h</w:t>
      </w:r>
      <w:r w:rsidR="00A26064">
        <w:t>is</w:t>
      </w:r>
      <w:r w:rsidR="00D73400" w:rsidRPr="00F72B59">
        <w:t xml:space="preserve"> study evaluated the </w:t>
      </w:r>
      <w:r w:rsidR="00356C80">
        <w:t>immunogenicity induced by 3</w:t>
      </w:r>
      <w:r w:rsidR="00733D82">
        <w:t xml:space="preserve"> </w:t>
      </w:r>
      <w:proofErr w:type="spellStart"/>
      <w:r w:rsidR="00733D82">
        <w:t>q</w:t>
      </w:r>
      <w:r w:rsidR="00D73400" w:rsidRPr="00F72B59">
        <w:t>uadrivalent</w:t>
      </w:r>
      <w:proofErr w:type="spellEnd"/>
      <w:r w:rsidR="00D73400" w:rsidRPr="00F72B59">
        <w:t xml:space="preserve"> </w:t>
      </w:r>
      <w:r w:rsidR="00733D82">
        <w:t xml:space="preserve">inactivated </w:t>
      </w:r>
      <w:r w:rsidR="00733D82" w:rsidRPr="00F72B59">
        <w:t xml:space="preserve">influenza vaccine </w:t>
      </w:r>
      <w:r w:rsidR="00356C80">
        <w:t xml:space="preserve">(QIV) batches and 2 </w:t>
      </w:r>
      <w:r w:rsidR="00733D82" w:rsidRPr="00F72B59">
        <w:t xml:space="preserve">trivalent </w:t>
      </w:r>
      <w:r w:rsidR="00733D82">
        <w:t xml:space="preserve">inactivated </w:t>
      </w:r>
      <w:r w:rsidR="00733D82" w:rsidRPr="00F72B59">
        <w:t xml:space="preserve">influenza vaccines </w:t>
      </w:r>
      <w:r w:rsidR="00D73400" w:rsidRPr="00F72B59">
        <w:t xml:space="preserve">(TIV) and found that </w:t>
      </w:r>
      <w:r w:rsidR="00D73400" w:rsidRPr="00A660E4">
        <w:rPr>
          <w:rFonts w:eastAsiaTheme="minorEastAsia"/>
          <w:lang w:eastAsia="en-AU"/>
        </w:rPr>
        <w:t xml:space="preserve">the </w:t>
      </w:r>
      <w:r w:rsidR="00D73400" w:rsidRPr="00F72B59">
        <w:t xml:space="preserve">functional </w:t>
      </w:r>
      <w:proofErr w:type="spellStart"/>
      <w:r w:rsidR="00D73400" w:rsidRPr="00F72B59">
        <w:t>haemagglutination</w:t>
      </w:r>
      <w:proofErr w:type="spellEnd"/>
      <w:r w:rsidR="00D73400" w:rsidRPr="00F72B59">
        <w:t xml:space="preserve"> inhibition</w:t>
      </w:r>
      <w:r w:rsidR="00D73400" w:rsidRPr="00A660E4">
        <w:rPr>
          <w:sz w:val="20"/>
        </w:rPr>
        <w:t xml:space="preserve"> (</w:t>
      </w:r>
      <w:r w:rsidR="00D73400" w:rsidRPr="00F72B59">
        <w:t>HAI) responses measured with the three QIV batches were similar to those induced by the two TIV batches in regards to the A and B strains. T</w:t>
      </w:r>
      <w:r w:rsidR="00D73400" w:rsidRPr="00A660E4">
        <w:rPr>
          <w:rFonts w:eastAsiaTheme="minorEastAsia"/>
          <w:lang w:eastAsia="en-AU"/>
        </w:rPr>
        <w:t>he QIV vaccines, having broader coverage than the TIV vaccines, induced HAI responses for all four strains, whereas the TIV vaccines only induced responses for the B strain included in their respective composition.</w:t>
      </w:r>
    </w:p>
    <w:p w14:paraId="00F2F94D" w14:textId="02A0713D" w:rsidR="00D73400" w:rsidRPr="00F72B59" w:rsidRDefault="00733D82" w:rsidP="00A660E4">
      <w:pPr>
        <w:pStyle w:val="ListBullet"/>
      </w:pPr>
      <w:r>
        <w:t>Repeat-dose toxicity (Study SP0171 RD1403;</w:t>
      </w:r>
      <w:r w:rsidR="00A26064">
        <w:t xml:space="preserve"> in</w:t>
      </w:r>
      <w:r>
        <w:t xml:space="preserve"> rabbits)</w:t>
      </w:r>
      <w:r w:rsidR="00A26064">
        <w:t>;</w:t>
      </w:r>
      <w:r>
        <w:t xml:space="preserve"> </w:t>
      </w:r>
      <w:r w:rsidR="00A26064">
        <w:rPr>
          <w:rFonts w:eastAsia="TimesNewRomanPSMT"/>
        </w:rPr>
        <w:t>t</w:t>
      </w:r>
      <w:r w:rsidR="00D73400" w:rsidRPr="00A660E4">
        <w:rPr>
          <w:rFonts w:eastAsia="TimesNewRomanPSMT"/>
        </w:rPr>
        <w:t>h</w:t>
      </w:r>
      <w:r w:rsidR="00A26064">
        <w:rPr>
          <w:rFonts w:eastAsia="TimesNewRomanPSMT"/>
        </w:rPr>
        <w:t>is</w:t>
      </w:r>
      <w:r w:rsidR="00D73400" w:rsidRPr="00A660E4">
        <w:rPr>
          <w:rFonts w:eastAsia="TimesNewRomanPSMT"/>
        </w:rPr>
        <w:t xml:space="preserve"> study determined the local tolerance and systemic toxicity of the QIV, following three IM injections to rabbits, which were 2 weeks apart. Furthermore, the study assessed any delayed onset of toxicity and/or the reversibility of toxicity during a 2 week treatm</w:t>
      </w:r>
      <w:r>
        <w:rPr>
          <w:rFonts w:eastAsia="TimesNewRomanPSMT"/>
        </w:rPr>
        <w:t xml:space="preserve">ent </w:t>
      </w:r>
      <w:r w:rsidR="00D73400" w:rsidRPr="00A660E4">
        <w:rPr>
          <w:rFonts w:eastAsia="TimesNewRomanPSMT"/>
        </w:rPr>
        <w:t xml:space="preserve">free period. The study found </w:t>
      </w:r>
      <w:r w:rsidR="00D73400" w:rsidRPr="00F72B59">
        <w:t>that the vaccine was well tolerated in rabbits</w:t>
      </w:r>
      <w:r w:rsidR="00356C80">
        <w:rPr>
          <w:rFonts w:eastAsia="TimesNewRomanPSMT"/>
        </w:rPr>
        <w:t xml:space="preserve">. No treatment </w:t>
      </w:r>
      <w:r w:rsidR="00D73400" w:rsidRPr="00A660E4">
        <w:rPr>
          <w:rFonts w:eastAsia="TimesNewRomanPSMT"/>
        </w:rPr>
        <w:t xml:space="preserve">related changes in clinical pathology, evidence of systemic toxicity or poor local tolerance was observed </w:t>
      </w:r>
      <w:r w:rsidR="00356C80">
        <w:rPr>
          <w:rFonts w:eastAsia="TimesNewRomanPSMT"/>
        </w:rPr>
        <w:t xml:space="preserve">throughout the study. Treatment </w:t>
      </w:r>
      <w:r w:rsidR="00D73400" w:rsidRPr="00A660E4">
        <w:rPr>
          <w:rFonts w:eastAsia="TimesNewRomanPSMT"/>
        </w:rPr>
        <w:t>related findings were limited to minimal and transient local inflammation at the injected muscle which showed evidence o</w:t>
      </w:r>
      <w:r>
        <w:rPr>
          <w:rFonts w:eastAsia="TimesNewRomanPSMT"/>
        </w:rPr>
        <w:t xml:space="preserve">f recovery at the end of the 14 </w:t>
      </w:r>
      <w:r w:rsidR="00D73400" w:rsidRPr="00A660E4">
        <w:rPr>
          <w:rFonts w:eastAsia="TimesNewRomanPSMT"/>
        </w:rPr>
        <w:t>day observation period.</w:t>
      </w:r>
    </w:p>
    <w:p w14:paraId="0452A56A" w14:textId="585D4A4D" w:rsidR="00D73400" w:rsidRPr="00F72B59" w:rsidRDefault="00D73400" w:rsidP="006C7A0B">
      <w:pPr>
        <w:pStyle w:val="ListBullet"/>
      </w:pPr>
      <w:r w:rsidRPr="00F72B59">
        <w:t>R</w:t>
      </w:r>
      <w:r w:rsidRPr="00A660E4">
        <w:rPr>
          <w:kern w:val="2"/>
        </w:rPr>
        <w:t>eproductive and</w:t>
      </w:r>
      <w:r w:rsidR="00733D82">
        <w:rPr>
          <w:kern w:val="2"/>
        </w:rPr>
        <w:t xml:space="preserve"> developmental toxicity (Study</w:t>
      </w:r>
      <w:r w:rsidR="006C7A0B">
        <w:rPr>
          <w:kern w:val="2"/>
        </w:rPr>
        <w:t xml:space="preserve"> </w:t>
      </w:r>
      <w:r w:rsidR="006C7A0B" w:rsidRPr="006C7A0B">
        <w:rPr>
          <w:kern w:val="2"/>
        </w:rPr>
        <w:t>SP0171 DV1207</w:t>
      </w:r>
      <w:r w:rsidR="00733D82">
        <w:t xml:space="preserve">; </w:t>
      </w:r>
      <w:r w:rsidR="00A26064">
        <w:t xml:space="preserve">in </w:t>
      </w:r>
      <w:r w:rsidR="00733D82">
        <w:t>r</w:t>
      </w:r>
      <w:r w:rsidRPr="00F72B59">
        <w:t>abbits</w:t>
      </w:r>
      <w:r w:rsidR="00733D82">
        <w:rPr>
          <w:kern w:val="2"/>
        </w:rPr>
        <w:t>)</w:t>
      </w:r>
      <w:r w:rsidR="00A26064">
        <w:rPr>
          <w:kern w:val="2"/>
        </w:rPr>
        <w:t>;</w:t>
      </w:r>
      <w:r w:rsidR="00733D82">
        <w:rPr>
          <w:kern w:val="2"/>
        </w:rPr>
        <w:t xml:space="preserve"> </w:t>
      </w:r>
      <w:r w:rsidR="00A26064">
        <w:rPr>
          <w:kern w:val="2"/>
        </w:rPr>
        <w:t>t</w:t>
      </w:r>
      <w:r w:rsidRPr="00A660E4">
        <w:rPr>
          <w:kern w:val="2"/>
        </w:rPr>
        <w:t>h</w:t>
      </w:r>
      <w:r w:rsidR="00A26064">
        <w:rPr>
          <w:kern w:val="2"/>
        </w:rPr>
        <w:t>is</w:t>
      </w:r>
      <w:r w:rsidRPr="00A660E4">
        <w:rPr>
          <w:kern w:val="2"/>
        </w:rPr>
        <w:t xml:space="preserve"> study </w:t>
      </w:r>
      <w:r w:rsidRPr="00A660E4">
        <w:t xml:space="preserve">evaluated the effects of the QIV on </w:t>
      </w:r>
      <w:proofErr w:type="spellStart"/>
      <w:r w:rsidRPr="00A660E4">
        <w:t>embryof</w:t>
      </w:r>
      <w:r w:rsidR="00A6734A">
        <w:t>etal</w:t>
      </w:r>
      <w:proofErr w:type="spellEnd"/>
      <w:r w:rsidR="00A6734A">
        <w:t xml:space="preserve"> development and early post</w:t>
      </w:r>
      <w:r w:rsidR="00A6734A">
        <w:noBreakHyphen/>
      </w:r>
      <w:r w:rsidRPr="00A660E4">
        <w:t>natal development of the rabbit, following IM administration at 24 and 10 days before the start of m</w:t>
      </w:r>
      <w:r w:rsidR="00733D82">
        <w:t>ating, as well as on gestation D</w:t>
      </w:r>
      <w:r w:rsidRPr="00A660E4">
        <w:t>ays 6, 12 and 27. The study found n</w:t>
      </w:r>
      <w:r w:rsidRPr="00F72B59">
        <w:t>o signs of systemic maternal toxicity, no evidence of any induced</w:t>
      </w:r>
      <w:r w:rsidRPr="00A660E4">
        <w:t xml:space="preserve"> adverse maternal findings, effects on </w:t>
      </w:r>
      <w:proofErr w:type="spellStart"/>
      <w:r w:rsidRPr="00A660E4">
        <w:t>embryofetal</w:t>
      </w:r>
      <w:proofErr w:type="spellEnd"/>
      <w:r w:rsidRPr="00A660E4">
        <w:t xml:space="preserve"> development or early post</w:t>
      </w:r>
      <w:r w:rsidRPr="00A660E4">
        <w:noBreakHyphen/>
        <w:t>natal development in the rabbit.</w:t>
      </w:r>
    </w:p>
    <w:p w14:paraId="71A08DF3" w14:textId="7EFDBCD9" w:rsidR="00D73400" w:rsidRPr="00F72B59" w:rsidRDefault="00D73400" w:rsidP="00A660E4">
      <w:pPr>
        <w:pStyle w:val="ListBullet"/>
      </w:pPr>
      <w:r w:rsidRPr="00F72B59">
        <w:t xml:space="preserve">Toxicity study investigating </w:t>
      </w:r>
      <w:r w:rsidR="00733D82">
        <w:t xml:space="preserve">cardiovascular function (Study SP0171 PS1404; </w:t>
      </w:r>
      <w:r w:rsidR="00A26064">
        <w:t xml:space="preserve">in </w:t>
      </w:r>
      <w:r w:rsidR="00733D82">
        <w:t>rabbits)</w:t>
      </w:r>
      <w:r w:rsidR="00A26064">
        <w:t>;</w:t>
      </w:r>
      <w:r w:rsidRPr="00F72B59">
        <w:t xml:space="preserve"> </w:t>
      </w:r>
      <w:r w:rsidR="00A26064">
        <w:t>t</w:t>
      </w:r>
      <w:r w:rsidRPr="00F72B59">
        <w:t>h</w:t>
      </w:r>
      <w:r w:rsidR="00A26064">
        <w:t>is</w:t>
      </w:r>
      <w:r w:rsidRPr="00F72B59">
        <w:t xml:space="preserve"> study </w:t>
      </w:r>
      <w:r w:rsidRPr="00A660E4">
        <w:rPr>
          <w:rFonts w:eastAsia="TimesNewRomanPSMT"/>
        </w:rPr>
        <w:t>assessed the potential effect of the QIV on cardiovascular and respiratory functions, as well as body temperature in conscious telemetered male rabbits over a 24  period following 1</w:t>
      </w:r>
      <w:r w:rsidR="00733D82">
        <w:t xml:space="preserve"> to </w:t>
      </w:r>
      <w:r w:rsidR="00356C80">
        <w:rPr>
          <w:rFonts w:eastAsia="TimesNewRomanPSMT"/>
        </w:rPr>
        <w:t xml:space="preserve">3 </w:t>
      </w:r>
      <w:r w:rsidRPr="00A660E4">
        <w:rPr>
          <w:rFonts w:eastAsia="TimesNewRomanPSMT"/>
        </w:rPr>
        <w:t>IM injections (2 weeks apart). The study found that the QIV vaccine did not show any significant effects on the parameters measured.</w:t>
      </w:r>
    </w:p>
    <w:p w14:paraId="3772A2B0" w14:textId="77777777" w:rsidR="00D73400" w:rsidRPr="00EB69F1" w:rsidRDefault="00D73400" w:rsidP="00244C61">
      <w:pPr>
        <w:pStyle w:val="Heading4"/>
      </w:pPr>
      <w:r w:rsidRPr="00EB69F1">
        <w:t>Paediatric use</w:t>
      </w:r>
    </w:p>
    <w:p w14:paraId="43D81AD2" w14:textId="089A5AA1" w:rsidR="00D73400" w:rsidRPr="003B4822" w:rsidRDefault="00D73400" w:rsidP="00244C61">
      <w:proofErr w:type="spellStart"/>
      <w:r w:rsidRPr="00733D82">
        <w:t>Vaxigrip</w:t>
      </w:r>
      <w:proofErr w:type="spellEnd"/>
      <w:r w:rsidRPr="00733D82">
        <w:t xml:space="preserve"> Tetra</w:t>
      </w:r>
      <w:r w:rsidRPr="0088300B">
        <w:t xml:space="preserve"> is proposed for paediatric use</w:t>
      </w:r>
      <w:r>
        <w:t>.</w:t>
      </w:r>
      <w:r w:rsidRPr="0088300B">
        <w:t xml:space="preserve"> </w:t>
      </w:r>
      <w:r>
        <w:t>H</w:t>
      </w:r>
      <w:r w:rsidRPr="0088300B">
        <w:t>owever</w:t>
      </w:r>
      <w:r>
        <w:t>,</w:t>
      </w:r>
      <w:r w:rsidRPr="0088300B">
        <w:t xml:space="preserve"> no specific nonclinical studies in juveni</w:t>
      </w:r>
      <w:r w:rsidR="00733D82">
        <w:t>le animals have been submitted.</w:t>
      </w:r>
    </w:p>
    <w:p w14:paraId="5489BECF" w14:textId="77777777" w:rsidR="00D73400" w:rsidRDefault="00D73400" w:rsidP="00244C61">
      <w:pPr>
        <w:pStyle w:val="Heading4"/>
      </w:pPr>
      <w:r>
        <w:lastRenderedPageBreak/>
        <w:t>Recommendations from the nonclinical evaluation</w:t>
      </w:r>
    </w:p>
    <w:p w14:paraId="4369E0D8" w14:textId="48ACEF33" w:rsidR="00D73400" w:rsidRPr="007E1BFE" w:rsidRDefault="00D73400" w:rsidP="00733D82">
      <w:r>
        <w:t xml:space="preserve">Although the number of submitted animal studies with the QIV is limited, the evaluated data raises no nonclinical objections to registration of </w:t>
      </w:r>
      <w:proofErr w:type="spellStart"/>
      <w:r w:rsidRPr="00733D82">
        <w:t>Vaxigrip</w:t>
      </w:r>
      <w:proofErr w:type="spellEnd"/>
      <w:r w:rsidR="00733D82">
        <w:t xml:space="preserve"> </w:t>
      </w:r>
      <w:r w:rsidRPr="00733D82">
        <w:t>Tetra</w:t>
      </w:r>
      <w:r w:rsidRPr="003B4822">
        <w:rPr>
          <w:smallCaps/>
          <w:position w:val="5"/>
          <w:vertAlign w:val="superscript"/>
        </w:rPr>
        <w:t xml:space="preserve"> </w:t>
      </w:r>
      <w:r>
        <w:t>vaccine. However</w:t>
      </w:r>
      <w:r w:rsidR="00356C80">
        <w:t>,</w:t>
      </w:r>
      <w:r>
        <w:t xml:space="preserve"> evaluation of the </w:t>
      </w:r>
      <w:r w:rsidRPr="007E1BFE">
        <w:t xml:space="preserve">efficacy and safety will largely rely on </w:t>
      </w:r>
      <w:r>
        <w:t xml:space="preserve">the </w:t>
      </w:r>
      <w:r w:rsidR="00F72B59">
        <w:t>clinical data.</w:t>
      </w:r>
    </w:p>
    <w:p w14:paraId="4FE3898C" w14:textId="2BFD3FFE" w:rsidR="00D73400" w:rsidRPr="007E1BFE" w:rsidRDefault="00D73400" w:rsidP="00733D82">
      <w:r w:rsidRPr="007E1BFE">
        <w:t xml:space="preserve">The draft </w:t>
      </w:r>
      <w:r w:rsidR="00733D82">
        <w:t xml:space="preserve">PI </w:t>
      </w:r>
      <w:r w:rsidRPr="007E1BFE">
        <w:t>should be amended as indicated</w:t>
      </w:r>
      <w:r w:rsidR="00733D82">
        <w:t xml:space="preserve"> in the nonclinical evaluation report</w:t>
      </w:r>
      <w:r w:rsidRPr="007E1BFE">
        <w:t>.</w:t>
      </w:r>
    </w:p>
    <w:p w14:paraId="672099D9" w14:textId="7876C413" w:rsidR="00D73400" w:rsidRDefault="00A6734A" w:rsidP="00244C61">
      <w:pPr>
        <w:pStyle w:val="Heading4"/>
      </w:pPr>
      <w:r>
        <w:t>Dele</w:t>
      </w:r>
      <w:r w:rsidR="00D73400">
        <w:t>gate’s summary of the nonclinical evaluation</w:t>
      </w:r>
    </w:p>
    <w:p w14:paraId="68BAF970" w14:textId="5872BCCA" w:rsidR="00DC1948" w:rsidRPr="00DC1948" w:rsidRDefault="000C2FEC" w:rsidP="00244C61">
      <w:r w:rsidRPr="000C2FEC">
        <w:t xml:space="preserve">The number of new nonclinical studies conducted with </w:t>
      </w:r>
      <w:proofErr w:type="spellStart"/>
      <w:r w:rsidR="00733D82">
        <w:t>Vaxigrip</w:t>
      </w:r>
      <w:proofErr w:type="spellEnd"/>
      <w:r w:rsidR="00733D82" w:rsidRPr="00733D82">
        <w:t xml:space="preserve"> Tetra</w:t>
      </w:r>
      <w:r w:rsidR="00733D82" w:rsidRPr="000C2FEC">
        <w:t xml:space="preserve"> </w:t>
      </w:r>
      <w:r w:rsidRPr="000C2FEC">
        <w:t>is in accordance with EMA guidance for a new influenza vaccine</w:t>
      </w:r>
      <w:r w:rsidR="00733D82">
        <w:t>;</w:t>
      </w:r>
      <w:r w:rsidR="00733D82">
        <w:fldChar w:fldCharType="begin"/>
      </w:r>
      <w:r w:rsidR="00733D82">
        <w:instrText xml:space="preserve"> NOTEREF _Ref26347586 \f \h </w:instrText>
      </w:r>
      <w:r w:rsidR="00733D82">
        <w:fldChar w:fldCharType="separate"/>
      </w:r>
      <w:r w:rsidR="00733D82" w:rsidRPr="00733D82">
        <w:rPr>
          <w:rStyle w:val="FootnoteReference"/>
        </w:rPr>
        <w:t>5</w:t>
      </w:r>
      <w:r w:rsidR="00733D82">
        <w:fldChar w:fldCharType="end"/>
      </w:r>
      <w:r w:rsidRPr="000C2FEC">
        <w:t xml:space="preserve"> based on an existing manufacturing process by the sponsor. </w:t>
      </w:r>
      <w:r w:rsidR="00733D82">
        <w:t>The nonclinical dossier</w:t>
      </w:r>
      <w:r w:rsidRPr="000C2FEC">
        <w:t xml:space="preserve"> comprised of four new nonclinical studies. Although the number of submitted animal studies with the QIV is limited, the evaluated data raises no nonclinical objections to registration of this QIV. However</w:t>
      </w:r>
      <w:r w:rsidR="00A6734A">
        <w:t>,</w:t>
      </w:r>
      <w:r w:rsidRPr="000C2FEC">
        <w:t xml:space="preserve"> the non-clinical evaluator pointed out that the evaluation of the efficacy and safety will largely rely on the clinical data.</w:t>
      </w:r>
    </w:p>
    <w:p w14:paraId="68003532" w14:textId="77777777" w:rsidR="008E7846" w:rsidRDefault="008E7846" w:rsidP="008E7846">
      <w:pPr>
        <w:pStyle w:val="Heading3"/>
      </w:pPr>
      <w:bookmarkStart w:id="40" w:name="_Toc247691530"/>
      <w:bookmarkStart w:id="41" w:name="_Toc314842513"/>
      <w:bookmarkStart w:id="42" w:name="_Toc30581706"/>
      <w:r>
        <w:t>Clinical</w:t>
      </w:r>
      <w:bookmarkEnd w:id="40"/>
      <w:bookmarkEnd w:id="41"/>
      <w:bookmarkEnd w:id="42"/>
    </w:p>
    <w:p w14:paraId="6B05B480" w14:textId="2FEEB10F" w:rsidR="000C2FEC" w:rsidRDefault="000C2FEC" w:rsidP="000C2FEC">
      <w:bookmarkStart w:id="43" w:name="_Toc314842514"/>
      <w:r>
        <w:t xml:space="preserve">The efficacy of the QIV is inferred from its immunogenicity based on comparative immunogenicity evaluation with </w:t>
      </w:r>
      <w:r w:rsidR="00AB6B85">
        <w:t>the sponsor’s</w:t>
      </w:r>
      <w:r>
        <w:t xml:space="preserve"> TIV which </w:t>
      </w:r>
      <w:r w:rsidR="00AB6B85">
        <w:t xml:space="preserve">has been </w:t>
      </w:r>
      <w:r>
        <w:t xml:space="preserve">licensed in the </w:t>
      </w:r>
      <w:r w:rsidR="00AB6B85">
        <w:t>EU</w:t>
      </w:r>
      <w:r>
        <w:t xml:space="preserve"> since 1998. In accordance with EMA Guideline on Clinical Evaluation of New Vaccines</w:t>
      </w:r>
      <w:r w:rsidR="00AB6B85">
        <w:t>;</w:t>
      </w:r>
      <w:r w:rsidR="00733D82">
        <w:fldChar w:fldCharType="begin"/>
      </w:r>
      <w:r w:rsidR="00733D82">
        <w:instrText xml:space="preserve"> NOTEREF _Ref26347586 \f \h </w:instrText>
      </w:r>
      <w:r w:rsidR="00733D82">
        <w:fldChar w:fldCharType="separate"/>
      </w:r>
      <w:r w:rsidR="00733D82" w:rsidRPr="00733D82">
        <w:rPr>
          <w:rStyle w:val="FootnoteReference"/>
        </w:rPr>
        <w:t>5</w:t>
      </w:r>
      <w:r w:rsidR="00733D82">
        <w:fldChar w:fldCharType="end"/>
      </w:r>
      <w:r>
        <w:t xml:space="preserve"> the mechanism of action of influenza vaccines consists of the induction of immune responses against the antigens contained in the vaccine. Therefore, the pharmacodynamics (PD) profile of the QIV is defined by its immunogenicity profile.</w:t>
      </w:r>
    </w:p>
    <w:p w14:paraId="54EA7D92" w14:textId="37128952" w:rsidR="000C2FEC" w:rsidRDefault="000C2FEC" w:rsidP="000C2FEC">
      <w:r>
        <w:t xml:space="preserve">In addition, the immunogenicity recommendations for influenza vaccines are to meet at least one of the three EMA criteria per age as defined </w:t>
      </w:r>
      <w:r w:rsidR="00733D82">
        <w:t xml:space="preserve">in </w:t>
      </w:r>
      <w:r>
        <w:t xml:space="preserve">the </w:t>
      </w:r>
      <w:r w:rsidR="00733D82">
        <w:t xml:space="preserve">relevant </w:t>
      </w:r>
      <w:r>
        <w:t>guidance document</w:t>
      </w:r>
      <w:r w:rsidR="00733D82">
        <w:t>.</w:t>
      </w:r>
      <w:bookmarkStart w:id="44" w:name="_Ref26426952"/>
      <w:r w:rsidR="00733D82">
        <w:rPr>
          <w:rStyle w:val="FootnoteReference"/>
        </w:rPr>
        <w:footnoteReference w:id="6"/>
      </w:r>
      <w:bookmarkEnd w:id="44"/>
      <w:r>
        <w:t>.</w:t>
      </w:r>
    </w:p>
    <w:p w14:paraId="42E0399C" w14:textId="781F9228" w:rsidR="000C2FEC" w:rsidRDefault="000C2FEC" w:rsidP="000C2FEC">
      <w:r>
        <w:t>The following 5 Phase III studies provided immunogenicity data for t</w:t>
      </w:r>
      <w:r w:rsidR="00733D82">
        <w:t xml:space="preserve">he candidate QIV in adults (18 to </w:t>
      </w:r>
      <w:r>
        <w:t>60</w:t>
      </w:r>
      <w:r w:rsidR="00733D82">
        <w:t xml:space="preserve"> years</w:t>
      </w:r>
      <w:r w:rsidR="00356C80">
        <w:t xml:space="preserve"> old</w:t>
      </w:r>
      <w:r>
        <w:t>), the elderly (&gt; 60</w:t>
      </w:r>
      <w:r w:rsidR="00733D82">
        <w:t xml:space="preserve"> years</w:t>
      </w:r>
      <w:r w:rsidR="00356C80">
        <w:t xml:space="preserve"> old</w:t>
      </w:r>
      <w:r>
        <w:t>), and in subjects from 3 to 17 years of age. An additional efficacy study (</w:t>
      </w:r>
      <w:r w:rsidR="00733D82">
        <w:t xml:space="preserve">Study </w:t>
      </w:r>
      <w:r>
        <w:t xml:space="preserve">GQM05) is provided to support the QIV in subjects from 6 to 35 months of age. The </w:t>
      </w:r>
      <w:r w:rsidR="00F23643">
        <w:t>clinical dossier</w:t>
      </w:r>
      <w:r>
        <w:t xml:space="preserve"> contains the study reports for these 6 studies, integrated safety analyses, and post marketing da</w:t>
      </w:r>
      <w:r w:rsidR="00F23643">
        <w:t>ta for the TIV in pregnancy, and so on</w:t>
      </w:r>
      <w:r>
        <w:t>.</w:t>
      </w:r>
    </w:p>
    <w:p w14:paraId="3E24F2E8" w14:textId="7A916FEE" w:rsidR="00F23643" w:rsidRDefault="00F23643" w:rsidP="000C2FEC">
      <w:r>
        <w:t>Studies included in the clinical dossier:</w:t>
      </w:r>
    </w:p>
    <w:p w14:paraId="2F0EDAE8" w14:textId="36493C18" w:rsidR="000C2FEC" w:rsidRDefault="00F23643" w:rsidP="00F23643">
      <w:pPr>
        <w:pStyle w:val="ListBullet"/>
      </w:pPr>
      <w:r>
        <w:t xml:space="preserve">Study GQM11 (18 to </w:t>
      </w:r>
      <w:r w:rsidR="000C2FEC">
        <w:t>60</w:t>
      </w:r>
      <w:r w:rsidR="00AB6B85">
        <w:t>;</w:t>
      </w:r>
      <w:r w:rsidR="000C2FEC">
        <w:t xml:space="preserve"> and &gt; 60</w:t>
      </w:r>
      <w:r w:rsidR="00356C80">
        <w:t xml:space="preserve"> years old</w:t>
      </w:r>
      <w:r w:rsidR="000C2FEC">
        <w:t>)</w:t>
      </w:r>
      <w:r w:rsidR="00A6734A">
        <w:t>;</w:t>
      </w:r>
    </w:p>
    <w:p w14:paraId="67F0C9D3" w14:textId="5B3CE222" w:rsidR="000C2FEC" w:rsidRDefault="00F23643" w:rsidP="00F23643">
      <w:pPr>
        <w:pStyle w:val="ListBullet"/>
      </w:pPr>
      <w:r>
        <w:t xml:space="preserve">Study GQM01 (18 to </w:t>
      </w:r>
      <w:r w:rsidR="000C2FEC">
        <w:t>60</w:t>
      </w:r>
      <w:r w:rsidR="00AB6B85">
        <w:t>;</w:t>
      </w:r>
      <w:r w:rsidR="000C2FEC">
        <w:t xml:space="preserve"> and &gt; 60</w:t>
      </w:r>
      <w:r w:rsidR="00356C80">
        <w:t xml:space="preserve"> years old</w:t>
      </w:r>
      <w:r w:rsidR="000C2FEC">
        <w:t>)</w:t>
      </w:r>
      <w:r w:rsidR="00A6734A">
        <w:t>;</w:t>
      </w:r>
    </w:p>
    <w:p w14:paraId="1B7B91CD" w14:textId="580F746D" w:rsidR="000C2FEC" w:rsidRDefault="00F23643" w:rsidP="00F23643">
      <w:pPr>
        <w:pStyle w:val="ListBullet"/>
      </w:pPr>
      <w:r>
        <w:t>Study GQM04 (9 to 17 years</w:t>
      </w:r>
      <w:r w:rsidR="00AB6B85">
        <w:t>;</w:t>
      </w:r>
      <w:r>
        <w:t xml:space="preserve"> and 18 to </w:t>
      </w:r>
      <w:r w:rsidR="000C2FEC">
        <w:t>60 years old)</w:t>
      </w:r>
      <w:r w:rsidR="00A6734A">
        <w:t>;</w:t>
      </w:r>
    </w:p>
    <w:p w14:paraId="6E951965" w14:textId="48B05BA6" w:rsidR="000C2FEC" w:rsidRDefault="00F23643" w:rsidP="00F23643">
      <w:pPr>
        <w:pStyle w:val="ListBullet"/>
      </w:pPr>
      <w:r>
        <w:t xml:space="preserve">Study GQM09 (9 to </w:t>
      </w:r>
      <w:r w:rsidR="000C2FEC">
        <w:t>17 years</w:t>
      </w:r>
      <w:r w:rsidR="00356C80">
        <w:t xml:space="preserve"> old</w:t>
      </w:r>
      <w:r w:rsidR="000C2FEC">
        <w:t>)</w:t>
      </w:r>
      <w:r w:rsidR="00A6734A">
        <w:t>;</w:t>
      </w:r>
    </w:p>
    <w:p w14:paraId="68FC332C" w14:textId="5306A80F" w:rsidR="000C2FEC" w:rsidRDefault="00F23643" w:rsidP="00F23643">
      <w:pPr>
        <w:pStyle w:val="ListBullet"/>
      </w:pPr>
      <w:r>
        <w:t xml:space="preserve">Study GQM02 (3 to </w:t>
      </w:r>
      <w:r w:rsidR="000C2FEC">
        <w:t>8 years</w:t>
      </w:r>
      <w:r w:rsidR="00356C80">
        <w:t xml:space="preserve"> old</w:t>
      </w:r>
      <w:r w:rsidR="000C2FEC">
        <w:t>)</w:t>
      </w:r>
      <w:r w:rsidR="00A6734A">
        <w:t>.</w:t>
      </w:r>
    </w:p>
    <w:p w14:paraId="2E440603" w14:textId="0933D9A3" w:rsidR="00456765" w:rsidRDefault="000C2FEC" w:rsidP="000C2FEC">
      <w:r>
        <w:t xml:space="preserve">The summary of the five Phase III studies is presented in </w:t>
      </w:r>
      <w:r w:rsidR="00F23643">
        <w:fldChar w:fldCharType="begin"/>
      </w:r>
      <w:r w:rsidR="00F23643">
        <w:instrText xml:space="preserve"> REF _Ref26348061 \h </w:instrText>
      </w:r>
      <w:r w:rsidR="00F23643">
        <w:fldChar w:fldCharType="separate"/>
      </w:r>
      <w:r w:rsidR="00F23643">
        <w:t xml:space="preserve">Table </w:t>
      </w:r>
      <w:r w:rsidR="00F23643">
        <w:rPr>
          <w:noProof/>
        </w:rPr>
        <w:t>2</w:t>
      </w:r>
      <w:r w:rsidR="00F23643">
        <w:fldChar w:fldCharType="end"/>
      </w:r>
      <w:r w:rsidR="00F23643">
        <w:t xml:space="preserve">, </w:t>
      </w:r>
      <w:r>
        <w:t>below.</w:t>
      </w:r>
    </w:p>
    <w:p w14:paraId="02A77191" w14:textId="02681489" w:rsidR="00255E4E" w:rsidRDefault="00F23643" w:rsidP="00F23643">
      <w:pPr>
        <w:pStyle w:val="TableTitle"/>
      </w:pPr>
      <w:bookmarkStart w:id="45" w:name="_Ref26348061"/>
      <w:r>
        <w:lastRenderedPageBreak/>
        <w:t xml:space="preserve">Table </w:t>
      </w:r>
      <w:r w:rsidR="00A613B3">
        <w:fldChar w:fldCharType="begin"/>
      </w:r>
      <w:r w:rsidR="00A613B3">
        <w:instrText xml:space="preserve"> SEQ Table \* ARABIC </w:instrText>
      </w:r>
      <w:r w:rsidR="00A613B3">
        <w:fldChar w:fldCharType="separate"/>
      </w:r>
      <w:r w:rsidR="00452FEA">
        <w:rPr>
          <w:noProof/>
        </w:rPr>
        <w:t>2</w:t>
      </w:r>
      <w:r w:rsidR="00A613B3">
        <w:rPr>
          <w:noProof/>
        </w:rPr>
        <w:fldChar w:fldCharType="end"/>
      </w:r>
      <w:bookmarkEnd w:id="45"/>
      <w:r>
        <w:t>: S</w:t>
      </w:r>
      <w:r w:rsidR="00255E4E">
        <w:t xml:space="preserve">ummary of the five </w:t>
      </w:r>
      <w:r>
        <w:t xml:space="preserve">Phase III clinical </w:t>
      </w:r>
      <w:r w:rsidR="00255E4E">
        <w:t>studies</w:t>
      </w:r>
    </w:p>
    <w:p w14:paraId="6CBC7E4C" w14:textId="77777777" w:rsidR="00255E4E" w:rsidRDefault="00255E4E" w:rsidP="000C2FEC">
      <w:r>
        <w:rPr>
          <w:noProof/>
          <w:lang w:eastAsia="en-AU"/>
        </w:rPr>
        <w:drawing>
          <wp:inline distT="0" distB="0" distL="0" distR="0" wp14:anchorId="100509E8" wp14:editId="1A36F89C">
            <wp:extent cx="5400040" cy="6698615"/>
            <wp:effectExtent l="0" t="0" r="0" b="6985"/>
            <wp:docPr id="1" name="Picture 1" descr="Summary of the five Phase III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6698615"/>
                    </a:xfrm>
                    <a:prstGeom prst="rect">
                      <a:avLst/>
                    </a:prstGeom>
                  </pic:spPr>
                </pic:pic>
              </a:graphicData>
            </a:graphic>
          </wp:inline>
        </w:drawing>
      </w:r>
    </w:p>
    <w:p w14:paraId="1646136A" w14:textId="524B7D82" w:rsidR="00255E4E" w:rsidRDefault="00356C80" w:rsidP="00F23643">
      <w:pPr>
        <w:pStyle w:val="Heading4"/>
      </w:pPr>
      <w:r>
        <w:t>Immunogenicity and e</w:t>
      </w:r>
      <w:r w:rsidR="00F23643">
        <w:t>fficacy</w:t>
      </w:r>
    </w:p>
    <w:p w14:paraId="19319C0C" w14:textId="32E78D41" w:rsidR="00255E4E" w:rsidRDefault="00F23643" w:rsidP="00F23643">
      <w:pPr>
        <w:pStyle w:val="Heading5"/>
      </w:pPr>
      <w:r>
        <w:t>Study GQM11 (adults and elderly)</w:t>
      </w:r>
    </w:p>
    <w:p w14:paraId="1F3C465D" w14:textId="26800C38" w:rsidR="00255E4E" w:rsidRDefault="00F23643" w:rsidP="00F23643">
      <w:r>
        <w:t>Study GQM11</w:t>
      </w:r>
      <w:r w:rsidR="00AC57E8">
        <w:t xml:space="preserve"> was</w:t>
      </w:r>
      <w:r>
        <w:t xml:space="preserve"> a randomised, double </w:t>
      </w:r>
      <w:r w:rsidR="00255E4E">
        <w:t xml:space="preserve">blind </w:t>
      </w:r>
      <w:r>
        <w:t xml:space="preserve">study </w:t>
      </w:r>
      <w:r w:rsidR="00255E4E">
        <w:t>for subjects in the QIV and TIV2</w:t>
      </w:r>
      <w:r w:rsidR="005B3B7C">
        <w:t> </w:t>
      </w:r>
      <w:r w:rsidR="00255E4E">
        <w:t>gro</w:t>
      </w:r>
      <w:r>
        <w:t>ups</w:t>
      </w:r>
      <w:r w:rsidR="005B3B7C">
        <w:t>;</w:t>
      </w:r>
      <w:r w:rsidR="005B3B7C">
        <w:rPr>
          <w:rStyle w:val="FootnoteReference"/>
        </w:rPr>
        <w:footnoteReference w:id="7"/>
      </w:r>
      <w:r>
        <w:t xml:space="preserve"> single blind up to Day 21 </w:t>
      </w:r>
      <w:r w:rsidR="00255E4E">
        <w:t>for subjects in the TIV1</w:t>
      </w:r>
      <w:r w:rsidR="0023588F">
        <w:t xml:space="preserve"> group;</w:t>
      </w:r>
      <w:r w:rsidR="0023588F">
        <w:rPr>
          <w:rStyle w:val="FootnoteReference"/>
        </w:rPr>
        <w:footnoteReference w:id="8"/>
      </w:r>
      <w:r w:rsidR="00255E4E">
        <w:t xml:space="preserve"> active con</w:t>
      </w:r>
      <w:r w:rsidR="00356C80">
        <w:t>trolled, multi</w:t>
      </w:r>
      <w:r w:rsidR="00356C80">
        <w:noBreakHyphen/>
      </w:r>
      <w:r>
        <w:t xml:space="preserve">centre trial in approximately </w:t>
      </w:r>
      <w:r w:rsidR="00255E4E">
        <w:t>1112 adult (aged 18 to 60 years</w:t>
      </w:r>
      <w:r w:rsidR="00356C80">
        <w:t xml:space="preserve"> old</w:t>
      </w:r>
      <w:r w:rsidR="00255E4E">
        <w:t xml:space="preserve">) and 1112 elderly (aged </w:t>
      </w:r>
      <w:r>
        <w:t>&gt; 60 years</w:t>
      </w:r>
      <w:r w:rsidR="00356C80">
        <w:t xml:space="preserve"> old</w:t>
      </w:r>
      <w:r>
        <w:t>) subjects in Europe.</w:t>
      </w:r>
    </w:p>
    <w:p w14:paraId="666414A1" w14:textId="4B7A9B2A" w:rsidR="00255E4E" w:rsidRDefault="00255E4E" w:rsidP="00F23643">
      <w:r>
        <w:lastRenderedPageBreak/>
        <w:t xml:space="preserve">The primary objective was lot-to-lot consistency. Lot-to-lot consistency of 3 lots of the QIV was demonstrated, as the equivalence criteria were met. Lot-to-lot consistency was confirmed after adjustment on baseline anti-HAI antibody </w:t>
      </w:r>
      <w:r w:rsidR="00A6734A">
        <w:t>titres</w:t>
      </w:r>
      <w:r>
        <w:t xml:space="preserve">. It was observed that one of the vaccine lot comparisons did not include 1 in the 95% </w:t>
      </w:r>
      <w:r w:rsidR="00F23643">
        <w:t>confidence interval (</w:t>
      </w:r>
      <w:r>
        <w:t>CI</w:t>
      </w:r>
      <w:r w:rsidR="00F23643">
        <w:t>)</w:t>
      </w:r>
      <w:r>
        <w:t xml:space="preserve">: lot S4456 versus lot S4458 for the H3N2 strain, with a </w:t>
      </w:r>
      <w:r w:rsidR="00F23643">
        <w:t>geometric mean titr</w:t>
      </w:r>
      <w:r w:rsidR="005B3B7C">
        <w:t>e</w:t>
      </w:r>
      <w:r w:rsidR="00F23643">
        <w:t xml:space="preserve"> ratio (</w:t>
      </w:r>
      <w:r>
        <w:t>GMTR</w:t>
      </w:r>
      <w:r w:rsidR="00F23643">
        <w:t>)</w:t>
      </w:r>
      <w:r>
        <w:t xml:space="preserve"> of 1.14 (95% CI 1.02; 1.27). Although this indicates a statistically significant difference between the </w:t>
      </w:r>
      <w:r w:rsidR="005B3B7C">
        <w:t>geometric mean titres (</w:t>
      </w:r>
      <w:r>
        <w:t>GMT</w:t>
      </w:r>
      <w:r w:rsidR="005B3B7C">
        <w:t>)</w:t>
      </w:r>
      <w:r>
        <w:t xml:space="preserve"> of these 2 lots (after baseline correction), the difference is not considered as clinically relevant, because the 95% CI limits of the difference are still within the pre-specified range of 0.667 to 1.5. Moreover, the study was not designed to control the alpha risk to detect at least 1 difference based on these 95% CIs, and due to the resulting multiplicity issue, the risk to detect at least 1 difference, which does not exist, is inflated. Results were similar in the </w:t>
      </w:r>
      <w:r w:rsidR="005B3B7C">
        <w:t>p</w:t>
      </w:r>
      <w:r w:rsidR="00AC57E8">
        <w:t>er-protocol analysis set (</w:t>
      </w:r>
      <w:r>
        <w:t>PPAS</w:t>
      </w:r>
      <w:r w:rsidR="00AC57E8">
        <w:t>)</w:t>
      </w:r>
      <w:r>
        <w:t xml:space="preserve"> and the </w:t>
      </w:r>
      <w:r w:rsidR="005B3B7C">
        <w:t>f</w:t>
      </w:r>
      <w:r w:rsidR="00AC57E8">
        <w:t>ull analysis set (</w:t>
      </w:r>
      <w:r>
        <w:t>FAS</w:t>
      </w:r>
      <w:r w:rsidR="00AC57E8">
        <w:t>).</w:t>
      </w:r>
    </w:p>
    <w:p w14:paraId="28786332" w14:textId="325B6BD8" w:rsidR="00255E4E" w:rsidRDefault="00255E4E" w:rsidP="00F23643">
      <w:r>
        <w:t>The non-inferiority and superiority analyses were per</w:t>
      </w:r>
      <w:r w:rsidR="00AC57E8">
        <w:t>formed on the pool of QIV lots.</w:t>
      </w:r>
    </w:p>
    <w:p w14:paraId="2D822E90" w14:textId="3D3A29B9" w:rsidR="00255E4E" w:rsidRDefault="00255E4E" w:rsidP="00F23643">
      <w:r>
        <w:t xml:space="preserve">Non-inferiority of the immune response to the QIV compared to the response to the TIV was demonstrated as the lower limit of the 2-sided 95% CI of GMT-QIV/GMT-TIV &gt; 0.667 for each of the strains. The GMTs at </w:t>
      </w:r>
      <w:r w:rsidR="005B3B7C">
        <w:t>B</w:t>
      </w:r>
      <w:r>
        <w:t xml:space="preserve">aseline against each of the 4 strains were similar across vaccine groups in both adults aged 18 to 60 years and the elderly aged &gt; 60 years. The analysis of non-inferiority of the QIV to the TIV in all subjects in the PPAS is presented in </w:t>
      </w:r>
      <w:r w:rsidR="00AC57E8">
        <w:fldChar w:fldCharType="begin"/>
      </w:r>
      <w:r w:rsidR="00AC57E8">
        <w:instrText xml:space="preserve"> REF _Ref26348804 \h </w:instrText>
      </w:r>
      <w:r w:rsidR="00AC57E8">
        <w:fldChar w:fldCharType="separate"/>
      </w:r>
      <w:r w:rsidR="00AC57E8">
        <w:t xml:space="preserve">Table </w:t>
      </w:r>
      <w:r w:rsidR="00AC57E8">
        <w:rPr>
          <w:noProof/>
        </w:rPr>
        <w:t>3</w:t>
      </w:r>
      <w:r w:rsidR="00AC57E8">
        <w:fldChar w:fldCharType="end"/>
      </w:r>
      <w:r w:rsidR="00AC57E8">
        <w:t xml:space="preserve">, </w:t>
      </w:r>
      <w:r w:rsidR="005B3B7C">
        <w:t xml:space="preserve">shown </w:t>
      </w:r>
      <w:r>
        <w:t>below</w:t>
      </w:r>
      <w:r>
        <w:rPr>
          <w:color w:val="0000FF"/>
        </w:rPr>
        <w:t xml:space="preserve">. </w:t>
      </w:r>
      <w:r>
        <w:t xml:space="preserve">Non-inferiority of the QIV compared to the TIV was confirmed after adjustment on pre-vaccination </w:t>
      </w:r>
      <w:r w:rsidR="00AC57E8">
        <w:t>titres</w:t>
      </w:r>
      <w:r>
        <w:t xml:space="preserve">, as well as in the </w:t>
      </w:r>
      <w:r w:rsidR="00AC57E8">
        <w:t>FAS</w:t>
      </w:r>
      <w:r>
        <w:t>.</w:t>
      </w:r>
    </w:p>
    <w:p w14:paraId="76410308" w14:textId="51F01974" w:rsidR="000C2FEC" w:rsidRDefault="00AC57E8" w:rsidP="00AC57E8">
      <w:pPr>
        <w:pStyle w:val="TableTitle"/>
      </w:pPr>
      <w:bookmarkStart w:id="46" w:name="_Ref26348804"/>
      <w:r>
        <w:t xml:space="preserve">Table </w:t>
      </w:r>
      <w:r w:rsidR="00A613B3">
        <w:fldChar w:fldCharType="begin"/>
      </w:r>
      <w:r w:rsidR="00A613B3">
        <w:instrText xml:space="preserve"> SEQ Table \* ARABIC </w:instrText>
      </w:r>
      <w:r w:rsidR="00A613B3">
        <w:fldChar w:fldCharType="separate"/>
      </w:r>
      <w:r w:rsidR="00452FEA">
        <w:rPr>
          <w:noProof/>
        </w:rPr>
        <w:t>3</w:t>
      </w:r>
      <w:r w:rsidR="00A613B3">
        <w:rPr>
          <w:noProof/>
        </w:rPr>
        <w:fldChar w:fldCharType="end"/>
      </w:r>
      <w:bookmarkEnd w:id="46"/>
      <w:r>
        <w:t xml:space="preserve">: </w:t>
      </w:r>
      <w:r w:rsidR="00255E4E">
        <w:t xml:space="preserve">Immunogenicity primary objective: non-inferiority in all subjects-age stratified </w:t>
      </w:r>
      <w:r>
        <w:t>geometric mean titre</w:t>
      </w:r>
      <w:r w:rsidR="00537CBF">
        <w:t xml:space="preserve"> ratio 21 days post vaccination, </w:t>
      </w:r>
      <w:r>
        <w:t>Per-protocol analysis set</w:t>
      </w:r>
      <w:r w:rsidR="00255E4E">
        <w:t xml:space="preserve"> (Study GQM11)</w:t>
      </w:r>
    </w:p>
    <w:p w14:paraId="371E3701" w14:textId="77777777" w:rsidR="00255E4E" w:rsidRDefault="00255E4E" w:rsidP="000C2FEC">
      <w:r>
        <w:rPr>
          <w:noProof/>
          <w:lang w:eastAsia="en-AU"/>
        </w:rPr>
        <w:drawing>
          <wp:inline distT="0" distB="0" distL="0" distR="0" wp14:anchorId="0C295371" wp14:editId="281E585E">
            <wp:extent cx="5399158" cy="2333219"/>
            <wp:effectExtent l="0" t="0" r="0" b="0"/>
            <wp:docPr id="3" name="Picture 3" descr="Immunogenicity primary objective: non-inferiority in all subjects-age stratified geometric mean titre ratio 21 days post vaccination, Per-protocol analysis set (Study GQ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5737" cy="2340384"/>
                    </a:xfrm>
                    <a:prstGeom prst="rect">
                      <a:avLst/>
                    </a:prstGeom>
                  </pic:spPr>
                </pic:pic>
              </a:graphicData>
            </a:graphic>
          </wp:inline>
        </w:drawing>
      </w:r>
    </w:p>
    <w:p w14:paraId="1D30E6D3" w14:textId="1DD9B24E" w:rsidR="00255E4E" w:rsidRDefault="00255E4E" w:rsidP="00255E4E">
      <w:r>
        <w:t xml:space="preserve">Analysis of superiority was secondary objective of the study. In each age group, the QIV demonstrated superior immunogenicity compared to the TIV for the additional B strains in the </w:t>
      </w:r>
      <w:r w:rsidR="00AC57E8">
        <w:t>FAS</w:t>
      </w:r>
      <w:r>
        <w:t>.</w:t>
      </w:r>
    </w:p>
    <w:p w14:paraId="7813EEBC" w14:textId="30D1B287" w:rsidR="00255E4E" w:rsidRDefault="00255E4E" w:rsidP="00255E4E">
      <w:r>
        <w:t>Overall, the study demonstrated that the 3 QIV lots were shown to be as immunogenic as the licensed TIV in adult and elderly subjects. In addition, the 3 QIV lots provided superior immunogenicity against influenza B strains of both lineages simultaneously compared to TIV. QIV induced an immune response that lasted for 12 months; however, relatively few participants (only</w:t>
      </w:r>
      <w:r w:rsidR="00AC57E8">
        <w:t xml:space="preserve"> 18% in each age strata) had a M</w:t>
      </w:r>
      <w:r>
        <w:t>onth 12 visit, so these persistence data are derived from a minority.</w:t>
      </w:r>
    </w:p>
    <w:p w14:paraId="2FBAAA71" w14:textId="1B073799" w:rsidR="00255E4E" w:rsidRDefault="00AC57E8" w:rsidP="00AC57E8">
      <w:pPr>
        <w:pStyle w:val="Heading5"/>
      </w:pPr>
      <w:r>
        <w:lastRenderedPageBreak/>
        <w:t>Study GQM</w:t>
      </w:r>
      <w:r w:rsidR="00255E4E">
        <w:t>01 (adults and elderly</w:t>
      </w:r>
      <w:r w:rsidR="005B3B7C">
        <w:t xml:space="preserve"> subjects</w:t>
      </w:r>
      <w:r w:rsidR="00255E4E">
        <w:t>)</w:t>
      </w:r>
    </w:p>
    <w:p w14:paraId="27298C8A" w14:textId="0712D566" w:rsidR="00255E4E" w:rsidRDefault="00AC57E8" w:rsidP="00AC57E8">
      <w:r>
        <w:t xml:space="preserve">Study GQM01 </w:t>
      </w:r>
      <w:r w:rsidR="00255E4E">
        <w:t xml:space="preserve">was </w:t>
      </w:r>
      <w:r>
        <w:t xml:space="preserve">a Phase III, </w:t>
      </w:r>
      <w:r w:rsidR="005B3B7C">
        <w:t>randomised</w:t>
      </w:r>
      <w:r>
        <w:t xml:space="preserve">, double </w:t>
      </w:r>
      <w:r w:rsidR="00255E4E">
        <w:t>blind (except for subjects included in the TIV2 group)</w:t>
      </w:r>
      <w:r w:rsidR="005B3B7C">
        <w:t>,</w:t>
      </w:r>
      <w:r w:rsidR="00255E4E">
        <w:t xml:space="preserve"> active controlled multic</w:t>
      </w:r>
      <w:r>
        <w:t>entr</w:t>
      </w:r>
      <w:r w:rsidR="005B3B7C">
        <w:t>e</w:t>
      </w:r>
      <w:r>
        <w:t xml:space="preserve"> trial in 1568 adult (18 to </w:t>
      </w:r>
      <w:r w:rsidR="00255E4E">
        <w:t>60</w:t>
      </w:r>
      <w:r w:rsidR="005B3B7C">
        <w:t> </w:t>
      </w:r>
      <w:r w:rsidR="00255E4E">
        <w:t>years of age) and elderly (&gt; 60 years of age) subjects in Europe.</w:t>
      </w:r>
    </w:p>
    <w:p w14:paraId="00015BA9" w14:textId="7374EDA2" w:rsidR="00255E4E" w:rsidRDefault="00255E4E" w:rsidP="00AC57E8">
      <w:r>
        <w:t xml:space="preserve">Non-inferiority of the QIV versus the TIVs was assessed on the </w:t>
      </w:r>
      <w:r w:rsidR="005B3B7C">
        <w:t>p</w:t>
      </w:r>
      <w:r w:rsidR="00AC57E8">
        <w:t>er-protocol (</w:t>
      </w:r>
      <w:r>
        <w:t>PP</w:t>
      </w:r>
      <w:r w:rsidR="00AC57E8">
        <w:t>)</w:t>
      </w:r>
      <w:r>
        <w:t xml:space="preserve"> analysis set. Before vaccination</w:t>
      </w:r>
      <w:r w:rsidR="00AC57E8">
        <w:t>,</w:t>
      </w:r>
      <w:r>
        <w:t xml:space="preserve"> GMTs were similar between groups for each age group. No major differences were found between immune responses to TIV1</w:t>
      </w:r>
      <w:r w:rsidR="005B3B7C">
        <w:t>;</w:t>
      </w:r>
      <w:r>
        <w:t xml:space="preserve"> and TIV2 for the A strains, and analysis of their pooled response was considered. Non-inferiority for all the 4 strains was concluded, as the </w:t>
      </w:r>
      <w:r w:rsidR="00AC57E8" w:rsidRPr="000C2FEC">
        <w:rPr>
          <w:rFonts w:asciiTheme="minorHAnsi" w:hAnsiTheme="minorHAnsi" w:cs="ArialNarrow"/>
        </w:rPr>
        <w:t>lower limit</w:t>
      </w:r>
      <w:r w:rsidR="00AC57E8">
        <w:t xml:space="preserve"> (</w:t>
      </w:r>
      <w:r>
        <w:t>LL</w:t>
      </w:r>
      <w:r w:rsidR="00AC57E8">
        <w:t>)</w:t>
      </w:r>
      <w:r>
        <w:t xml:space="preserve"> of the age-stratified two-sided 95% CI of the ratio of GMTs between groups was &gt;</w:t>
      </w:r>
      <w:r w:rsidR="00AC57E8">
        <w:t xml:space="preserve"> </w:t>
      </w:r>
      <w:r>
        <w:t>1/1.5 (0.667) for each strain. Hence the immune response induced by the QIV is non-inferior to the one induced by a TIV, as measured with the HAI method. The same trend is observed in each age group with ratios of GMTs within age group ranging from 0.778 to 1.21 (in adults) and 0.931 to 1.10 (in elderly subjects) for the 4 strains. Simila</w:t>
      </w:r>
      <w:r w:rsidR="00AC57E8">
        <w:t>r results obtained for the FAS.</w:t>
      </w:r>
    </w:p>
    <w:p w14:paraId="4F26077C" w14:textId="5116089E" w:rsidR="00255E4E" w:rsidRDefault="00255E4E" w:rsidP="00AC57E8">
      <w:r>
        <w:t>Superiority of the B strain response of the QIV versus TIVs was assessed on the FAS. Before vaccination, GMTs were similar between groups for each age group. While the immune response increased against the B strain not contained in the TIV after TIV vaccination, this immune response wa</w:t>
      </w:r>
      <w:r w:rsidR="00A6734A">
        <w:t>s greater with the QIV: t</w:t>
      </w:r>
      <w:r w:rsidR="00AC57E8">
        <w:t xml:space="preserve">he two </w:t>
      </w:r>
      <w:r>
        <w:t>sided 95% CI of the ratio of GMTs between groups was &gt;</w:t>
      </w:r>
      <w:r w:rsidR="00AC57E8">
        <w:t xml:space="preserve"> </w:t>
      </w:r>
      <w:r>
        <w:t>1 for the 2 B strains in each age group. Theref</w:t>
      </w:r>
      <w:r w:rsidR="00537CBF">
        <w:t xml:space="preserve">ore, for each B strain, the QIV </w:t>
      </w:r>
      <w:r>
        <w:t>induced immune response was superior to the immune response induced by a TIV not containing that B strain. Similar results were ob</w:t>
      </w:r>
      <w:r w:rsidR="00AC57E8">
        <w:t>tained for the PP</w:t>
      </w:r>
      <w:r w:rsidR="005B3B7C">
        <w:t> </w:t>
      </w:r>
      <w:r w:rsidR="00AC57E8">
        <w:t>analysis set.</w:t>
      </w:r>
    </w:p>
    <w:p w14:paraId="00F9F685" w14:textId="5B859942" w:rsidR="00255E4E" w:rsidRDefault="00AC57E8" w:rsidP="00AC57E8">
      <w:pPr>
        <w:pStyle w:val="Heading5"/>
      </w:pPr>
      <w:r>
        <w:t>Study GQM09 (9 to 17 years)</w:t>
      </w:r>
    </w:p>
    <w:p w14:paraId="1072FED2" w14:textId="2A38B194" w:rsidR="00255E4E" w:rsidRDefault="00AC57E8" w:rsidP="007166E1">
      <w:r>
        <w:t>Study GQM09</w:t>
      </w:r>
      <w:r w:rsidR="00255E4E">
        <w:t xml:space="preserve"> was an </w:t>
      </w:r>
      <w:r>
        <w:t xml:space="preserve">open </w:t>
      </w:r>
      <w:r w:rsidR="00255E4E">
        <w:t>label, uncontrolled, multi-</w:t>
      </w:r>
      <w:r>
        <w:t xml:space="preserve">centre Phase </w:t>
      </w:r>
      <w:r w:rsidR="00255E4E">
        <w:t>III study conducted in Taiwan. The stu</w:t>
      </w:r>
      <w:r>
        <w:t xml:space="preserve">dy included 100 subjects aged 9 to </w:t>
      </w:r>
      <w:r w:rsidR="00255E4E">
        <w:t xml:space="preserve">17 years. This study was conducted as a Taiwan </w:t>
      </w:r>
      <w:r>
        <w:t xml:space="preserve">Food and Drug Administration </w:t>
      </w:r>
      <w:r w:rsidR="00255E4E">
        <w:t xml:space="preserve">requirement to register the vaccine in Taiwan </w:t>
      </w:r>
      <w:r>
        <w:t>in those aged ≥</w:t>
      </w:r>
      <w:r w:rsidR="007166E1">
        <w:t xml:space="preserve"> </w:t>
      </w:r>
      <w:r>
        <w:t>9 y</w:t>
      </w:r>
      <w:r w:rsidR="005B3B7C">
        <w:t>ea</w:t>
      </w:r>
      <w:r>
        <w:t>rs.</w:t>
      </w:r>
    </w:p>
    <w:p w14:paraId="26A6821A" w14:textId="088D849C" w:rsidR="00255E4E" w:rsidRDefault="00255E4E" w:rsidP="007166E1">
      <w:r>
        <w:t>A descriptive analysis of the anti-HA antibody response showed that the QIV elicited an immune response against all 4 strains</w:t>
      </w:r>
      <w:r>
        <w:rPr>
          <w:color w:val="0000FF"/>
        </w:rPr>
        <w:t xml:space="preserve">. </w:t>
      </w:r>
      <w:r>
        <w:t>As Study GQM09 was designed without control arm, no comparative data of the immune response to the QIV versus the TIV ar</w:t>
      </w:r>
      <w:r w:rsidR="00AC57E8">
        <w:t>e available for this age group.</w:t>
      </w:r>
    </w:p>
    <w:p w14:paraId="5CD9ED2F" w14:textId="142FACDC" w:rsidR="00255E4E" w:rsidRDefault="00255E4E" w:rsidP="007166E1">
      <w:r>
        <w:t xml:space="preserve">No non-inferiority analysis was performed. However, the level of post-vaccination </w:t>
      </w:r>
      <w:r w:rsidR="00537CBF">
        <w:t>titres</w:t>
      </w:r>
      <w:r>
        <w:t xml:space="preserve"> to the QIV in adolescents appears similar to that observed in adults in Study GQM11, this was also observed in Study GQM04. In addition, as non-inferiority of the QIV compared to the TIV was demonstrated in adults (aged 18 years and above) and in children aged 3 to 8</w:t>
      </w:r>
      <w:r w:rsidR="005B3B7C">
        <w:t> </w:t>
      </w:r>
      <w:r>
        <w:t>years, non-inferiority is also expected in children and adolescents aged 9 to 17 years. This extrapolation was supported by the observation that the ratios of GMTs between the QIV and TIV groups were compara</w:t>
      </w:r>
      <w:r w:rsidR="007166E1">
        <w:t>ble whatever the age group (that is</w:t>
      </w:r>
      <w:r>
        <w:t xml:space="preserve">, 3 to 8 years, 18 to 60 years and &gt; 60 years) and may therefore be expected to be similar </w:t>
      </w:r>
      <w:r w:rsidR="00AC57E8">
        <w:t>in subjects aged 9 to 17 years.</w:t>
      </w:r>
    </w:p>
    <w:p w14:paraId="2F6CFC14" w14:textId="32209831" w:rsidR="00255E4E" w:rsidRDefault="00A6734A" w:rsidP="007166E1">
      <w:pPr>
        <w:pStyle w:val="Heading5"/>
      </w:pPr>
      <w:r>
        <w:t>Study GQM</w:t>
      </w:r>
      <w:r w:rsidR="007166E1">
        <w:t>04 (</w:t>
      </w:r>
      <w:r w:rsidR="005B3B7C">
        <w:t xml:space="preserve">subjects aged </w:t>
      </w:r>
      <w:r w:rsidR="007166E1">
        <w:t>9 to 17 years</w:t>
      </w:r>
      <w:r w:rsidR="005B3B7C">
        <w:t>;</w:t>
      </w:r>
      <w:r w:rsidR="007166E1">
        <w:t xml:space="preserve"> and 18 to 60 years)</w:t>
      </w:r>
    </w:p>
    <w:p w14:paraId="030F5EE4" w14:textId="43D193E4" w:rsidR="00255E4E" w:rsidRDefault="00A6734A" w:rsidP="007166E1">
      <w:r>
        <w:t>Study GQM04</w:t>
      </w:r>
      <w:r w:rsidR="00255E4E">
        <w:t xml:space="preserve"> was </w:t>
      </w:r>
      <w:r w:rsidR="007166E1">
        <w:t>a Phase III, randomi</w:t>
      </w:r>
      <w:r w:rsidR="005B3B7C">
        <w:t>s</w:t>
      </w:r>
      <w:r w:rsidR="007166E1">
        <w:t xml:space="preserve">ed, double </w:t>
      </w:r>
      <w:r w:rsidR="00255E4E">
        <w:t>blind (for QIV lots), open (for QIV or TIV receipt), controlled, multi</w:t>
      </w:r>
      <w:r w:rsidR="00537CBF">
        <w:t>centre</w:t>
      </w:r>
      <w:r w:rsidR="00255E4E">
        <w:t xml:space="preserve"> trial</w:t>
      </w:r>
      <w:r w:rsidR="007166E1">
        <w:t xml:space="preserve"> in 385 children/adolescent (9 to 17 years of age) and 1705 adults (18 to </w:t>
      </w:r>
      <w:r w:rsidR="00255E4E">
        <w:t>60 years of age) subje</w:t>
      </w:r>
      <w:r w:rsidR="007166E1">
        <w:t>cts in the Asia-Pacific region.</w:t>
      </w:r>
    </w:p>
    <w:p w14:paraId="796ABDEA" w14:textId="60663BB6" w:rsidR="007166E1" w:rsidRDefault="003675C9" w:rsidP="007166E1">
      <w:r>
        <w:t>The p</w:t>
      </w:r>
      <w:r w:rsidR="00255E4E">
        <w:t>rimary objecti</w:t>
      </w:r>
      <w:r w:rsidR="007166E1">
        <w:t>ve is the assessment of safety.</w:t>
      </w:r>
    </w:p>
    <w:p w14:paraId="7FB7F936" w14:textId="1EB3644C" w:rsidR="00255E4E" w:rsidRDefault="00255E4E" w:rsidP="007166E1">
      <w:r>
        <w:t xml:space="preserve">The </w:t>
      </w:r>
      <w:r w:rsidR="007166E1">
        <w:t>secondary objectives include:</w:t>
      </w:r>
    </w:p>
    <w:p w14:paraId="4FE08926" w14:textId="6B3446D6" w:rsidR="00255E4E" w:rsidRDefault="00255E4E" w:rsidP="00F05E8B">
      <w:pPr>
        <w:pStyle w:val="ListBullet"/>
      </w:pPr>
      <w:r>
        <w:t>Lot consistency: to demonstrate that the 3 different industrial lots of QIV induce an equivalent immune response at 21 days post-vac</w:t>
      </w:r>
      <w:r w:rsidR="00F05E8B">
        <w:t>cination in both age groups;</w:t>
      </w:r>
    </w:p>
    <w:p w14:paraId="67C33B48" w14:textId="368C0417" w:rsidR="00255E4E" w:rsidRDefault="00255E4E" w:rsidP="00F05E8B">
      <w:pPr>
        <w:pStyle w:val="ListBullet"/>
      </w:pPr>
      <w:r>
        <w:lastRenderedPageBreak/>
        <w:t>Immunogenicity: to describe the compliance of the immunogenicity of QIV to the EMA criteria</w:t>
      </w:r>
      <w:r w:rsidR="00537CBF">
        <w:t>;</w:t>
      </w:r>
      <w:r w:rsidR="00537CBF">
        <w:fldChar w:fldCharType="begin"/>
      </w:r>
      <w:r w:rsidR="00537CBF">
        <w:instrText xml:space="preserve"> NOTEREF _Ref26426952 \f \h </w:instrText>
      </w:r>
      <w:r w:rsidR="00537CBF">
        <w:fldChar w:fldCharType="separate"/>
      </w:r>
      <w:r w:rsidR="00537CBF" w:rsidRPr="00537CBF">
        <w:rPr>
          <w:rStyle w:val="FootnoteReference"/>
        </w:rPr>
        <w:t>6</w:t>
      </w:r>
      <w:r w:rsidR="00537CBF">
        <w:fldChar w:fldCharType="end"/>
      </w:r>
      <w:r w:rsidR="00537CBF">
        <w:t xml:space="preserve"> </w:t>
      </w:r>
      <w:r w:rsidR="00F05E8B">
        <w:t>in each age group.</w:t>
      </w:r>
    </w:p>
    <w:p w14:paraId="47C61817" w14:textId="7E8C5738" w:rsidR="00255E4E" w:rsidRDefault="00255E4E" w:rsidP="00F05E8B">
      <w:r w:rsidRPr="00322211">
        <w:rPr>
          <w:i/>
        </w:rPr>
        <w:t>Lot consistency</w:t>
      </w:r>
      <w:r w:rsidRPr="00322211">
        <w:rPr>
          <w:bCs/>
        </w:rPr>
        <w:t>:</w:t>
      </w:r>
      <w:r>
        <w:rPr>
          <w:b/>
          <w:bCs/>
        </w:rPr>
        <w:t xml:space="preserve"> </w:t>
      </w:r>
      <w:r>
        <w:t>in the analysis with results stratified by age and according to an adjustment on baseline titres, lot consistency was confirmed for each pair of lots</w:t>
      </w:r>
      <w:r w:rsidR="00537CBF">
        <w:t xml:space="preserve"> and for each strain as the two </w:t>
      </w:r>
      <w:r>
        <w:t xml:space="preserve">sided 95% CI was between 1/1.5 and 1.5 for each pair of lots and for each strain and equivalence for all the 4 strains was concluded. The ratio of GMTs ranged from 0.848 to 1.02 for </w:t>
      </w:r>
      <w:r w:rsidR="00537CBF">
        <w:t>the 4 strains; that is, close to 1.</w:t>
      </w:r>
    </w:p>
    <w:p w14:paraId="15970984" w14:textId="77777777" w:rsidR="00255E4E" w:rsidRDefault="00255E4E" w:rsidP="00F05E8B">
      <w:r w:rsidRPr="00322211">
        <w:rPr>
          <w:i/>
        </w:rPr>
        <w:t>Immunogenicity</w:t>
      </w:r>
      <w:r>
        <w:t>: for adults, the three EMA criteria are met (all 95% CI inclusive) for each strain. The results for the subjects of 9 to 17 years old were comparable to the adult group; GMTRs were higher than those of adults.</w:t>
      </w:r>
    </w:p>
    <w:p w14:paraId="5E54DAA7" w14:textId="16ED2644" w:rsidR="00255E4E" w:rsidRDefault="00255E4E" w:rsidP="00F05E8B">
      <w:pPr>
        <w:pStyle w:val="Heading5"/>
      </w:pPr>
      <w:r>
        <w:t>Study</w:t>
      </w:r>
      <w:r w:rsidR="00A6734A">
        <w:t xml:space="preserve"> GQM</w:t>
      </w:r>
      <w:r w:rsidR="00F05E8B">
        <w:t>02 (</w:t>
      </w:r>
      <w:r w:rsidR="003675C9">
        <w:t>c</w:t>
      </w:r>
      <w:r w:rsidR="00F05E8B">
        <w:t>hildren 3 to 8 years)</w:t>
      </w:r>
    </w:p>
    <w:p w14:paraId="7855205E" w14:textId="3681BA14" w:rsidR="00255E4E" w:rsidRDefault="00A6734A" w:rsidP="00255E4E">
      <w:pPr>
        <w:pStyle w:val="Default"/>
        <w:rPr>
          <w:sz w:val="22"/>
          <w:szCs w:val="22"/>
        </w:rPr>
      </w:pPr>
      <w:r w:rsidRPr="00A6734A">
        <w:rPr>
          <w:sz w:val="22"/>
          <w:szCs w:val="22"/>
        </w:rPr>
        <w:t>Study GQM02</w:t>
      </w:r>
      <w:r w:rsidR="00F05E8B">
        <w:rPr>
          <w:sz w:val="22"/>
          <w:szCs w:val="22"/>
        </w:rPr>
        <w:t xml:space="preserve"> was a Phase III, randomised, double </w:t>
      </w:r>
      <w:r w:rsidR="00255E4E">
        <w:rPr>
          <w:sz w:val="22"/>
          <w:szCs w:val="22"/>
        </w:rPr>
        <w:t>blind, active control multicentre study. The subjects in this study received either 1 or 2 injections of the QIV or the TIV, based on their previous vaccination history. Subject received 1 injection if they had received a full sche</w:t>
      </w:r>
      <w:r w:rsidR="00F05E8B">
        <w:rPr>
          <w:sz w:val="22"/>
          <w:szCs w:val="22"/>
        </w:rPr>
        <w:t>dule of influenza vaccines (that is</w:t>
      </w:r>
      <w:r w:rsidR="00255E4E">
        <w:rPr>
          <w:sz w:val="22"/>
          <w:szCs w:val="22"/>
        </w:rPr>
        <w:t xml:space="preserve">, 2 injections in the same year) in any of the years preceding </w:t>
      </w:r>
      <w:r w:rsidR="00F05E8B">
        <w:rPr>
          <w:sz w:val="22"/>
          <w:szCs w:val="22"/>
        </w:rPr>
        <w:t>the study, and were defined as ‘primed’</w:t>
      </w:r>
      <w:r w:rsidR="00255E4E">
        <w:rPr>
          <w:sz w:val="22"/>
          <w:szCs w:val="22"/>
        </w:rPr>
        <w:t xml:space="preserve"> subjects. If they had not received a full schedule of 2 injections in any year before the study, they received 2 injections, with an interval o</w:t>
      </w:r>
      <w:r w:rsidR="00F05E8B">
        <w:rPr>
          <w:sz w:val="22"/>
          <w:szCs w:val="22"/>
        </w:rPr>
        <w:t>f 28 days, and were defined as ‘</w:t>
      </w:r>
      <w:proofErr w:type="spellStart"/>
      <w:r w:rsidR="00F05E8B">
        <w:rPr>
          <w:sz w:val="22"/>
          <w:szCs w:val="22"/>
        </w:rPr>
        <w:t>unprimed</w:t>
      </w:r>
      <w:proofErr w:type="spellEnd"/>
      <w:r w:rsidR="00F05E8B">
        <w:rPr>
          <w:sz w:val="22"/>
          <w:szCs w:val="22"/>
        </w:rPr>
        <w:t>’</w:t>
      </w:r>
      <w:r w:rsidR="00255E4E">
        <w:rPr>
          <w:sz w:val="22"/>
          <w:szCs w:val="22"/>
        </w:rPr>
        <w:t xml:space="preserve"> subjects. The proportion of primed and </w:t>
      </w:r>
      <w:proofErr w:type="spellStart"/>
      <w:r w:rsidR="00255E4E">
        <w:rPr>
          <w:sz w:val="22"/>
          <w:szCs w:val="22"/>
        </w:rPr>
        <w:t>unprimed</w:t>
      </w:r>
      <w:proofErr w:type="spellEnd"/>
      <w:r w:rsidR="00255E4E">
        <w:rPr>
          <w:sz w:val="22"/>
          <w:szCs w:val="22"/>
        </w:rPr>
        <w:t xml:space="preserve"> subjects in the QIV and TIV groups was similar. The GMTs at </w:t>
      </w:r>
      <w:r w:rsidR="003675C9">
        <w:rPr>
          <w:sz w:val="22"/>
          <w:szCs w:val="22"/>
        </w:rPr>
        <w:t>B</w:t>
      </w:r>
      <w:r w:rsidR="00255E4E">
        <w:rPr>
          <w:sz w:val="22"/>
          <w:szCs w:val="22"/>
        </w:rPr>
        <w:t>aseline against each of the 4 strains were similar across vaccine groups in bot</w:t>
      </w:r>
      <w:r w:rsidR="00537CBF">
        <w:rPr>
          <w:sz w:val="22"/>
          <w:szCs w:val="22"/>
        </w:rPr>
        <w:t xml:space="preserve">h primed and </w:t>
      </w:r>
      <w:proofErr w:type="spellStart"/>
      <w:r w:rsidR="00537CBF">
        <w:rPr>
          <w:sz w:val="22"/>
          <w:szCs w:val="22"/>
        </w:rPr>
        <w:t>unprimed</w:t>
      </w:r>
      <w:proofErr w:type="spellEnd"/>
      <w:r w:rsidR="00537CBF">
        <w:rPr>
          <w:sz w:val="22"/>
          <w:szCs w:val="22"/>
        </w:rPr>
        <w:t xml:space="preserve"> subjects.</w:t>
      </w:r>
    </w:p>
    <w:p w14:paraId="74C79EF8" w14:textId="34BE92B2" w:rsidR="00255E4E" w:rsidRPr="00F05E8B" w:rsidRDefault="00255E4E" w:rsidP="00F05E8B">
      <w:r w:rsidRPr="00F05E8B">
        <w:t xml:space="preserve">The primary objective is the analysis of non-inferiority of the immune response of the QIV versus the TIV in all subjects. This analysis in </w:t>
      </w:r>
      <w:r w:rsidR="00F05E8B">
        <w:t xml:space="preserve">the PPAS is presented in </w:t>
      </w:r>
      <w:r w:rsidR="00F05E8B">
        <w:fldChar w:fldCharType="begin"/>
      </w:r>
      <w:r w:rsidR="00F05E8B">
        <w:instrText xml:space="preserve"> REF _Ref26351949 \h </w:instrText>
      </w:r>
      <w:r w:rsidR="00F05E8B">
        <w:fldChar w:fldCharType="separate"/>
      </w:r>
      <w:r w:rsidR="00F05E8B">
        <w:t xml:space="preserve">Table </w:t>
      </w:r>
      <w:r w:rsidR="00F05E8B">
        <w:rPr>
          <w:noProof/>
        </w:rPr>
        <w:t>4</w:t>
      </w:r>
      <w:r w:rsidR="00F05E8B">
        <w:fldChar w:fldCharType="end"/>
      </w:r>
      <w:r w:rsidR="00F05E8B">
        <w:t xml:space="preserve">, </w:t>
      </w:r>
      <w:r w:rsidRPr="00F05E8B">
        <w:t>below.</w:t>
      </w:r>
    </w:p>
    <w:p w14:paraId="292A94CB" w14:textId="58C1A901" w:rsidR="00255E4E" w:rsidRDefault="00F05E8B" w:rsidP="00F05E8B">
      <w:pPr>
        <w:pStyle w:val="TableTitle"/>
      </w:pPr>
      <w:bookmarkStart w:id="47" w:name="_Ref26351949"/>
      <w:r>
        <w:t xml:space="preserve">Table </w:t>
      </w:r>
      <w:r w:rsidR="00A613B3">
        <w:fldChar w:fldCharType="begin"/>
      </w:r>
      <w:r w:rsidR="00A613B3">
        <w:instrText xml:space="preserve"> SEQ Table \* ARABIC </w:instrText>
      </w:r>
      <w:r w:rsidR="00A613B3">
        <w:fldChar w:fldCharType="separate"/>
      </w:r>
      <w:r w:rsidR="00452FEA">
        <w:rPr>
          <w:noProof/>
        </w:rPr>
        <w:t>4</w:t>
      </w:r>
      <w:r w:rsidR="00A613B3">
        <w:rPr>
          <w:noProof/>
        </w:rPr>
        <w:fldChar w:fldCharType="end"/>
      </w:r>
      <w:bookmarkEnd w:id="47"/>
      <w:r>
        <w:t xml:space="preserve">: </w:t>
      </w:r>
      <w:r w:rsidR="00255E4E">
        <w:t>Immunogenicity primary obj</w:t>
      </w:r>
      <w:r>
        <w:t xml:space="preserve">ective: non-inferiority to the </w:t>
      </w:r>
      <w:r>
        <w:rPr>
          <w:rFonts w:asciiTheme="minorHAnsi" w:hAnsiTheme="minorHAnsi" w:cs="ArialNarrow"/>
        </w:rPr>
        <w:t>t</w:t>
      </w:r>
      <w:r w:rsidRPr="000C2FEC">
        <w:rPr>
          <w:rFonts w:asciiTheme="minorHAnsi" w:hAnsiTheme="minorHAnsi" w:cs="ArialNarrow"/>
        </w:rPr>
        <w:t>rivalent inactivated influenza vaccine</w:t>
      </w:r>
      <w:r w:rsidR="003675C9">
        <w:t>;</w:t>
      </w:r>
      <w:r w:rsidR="00255E4E">
        <w:t xml:space="preserve"> </w:t>
      </w:r>
      <w:r>
        <w:t>geometric mean titre</w:t>
      </w:r>
      <w:r w:rsidR="00255E4E">
        <w:t xml:space="preserve"> ratio 28</w:t>
      </w:r>
      <w:r w:rsidR="00537CBF">
        <w:t xml:space="preserve"> days post the last vaccination, </w:t>
      </w:r>
      <w:r>
        <w:t>Per-protocol analysis set</w:t>
      </w:r>
      <w:r w:rsidR="00255E4E">
        <w:t xml:space="preserve"> (Study GQM02)</w:t>
      </w:r>
    </w:p>
    <w:p w14:paraId="619AFD98" w14:textId="77777777" w:rsidR="00255E4E" w:rsidRDefault="00255E4E" w:rsidP="00255E4E">
      <w:pPr>
        <w:pStyle w:val="Default"/>
        <w:rPr>
          <w:sz w:val="22"/>
          <w:szCs w:val="22"/>
        </w:rPr>
      </w:pPr>
      <w:r>
        <w:rPr>
          <w:noProof/>
          <w:lang w:eastAsia="en-AU"/>
        </w:rPr>
        <w:drawing>
          <wp:inline distT="0" distB="0" distL="0" distR="0" wp14:anchorId="57790867" wp14:editId="56A0AF88">
            <wp:extent cx="5400040" cy="2516429"/>
            <wp:effectExtent l="0" t="0" r="0" b="0"/>
            <wp:docPr id="5" name="Picture 5" descr="Immunogenicity primary objective: non-inferiority to the trivalent inactivated influenza vaccine - geometric mean titre ratio 28 days post the last vaccination, Per-protocol analysis set (Study GQ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6977" cy="2519662"/>
                    </a:xfrm>
                    <a:prstGeom prst="rect">
                      <a:avLst/>
                    </a:prstGeom>
                  </pic:spPr>
                </pic:pic>
              </a:graphicData>
            </a:graphic>
          </wp:inline>
        </w:drawing>
      </w:r>
    </w:p>
    <w:p w14:paraId="11FFA5DC" w14:textId="6A421883" w:rsidR="00255E4E" w:rsidRDefault="00255E4E" w:rsidP="00F05E8B">
      <w:r>
        <w:t>Non-inferiority of the immune response to the QIV compared to the TIV was demonstra</w:t>
      </w:r>
      <w:r w:rsidR="00F05E8B">
        <w:t xml:space="preserve">ted as the lower limit of the 2 </w:t>
      </w:r>
      <w:r>
        <w:t>sided 95% CI of GMT</w:t>
      </w:r>
      <w:r w:rsidR="003675C9">
        <w:t>-</w:t>
      </w:r>
      <w:r>
        <w:t>QIV/GMT</w:t>
      </w:r>
      <w:r w:rsidR="003675C9">
        <w:t>-</w:t>
      </w:r>
      <w:r>
        <w:t xml:space="preserve">TIV &gt; 0.667 for each of the strains. Non-inferiority was tested for the entire population, and not separately in primed and </w:t>
      </w:r>
      <w:proofErr w:type="spellStart"/>
      <w:r>
        <w:t>unprimed</w:t>
      </w:r>
      <w:proofErr w:type="spellEnd"/>
      <w:r>
        <w:t xml:space="preserve"> subjects, as the number of subjects with primed and </w:t>
      </w:r>
      <w:proofErr w:type="spellStart"/>
      <w:r>
        <w:t>unprimed</w:t>
      </w:r>
      <w:proofErr w:type="spellEnd"/>
      <w:r>
        <w:t xml:space="preserve"> status could not be confirmed in advance. Nonetheless, the trend was the same in primed and </w:t>
      </w:r>
      <w:proofErr w:type="spellStart"/>
      <w:r>
        <w:t>unprimed</w:t>
      </w:r>
      <w:proofErr w:type="spellEnd"/>
      <w:r>
        <w:t xml:space="preserve"> subjects as that observed in the overall population, although no statistical comparison was performed. Non-inferiority was also confirmed after adjustment on baseline anti-HAI antibody titr</w:t>
      </w:r>
      <w:r w:rsidR="003675C9">
        <w:t>e</w:t>
      </w:r>
      <w:r>
        <w:t>s and after stratification on history of previous influenza vaccination. Results were s</w:t>
      </w:r>
      <w:r w:rsidR="00F05E8B">
        <w:t>imilar in the PPAS and the FAS.</w:t>
      </w:r>
    </w:p>
    <w:p w14:paraId="178AA325" w14:textId="6D348C3A" w:rsidR="00255E4E" w:rsidRDefault="00255E4E" w:rsidP="00F05E8B">
      <w:r>
        <w:lastRenderedPageBreak/>
        <w:t xml:space="preserve">The QIV also demonstrated superior immunogenicity compared to the TIV for the additional B strains. The GMT ratios were 6.17 (95% CI: 4.80; 7.94) for the </w:t>
      </w:r>
      <w:r w:rsidR="003675C9">
        <w:t xml:space="preserve">influenza </w:t>
      </w:r>
      <w:r>
        <w:t xml:space="preserve">B Victoria strain and 5.38 (95% CI: 4.34; 6.68) for the </w:t>
      </w:r>
      <w:r w:rsidR="003675C9">
        <w:t xml:space="preserve">influenza </w:t>
      </w:r>
      <w:r>
        <w:t>B Yamagata strain. Superiority of the immune response to the QIV compared to the TIV that does not contain the B lineage tested was demonstrated as the lower limit of the 2-sided 9</w:t>
      </w:r>
      <w:r w:rsidR="00F05E8B">
        <w:t>5% CI of GMT</w:t>
      </w:r>
      <w:r w:rsidR="003675C9">
        <w:noBreakHyphen/>
      </w:r>
      <w:r w:rsidR="00F05E8B">
        <w:t>QIV/GMT</w:t>
      </w:r>
      <w:r w:rsidR="003675C9">
        <w:noBreakHyphen/>
      </w:r>
      <w:r w:rsidR="00F05E8B">
        <w:t>TIV was &gt; 1.</w:t>
      </w:r>
    </w:p>
    <w:p w14:paraId="3CA17B16" w14:textId="1BA75B51" w:rsidR="00255E4E" w:rsidRDefault="00F05E8B" w:rsidP="00F05E8B">
      <w:pPr>
        <w:pStyle w:val="Heading5"/>
      </w:pPr>
      <w:r>
        <w:rPr>
          <w:color w:val="001522"/>
        </w:rPr>
        <w:t>Study GQM</w:t>
      </w:r>
      <w:r w:rsidR="00255E4E">
        <w:rPr>
          <w:color w:val="001522"/>
        </w:rPr>
        <w:t>05 (</w:t>
      </w:r>
      <w:r>
        <w:t>children 6 to 35 months)</w:t>
      </w:r>
    </w:p>
    <w:p w14:paraId="19FBE11F" w14:textId="545377A4" w:rsidR="00255E4E" w:rsidRDefault="00F05E8B" w:rsidP="00F05E8B">
      <w:r>
        <w:t>Study GMQ05</w:t>
      </w:r>
      <w:r w:rsidR="00255E4E">
        <w:t xml:space="preserve"> was a </w:t>
      </w:r>
      <w:r>
        <w:t xml:space="preserve">Phase III, randomised, observer </w:t>
      </w:r>
      <w:r w:rsidR="00255E4E">
        <w:t>blind (ex</w:t>
      </w:r>
      <w:r>
        <w:t xml:space="preserve">cept TIV groups which were open label), placebo </w:t>
      </w:r>
      <w:r w:rsidR="00255E4E">
        <w:t>controlled, multicentr</w:t>
      </w:r>
      <w:r>
        <w:t xml:space="preserve">e trial in 4 regions involving approximately </w:t>
      </w:r>
      <w:r w:rsidR="00255E4E">
        <w:t xml:space="preserve">9000 healthy children aged 6 to 35 months who were influenza vaccine </w:t>
      </w:r>
      <w:r>
        <w:t xml:space="preserve">naive. In Cohorts 1, 3, and 4, approximately </w:t>
      </w:r>
      <w:r w:rsidR="00255E4E">
        <w:t>7608 to be randomise</w:t>
      </w:r>
      <w:r>
        <w:t xml:space="preserve">d in a 1:1 ratio to receive a 2 </w:t>
      </w:r>
      <w:r w:rsidR="00255E4E">
        <w:t>dose schedule 28 days apart of eithe</w:t>
      </w:r>
      <w:r>
        <w:t xml:space="preserve">r QIV or placebo. In Cohort 2, approximately </w:t>
      </w:r>
      <w:r w:rsidR="00255E4E">
        <w:t>1392 subjects to be randomised in</w:t>
      </w:r>
      <w:r>
        <w:t xml:space="preserve"> a 2:2:1:1 ratio to receive a 2 </w:t>
      </w:r>
      <w:r w:rsidR="00255E4E">
        <w:t>dose schedule 28 days apart of QIV, or placebo, or TIV containing either the B strain from the Victoria lineage (TIV1) or the B strain from the Yamagata lineage (T</w:t>
      </w:r>
      <w:r>
        <w:t>IV2) as recommended by the World Health Organization (WHO).</w:t>
      </w:r>
    </w:p>
    <w:p w14:paraId="41B6BF2E" w14:textId="05C9F30F" w:rsidR="00255E4E" w:rsidRDefault="00F05E8B" w:rsidP="00F05E8B">
      <w:r>
        <w:t>Although administration of ‘half dose’</w:t>
      </w:r>
      <w:r w:rsidR="00255E4E">
        <w:t xml:space="preserve"> (0.25 mL) of influ</w:t>
      </w:r>
      <w:r>
        <w:t xml:space="preserve">enza vaccine in children aged 6 to </w:t>
      </w:r>
      <w:r w:rsidR="00255E4E">
        <w:t xml:space="preserve">35 months is recommended by WHO </w:t>
      </w:r>
      <w:r>
        <w:t>for influenza vaccination, the ‘full dose’</w:t>
      </w:r>
      <w:r w:rsidR="00255E4E">
        <w:t xml:space="preserve"> (0.5 mL) of QIV was used in Study GQM05. The rationale for this was based on published data show</w:t>
      </w:r>
      <w:r>
        <w:t>ing that administration of two ‘full doses’</w:t>
      </w:r>
      <w:r w:rsidR="00255E4E">
        <w:t xml:space="preserve"> (2 x 0.5 mL) of TIV in infants/toddlers improves immunogenicity without increasing </w:t>
      </w:r>
      <w:proofErr w:type="spellStart"/>
      <w:r w:rsidR="00255E4E">
        <w:t>reactogenicity</w:t>
      </w:r>
      <w:proofErr w:type="spellEnd"/>
      <w:r w:rsidR="00255E4E">
        <w:t>. In addition, the use of 0.5 mL dose in children &lt;</w:t>
      </w:r>
      <w:r>
        <w:t xml:space="preserve"> </w:t>
      </w:r>
      <w:r w:rsidR="00255E4E">
        <w:t xml:space="preserve">3 years of age is already implemented in routine practice in parts of Europe. In a Finnish study, the effectiveness of the licensed seasonal TIV manufactured by </w:t>
      </w:r>
      <w:r w:rsidR="003675C9">
        <w:t>the sponsor in</w:t>
      </w:r>
      <w:r w:rsidR="00255E4E">
        <w:t xml:space="preserve"> France against matched strains was found to reach 66% in children aged 9 months to 3 years who received two 0.5 mL vaccine doses 28 days apart. As recommended by WHO and Europe in children not previously been vaccinated, a second dose should be given after an interval of at least 4 weeks, t</w:t>
      </w:r>
      <w:r>
        <w:t xml:space="preserve">his approach was used in </w:t>
      </w:r>
      <w:r w:rsidR="00537CBF">
        <w:t>Study</w:t>
      </w:r>
      <w:r w:rsidR="003675C9">
        <w:t> </w:t>
      </w:r>
      <w:r>
        <w:t>GQM05.</w:t>
      </w:r>
    </w:p>
    <w:p w14:paraId="1AD12D17" w14:textId="63A7B1AD" w:rsidR="00255E4E" w:rsidRDefault="00255E4E" w:rsidP="00F05E8B">
      <w:r>
        <w:t xml:space="preserve">There were 6 main analysis sets in this study: </w:t>
      </w:r>
      <w:r w:rsidR="003675C9">
        <w:t xml:space="preserve">the </w:t>
      </w:r>
      <w:r>
        <w:t>per-protocol analysis set for efficacy (PPE)</w:t>
      </w:r>
      <w:r w:rsidR="003675C9">
        <w:t>;</w:t>
      </w:r>
      <w:r>
        <w:t xml:space="preserve"> full analysis set for efficacy (FASE)</w:t>
      </w:r>
      <w:r w:rsidR="003675C9">
        <w:t>;</w:t>
      </w:r>
      <w:r>
        <w:t xml:space="preserve"> per-protocol analysis set for immunogenicity (PPI)</w:t>
      </w:r>
      <w:r w:rsidR="003675C9">
        <w:t>;</w:t>
      </w:r>
      <w:r>
        <w:t xml:space="preserve"> full analysis set for immunogenicity (FASI</w:t>
      </w:r>
      <w:r w:rsidR="00322211">
        <w:t>)</w:t>
      </w:r>
      <w:r w:rsidR="003675C9">
        <w:t>;</w:t>
      </w:r>
      <w:r>
        <w:t xml:space="preserve"> the other immunogenicity analysis set</w:t>
      </w:r>
      <w:r w:rsidR="003675C9">
        <w:t>;</w:t>
      </w:r>
      <w:r>
        <w:t xml:space="preserve"> and the </w:t>
      </w:r>
      <w:r w:rsidR="007B7DA2">
        <w:t>s</w:t>
      </w:r>
      <w:r w:rsidR="007B7DA2" w:rsidRPr="007B7DA2">
        <w:t xml:space="preserve">afety analysis population </w:t>
      </w:r>
      <w:r w:rsidR="007B7DA2">
        <w:t>(</w:t>
      </w:r>
      <w:proofErr w:type="spellStart"/>
      <w:r>
        <w:t>SafAS</w:t>
      </w:r>
      <w:proofErr w:type="spellEnd"/>
      <w:r w:rsidR="007B7DA2">
        <w:t>).</w:t>
      </w:r>
    </w:p>
    <w:p w14:paraId="695BB0BE" w14:textId="1AD1A2EF" w:rsidR="00255E4E" w:rsidRDefault="00255E4E" w:rsidP="00F05E8B">
      <w:pPr>
        <w:pStyle w:val="Heading6"/>
      </w:pPr>
      <w:r>
        <w:t>Primary o</w:t>
      </w:r>
      <w:r w:rsidR="00537CBF">
        <w:t>bjective: vaccine efficacy</w:t>
      </w:r>
    </w:p>
    <w:p w14:paraId="5671FCA3" w14:textId="0687DA0D" w:rsidR="00255E4E" w:rsidRDefault="00255E4E" w:rsidP="007B7DA2">
      <w:r>
        <w:t>A total of 365 subjects in the PPE experienced laboratory-confirmed influe</w:t>
      </w:r>
      <w:r w:rsidR="00537CBF">
        <w:t>nza illness, 120 </w:t>
      </w:r>
      <w:r>
        <w:t xml:space="preserve">subjects (4.82%) in the QIV group and 245 subjects (9.84%) in the </w:t>
      </w:r>
      <w:r w:rsidR="003675C9">
        <w:t xml:space="preserve">placebo </w:t>
      </w:r>
      <w:r>
        <w:t xml:space="preserve">group. Among these, 24 subjects (0.96%) in the QIV group and 76 subjects (3.05%) in the </w:t>
      </w:r>
      <w:r w:rsidR="003675C9">
        <w:t xml:space="preserve">placebo </w:t>
      </w:r>
      <w:r>
        <w:t xml:space="preserve">group had influenza illness due to virus strains similar to those in the vaccine. Efficacy of QIV for the prevention of laboratory-confirmed influenza illness caused by any influenza A </w:t>
      </w:r>
      <w:r w:rsidR="00537CBF">
        <w:t xml:space="preserve">or B strains is presented in </w:t>
      </w:r>
      <w:r w:rsidR="00537CBF">
        <w:fldChar w:fldCharType="begin"/>
      </w:r>
      <w:r w:rsidR="00537CBF">
        <w:instrText xml:space="preserve"> REF _Ref26427201 \h </w:instrText>
      </w:r>
      <w:r w:rsidR="00537CBF">
        <w:fldChar w:fldCharType="separate"/>
      </w:r>
      <w:r w:rsidR="00537CBF">
        <w:t xml:space="preserve">Table </w:t>
      </w:r>
      <w:r w:rsidR="00537CBF">
        <w:rPr>
          <w:noProof/>
        </w:rPr>
        <w:t>5</w:t>
      </w:r>
      <w:r w:rsidR="00537CBF">
        <w:fldChar w:fldCharType="end"/>
      </w:r>
      <w:r>
        <w:t xml:space="preserve">. The vaccine efficacy of 2 QIV doses in previously unvaccinated children for the prevention of laboratory-confirmed influenza illness was demonstrated for both primary endpoints as the lower bound of the 97% CIs for the corresponding </w:t>
      </w:r>
      <w:r w:rsidR="00537CBF">
        <w:t>vaccine efficacy</w:t>
      </w:r>
      <w:r>
        <w:t xml:space="preserve"> (VE) were above the predefined margin of 20%. Results were similar in the Full analysis set for efficacy (FASE).</w:t>
      </w:r>
    </w:p>
    <w:p w14:paraId="6DF5D034" w14:textId="12109E47" w:rsidR="00255E4E" w:rsidRDefault="007B7DA2" w:rsidP="007B7DA2">
      <w:pPr>
        <w:pStyle w:val="TableTitle"/>
      </w:pPr>
      <w:bookmarkStart w:id="48" w:name="_Ref26427201"/>
      <w:r>
        <w:lastRenderedPageBreak/>
        <w:t xml:space="preserve">Table </w:t>
      </w:r>
      <w:r w:rsidR="00A613B3">
        <w:fldChar w:fldCharType="begin"/>
      </w:r>
      <w:r w:rsidR="00A613B3">
        <w:instrText xml:space="preserve"> SEQ Table \* ARABIC </w:instrText>
      </w:r>
      <w:r w:rsidR="00A613B3">
        <w:fldChar w:fldCharType="separate"/>
      </w:r>
      <w:r w:rsidR="00452FEA">
        <w:rPr>
          <w:noProof/>
        </w:rPr>
        <w:t>5</w:t>
      </w:r>
      <w:r w:rsidR="00A613B3">
        <w:rPr>
          <w:noProof/>
        </w:rPr>
        <w:fldChar w:fldCharType="end"/>
      </w:r>
      <w:bookmarkEnd w:id="48"/>
      <w:r>
        <w:t xml:space="preserve">: </w:t>
      </w:r>
      <w:r w:rsidR="00255E4E" w:rsidRPr="00255E4E">
        <w:t>Primary obj</w:t>
      </w:r>
      <w:r>
        <w:t>ective, v</w:t>
      </w:r>
      <w:r w:rsidR="00255E4E">
        <w:t xml:space="preserve">accine efficacy against </w:t>
      </w:r>
      <w:r w:rsidR="00255E4E" w:rsidRPr="00255E4E">
        <w:t xml:space="preserve">laboratory confirmed influenza illness in </w:t>
      </w:r>
      <w:r>
        <w:t>per-protocol analysis set for efficacy</w:t>
      </w:r>
      <w:r w:rsidR="00255E4E" w:rsidRPr="00255E4E">
        <w:t xml:space="preserve"> population (Study GQM05)</w:t>
      </w:r>
    </w:p>
    <w:p w14:paraId="0A4156AD" w14:textId="77777777" w:rsidR="00255E4E" w:rsidRDefault="00255E4E" w:rsidP="00255E4E">
      <w:pPr>
        <w:pStyle w:val="Default"/>
        <w:rPr>
          <w:sz w:val="22"/>
          <w:szCs w:val="22"/>
        </w:rPr>
      </w:pPr>
      <w:r>
        <w:rPr>
          <w:noProof/>
          <w:lang w:eastAsia="en-AU"/>
        </w:rPr>
        <w:drawing>
          <wp:inline distT="0" distB="0" distL="0" distR="0" wp14:anchorId="299831D6" wp14:editId="24D1311B">
            <wp:extent cx="5400040" cy="1941830"/>
            <wp:effectExtent l="0" t="0" r="0" b="1270"/>
            <wp:docPr id="6" name="Picture 6" descr="Primary objective, vaccine efficacy against laboratory confirmed influenza illness in per-protocol analysis set for efficacy population (Study GQM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1941830"/>
                    </a:xfrm>
                    <a:prstGeom prst="rect">
                      <a:avLst/>
                    </a:prstGeom>
                  </pic:spPr>
                </pic:pic>
              </a:graphicData>
            </a:graphic>
          </wp:inline>
        </w:drawing>
      </w:r>
    </w:p>
    <w:p w14:paraId="07A6E106" w14:textId="3F190067" w:rsidR="00255E4E" w:rsidRDefault="00255E4E" w:rsidP="007B7DA2">
      <w:r>
        <w:t>The 95% CIs of VEs (PPE and FASE) are also provided for descriptive purpose. Overall</w:t>
      </w:r>
      <w:r w:rsidR="00876012">
        <w:t>,</w:t>
      </w:r>
      <w:r>
        <w:t xml:space="preserve"> in the FASE population, QIV prevents 52.03% (95% </w:t>
      </w:r>
      <w:r w:rsidR="007B7DA2">
        <w:t>CI: 40.24; 61.66) of laboratory </w:t>
      </w:r>
      <w:r>
        <w:t xml:space="preserve">confirmed influenza illness caused by any circulating strains and 69.33% (95% CI: 51.93; </w:t>
      </w:r>
      <w:r w:rsidR="007B7DA2">
        <w:t xml:space="preserve">81.03) of laboratory </w:t>
      </w:r>
      <w:r>
        <w:t>confirmed infl</w:t>
      </w:r>
      <w:r w:rsidR="007B7DA2">
        <w:t xml:space="preserve">uenza illness caused by vaccine </w:t>
      </w:r>
      <w:r>
        <w:t>similar strains. The potential benefit of QIV in this population is further highlighted by the substantial attack rate of influenza illness during the study, close to 10% in the Placebo gro</w:t>
      </w:r>
      <w:r w:rsidR="007B7DA2">
        <w:t>up.</w:t>
      </w:r>
    </w:p>
    <w:p w14:paraId="0AD0471C" w14:textId="5EE61886" w:rsidR="00255E4E" w:rsidRDefault="007B7DA2" w:rsidP="007B7DA2">
      <w:pPr>
        <w:pStyle w:val="Heading6"/>
      </w:pPr>
      <w:r>
        <w:t>Immunogenicity</w:t>
      </w:r>
    </w:p>
    <w:p w14:paraId="7344B285" w14:textId="6DEE03AB" w:rsidR="00255E4E" w:rsidRDefault="00255E4E" w:rsidP="007B7DA2">
      <w:r>
        <w:t xml:space="preserve">There were no primary immunogenicity objectives. The analyses of non-inferiority and superiority were performed as secondary objectives in a subset of subjects. The GMTs at baseline against each of the 4 strains were similar across vaccine groups. The analysis of non-inferiority of the QIV to the TIV in a subset of subjects was a secondary objective and this analysis in the PPAS is presented </w:t>
      </w:r>
      <w:r w:rsidR="003E66D4">
        <w:t xml:space="preserve">in </w:t>
      </w:r>
      <w:r w:rsidR="003E66D4">
        <w:fldChar w:fldCharType="begin"/>
      </w:r>
      <w:r w:rsidR="003E66D4">
        <w:instrText xml:space="preserve"> REF _Ref26427283 \h </w:instrText>
      </w:r>
      <w:r w:rsidR="003E66D4">
        <w:fldChar w:fldCharType="separate"/>
      </w:r>
      <w:r w:rsidR="003E66D4">
        <w:t xml:space="preserve">Table </w:t>
      </w:r>
      <w:r w:rsidR="003E66D4">
        <w:rPr>
          <w:noProof/>
        </w:rPr>
        <w:t>6</w:t>
      </w:r>
      <w:r w:rsidR="003E66D4">
        <w:fldChar w:fldCharType="end"/>
      </w:r>
      <w:r>
        <w:t>.</w:t>
      </w:r>
    </w:p>
    <w:p w14:paraId="5BE8248D" w14:textId="66ACD907" w:rsidR="00255E4E" w:rsidRDefault="007B7DA2" w:rsidP="007B7DA2">
      <w:pPr>
        <w:pStyle w:val="TableTitle"/>
      </w:pPr>
      <w:bookmarkStart w:id="49" w:name="_Ref26427283"/>
      <w:r>
        <w:t xml:space="preserve">Table </w:t>
      </w:r>
      <w:r w:rsidR="00A613B3">
        <w:fldChar w:fldCharType="begin"/>
      </w:r>
      <w:r w:rsidR="00A613B3">
        <w:instrText xml:space="preserve"> SEQ Tabl</w:instrText>
      </w:r>
      <w:r w:rsidR="00A613B3">
        <w:instrText xml:space="preserve">e \* ARABIC </w:instrText>
      </w:r>
      <w:r w:rsidR="00A613B3">
        <w:fldChar w:fldCharType="separate"/>
      </w:r>
      <w:r w:rsidR="00452FEA">
        <w:rPr>
          <w:noProof/>
        </w:rPr>
        <w:t>6</w:t>
      </w:r>
      <w:r w:rsidR="00A613B3">
        <w:rPr>
          <w:noProof/>
        </w:rPr>
        <w:fldChar w:fldCharType="end"/>
      </w:r>
      <w:bookmarkEnd w:id="49"/>
      <w:r>
        <w:t xml:space="preserve">: </w:t>
      </w:r>
      <w:r w:rsidR="00255E4E" w:rsidRPr="00255E4E">
        <w:t xml:space="preserve">Non-inferiority between </w:t>
      </w:r>
      <w:proofErr w:type="spellStart"/>
      <w:r w:rsidR="003E66D4">
        <w:t>q</w:t>
      </w:r>
      <w:r w:rsidR="003E66D4" w:rsidRPr="003E66D4">
        <w:t>uadrivalent</w:t>
      </w:r>
      <w:proofErr w:type="spellEnd"/>
      <w:r w:rsidR="003E66D4" w:rsidRPr="003E66D4">
        <w:t xml:space="preserve"> inactivated influenza vaccine</w:t>
      </w:r>
      <w:r w:rsidR="00255E4E" w:rsidRPr="00255E4E">
        <w:t xml:space="preserve"> a</w:t>
      </w:r>
      <w:r>
        <w:t xml:space="preserve">nd </w:t>
      </w:r>
      <w:r w:rsidR="003E66D4">
        <w:t xml:space="preserve">tetravalent </w:t>
      </w:r>
      <w:r w:rsidR="003E66D4" w:rsidRPr="003E66D4">
        <w:t>inactivated influenza vaccine</w:t>
      </w:r>
      <w:r>
        <w:t xml:space="preserve"> in a subset of subjects, r</w:t>
      </w:r>
      <w:r w:rsidR="003E66D4">
        <w:t>atios of anti</w:t>
      </w:r>
      <w:r w:rsidR="003E66D4">
        <w:noBreakHyphen/>
      </w:r>
      <w:proofErr w:type="spellStart"/>
      <w:r w:rsidR="003E66D4">
        <w:rPr>
          <w:rFonts w:asciiTheme="minorHAnsi" w:hAnsiTheme="minorHAnsi" w:cs="ArialNarrow"/>
        </w:rPr>
        <w:t>h</w:t>
      </w:r>
      <w:r w:rsidR="003E66D4" w:rsidRPr="000C2FEC">
        <w:rPr>
          <w:rFonts w:asciiTheme="minorHAnsi" w:hAnsiTheme="minorHAnsi" w:cs="ArialNarrow"/>
        </w:rPr>
        <w:t>aemagglutinin</w:t>
      </w:r>
      <w:proofErr w:type="spellEnd"/>
      <w:r w:rsidR="00255E4E" w:rsidRPr="00255E4E">
        <w:t xml:space="preserve"> </w:t>
      </w:r>
      <w:r>
        <w:t>geometric mean titres</w:t>
      </w:r>
      <w:r w:rsidR="00255E4E" w:rsidRPr="00255E4E">
        <w:t xml:space="preserve"> 28</w:t>
      </w:r>
      <w:r>
        <w:t xml:space="preserve"> days after </w:t>
      </w:r>
      <w:r w:rsidR="003E66D4">
        <w:t>second vaccination, per</w:t>
      </w:r>
      <w:r w:rsidR="003E66D4">
        <w:noBreakHyphen/>
      </w:r>
      <w:r>
        <w:t>protocol analysis set</w:t>
      </w:r>
      <w:r w:rsidR="00255E4E" w:rsidRPr="00255E4E">
        <w:t xml:space="preserve"> (Study GQM05)</w:t>
      </w:r>
    </w:p>
    <w:p w14:paraId="73CF13C8" w14:textId="77777777" w:rsidR="00255E4E" w:rsidRDefault="00255E4E" w:rsidP="00255E4E">
      <w:pPr>
        <w:pStyle w:val="Default"/>
        <w:rPr>
          <w:sz w:val="22"/>
          <w:szCs w:val="22"/>
        </w:rPr>
      </w:pPr>
      <w:r>
        <w:rPr>
          <w:noProof/>
          <w:lang w:eastAsia="en-AU"/>
        </w:rPr>
        <w:drawing>
          <wp:inline distT="0" distB="0" distL="0" distR="0" wp14:anchorId="39247C40" wp14:editId="24A667E1">
            <wp:extent cx="5397787" cy="2194001"/>
            <wp:effectExtent l="0" t="0" r="0" b="0"/>
            <wp:docPr id="9" name="Picture 9" descr="Non-inferiority between quadrivalent inactivated influenza vaccine and tetravalent inactivated influenza vaccine in a subset of subjects, ratios of anti haemagglutinin geometric mean titres 28 days after second vaccination, per-protocol analysis set (Study GQM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20803" cy="2203356"/>
                    </a:xfrm>
                    <a:prstGeom prst="rect">
                      <a:avLst/>
                    </a:prstGeom>
                  </pic:spPr>
                </pic:pic>
              </a:graphicData>
            </a:graphic>
          </wp:inline>
        </w:drawing>
      </w:r>
    </w:p>
    <w:p w14:paraId="6A36C256" w14:textId="4BAB21EB" w:rsidR="00A54FE7" w:rsidRDefault="00A54FE7" w:rsidP="007B7DA2">
      <w:r>
        <w:t>Non-inferiority on immune response was demonstrated in the PPI for 3 of the vaccine strains as the lower limit of the two-sided 95% CI of the ratio of GMTs between groups (QIV/TIV) was &gt; 0.667 for each of the 3 strains. For t</w:t>
      </w:r>
      <w:r w:rsidR="007B7DA2">
        <w:t xml:space="preserve">he </w:t>
      </w:r>
      <w:r w:rsidR="003675C9">
        <w:t xml:space="preserve">influenza </w:t>
      </w:r>
      <w:r w:rsidR="007B7DA2">
        <w:t>B/Brisbane/60/2008 strain (B </w:t>
      </w:r>
      <w:r>
        <w:t xml:space="preserve">Victoria lineage), non-inferiority was not met and an average decrease of 26% of GMT was </w:t>
      </w:r>
      <w:r w:rsidR="007B7DA2">
        <w:t>observed compared with the TIV.</w:t>
      </w:r>
    </w:p>
    <w:p w14:paraId="51CA3F9F" w14:textId="1B782190" w:rsidR="00A54FE7" w:rsidRDefault="00A54FE7" w:rsidP="007B7DA2">
      <w:r>
        <w:t xml:space="preserve">However, the non-inferiority of the immune response to the </w:t>
      </w:r>
      <w:r w:rsidR="003675C9">
        <w:t xml:space="preserve">influenza </w:t>
      </w:r>
      <w:r>
        <w:t xml:space="preserve">B/Brisbane/60/2008 strain had been demonstrated in subjects aged 3 to 8 years </w:t>
      </w:r>
      <w:r>
        <w:lastRenderedPageBreak/>
        <w:t>(Study</w:t>
      </w:r>
      <w:r w:rsidR="003675C9">
        <w:t> </w:t>
      </w:r>
      <w:r>
        <w:t xml:space="preserve">GQM02) with the same vaccine strains and in adults and elderly (Study GQM11) with the same clinical lot used in </w:t>
      </w:r>
      <w:r w:rsidR="003675C9">
        <w:t xml:space="preserve">Study </w:t>
      </w:r>
      <w:r>
        <w:t>GQM05 (both for QIV and TIV1). The reason for not demonstrating non-inferiority for the</w:t>
      </w:r>
      <w:r w:rsidR="003675C9">
        <w:t xml:space="preserve"> influenza</w:t>
      </w:r>
      <w:r>
        <w:t xml:space="preserve"> B/Brisbane/60/2008 strain in Study</w:t>
      </w:r>
      <w:r w:rsidR="003675C9">
        <w:t> </w:t>
      </w:r>
      <w:r>
        <w:t>GQM05 was investigated, in the data as well as with regards to the HA content and the laboratory testing for this strain. No confounding factor or cause that might have explained this observed lower GMT was identifi</w:t>
      </w:r>
      <w:r w:rsidR="007B7DA2">
        <w:t>ed based on this investigation.</w:t>
      </w:r>
    </w:p>
    <w:p w14:paraId="56F7A38E" w14:textId="5B034196" w:rsidR="00A54FE7" w:rsidRDefault="00A54FE7" w:rsidP="007B7DA2">
      <w:r>
        <w:t>In light of the overall good immunogenicity profile induced by QIV in children aged 6 to 35</w:t>
      </w:r>
      <w:r w:rsidR="003675C9">
        <w:t> </w:t>
      </w:r>
      <w:r>
        <w:t xml:space="preserve">months and considering that the non-inferiority had already been demonstrated for the same 4 strains in adults aged 18 years and older and in children aged 3 to 8 years, the delegate agrees with the clinical evaluator that the clinical relevance of the missed non-inferiority endpoint for the </w:t>
      </w:r>
      <w:r w:rsidR="003675C9">
        <w:t xml:space="preserve">influenza </w:t>
      </w:r>
      <w:r>
        <w:t>B/Brisbane/60/2008 strain in the 6 to 35 months age group is questionable.</w:t>
      </w:r>
    </w:p>
    <w:p w14:paraId="754A74E5" w14:textId="72E92996" w:rsidR="00A54FE7" w:rsidRDefault="007B7DA2" w:rsidP="007B7DA2">
      <w:pPr>
        <w:pStyle w:val="Heading4"/>
      </w:pPr>
      <w:r>
        <w:t>Clinical s</w:t>
      </w:r>
      <w:r w:rsidR="00A54FE7">
        <w:t>afe</w:t>
      </w:r>
      <w:r>
        <w:t>ty</w:t>
      </w:r>
    </w:p>
    <w:p w14:paraId="44736E20" w14:textId="53CE524E" w:rsidR="00A54FE7" w:rsidRDefault="00A54FE7" w:rsidP="007B7DA2">
      <w:r>
        <w:t xml:space="preserve">The cumulative subjects’ exposure to the QIV from the clinical trials by age and sex is presented in </w:t>
      </w:r>
      <w:r w:rsidR="007B7DA2">
        <w:fldChar w:fldCharType="begin"/>
      </w:r>
      <w:r w:rsidR="007B7DA2">
        <w:instrText xml:space="preserve"> REF _Ref26352707 \h </w:instrText>
      </w:r>
      <w:r w:rsidR="007B7DA2">
        <w:fldChar w:fldCharType="separate"/>
      </w:r>
      <w:r w:rsidR="007B7DA2">
        <w:t xml:space="preserve">Table </w:t>
      </w:r>
      <w:r w:rsidR="007B7DA2">
        <w:rPr>
          <w:noProof/>
        </w:rPr>
        <w:t>7</w:t>
      </w:r>
      <w:r w:rsidR="007B7DA2">
        <w:fldChar w:fldCharType="end"/>
      </w:r>
      <w:r w:rsidR="007B7DA2">
        <w:t xml:space="preserve">, </w:t>
      </w:r>
      <w:r>
        <w:t>below.</w:t>
      </w:r>
    </w:p>
    <w:p w14:paraId="61E2DBAE" w14:textId="7C8C5F8D" w:rsidR="007B7DA2" w:rsidRDefault="007B7DA2" w:rsidP="007B7DA2">
      <w:pPr>
        <w:pStyle w:val="TableTitle"/>
      </w:pPr>
      <w:bookmarkStart w:id="50" w:name="_Ref26352707"/>
      <w:r>
        <w:t xml:space="preserve">Table </w:t>
      </w:r>
      <w:r w:rsidR="00A613B3">
        <w:fldChar w:fldCharType="begin"/>
      </w:r>
      <w:r w:rsidR="00A613B3">
        <w:instrText xml:space="preserve"> SEQ Table \* ARABIC </w:instrText>
      </w:r>
      <w:r w:rsidR="00A613B3">
        <w:fldChar w:fldCharType="separate"/>
      </w:r>
      <w:r w:rsidR="00452FEA">
        <w:rPr>
          <w:noProof/>
        </w:rPr>
        <w:t>7</w:t>
      </w:r>
      <w:r w:rsidR="00A613B3">
        <w:rPr>
          <w:noProof/>
        </w:rPr>
        <w:fldChar w:fldCharType="end"/>
      </w:r>
      <w:bookmarkEnd w:id="50"/>
      <w:r>
        <w:t xml:space="preserve">: Cumulative subject exposure to the </w:t>
      </w:r>
      <w:proofErr w:type="spellStart"/>
      <w:r>
        <w:rPr>
          <w:rFonts w:asciiTheme="minorHAnsi" w:hAnsiTheme="minorHAnsi"/>
        </w:rPr>
        <w:t>q</w:t>
      </w:r>
      <w:r w:rsidRPr="000C2FEC">
        <w:rPr>
          <w:rFonts w:asciiTheme="minorHAnsi" w:hAnsiTheme="minorHAnsi"/>
        </w:rPr>
        <w:t>uadrivalent</w:t>
      </w:r>
      <w:proofErr w:type="spellEnd"/>
      <w:r w:rsidRPr="000C2FEC">
        <w:rPr>
          <w:rFonts w:asciiTheme="minorHAnsi" w:hAnsiTheme="minorHAnsi"/>
        </w:rPr>
        <w:t xml:space="preserve"> inactivated influenza vaccine</w:t>
      </w:r>
    </w:p>
    <w:p w14:paraId="18D9EA86" w14:textId="0BEB1183" w:rsidR="00A54FE7" w:rsidRPr="007B7DA2" w:rsidRDefault="00A54FE7" w:rsidP="007B7DA2">
      <w:pPr>
        <w:pStyle w:val="Default"/>
        <w:rPr>
          <w:sz w:val="22"/>
          <w:szCs w:val="22"/>
        </w:rPr>
      </w:pPr>
      <w:r>
        <w:rPr>
          <w:noProof/>
          <w:lang w:eastAsia="en-AU"/>
        </w:rPr>
        <w:drawing>
          <wp:inline distT="0" distB="0" distL="0" distR="0" wp14:anchorId="167400F2" wp14:editId="4B29434F">
            <wp:extent cx="5399706" cy="3050438"/>
            <wp:effectExtent l="0" t="0" r="0" b="0"/>
            <wp:docPr id="10" name="Picture 10" descr="Cumulative subject exposure to the quadrivalent inactivated influenza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44459" cy="3075720"/>
                    </a:xfrm>
                    <a:prstGeom prst="rect">
                      <a:avLst/>
                    </a:prstGeom>
                  </pic:spPr>
                </pic:pic>
              </a:graphicData>
            </a:graphic>
          </wp:inline>
        </w:drawing>
      </w:r>
    </w:p>
    <w:p w14:paraId="7B06DEAF" w14:textId="25FA41D3" w:rsidR="00A54FE7" w:rsidRPr="007B7DA2" w:rsidRDefault="007B7DA2" w:rsidP="007B7DA2">
      <w:pPr>
        <w:pStyle w:val="Heading5"/>
      </w:pPr>
      <w:r w:rsidRPr="007B7DA2">
        <w:t>Safety in general population</w:t>
      </w:r>
    </w:p>
    <w:p w14:paraId="5199CEC4" w14:textId="46F7C9B5" w:rsidR="00A54FE7" w:rsidRDefault="007B7DA2" w:rsidP="001C63C1">
      <w:r>
        <w:t>A total of 8705 subjects (that is</w:t>
      </w:r>
      <w:r w:rsidR="00A54FE7">
        <w:t>, 3240 adults, 1392 elderly, 429 children and adolescents aged 9 to 17 years, 884 children aged 3 to 8 years, and 2760 children aged 6 to 35 months (</w:t>
      </w:r>
      <w:r w:rsidR="001C63C1">
        <w:fldChar w:fldCharType="begin"/>
      </w:r>
      <w:r w:rsidR="001C63C1">
        <w:instrText xml:space="preserve"> REF _Ref26353111 \h </w:instrText>
      </w:r>
      <w:r w:rsidR="001C63C1">
        <w:fldChar w:fldCharType="separate"/>
      </w:r>
      <w:r w:rsidR="001C63C1">
        <w:t xml:space="preserve">Table </w:t>
      </w:r>
      <w:r w:rsidR="001C63C1">
        <w:rPr>
          <w:noProof/>
        </w:rPr>
        <w:t>8</w:t>
      </w:r>
      <w:r w:rsidR="001C63C1">
        <w:fldChar w:fldCharType="end"/>
      </w:r>
      <w:r w:rsidR="001C63C1">
        <w:t>, below</w:t>
      </w:r>
      <w:r w:rsidR="00A54FE7">
        <w:t>) received 1 or 2 injections of the QIV (including 491 children aged 3 to 8</w:t>
      </w:r>
      <w:r w:rsidR="003675C9">
        <w:t> </w:t>
      </w:r>
      <w:r w:rsidR="00A54FE7">
        <w:t>years and 209 children aged 6 to 35 months who received 2 or 4 QIV doses, respectively). A to</w:t>
      </w:r>
      <w:r w:rsidR="001C63C1">
        <w:t>tal of 1835 subjects (that is</w:t>
      </w:r>
      <w:r w:rsidR="00A54FE7">
        <w:t>, 557 adults, 502 elderly, 55 children and adolescents aged 9 to 17 years, 354 children aged 3 to 8 years, and 367 children aged 6 to 35 months) received at least one injection of the TIV, which was use</w:t>
      </w:r>
      <w:r w:rsidR="003E66D4">
        <w:t>d as control product in Studies </w:t>
      </w:r>
      <w:r w:rsidR="00A54FE7">
        <w:t xml:space="preserve">GQM01, GQM11, GQM04, GQM02, and GQM05. In addition, a total of 2711 children aged 6 to 35 months in Study GQM05 received at least one injection of </w:t>
      </w:r>
      <w:r w:rsidR="003675C9">
        <w:t>p</w:t>
      </w:r>
      <w:r w:rsidR="00A54FE7">
        <w:t>lacebo. The size of the safety datab</w:t>
      </w:r>
      <w:r w:rsidR="001C63C1">
        <w:t>ase was sufficient to detect adverse events (AE)</w:t>
      </w:r>
      <w:r w:rsidR="00A54FE7">
        <w:t xml:space="preserve"> occurring with the incidences of uncommon to rare, in accordance with th</w:t>
      </w:r>
      <w:r w:rsidR="001C63C1">
        <w:t>e recommendations from the EMA.</w:t>
      </w:r>
    </w:p>
    <w:p w14:paraId="149E2453" w14:textId="076BD512" w:rsidR="00A54FE7" w:rsidRDefault="00A54FE7" w:rsidP="001C63C1">
      <w:r>
        <w:t xml:space="preserve">In these studies, the QIV was administered as one intramuscular or subcutaneous injection to subjects aged 9 years and above. One or 2 doses of QIV were administered to children </w:t>
      </w:r>
      <w:r>
        <w:lastRenderedPageBreak/>
        <w:t xml:space="preserve">aged 3 to 8 years, depending on their history of influenza vaccination at enrolment. This schedule reflects official recommendations and experience with </w:t>
      </w:r>
      <w:r w:rsidR="003675C9">
        <w:t xml:space="preserve">the sponsor’s </w:t>
      </w:r>
      <w:r>
        <w:t xml:space="preserve">TIV and other inactivated influenza vaccines. The TIV manufactured by </w:t>
      </w:r>
      <w:r w:rsidR="003675C9">
        <w:t>the sponsor in</w:t>
      </w:r>
      <w:r>
        <w:t xml:space="preserve"> France was used as a comparator to evaluate the safety of the QIV in most of the studies and the safety profile of the QIV was compared with Placebo in Study GQM05.</w:t>
      </w:r>
    </w:p>
    <w:p w14:paraId="11E445F1" w14:textId="392E0535" w:rsidR="00A54FE7" w:rsidRDefault="001C63C1" w:rsidP="001C63C1">
      <w:pPr>
        <w:pStyle w:val="TableTitle"/>
      </w:pPr>
      <w:bookmarkStart w:id="51" w:name="_Ref26353111"/>
      <w:r>
        <w:t xml:space="preserve">Table </w:t>
      </w:r>
      <w:r w:rsidR="00A613B3">
        <w:fldChar w:fldCharType="begin"/>
      </w:r>
      <w:r w:rsidR="00A613B3">
        <w:instrText xml:space="preserve"> SEQ Table \* ARABIC </w:instrText>
      </w:r>
      <w:r w:rsidR="00A613B3">
        <w:fldChar w:fldCharType="separate"/>
      </w:r>
      <w:r w:rsidR="00452FEA">
        <w:rPr>
          <w:noProof/>
        </w:rPr>
        <w:t>8</w:t>
      </w:r>
      <w:r w:rsidR="00A613B3">
        <w:rPr>
          <w:noProof/>
        </w:rPr>
        <w:fldChar w:fldCharType="end"/>
      </w:r>
      <w:bookmarkEnd w:id="51"/>
      <w:r>
        <w:t xml:space="preserve">: </w:t>
      </w:r>
      <w:r w:rsidR="00A54FE7" w:rsidRPr="00A54FE7">
        <w:t xml:space="preserve">Subjects who received at least 1 injection of the </w:t>
      </w:r>
      <w:proofErr w:type="spellStart"/>
      <w:r>
        <w:rPr>
          <w:rFonts w:asciiTheme="minorHAnsi" w:hAnsiTheme="minorHAnsi"/>
        </w:rPr>
        <w:t>q</w:t>
      </w:r>
      <w:r w:rsidRPr="000C2FEC">
        <w:rPr>
          <w:rFonts w:asciiTheme="minorHAnsi" w:hAnsiTheme="minorHAnsi"/>
        </w:rPr>
        <w:t>uadrivalent</w:t>
      </w:r>
      <w:proofErr w:type="spellEnd"/>
      <w:r w:rsidRPr="000C2FEC">
        <w:rPr>
          <w:rFonts w:asciiTheme="minorHAnsi" w:hAnsiTheme="minorHAnsi"/>
        </w:rPr>
        <w:t xml:space="preserve"> inactivated influenza vaccine</w:t>
      </w:r>
    </w:p>
    <w:p w14:paraId="7D5BF475" w14:textId="77777777" w:rsidR="00A54FE7" w:rsidRDefault="00A54FE7" w:rsidP="00A54FE7">
      <w:pPr>
        <w:pStyle w:val="Default"/>
        <w:rPr>
          <w:sz w:val="22"/>
          <w:szCs w:val="22"/>
        </w:rPr>
      </w:pPr>
      <w:r>
        <w:rPr>
          <w:noProof/>
          <w:lang w:eastAsia="en-AU"/>
        </w:rPr>
        <w:drawing>
          <wp:inline distT="0" distB="0" distL="0" distR="0" wp14:anchorId="08B165D4" wp14:editId="4B882DA5">
            <wp:extent cx="5400040" cy="2003425"/>
            <wp:effectExtent l="0" t="0" r="0" b="0"/>
            <wp:docPr id="11" name="Picture 11" descr="Subjects who received at least 1 injection of the quadrivalent inactivated influenza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2003425"/>
                    </a:xfrm>
                    <a:prstGeom prst="rect">
                      <a:avLst/>
                    </a:prstGeom>
                  </pic:spPr>
                </pic:pic>
              </a:graphicData>
            </a:graphic>
          </wp:inline>
        </w:drawing>
      </w:r>
    </w:p>
    <w:p w14:paraId="4BBE1866" w14:textId="305D75AD" w:rsidR="00A54FE7" w:rsidRDefault="00A54FE7" w:rsidP="001C63C1">
      <w:r>
        <w:t xml:space="preserve">The results of the safety analysis for the QIV (0.5 mL, 1 or 2 doses) indicates that the QIV is well tolerated and has a safety profile similar to that of the </w:t>
      </w:r>
      <w:r w:rsidR="003675C9">
        <w:t xml:space="preserve">sponsor’s </w:t>
      </w:r>
      <w:r>
        <w:t>licensed TIV</w:t>
      </w:r>
      <w:r>
        <w:rPr>
          <w:color w:val="0000FF"/>
        </w:rPr>
        <w:t xml:space="preserve">. </w:t>
      </w:r>
      <w:r>
        <w:t>In addition, in the youngest age group (aged 6 to 35 months) who received 2</w:t>
      </w:r>
      <w:r w:rsidR="003675C9">
        <w:t> </w:t>
      </w:r>
      <w:r>
        <w:t>QIV doses, each of 0.5 mL (=</w:t>
      </w:r>
      <w:r w:rsidR="001C63C1">
        <w:t xml:space="preserve"> </w:t>
      </w:r>
      <w:r>
        <w:t xml:space="preserve">full dose), the QIV was very well tolerated with a safety profile comparable to TIV and Placebo, aside from marginally higher rates for injection site reactions. The most frequently reported </w:t>
      </w:r>
      <w:r w:rsidR="00452FEA">
        <w:t>adverse reaction (</w:t>
      </w:r>
      <w:r>
        <w:t>AR</w:t>
      </w:r>
      <w:r w:rsidR="00452FEA">
        <w:t>)</w:t>
      </w:r>
      <w:r>
        <w:t xml:space="preserve"> after QIV, in all populations including children from 6 to 35 months of age, was injection site pain. In the subpopulation of children less than 24 months of age, the most frequently reported AR was irritability and in the subpopulation of children from 24 to 35 months of age it was malaise. Most reactions usually occurred within the first 3 days following vaccination and resolved spontaneously within 1 to 3 days after</w:t>
      </w:r>
      <w:r w:rsidR="00452FEA">
        <w:t xml:space="preserve"> onset. Rates of unsolicited AE</w:t>
      </w:r>
      <w:r>
        <w:t xml:space="preserve"> were comparable for the QIV and TIV in all age groups. No safety signal of concern was observed following QIV. In children aged 3 to 8 years, the safety profile of the QIV was similar after the first and the second injections (separated by at least 4 weeks) in those given 2</w:t>
      </w:r>
      <w:r w:rsidR="003675C9">
        <w:t> </w:t>
      </w:r>
      <w:r>
        <w:t>vaccinations (as recommended by WHO in influenza vaccine naive children). Importantly too, in the youngest children (aged 6 to 35 months), the safety profile of the QIV was similar after the first and the second injections, and if anything there were fewer adverse reactions after the second injection than after the first injection. This large portfolio of Phase</w:t>
      </w:r>
      <w:r w:rsidR="00452FEA">
        <w:t xml:space="preserve"> III studies, including S</w:t>
      </w:r>
      <w:r>
        <w:t>tudy GCQM04, which had a safety primary endpoint, demons</w:t>
      </w:r>
      <w:r w:rsidR="00452FEA">
        <w:t xml:space="preserve">trates that this QIV dosed at 1 to </w:t>
      </w:r>
      <w:r>
        <w:t>2 doses of 0.5 mL IM (or deep SC) appears safe and well tolerated across the age spect</w:t>
      </w:r>
      <w:r w:rsidR="001C63C1">
        <w:t>rum, from age 6 months onwards.</w:t>
      </w:r>
    </w:p>
    <w:p w14:paraId="5CA82F9E" w14:textId="44CEA855" w:rsidR="00A54FE7" w:rsidRDefault="00A54FE7" w:rsidP="00452FEA">
      <w:pPr>
        <w:pStyle w:val="Heading5"/>
      </w:pPr>
      <w:r>
        <w:t>Safety in pregnant wom</w:t>
      </w:r>
      <w:r w:rsidR="001C63C1">
        <w:t>en (post-market data)</w:t>
      </w:r>
    </w:p>
    <w:p w14:paraId="3B379C30" w14:textId="003DC8B2" w:rsidR="00A54FE7" w:rsidRDefault="00A54FE7" w:rsidP="00452FEA">
      <w:pPr>
        <w:pStyle w:val="Heading6"/>
      </w:pPr>
      <w:r>
        <w:t xml:space="preserve">Data from </w:t>
      </w:r>
      <w:r w:rsidR="00A613B3">
        <w:t xml:space="preserve">global pharmacovigilance and epidemiology </w:t>
      </w:r>
      <w:r w:rsidR="00452FEA">
        <w:t>database</w:t>
      </w:r>
    </w:p>
    <w:p w14:paraId="5F6FA478" w14:textId="1682EC66" w:rsidR="00A54FE7" w:rsidRDefault="00A54FE7" w:rsidP="001C63C1">
      <w:r>
        <w:t xml:space="preserve">Over the years, </w:t>
      </w:r>
      <w:r w:rsidR="003675C9">
        <w:t>the sponsor</w:t>
      </w:r>
      <w:r>
        <w:t xml:space="preserve"> has manufactured 3 different </w:t>
      </w:r>
      <w:r w:rsidR="00452FEA">
        <w:t>formulations of IM</w:t>
      </w:r>
      <w:r w:rsidR="003675C9">
        <w:t> </w:t>
      </w:r>
      <w:r w:rsidR="00452FEA">
        <w:t>TIV/</w:t>
      </w:r>
      <w:proofErr w:type="spellStart"/>
      <w:r w:rsidR="00452FEA">
        <w:t>Vaxigrip</w:t>
      </w:r>
      <w:proofErr w:type="spellEnd"/>
      <w:r>
        <w:t xml:space="preserve"> depending on </w:t>
      </w:r>
      <w:proofErr w:type="spellStart"/>
      <w:r>
        <w:t>thiomersal</w:t>
      </w:r>
      <w:proofErr w:type="spellEnd"/>
      <w:r>
        <w:t xml:space="preserve"> content. From 1 January 1993 </w:t>
      </w:r>
      <w:r w:rsidR="003675C9">
        <w:t xml:space="preserve">up to </w:t>
      </w:r>
      <w:r>
        <w:t>31</w:t>
      </w:r>
      <w:r w:rsidR="003675C9">
        <w:t> </w:t>
      </w:r>
      <w:r>
        <w:t>March</w:t>
      </w:r>
      <w:r w:rsidR="003675C9">
        <w:t> </w:t>
      </w:r>
      <w:r>
        <w:t>2017, a total of 1.88 b</w:t>
      </w:r>
      <w:r w:rsidR="00452FEA">
        <w:t>illion doses of IM TIV/</w:t>
      </w:r>
      <w:proofErr w:type="spellStart"/>
      <w:r w:rsidR="00452FEA">
        <w:t>Vaxigrip</w:t>
      </w:r>
      <w:proofErr w:type="spellEnd"/>
      <w:r>
        <w:t xml:space="preserve"> (all formulation</w:t>
      </w:r>
      <w:r w:rsidR="003E66D4">
        <w:t>s</w:t>
      </w:r>
      <w:r>
        <w:t xml:space="preserve"> considered) were distributed worldwide. A search was conducted in the </w:t>
      </w:r>
      <w:r w:rsidR="003675C9">
        <w:t>sponsor’s</w:t>
      </w:r>
      <w:r>
        <w:t xml:space="preserve"> Pharmacovigilance and Epidemiology (GPE) safety database to retrieve all cases of exposure to </w:t>
      </w:r>
      <w:r w:rsidR="003675C9">
        <w:t>the sponsor’s</w:t>
      </w:r>
      <w:r>
        <w:t xml:space="preserve"> IM TIV/</w:t>
      </w:r>
      <w:proofErr w:type="spellStart"/>
      <w:r>
        <w:t>Vaxigrip</w:t>
      </w:r>
      <w:proofErr w:type="spellEnd"/>
      <w:r>
        <w:t xml:space="preserve"> a</w:t>
      </w:r>
      <w:r w:rsidR="00452FEA">
        <w:t xml:space="preserve">ll formulations considered, that is, </w:t>
      </w:r>
      <w:r>
        <w:t xml:space="preserve">influenza split triton vaccine </w:t>
      </w:r>
      <w:proofErr w:type="spellStart"/>
      <w:r>
        <w:t>thiomersal</w:t>
      </w:r>
      <w:proofErr w:type="spellEnd"/>
      <w:r>
        <w:t xml:space="preserve"> free, influenza split triton vaccine </w:t>
      </w:r>
      <w:proofErr w:type="spellStart"/>
      <w:r>
        <w:t>thiomersal</w:t>
      </w:r>
      <w:proofErr w:type="spellEnd"/>
      <w:r>
        <w:t xml:space="preserve"> lower content, and </w:t>
      </w:r>
      <w:proofErr w:type="spellStart"/>
      <w:r>
        <w:t>thiomersal</w:t>
      </w:r>
      <w:proofErr w:type="spellEnd"/>
      <w:r>
        <w:t xml:space="preserve"> containing influenza split triton vaccine. This search included all pregnancy case re</w:t>
      </w:r>
      <w:r w:rsidR="00452FEA">
        <w:t>ports involving IM TIV/</w:t>
      </w:r>
      <w:proofErr w:type="spellStart"/>
      <w:r w:rsidR="00452FEA">
        <w:t>Vaxigrip</w:t>
      </w:r>
      <w:proofErr w:type="spellEnd"/>
      <w:r>
        <w:t xml:space="preserve"> received from 1 January 1993 to 15 March 2017. During this 24 years period, only 249 </w:t>
      </w:r>
      <w:r>
        <w:lastRenderedPageBreak/>
        <w:t>cases of exposure during pregnancy were reported (clinical trials and post-marketing) for IM</w:t>
      </w:r>
      <w:r w:rsidR="003675C9">
        <w:t> </w:t>
      </w:r>
      <w:r>
        <w:t>TIV/</w:t>
      </w:r>
      <w:proofErr w:type="spellStart"/>
      <w:r>
        <w:t>Vaxigrip</w:t>
      </w:r>
      <w:proofErr w:type="spellEnd"/>
      <w:r>
        <w:t>. Out of the 249 cases, 165 were prospective reports referring mainly to pregnancy reports</w:t>
      </w:r>
      <w:r w:rsidR="00452FEA">
        <w:t xml:space="preserve"> without adverse event (60%, 99 out of </w:t>
      </w:r>
      <w:r>
        <w:t>165) and 84 were retrospective with a majority of repor</w:t>
      </w:r>
      <w:r w:rsidR="00452FEA">
        <w:t xml:space="preserve">ts with adverse events (96%, 81 out of </w:t>
      </w:r>
      <w:r>
        <w:t>84). Am</w:t>
      </w:r>
      <w:r w:rsidR="00452FEA">
        <w:t>ong pregnancy cases in which AE</w:t>
      </w:r>
      <w:r w:rsidR="009C7F5A">
        <w:t>s</w:t>
      </w:r>
      <w:r>
        <w:t xml:space="preserve"> were reported, 72</w:t>
      </w:r>
      <w:r w:rsidR="009C7F5A">
        <w:t xml:space="preserve"> were</w:t>
      </w:r>
      <w:r>
        <w:t xml:space="preserve"> ref</w:t>
      </w:r>
      <w:r w:rsidR="00452FEA">
        <w:t>erred</w:t>
      </w:r>
      <w:r w:rsidR="009C7F5A">
        <w:t xml:space="preserve"> to as</w:t>
      </w:r>
      <w:r w:rsidR="00452FEA">
        <w:t xml:space="preserve"> non-obstetrical AE</w:t>
      </w:r>
      <w:r w:rsidR="009C7F5A">
        <w:t>s</w:t>
      </w:r>
      <w:r>
        <w:t xml:space="preserve"> and 88</w:t>
      </w:r>
      <w:r w:rsidR="009C7F5A">
        <w:t> </w:t>
      </w:r>
      <w:r>
        <w:t>involved a pregnancy complication. A role of the vaccine could not be established in any of the 88 cas</w:t>
      </w:r>
      <w:r w:rsidR="00452FEA">
        <w:t>es with pregnancy complication.</w:t>
      </w:r>
    </w:p>
    <w:p w14:paraId="590570ED" w14:textId="54238146" w:rsidR="00A54FE7" w:rsidRDefault="00452FEA" w:rsidP="00452FEA">
      <w:pPr>
        <w:pStyle w:val="Heading6"/>
      </w:pPr>
      <w:r>
        <w:t>Data from clinical trials</w:t>
      </w:r>
    </w:p>
    <w:p w14:paraId="40CA0C10" w14:textId="3F288DDD" w:rsidR="00A54FE7" w:rsidRPr="00255E4E" w:rsidRDefault="00A54FE7" w:rsidP="001C63C1">
      <w:r>
        <w:t xml:space="preserve">The sponsor provided the supportive review information relating to the use of </w:t>
      </w:r>
      <w:proofErr w:type="spellStart"/>
      <w:r>
        <w:t>Vaxigrip</w:t>
      </w:r>
      <w:proofErr w:type="spellEnd"/>
      <w:r>
        <w:t xml:space="preserve"> (TIV) in pregnant women. The review mentioned published data relat</w:t>
      </w:r>
      <w:r w:rsidR="00452FEA">
        <w:t>ing to three randomi</w:t>
      </w:r>
      <w:r w:rsidR="009C7F5A">
        <w:t>s</w:t>
      </w:r>
      <w:r w:rsidR="00452FEA">
        <w:t xml:space="preserve">ed, double blind, placebo </w:t>
      </w:r>
      <w:r>
        <w:t xml:space="preserve">controlled trials in pregnant women. Data from these clinical trials conducted with </w:t>
      </w:r>
      <w:proofErr w:type="spellStart"/>
      <w:r>
        <w:t>Vaxigrip</w:t>
      </w:r>
      <w:proofErr w:type="spellEnd"/>
      <w:r>
        <w:t xml:space="preserve"> in pregnant women during the second and third trimester do not indicate any adverse </w:t>
      </w:r>
      <w:proofErr w:type="spellStart"/>
      <w:r>
        <w:t>fetal</w:t>
      </w:r>
      <w:proofErr w:type="spellEnd"/>
      <w:r>
        <w:t>, newborn, infant or maternal outcomes attributable to the vaccine. On the basis of the data available, no safety concern is to be underlined when</w:t>
      </w:r>
      <w:r w:rsidR="00452FEA">
        <w:t xml:space="preserve"> administrating IM TIV/</w:t>
      </w:r>
      <w:proofErr w:type="spellStart"/>
      <w:r w:rsidR="00452FEA">
        <w:t>Vaxigrip</w:t>
      </w:r>
      <w:proofErr w:type="spellEnd"/>
      <w:r>
        <w:t xml:space="preserve"> to pregnant women. Inactivated influenza vaccines are generally considered safe for the pregnant woman, the </w:t>
      </w:r>
      <w:proofErr w:type="spellStart"/>
      <w:r>
        <w:t>fetus</w:t>
      </w:r>
      <w:proofErr w:type="spellEnd"/>
      <w:r>
        <w:t>, and the young infant.</w:t>
      </w:r>
    </w:p>
    <w:p w14:paraId="223DA518" w14:textId="77777777" w:rsidR="008E7846" w:rsidRDefault="00386150" w:rsidP="007B6132">
      <w:pPr>
        <w:pStyle w:val="Heading3"/>
        <w:rPr>
          <w:lang w:eastAsia="en-AU"/>
        </w:rPr>
      </w:pPr>
      <w:bookmarkStart w:id="52" w:name="_Toc30581707"/>
      <w:r>
        <w:rPr>
          <w:lang w:eastAsia="en-AU"/>
        </w:rPr>
        <w:t>Risk m</w:t>
      </w:r>
      <w:r w:rsidR="008E7846">
        <w:rPr>
          <w:lang w:eastAsia="en-AU"/>
        </w:rPr>
        <w:t xml:space="preserve">anagement </w:t>
      </w:r>
      <w:r>
        <w:rPr>
          <w:lang w:eastAsia="en-AU"/>
        </w:rPr>
        <w:t>p</w:t>
      </w:r>
      <w:r w:rsidR="008E7846">
        <w:rPr>
          <w:lang w:eastAsia="en-AU"/>
        </w:rPr>
        <w:t>lan</w:t>
      </w:r>
      <w:bookmarkEnd w:id="43"/>
      <w:bookmarkEnd w:id="52"/>
    </w:p>
    <w:p w14:paraId="31F3570C" w14:textId="58D86C7B" w:rsidR="00A54FE7" w:rsidRDefault="00452FEA" w:rsidP="00452FEA">
      <w:pPr>
        <w:pStyle w:val="ListBullet"/>
      </w:pPr>
      <w:r>
        <w:t>The sponsor</w:t>
      </w:r>
      <w:r w:rsidR="00A54FE7">
        <w:t xml:space="preserve"> has submitted </w:t>
      </w:r>
      <w:r>
        <w:t>European Union Risk Management Plan (</w:t>
      </w:r>
      <w:r w:rsidR="00A54FE7">
        <w:t>EU-RMP</w:t>
      </w:r>
      <w:r>
        <w:t>)</w:t>
      </w:r>
      <w:r w:rsidR="00A54FE7">
        <w:t xml:space="preserve"> version 5.0 (dated 13 July 2017; </w:t>
      </w:r>
      <w:r>
        <w:t>data lock point (</w:t>
      </w:r>
      <w:r w:rsidR="00A54FE7">
        <w:t>DLP</w:t>
      </w:r>
      <w:r>
        <w:t>)</w:t>
      </w:r>
      <w:r w:rsidR="00A54FE7">
        <w:t xml:space="preserve"> 25 April 2017) and </w:t>
      </w:r>
      <w:r>
        <w:t xml:space="preserve">Australian </w:t>
      </w:r>
      <w:r w:rsidR="009C7F5A">
        <w:t>s</w:t>
      </w:r>
      <w:r>
        <w:t xml:space="preserve">pecific </w:t>
      </w:r>
      <w:r w:rsidR="009C7F5A">
        <w:t>a</w:t>
      </w:r>
      <w:r>
        <w:t>nnex (</w:t>
      </w:r>
      <w:r w:rsidR="00A54FE7">
        <w:t>ASA</w:t>
      </w:r>
      <w:r>
        <w:t>)</w:t>
      </w:r>
      <w:r w:rsidR="00A54FE7">
        <w:t xml:space="preserve"> version 1.0 (dated February 2018) i</w:t>
      </w:r>
      <w:r>
        <w:t>n support of this application.</w:t>
      </w:r>
    </w:p>
    <w:p w14:paraId="5F5F2C38" w14:textId="37850D56" w:rsidR="008E7846" w:rsidRDefault="00A54FE7" w:rsidP="00452FEA">
      <w:pPr>
        <w:pStyle w:val="ListBullet"/>
        <w:rPr>
          <w:lang w:eastAsia="en-AU"/>
        </w:rPr>
      </w:pPr>
      <w:r>
        <w:t xml:space="preserve">The proposed summary of safety concerns and their associated risk monitoring and mitigation </w:t>
      </w:r>
      <w:r w:rsidR="00452FEA">
        <w:t xml:space="preserve">strategies are summarised in </w:t>
      </w:r>
      <w:r w:rsidR="00452FEA">
        <w:fldChar w:fldCharType="begin"/>
      </w:r>
      <w:r w:rsidR="00452FEA">
        <w:instrText xml:space="preserve"> REF _Ref26357104 \h </w:instrText>
      </w:r>
      <w:r w:rsidR="00452FEA">
        <w:fldChar w:fldCharType="separate"/>
      </w:r>
      <w:r w:rsidR="00452FEA">
        <w:t xml:space="preserve">Table </w:t>
      </w:r>
      <w:r w:rsidR="00452FEA">
        <w:rPr>
          <w:noProof/>
        </w:rPr>
        <w:t>9</w:t>
      </w:r>
      <w:r w:rsidR="00452FEA">
        <w:fldChar w:fldCharType="end"/>
      </w:r>
      <w:r w:rsidR="00452FEA">
        <w:t>.</w:t>
      </w:r>
      <w:r w:rsidR="00452FEA">
        <w:rPr>
          <w:rStyle w:val="FootnoteReference"/>
          <w:lang w:eastAsia="en-AU"/>
        </w:rPr>
        <w:footnoteReference w:id="9"/>
      </w:r>
    </w:p>
    <w:p w14:paraId="7AFB4D68" w14:textId="1A5361F0" w:rsidR="00452FEA" w:rsidRDefault="00452FEA" w:rsidP="00452FEA">
      <w:pPr>
        <w:pStyle w:val="TableTitle"/>
      </w:pPr>
      <w:bookmarkStart w:id="53" w:name="_Ref26357104"/>
      <w:r>
        <w:t xml:space="preserve">Table </w:t>
      </w:r>
      <w:r w:rsidR="00A613B3">
        <w:fldChar w:fldCharType="begin"/>
      </w:r>
      <w:r w:rsidR="00A613B3">
        <w:instrText xml:space="preserve"> S</w:instrText>
      </w:r>
      <w:r w:rsidR="00A613B3">
        <w:instrText xml:space="preserve">EQ Table \* ARABIC </w:instrText>
      </w:r>
      <w:r w:rsidR="00A613B3">
        <w:fldChar w:fldCharType="separate"/>
      </w:r>
      <w:r>
        <w:rPr>
          <w:noProof/>
        </w:rPr>
        <w:t>9</w:t>
      </w:r>
      <w:r w:rsidR="00A613B3">
        <w:rPr>
          <w:noProof/>
        </w:rPr>
        <w:fldChar w:fldCharType="end"/>
      </w:r>
      <w:bookmarkEnd w:id="53"/>
      <w:r>
        <w:t xml:space="preserve">: </w:t>
      </w:r>
      <w:r>
        <w:rPr>
          <w:lang w:eastAsia="en-AU"/>
        </w:rPr>
        <w:t>Summary of safety concerns</w:t>
      </w:r>
    </w:p>
    <w:tbl>
      <w:tblPr>
        <w:tblStyle w:val="TableTGAblue"/>
        <w:tblW w:w="8927" w:type="dxa"/>
        <w:tblLayout w:type="fixed"/>
        <w:tblLook w:val="04A0" w:firstRow="1" w:lastRow="0" w:firstColumn="1" w:lastColumn="0" w:noHBand="0" w:noVBand="1"/>
      </w:tblPr>
      <w:tblGrid>
        <w:gridCol w:w="1384"/>
        <w:gridCol w:w="3260"/>
        <w:gridCol w:w="993"/>
        <w:gridCol w:w="1134"/>
        <w:gridCol w:w="992"/>
        <w:gridCol w:w="1164"/>
      </w:tblGrid>
      <w:tr w:rsidR="00A54FE7" w:rsidRPr="00452FEA" w14:paraId="18487F05" w14:textId="77777777" w:rsidTr="00452FEA">
        <w:trPr>
          <w:cnfStyle w:val="100000000000" w:firstRow="1" w:lastRow="0" w:firstColumn="0" w:lastColumn="0" w:oddVBand="0" w:evenVBand="0" w:oddHBand="0" w:evenHBand="0" w:firstRowFirstColumn="0" w:firstRowLastColumn="0" w:lastRowFirstColumn="0" w:lastRowLastColumn="0"/>
          <w:trHeight w:val="132"/>
        </w:trPr>
        <w:tc>
          <w:tcPr>
            <w:tcW w:w="4644" w:type="dxa"/>
            <w:gridSpan w:val="2"/>
            <w:vMerge w:val="restart"/>
          </w:tcPr>
          <w:p w14:paraId="61303769" w14:textId="77777777" w:rsidR="00A54FE7" w:rsidRPr="00452FEA" w:rsidRDefault="00A54FE7" w:rsidP="00452FEA">
            <w:pPr>
              <w:ind w:left="0" w:right="0"/>
              <w:rPr>
                <w:sz w:val="20"/>
                <w:szCs w:val="20"/>
              </w:rPr>
            </w:pPr>
            <w:r w:rsidRPr="00452FEA">
              <w:rPr>
                <w:sz w:val="20"/>
                <w:szCs w:val="20"/>
              </w:rPr>
              <w:t>Summary of safety concerns</w:t>
            </w:r>
          </w:p>
        </w:tc>
        <w:tc>
          <w:tcPr>
            <w:tcW w:w="2127" w:type="dxa"/>
            <w:gridSpan w:val="2"/>
          </w:tcPr>
          <w:p w14:paraId="11CA9389" w14:textId="77777777" w:rsidR="00A54FE7" w:rsidRPr="00452FEA" w:rsidRDefault="00A54FE7" w:rsidP="00452FEA">
            <w:pPr>
              <w:ind w:left="0" w:right="0"/>
              <w:rPr>
                <w:sz w:val="20"/>
                <w:szCs w:val="20"/>
              </w:rPr>
            </w:pPr>
            <w:r w:rsidRPr="00452FEA">
              <w:rPr>
                <w:sz w:val="20"/>
                <w:szCs w:val="20"/>
              </w:rPr>
              <w:t>Pharmacovigilance</w:t>
            </w:r>
          </w:p>
        </w:tc>
        <w:tc>
          <w:tcPr>
            <w:tcW w:w="2156" w:type="dxa"/>
            <w:gridSpan w:val="2"/>
          </w:tcPr>
          <w:p w14:paraId="238AA0D3" w14:textId="77777777" w:rsidR="00A54FE7" w:rsidRPr="00452FEA" w:rsidRDefault="00A54FE7" w:rsidP="00452FEA">
            <w:pPr>
              <w:ind w:left="0" w:right="0"/>
              <w:rPr>
                <w:sz w:val="20"/>
                <w:szCs w:val="20"/>
              </w:rPr>
            </w:pPr>
            <w:r w:rsidRPr="00452FEA">
              <w:rPr>
                <w:sz w:val="20"/>
                <w:szCs w:val="20"/>
              </w:rPr>
              <w:t>Risk Minimisation</w:t>
            </w:r>
          </w:p>
        </w:tc>
      </w:tr>
      <w:tr w:rsidR="00A54FE7" w:rsidRPr="00452FEA" w14:paraId="30B71830" w14:textId="77777777" w:rsidTr="00452FEA">
        <w:trPr>
          <w:trHeight w:val="151"/>
        </w:trPr>
        <w:tc>
          <w:tcPr>
            <w:tcW w:w="4644" w:type="dxa"/>
            <w:gridSpan w:val="2"/>
            <w:vMerge/>
          </w:tcPr>
          <w:p w14:paraId="303D976B" w14:textId="77777777" w:rsidR="00A54FE7" w:rsidRPr="00452FEA" w:rsidRDefault="00A54FE7" w:rsidP="00452FEA">
            <w:pPr>
              <w:ind w:left="0" w:right="0"/>
              <w:rPr>
                <w:b/>
                <w:sz w:val="20"/>
                <w:szCs w:val="20"/>
              </w:rPr>
            </w:pPr>
          </w:p>
        </w:tc>
        <w:tc>
          <w:tcPr>
            <w:tcW w:w="993" w:type="dxa"/>
          </w:tcPr>
          <w:p w14:paraId="45E6AAFA" w14:textId="77777777" w:rsidR="00A54FE7" w:rsidRPr="00452FEA" w:rsidRDefault="00A54FE7" w:rsidP="00452FEA">
            <w:pPr>
              <w:ind w:left="0" w:right="0"/>
              <w:rPr>
                <w:sz w:val="20"/>
                <w:szCs w:val="20"/>
              </w:rPr>
            </w:pPr>
            <w:r w:rsidRPr="00452FEA">
              <w:rPr>
                <w:sz w:val="20"/>
                <w:szCs w:val="20"/>
              </w:rPr>
              <w:t>Routine</w:t>
            </w:r>
          </w:p>
        </w:tc>
        <w:tc>
          <w:tcPr>
            <w:tcW w:w="1134" w:type="dxa"/>
          </w:tcPr>
          <w:p w14:paraId="3D3A211F" w14:textId="77777777" w:rsidR="00A54FE7" w:rsidRPr="00452FEA" w:rsidRDefault="00A54FE7" w:rsidP="00452FEA">
            <w:pPr>
              <w:ind w:left="0" w:right="0"/>
              <w:rPr>
                <w:sz w:val="20"/>
                <w:szCs w:val="20"/>
              </w:rPr>
            </w:pPr>
            <w:r w:rsidRPr="00452FEA">
              <w:rPr>
                <w:sz w:val="20"/>
                <w:szCs w:val="20"/>
              </w:rPr>
              <w:t>Additional</w:t>
            </w:r>
          </w:p>
        </w:tc>
        <w:tc>
          <w:tcPr>
            <w:tcW w:w="992" w:type="dxa"/>
          </w:tcPr>
          <w:p w14:paraId="7A15761A" w14:textId="77777777" w:rsidR="00A54FE7" w:rsidRPr="00452FEA" w:rsidRDefault="00A54FE7" w:rsidP="00452FEA">
            <w:pPr>
              <w:ind w:left="0" w:right="0"/>
              <w:rPr>
                <w:sz w:val="20"/>
                <w:szCs w:val="20"/>
              </w:rPr>
            </w:pPr>
            <w:r w:rsidRPr="00452FEA">
              <w:rPr>
                <w:sz w:val="20"/>
                <w:szCs w:val="20"/>
              </w:rPr>
              <w:t>Routine</w:t>
            </w:r>
          </w:p>
        </w:tc>
        <w:tc>
          <w:tcPr>
            <w:tcW w:w="1164" w:type="dxa"/>
          </w:tcPr>
          <w:p w14:paraId="2460CD77" w14:textId="77777777" w:rsidR="00A54FE7" w:rsidRPr="00452FEA" w:rsidRDefault="00A54FE7" w:rsidP="00452FEA">
            <w:pPr>
              <w:ind w:left="0" w:right="0"/>
              <w:rPr>
                <w:sz w:val="20"/>
                <w:szCs w:val="20"/>
              </w:rPr>
            </w:pPr>
            <w:r w:rsidRPr="00452FEA">
              <w:rPr>
                <w:sz w:val="20"/>
                <w:szCs w:val="20"/>
              </w:rPr>
              <w:t>Additional</w:t>
            </w:r>
          </w:p>
        </w:tc>
      </w:tr>
      <w:tr w:rsidR="00A54FE7" w:rsidRPr="00452FEA" w14:paraId="26F9A88E" w14:textId="77777777" w:rsidTr="003E66D4">
        <w:trPr>
          <w:trHeight w:val="138"/>
        </w:trPr>
        <w:tc>
          <w:tcPr>
            <w:tcW w:w="1384" w:type="dxa"/>
          </w:tcPr>
          <w:p w14:paraId="7B27A7A0" w14:textId="77777777" w:rsidR="00A54FE7" w:rsidRPr="00452FEA" w:rsidRDefault="00A54FE7" w:rsidP="00452FEA">
            <w:pPr>
              <w:ind w:left="0" w:right="0"/>
              <w:rPr>
                <w:b/>
                <w:sz w:val="20"/>
                <w:szCs w:val="20"/>
              </w:rPr>
            </w:pPr>
            <w:r w:rsidRPr="00452FEA">
              <w:rPr>
                <w:b/>
                <w:sz w:val="20"/>
                <w:szCs w:val="20"/>
              </w:rPr>
              <w:t>Important identified risks</w:t>
            </w:r>
          </w:p>
        </w:tc>
        <w:tc>
          <w:tcPr>
            <w:tcW w:w="3260" w:type="dxa"/>
          </w:tcPr>
          <w:p w14:paraId="3B569C30" w14:textId="084CF3AE" w:rsidR="00A54FE7" w:rsidRPr="00452FEA" w:rsidRDefault="00876012" w:rsidP="00452FEA">
            <w:pPr>
              <w:ind w:left="0" w:right="0"/>
              <w:rPr>
                <w:sz w:val="20"/>
                <w:szCs w:val="20"/>
              </w:rPr>
            </w:pPr>
            <w:r>
              <w:rPr>
                <w:sz w:val="20"/>
                <w:szCs w:val="20"/>
              </w:rPr>
              <w:t>None</w:t>
            </w:r>
          </w:p>
        </w:tc>
        <w:tc>
          <w:tcPr>
            <w:tcW w:w="993" w:type="dxa"/>
          </w:tcPr>
          <w:p w14:paraId="04B2A90B" w14:textId="77777777" w:rsidR="00A54FE7" w:rsidRPr="00452FEA" w:rsidRDefault="00A54FE7" w:rsidP="00452FEA">
            <w:pPr>
              <w:ind w:left="0" w:right="0"/>
              <w:rPr>
                <w:sz w:val="20"/>
                <w:szCs w:val="20"/>
              </w:rPr>
            </w:pPr>
            <w:r w:rsidRPr="00452FEA">
              <w:rPr>
                <w:sz w:val="20"/>
                <w:szCs w:val="20"/>
              </w:rPr>
              <w:t>–</w:t>
            </w:r>
          </w:p>
        </w:tc>
        <w:tc>
          <w:tcPr>
            <w:tcW w:w="1134" w:type="dxa"/>
          </w:tcPr>
          <w:p w14:paraId="550BC909" w14:textId="77777777" w:rsidR="00A54FE7" w:rsidRPr="00452FEA" w:rsidRDefault="00A54FE7" w:rsidP="00452FEA">
            <w:pPr>
              <w:ind w:left="0" w:right="0"/>
              <w:rPr>
                <w:sz w:val="20"/>
                <w:szCs w:val="20"/>
              </w:rPr>
            </w:pPr>
            <w:r w:rsidRPr="00452FEA">
              <w:rPr>
                <w:sz w:val="20"/>
                <w:szCs w:val="20"/>
              </w:rPr>
              <w:t>–</w:t>
            </w:r>
          </w:p>
        </w:tc>
        <w:tc>
          <w:tcPr>
            <w:tcW w:w="992" w:type="dxa"/>
          </w:tcPr>
          <w:p w14:paraId="402C4765" w14:textId="77777777" w:rsidR="00A54FE7" w:rsidRPr="00452FEA" w:rsidRDefault="00A54FE7" w:rsidP="00452FEA">
            <w:pPr>
              <w:ind w:left="0" w:right="0"/>
              <w:rPr>
                <w:sz w:val="20"/>
                <w:szCs w:val="20"/>
              </w:rPr>
            </w:pPr>
            <w:r w:rsidRPr="00452FEA">
              <w:rPr>
                <w:sz w:val="20"/>
                <w:szCs w:val="20"/>
              </w:rPr>
              <w:t>–</w:t>
            </w:r>
          </w:p>
        </w:tc>
        <w:tc>
          <w:tcPr>
            <w:tcW w:w="1164" w:type="dxa"/>
          </w:tcPr>
          <w:p w14:paraId="7DBBC175" w14:textId="77777777" w:rsidR="00A54FE7" w:rsidRPr="00452FEA" w:rsidRDefault="00A54FE7" w:rsidP="00452FEA">
            <w:pPr>
              <w:ind w:left="0" w:right="0"/>
              <w:rPr>
                <w:sz w:val="20"/>
                <w:szCs w:val="20"/>
              </w:rPr>
            </w:pPr>
            <w:r w:rsidRPr="00452FEA">
              <w:rPr>
                <w:sz w:val="20"/>
                <w:szCs w:val="20"/>
              </w:rPr>
              <w:t>–</w:t>
            </w:r>
          </w:p>
        </w:tc>
      </w:tr>
      <w:tr w:rsidR="00A54FE7" w:rsidRPr="00452FEA" w14:paraId="0D78EB5C" w14:textId="77777777" w:rsidTr="003E66D4">
        <w:trPr>
          <w:trHeight w:val="160"/>
        </w:trPr>
        <w:tc>
          <w:tcPr>
            <w:tcW w:w="1384" w:type="dxa"/>
            <w:vMerge w:val="restart"/>
          </w:tcPr>
          <w:p w14:paraId="52C41D96" w14:textId="77777777" w:rsidR="00A54FE7" w:rsidRPr="00452FEA" w:rsidRDefault="00A54FE7" w:rsidP="00452FEA">
            <w:pPr>
              <w:ind w:left="0" w:right="0"/>
              <w:rPr>
                <w:b/>
                <w:sz w:val="20"/>
                <w:szCs w:val="20"/>
              </w:rPr>
            </w:pPr>
            <w:r w:rsidRPr="00452FEA">
              <w:rPr>
                <w:b/>
                <w:sz w:val="20"/>
                <w:szCs w:val="20"/>
              </w:rPr>
              <w:t>Important potential risks</w:t>
            </w:r>
          </w:p>
        </w:tc>
        <w:tc>
          <w:tcPr>
            <w:tcW w:w="3260" w:type="dxa"/>
          </w:tcPr>
          <w:p w14:paraId="48AFE0B4" w14:textId="77777777" w:rsidR="00A54FE7" w:rsidRPr="00452FEA" w:rsidRDefault="00A54FE7" w:rsidP="00452FEA">
            <w:pPr>
              <w:ind w:left="0" w:right="0"/>
              <w:rPr>
                <w:sz w:val="20"/>
                <w:szCs w:val="20"/>
              </w:rPr>
            </w:pPr>
            <w:r w:rsidRPr="00452FEA">
              <w:rPr>
                <w:sz w:val="20"/>
                <w:szCs w:val="20"/>
              </w:rPr>
              <w:t>Anaphylactic reaction</w:t>
            </w:r>
          </w:p>
        </w:tc>
        <w:tc>
          <w:tcPr>
            <w:tcW w:w="993" w:type="dxa"/>
          </w:tcPr>
          <w:p w14:paraId="1E4C31BC" w14:textId="77777777" w:rsidR="00A54FE7" w:rsidRPr="00452FEA" w:rsidRDefault="00A54FE7" w:rsidP="00452FEA">
            <w:pPr>
              <w:ind w:left="0" w:right="0"/>
              <w:rPr>
                <w:sz w:val="20"/>
                <w:szCs w:val="20"/>
              </w:rPr>
            </w:pPr>
            <w:r w:rsidRPr="00452FEA">
              <w:rPr>
                <w:sz w:val="20"/>
                <w:szCs w:val="20"/>
              </w:rPr>
              <w:sym w:font="Wingdings" w:char="F0FC"/>
            </w:r>
          </w:p>
        </w:tc>
        <w:tc>
          <w:tcPr>
            <w:tcW w:w="1134" w:type="dxa"/>
          </w:tcPr>
          <w:p w14:paraId="6C1CB2B1" w14:textId="77777777" w:rsidR="00A54FE7" w:rsidRPr="00452FEA" w:rsidRDefault="00A54FE7" w:rsidP="00452FEA">
            <w:pPr>
              <w:ind w:left="0" w:right="0"/>
              <w:rPr>
                <w:sz w:val="20"/>
                <w:szCs w:val="20"/>
              </w:rPr>
            </w:pPr>
            <w:r w:rsidRPr="00452FEA">
              <w:rPr>
                <w:sz w:val="20"/>
                <w:szCs w:val="20"/>
              </w:rPr>
              <w:t>–</w:t>
            </w:r>
          </w:p>
        </w:tc>
        <w:tc>
          <w:tcPr>
            <w:tcW w:w="992" w:type="dxa"/>
          </w:tcPr>
          <w:p w14:paraId="24000F63" w14:textId="77777777" w:rsidR="00A54FE7" w:rsidRPr="00452FEA" w:rsidRDefault="00A54FE7" w:rsidP="00452FEA">
            <w:pPr>
              <w:ind w:left="0" w:right="0"/>
              <w:rPr>
                <w:sz w:val="20"/>
                <w:szCs w:val="20"/>
              </w:rPr>
            </w:pPr>
            <w:r w:rsidRPr="00452FEA">
              <w:rPr>
                <w:sz w:val="20"/>
                <w:szCs w:val="20"/>
              </w:rPr>
              <w:sym w:font="Wingdings" w:char="F0FC"/>
            </w:r>
          </w:p>
        </w:tc>
        <w:tc>
          <w:tcPr>
            <w:tcW w:w="1164" w:type="dxa"/>
          </w:tcPr>
          <w:p w14:paraId="315B0FC6" w14:textId="77777777" w:rsidR="00A54FE7" w:rsidRPr="00452FEA" w:rsidRDefault="00A54FE7" w:rsidP="00452FEA">
            <w:pPr>
              <w:ind w:left="0" w:right="0"/>
              <w:rPr>
                <w:sz w:val="20"/>
                <w:szCs w:val="20"/>
              </w:rPr>
            </w:pPr>
            <w:r w:rsidRPr="00452FEA">
              <w:rPr>
                <w:sz w:val="20"/>
                <w:szCs w:val="20"/>
              </w:rPr>
              <w:t>–</w:t>
            </w:r>
          </w:p>
        </w:tc>
      </w:tr>
      <w:tr w:rsidR="00A54FE7" w:rsidRPr="00452FEA" w14:paraId="4A6D2611" w14:textId="77777777" w:rsidTr="003E66D4">
        <w:trPr>
          <w:trHeight w:val="123"/>
        </w:trPr>
        <w:tc>
          <w:tcPr>
            <w:tcW w:w="1384" w:type="dxa"/>
            <w:vMerge/>
          </w:tcPr>
          <w:p w14:paraId="72E9E663" w14:textId="77777777" w:rsidR="00A54FE7" w:rsidRPr="00452FEA" w:rsidRDefault="00A54FE7" w:rsidP="00452FEA">
            <w:pPr>
              <w:ind w:left="0" w:right="0"/>
              <w:rPr>
                <w:b/>
                <w:sz w:val="20"/>
                <w:szCs w:val="20"/>
              </w:rPr>
            </w:pPr>
          </w:p>
        </w:tc>
        <w:tc>
          <w:tcPr>
            <w:tcW w:w="3260" w:type="dxa"/>
          </w:tcPr>
          <w:p w14:paraId="12384620" w14:textId="77777777" w:rsidR="00A54FE7" w:rsidRPr="00452FEA" w:rsidRDefault="00A54FE7" w:rsidP="00452FEA">
            <w:pPr>
              <w:ind w:left="0" w:right="0"/>
              <w:rPr>
                <w:sz w:val="20"/>
                <w:szCs w:val="20"/>
              </w:rPr>
            </w:pPr>
            <w:r w:rsidRPr="00452FEA">
              <w:rPr>
                <w:sz w:val="20"/>
                <w:szCs w:val="20"/>
              </w:rPr>
              <w:t>Convulsions (including febrile)</w:t>
            </w:r>
          </w:p>
        </w:tc>
        <w:tc>
          <w:tcPr>
            <w:tcW w:w="993" w:type="dxa"/>
          </w:tcPr>
          <w:p w14:paraId="13E6EB4E" w14:textId="77777777" w:rsidR="00A54FE7" w:rsidRPr="00452FEA" w:rsidRDefault="00A54FE7" w:rsidP="00452FEA">
            <w:pPr>
              <w:ind w:left="0" w:right="0"/>
              <w:rPr>
                <w:sz w:val="20"/>
                <w:szCs w:val="20"/>
              </w:rPr>
            </w:pPr>
            <w:r w:rsidRPr="00452FEA">
              <w:rPr>
                <w:sz w:val="20"/>
                <w:szCs w:val="20"/>
              </w:rPr>
              <w:sym w:font="Wingdings" w:char="F0FC"/>
            </w:r>
          </w:p>
        </w:tc>
        <w:tc>
          <w:tcPr>
            <w:tcW w:w="1134" w:type="dxa"/>
          </w:tcPr>
          <w:p w14:paraId="1CDDD339" w14:textId="77777777" w:rsidR="00A54FE7" w:rsidRPr="00452FEA" w:rsidRDefault="00A54FE7" w:rsidP="00452FEA">
            <w:pPr>
              <w:ind w:left="0" w:right="0"/>
              <w:rPr>
                <w:sz w:val="20"/>
                <w:szCs w:val="20"/>
              </w:rPr>
            </w:pPr>
            <w:r w:rsidRPr="00452FEA">
              <w:rPr>
                <w:sz w:val="20"/>
                <w:szCs w:val="20"/>
              </w:rPr>
              <w:t>–</w:t>
            </w:r>
          </w:p>
        </w:tc>
        <w:tc>
          <w:tcPr>
            <w:tcW w:w="992" w:type="dxa"/>
          </w:tcPr>
          <w:p w14:paraId="04FCFAEA" w14:textId="77777777" w:rsidR="00A54FE7" w:rsidRPr="00452FEA" w:rsidRDefault="00A54FE7" w:rsidP="00452FEA">
            <w:pPr>
              <w:ind w:left="0" w:right="0"/>
              <w:rPr>
                <w:sz w:val="20"/>
                <w:szCs w:val="20"/>
              </w:rPr>
            </w:pPr>
            <w:r w:rsidRPr="00452FEA">
              <w:rPr>
                <w:sz w:val="20"/>
                <w:szCs w:val="20"/>
              </w:rPr>
              <w:sym w:font="Wingdings" w:char="F0FC"/>
            </w:r>
          </w:p>
        </w:tc>
        <w:tc>
          <w:tcPr>
            <w:tcW w:w="1164" w:type="dxa"/>
          </w:tcPr>
          <w:p w14:paraId="7832A83D" w14:textId="77777777" w:rsidR="00A54FE7" w:rsidRPr="00452FEA" w:rsidRDefault="00A54FE7" w:rsidP="00452FEA">
            <w:pPr>
              <w:ind w:left="0" w:right="0"/>
              <w:rPr>
                <w:sz w:val="20"/>
                <w:szCs w:val="20"/>
              </w:rPr>
            </w:pPr>
            <w:r w:rsidRPr="00452FEA">
              <w:rPr>
                <w:sz w:val="20"/>
                <w:szCs w:val="20"/>
              </w:rPr>
              <w:t>–</w:t>
            </w:r>
          </w:p>
        </w:tc>
      </w:tr>
      <w:tr w:rsidR="00A54FE7" w:rsidRPr="00452FEA" w14:paraId="130586CD" w14:textId="77777777" w:rsidTr="003E66D4">
        <w:trPr>
          <w:trHeight w:val="123"/>
        </w:trPr>
        <w:tc>
          <w:tcPr>
            <w:tcW w:w="1384" w:type="dxa"/>
            <w:vMerge/>
          </w:tcPr>
          <w:p w14:paraId="585A4865" w14:textId="77777777" w:rsidR="00A54FE7" w:rsidRPr="00452FEA" w:rsidRDefault="00A54FE7" w:rsidP="00452FEA">
            <w:pPr>
              <w:ind w:left="0" w:right="0"/>
              <w:rPr>
                <w:b/>
                <w:sz w:val="20"/>
                <w:szCs w:val="20"/>
              </w:rPr>
            </w:pPr>
          </w:p>
        </w:tc>
        <w:tc>
          <w:tcPr>
            <w:tcW w:w="3260" w:type="dxa"/>
          </w:tcPr>
          <w:p w14:paraId="1A982BF3" w14:textId="77777777" w:rsidR="00A54FE7" w:rsidRPr="00452FEA" w:rsidRDefault="00A54FE7" w:rsidP="00452FEA">
            <w:pPr>
              <w:ind w:left="0" w:right="0"/>
              <w:rPr>
                <w:sz w:val="20"/>
                <w:szCs w:val="20"/>
              </w:rPr>
            </w:pPr>
            <w:proofErr w:type="spellStart"/>
            <w:r w:rsidRPr="00452FEA">
              <w:rPr>
                <w:sz w:val="20"/>
                <w:szCs w:val="20"/>
              </w:rPr>
              <w:t>Guillain-Barré</w:t>
            </w:r>
            <w:proofErr w:type="spellEnd"/>
            <w:r w:rsidRPr="00452FEA">
              <w:rPr>
                <w:sz w:val="20"/>
                <w:szCs w:val="20"/>
              </w:rPr>
              <w:t xml:space="preserve"> Syndrome</w:t>
            </w:r>
          </w:p>
        </w:tc>
        <w:tc>
          <w:tcPr>
            <w:tcW w:w="993" w:type="dxa"/>
          </w:tcPr>
          <w:p w14:paraId="5ADADA46" w14:textId="77777777" w:rsidR="00A54FE7" w:rsidRPr="00452FEA" w:rsidRDefault="00A54FE7" w:rsidP="00452FEA">
            <w:pPr>
              <w:ind w:left="0" w:right="0"/>
              <w:rPr>
                <w:sz w:val="20"/>
                <w:szCs w:val="20"/>
              </w:rPr>
            </w:pPr>
            <w:r w:rsidRPr="00452FEA">
              <w:rPr>
                <w:sz w:val="20"/>
                <w:szCs w:val="20"/>
              </w:rPr>
              <w:sym w:font="Wingdings" w:char="F0FC"/>
            </w:r>
          </w:p>
        </w:tc>
        <w:tc>
          <w:tcPr>
            <w:tcW w:w="1134" w:type="dxa"/>
          </w:tcPr>
          <w:p w14:paraId="18F496D5" w14:textId="77777777" w:rsidR="00A54FE7" w:rsidRPr="00452FEA" w:rsidRDefault="00A54FE7" w:rsidP="00452FEA">
            <w:pPr>
              <w:ind w:left="0" w:right="0"/>
              <w:rPr>
                <w:sz w:val="20"/>
                <w:szCs w:val="20"/>
              </w:rPr>
            </w:pPr>
            <w:r w:rsidRPr="00452FEA">
              <w:rPr>
                <w:sz w:val="20"/>
                <w:szCs w:val="20"/>
              </w:rPr>
              <w:t>–</w:t>
            </w:r>
          </w:p>
        </w:tc>
        <w:tc>
          <w:tcPr>
            <w:tcW w:w="992" w:type="dxa"/>
          </w:tcPr>
          <w:p w14:paraId="7A4B3654" w14:textId="77777777" w:rsidR="00A54FE7" w:rsidRPr="00452FEA" w:rsidRDefault="00A54FE7" w:rsidP="00452FEA">
            <w:pPr>
              <w:ind w:left="0" w:right="0"/>
              <w:rPr>
                <w:sz w:val="20"/>
                <w:szCs w:val="20"/>
              </w:rPr>
            </w:pPr>
            <w:r w:rsidRPr="00452FEA">
              <w:rPr>
                <w:sz w:val="20"/>
                <w:szCs w:val="20"/>
              </w:rPr>
              <w:sym w:font="Wingdings" w:char="F0FC"/>
            </w:r>
          </w:p>
        </w:tc>
        <w:tc>
          <w:tcPr>
            <w:tcW w:w="1164" w:type="dxa"/>
          </w:tcPr>
          <w:p w14:paraId="32702343" w14:textId="77777777" w:rsidR="00A54FE7" w:rsidRPr="00452FEA" w:rsidRDefault="00A54FE7" w:rsidP="00452FEA">
            <w:pPr>
              <w:ind w:left="0" w:right="0"/>
              <w:rPr>
                <w:sz w:val="20"/>
                <w:szCs w:val="20"/>
              </w:rPr>
            </w:pPr>
            <w:r w:rsidRPr="00452FEA">
              <w:rPr>
                <w:sz w:val="20"/>
                <w:szCs w:val="20"/>
              </w:rPr>
              <w:t>–</w:t>
            </w:r>
          </w:p>
        </w:tc>
      </w:tr>
      <w:tr w:rsidR="00A54FE7" w:rsidRPr="00452FEA" w14:paraId="58A15F18" w14:textId="77777777" w:rsidTr="003E66D4">
        <w:trPr>
          <w:trHeight w:val="123"/>
        </w:trPr>
        <w:tc>
          <w:tcPr>
            <w:tcW w:w="1384" w:type="dxa"/>
            <w:vMerge/>
          </w:tcPr>
          <w:p w14:paraId="5611288F" w14:textId="77777777" w:rsidR="00A54FE7" w:rsidRPr="00452FEA" w:rsidRDefault="00A54FE7" w:rsidP="00452FEA">
            <w:pPr>
              <w:ind w:left="0" w:right="0"/>
              <w:rPr>
                <w:b/>
                <w:sz w:val="20"/>
                <w:szCs w:val="20"/>
              </w:rPr>
            </w:pPr>
          </w:p>
        </w:tc>
        <w:tc>
          <w:tcPr>
            <w:tcW w:w="3260" w:type="dxa"/>
          </w:tcPr>
          <w:p w14:paraId="6B4DD7BA" w14:textId="77777777" w:rsidR="00A54FE7" w:rsidRPr="00452FEA" w:rsidRDefault="00A54FE7" w:rsidP="00452FEA">
            <w:pPr>
              <w:ind w:left="0" w:right="0"/>
              <w:rPr>
                <w:sz w:val="20"/>
                <w:szCs w:val="20"/>
              </w:rPr>
            </w:pPr>
            <w:r w:rsidRPr="00452FEA">
              <w:rPr>
                <w:sz w:val="20"/>
                <w:szCs w:val="20"/>
              </w:rPr>
              <w:t>Encephalitis/myelitis</w:t>
            </w:r>
          </w:p>
        </w:tc>
        <w:tc>
          <w:tcPr>
            <w:tcW w:w="993" w:type="dxa"/>
          </w:tcPr>
          <w:p w14:paraId="2459FC59" w14:textId="77777777" w:rsidR="00A54FE7" w:rsidRPr="00452FEA" w:rsidRDefault="00A54FE7" w:rsidP="00452FEA">
            <w:pPr>
              <w:ind w:left="0" w:right="0"/>
              <w:rPr>
                <w:sz w:val="20"/>
                <w:szCs w:val="20"/>
              </w:rPr>
            </w:pPr>
            <w:r w:rsidRPr="00452FEA">
              <w:rPr>
                <w:sz w:val="20"/>
                <w:szCs w:val="20"/>
              </w:rPr>
              <w:sym w:font="Wingdings" w:char="F0FC"/>
            </w:r>
          </w:p>
        </w:tc>
        <w:tc>
          <w:tcPr>
            <w:tcW w:w="1134" w:type="dxa"/>
          </w:tcPr>
          <w:p w14:paraId="2B32ACE3" w14:textId="77777777" w:rsidR="00A54FE7" w:rsidRPr="00452FEA" w:rsidRDefault="00A54FE7" w:rsidP="00452FEA">
            <w:pPr>
              <w:ind w:left="0" w:right="0"/>
              <w:rPr>
                <w:sz w:val="20"/>
                <w:szCs w:val="20"/>
              </w:rPr>
            </w:pPr>
            <w:r w:rsidRPr="00452FEA">
              <w:rPr>
                <w:sz w:val="20"/>
                <w:szCs w:val="20"/>
              </w:rPr>
              <w:t>–</w:t>
            </w:r>
          </w:p>
        </w:tc>
        <w:tc>
          <w:tcPr>
            <w:tcW w:w="992" w:type="dxa"/>
          </w:tcPr>
          <w:p w14:paraId="521F500A" w14:textId="77777777" w:rsidR="00A54FE7" w:rsidRPr="00452FEA" w:rsidRDefault="00A54FE7" w:rsidP="00452FEA">
            <w:pPr>
              <w:ind w:left="0" w:right="0"/>
              <w:rPr>
                <w:sz w:val="20"/>
                <w:szCs w:val="20"/>
              </w:rPr>
            </w:pPr>
            <w:r w:rsidRPr="00452FEA">
              <w:rPr>
                <w:sz w:val="20"/>
                <w:szCs w:val="20"/>
              </w:rPr>
              <w:sym w:font="Wingdings" w:char="F0FC"/>
            </w:r>
          </w:p>
        </w:tc>
        <w:tc>
          <w:tcPr>
            <w:tcW w:w="1164" w:type="dxa"/>
          </w:tcPr>
          <w:p w14:paraId="164E65BA" w14:textId="77777777" w:rsidR="00A54FE7" w:rsidRPr="00452FEA" w:rsidRDefault="00A54FE7" w:rsidP="00452FEA">
            <w:pPr>
              <w:ind w:left="0" w:right="0"/>
              <w:rPr>
                <w:sz w:val="20"/>
                <w:szCs w:val="20"/>
              </w:rPr>
            </w:pPr>
            <w:r w:rsidRPr="00452FEA">
              <w:rPr>
                <w:sz w:val="20"/>
                <w:szCs w:val="20"/>
              </w:rPr>
              <w:t>–</w:t>
            </w:r>
          </w:p>
        </w:tc>
      </w:tr>
      <w:tr w:rsidR="00A54FE7" w:rsidRPr="00452FEA" w14:paraId="31919FD6" w14:textId="77777777" w:rsidTr="003E66D4">
        <w:trPr>
          <w:trHeight w:val="123"/>
        </w:trPr>
        <w:tc>
          <w:tcPr>
            <w:tcW w:w="1384" w:type="dxa"/>
            <w:vMerge/>
          </w:tcPr>
          <w:p w14:paraId="41CA0358" w14:textId="77777777" w:rsidR="00A54FE7" w:rsidRPr="00452FEA" w:rsidRDefault="00A54FE7" w:rsidP="00452FEA">
            <w:pPr>
              <w:ind w:left="0" w:right="0"/>
              <w:rPr>
                <w:b/>
                <w:sz w:val="20"/>
                <w:szCs w:val="20"/>
              </w:rPr>
            </w:pPr>
          </w:p>
        </w:tc>
        <w:tc>
          <w:tcPr>
            <w:tcW w:w="3260" w:type="dxa"/>
          </w:tcPr>
          <w:p w14:paraId="7DEF28D2" w14:textId="77777777" w:rsidR="00A54FE7" w:rsidRPr="00452FEA" w:rsidRDefault="00A54FE7" w:rsidP="00452FEA">
            <w:pPr>
              <w:ind w:left="0" w:right="0"/>
              <w:rPr>
                <w:sz w:val="20"/>
                <w:szCs w:val="20"/>
              </w:rPr>
            </w:pPr>
            <w:r w:rsidRPr="00452FEA">
              <w:rPr>
                <w:sz w:val="20"/>
                <w:szCs w:val="20"/>
              </w:rPr>
              <w:t>Neuritis (including Bell’s palsy)</w:t>
            </w:r>
          </w:p>
        </w:tc>
        <w:tc>
          <w:tcPr>
            <w:tcW w:w="993" w:type="dxa"/>
          </w:tcPr>
          <w:p w14:paraId="5AFE0908" w14:textId="77777777" w:rsidR="00A54FE7" w:rsidRPr="00452FEA" w:rsidRDefault="00A54FE7" w:rsidP="00452FEA">
            <w:pPr>
              <w:ind w:left="0" w:right="0"/>
              <w:rPr>
                <w:sz w:val="20"/>
                <w:szCs w:val="20"/>
              </w:rPr>
            </w:pPr>
            <w:r w:rsidRPr="00452FEA">
              <w:rPr>
                <w:sz w:val="20"/>
                <w:szCs w:val="20"/>
              </w:rPr>
              <w:sym w:font="Wingdings" w:char="F0FC"/>
            </w:r>
          </w:p>
        </w:tc>
        <w:tc>
          <w:tcPr>
            <w:tcW w:w="1134" w:type="dxa"/>
          </w:tcPr>
          <w:p w14:paraId="5EAD64C7" w14:textId="77777777" w:rsidR="00A54FE7" w:rsidRPr="00452FEA" w:rsidRDefault="00A54FE7" w:rsidP="00452FEA">
            <w:pPr>
              <w:ind w:left="0" w:right="0"/>
              <w:rPr>
                <w:sz w:val="20"/>
                <w:szCs w:val="20"/>
              </w:rPr>
            </w:pPr>
            <w:r w:rsidRPr="00452FEA">
              <w:rPr>
                <w:sz w:val="20"/>
                <w:szCs w:val="20"/>
              </w:rPr>
              <w:t>–</w:t>
            </w:r>
          </w:p>
        </w:tc>
        <w:tc>
          <w:tcPr>
            <w:tcW w:w="992" w:type="dxa"/>
          </w:tcPr>
          <w:p w14:paraId="3CFFFD36" w14:textId="77777777" w:rsidR="00A54FE7" w:rsidRPr="00452FEA" w:rsidRDefault="00A54FE7" w:rsidP="00452FEA">
            <w:pPr>
              <w:ind w:left="0" w:right="0"/>
              <w:rPr>
                <w:sz w:val="20"/>
                <w:szCs w:val="20"/>
              </w:rPr>
            </w:pPr>
            <w:r w:rsidRPr="00452FEA">
              <w:rPr>
                <w:sz w:val="20"/>
                <w:szCs w:val="20"/>
              </w:rPr>
              <w:sym w:font="Wingdings" w:char="F0FC"/>
            </w:r>
          </w:p>
        </w:tc>
        <w:tc>
          <w:tcPr>
            <w:tcW w:w="1164" w:type="dxa"/>
          </w:tcPr>
          <w:p w14:paraId="43A1CF11" w14:textId="77777777" w:rsidR="00A54FE7" w:rsidRPr="00452FEA" w:rsidRDefault="00A54FE7" w:rsidP="00452FEA">
            <w:pPr>
              <w:ind w:left="0" w:right="0"/>
              <w:rPr>
                <w:sz w:val="20"/>
                <w:szCs w:val="20"/>
              </w:rPr>
            </w:pPr>
            <w:r w:rsidRPr="00452FEA">
              <w:rPr>
                <w:sz w:val="20"/>
                <w:szCs w:val="20"/>
              </w:rPr>
              <w:t>–</w:t>
            </w:r>
          </w:p>
        </w:tc>
      </w:tr>
      <w:tr w:rsidR="00A54FE7" w:rsidRPr="00452FEA" w14:paraId="2DAC6EBD" w14:textId="77777777" w:rsidTr="003E66D4">
        <w:trPr>
          <w:trHeight w:val="123"/>
        </w:trPr>
        <w:tc>
          <w:tcPr>
            <w:tcW w:w="1384" w:type="dxa"/>
            <w:vMerge/>
          </w:tcPr>
          <w:p w14:paraId="3AAD945B" w14:textId="77777777" w:rsidR="00A54FE7" w:rsidRPr="00452FEA" w:rsidRDefault="00A54FE7" w:rsidP="00452FEA">
            <w:pPr>
              <w:ind w:left="0" w:right="0"/>
              <w:rPr>
                <w:b/>
                <w:sz w:val="20"/>
                <w:szCs w:val="20"/>
              </w:rPr>
            </w:pPr>
          </w:p>
        </w:tc>
        <w:tc>
          <w:tcPr>
            <w:tcW w:w="3260" w:type="dxa"/>
          </w:tcPr>
          <w:p w14:paraId="30214911" w14:textId="77777777" w:rsidR="00A54FE7" w:rsidRPr="00452FEA" w:rsidRDefault="00A54FE7" w:rsidP="00452FEA">
            <w:pPr>
              <w:ind w:left="0" w:right="0"/>
              <w:rPr>
                <w:sz w:val="20"/>
                <w:szCs w:val="20"/>
              </w:rPr>
            </w:pPr>
            <w:r w:rsidRPr="00452FEA">
              <w:rPr>
                <w:sz w:val="20"/>
                <w:szCs w:val="20"/>
              </w:rPr>
              <w:t>Vasculitis</w:t>
            </w:r>
          </w:p>
        </w:tc>
        <w:tc>
          <w:tcPr>
            <w:tcW w:w="993" w:type="dxa"/>
          </w:tcPr>
          <w:p w14:paraId="07FCDB22" w14:textId="77777777" w:rsidR="00A54FE7" w:rsidRPr="00452FEA" w:rsidRDefault="00A54FE7" w:rsidP="00452FEA">
            <w:pPr>
              <w:ind w:left="0" w:right="0"/>
              <w:rPr>
                <w:sz w:val="20"/>
                <w:szCs w:val="20"/>
              </w:rPr>
            </w:pPr>
            <w:r w:rsidRPr="00452FEA">
              <w:rPr>
                <w:sz w:val="20"/>
                <w:szCs w:val="20"/>
              </w:rPr>
              <w:sym w:font="Wingdings" w:char="F0FC"/>
            </w:r>
          </w:p>
        </w:tc>
        <w:tc>
          <w:tcPr>
            <w:tcW w:w="1134" w:type="dxa"/>
          </w:tcPr>
          <w:p w14:paraId="0A6F658C" w14:textId="77777777" w:rsidR="00A54FE7" w:rsidRPr="00452FEA" w:rsidRDefault="00A54FE7" w:rsidP="00452FEA">
            <w:pPr>
              <w:ind w:left="0" w:right="0"/>
              <w:rPr>
                <w:sz w:val="20"/>
                <w:szCs w:val="20"/>
              </w:rPr>
            </w:pPr>
            <w:r w:rsidRPr="00452FEA">
              <w:rPr>
                <w:sz w:val="20"/>
                <w:szCs w:val="20"/>
              </w:rPr>
              <w:t>–</w:t>
            </w:r>
          </w:p>
        </w:tc>
        <w:tc>
          <w:tcPr>
            <w:tcW w:w="992" w:type="dxa"/>
          </w:tcPr>
          <w:p w14:paraId="6E975631" w14:textId="77777777" w:rsidR="00A54FE7" w:rsidRPr="00452FEA" w:rsidRDefault="00A54FE7" w:rsidP="00452FEA">
            <w:pPr>
              <w:ind w:left="0" w:right="0"/>
              <w:rPr>
                <w:sz w:val="20"/>
                <w:szCs w:val="20"/>
              </w:rPr>
            </w:pPr>
            <w:r w:rsidRPr="00452FEA">
              <w:rPr>
                <w:sz w:val="20"/>
                <w:szCs w:val="20"/>
              </w:rPr>
              <w:sym w:font="Wingdings" w:char="F0FC"/>
            </w:r>
          </w:p>
        </w:tc>
        <w:tc>
          <w:tcPr>
            <w:tcW w:w="1164" w:type="dxa"/>
          </w:tcPr>
          <w:p w14:paraId="3ED287B1" w14:textId="77777777" w:rsidR="00A54FE7" w:rsidRPr="00452FEA" w:rsidRDefault="00A54FE7" w:rsidP="00452FEA">
            <w:pPr>
              <w:ind w:left="0" w:right="0"/>
              <w:rPr>
                <w:sz w:val="20"/>
                <w:szCs w:val="20"/>
              </w:rPr>
            </w:pPr>
            <w:r w:rsidRPr="00452FEA">
              <w:rPr>
                <w:sz w:val="20"/>
                <w:szCs w:val="20"/>
              </w:rPr>
              <w:t>–</w:t>
            </w:r>
          </w:p>
        </w:tc>
      </w:tr>
      <w:tr w:rsidR="00A54FE7" w:rsidRPr="00452FEA" w14:paraId="37157FAB" w14:textId="77777777" w:rsidTr="003E66D4">
        <w:trPr>
          <w:trHeight w:val="113"/>
        </w:trPr>
        <w:tc>
          <w:tcPr>
            <w:tcW w:w="1384" w:type="dxa"/>
            <w:vMerge/>
          </w:tcPr>
          <w:p w14:paraId="4B210F8B" w14:textId="77777777" w:rsidR="00A54FE7" w:rsidRPr="00452FEA" w:rsidRDefault="00A54FE7" w:rsidP="00452FEA">
            <w:pPr>
              <w:ind w:left="0" w:right="0"/>
              <w:rPr>
                <w:b/>
                <w:sz w:val="20"/>
                <w:szCs w:val="20"/>
              </w:rPr>
            </w:pPr>
          </w:p>
        </w:tc>
        <w:tc>
          <w:tcPr>
            <w:tcW w:w="3260" w:type="dxa"/>
          </w:tcPr>
          <w:p w14:paraId="4E5E1AE4" w14:textId="77777777" w:rsidR="00A54FE7" w:rsidRPr="00452FEA" w:rsidRDefault="00A54FE7" w:rsidP="00452FEA">
            <w:pPr>
              <w:ind w:left="0" w:right="0"/>
              <w:rPr>
                <w:sz w:val="20"/>
                <w:szCs w:val="20"/>
              </w:rPr>
            </w:pPr>
            <w:r w:rsidRPr="00452FEA">
              <w:rPr>
                <w:sz w:val="20"/>
                <w:szCs w:val="20"/>
              </w:rPr>
              <w:t>Thrombocytopenia</w:t>
            </w:r>
          </w:p>
        </w:tc>
        <w:tc>
          <w:tcPr>
            <w:tcW w:w="993" w:type="dxa"/>
          </w:tcPr>
          <w:p w14:paraId="0B3A7D0A" w14:textId="77777777" w:rsidR="00A54FE7" w:rsidRPr="00452FEA" w:rsidRDefault="00A54FE7" w:rsidP="00452FEA">
            <w:pPr>
              <w:ind w:left="0" w:right="0"/>
              <w:rPr>
                <w:sz w:val="20"/>
                <w:szCs w:val="20"/>
              </w:rPr>
            </w:pPr>
            <w:r w:rsidRPr="00452FEA">
              <w:rPr>
                <w:sz w:val="20"/>
                <w:szCs w:val="20"/>
              </w:rPr>
              <w:sym w:font="Wingdings" w:char="F0FC"/>
            </w:r>
          </w:p>
        </w:tc>
        <w:tc>
          <w:tcPr>
            <w:tcW w:w="1134" w:type="dxa"/>
          </w:tcPr>
          <w:p w14:paraId="5DDBA4CC" w14:textId="77777777" w:rsidR="00A54FE7" w:rsidRPr="00452FEA" w:rsidRDefault="00A54FE7" w:rsidP="00452FEA">
            <w:pPr>
              <w:ind w:left="0" w:right="0"/>
              <w:rPr>
                <w:sz w:val="20"/>
                <w:szCs w:val="20"/>
              </w:rPr>
            </w:pPr>
            <w:r w:rsidRPr="00452FEA">
              <w:rPr>
                <w:sz w:val="20"/>
                <w:szCs w:val="20"/>
              </w:rPr>
              <w:t>–</w:t>
            </w:r>
          </w:p>
        </w:tc>
        <w:tc>
          <w:tcPr>
            <w:tcW w:w="992" w:type="dxa"/>
          </w:tcPr>
          <w:p w14:paraId="4E4E20D7" w14:textId="77777777" w:rsidR="00A54FE7" w:rsidRPr="00452FEA" w:rsidRDefault="00A54FE7" w:rsidP="00452FEA">
            <w:pPr>
              <w:ind w:left="0" w:right="0"/>
              <w:rPr>
                <w:sz w:val="20"/>
                <w:szCs w:val="20"/>
              </w:rPr>
            </w:pPr>
            <w:r w:rsidRPr="00452FEA">
              <w:rPr>
                <w:sz w:val="20"/>
                <w:szCs w:val="20"/>
              </w:rPr>
              <w:sym w:font="Wingdings" w:char="F0FC"/>
            </w:r>
          </w:p>
        </w:tc>
        <w:tc>
          <w:tcPr>
            <w:tcW w:w="1164" w:type="dxa"/>
          </w:tcPr>
          <w:p w14:paraId="264EC62D" w14:textId="77777777" w:rsidR="00A54FE7" w:rsidRPr="00452FEA" w:rsidRDefault="00A54FE7" w:rsidP="00452FEA">
            <w:pPr>
              <w:ind w:left="0" w:right="0"/>
              <w:rPr>
                <w:sz w:val="20"/>
                <w:szCs w:val="20"/>
              </w:rPr>
            </w:pPr>
            <w:r w:rsidRPr="00452FEA">
              <w:rPr>
                <w:sz w:val="20"/>
                <w:szCs w:val="20"/>
              </w:rPr>
              <w:t>–</w:t>
            </w:r>
          </w:p>
        </w:tc>
      </w:tr>
      <w:tr w:rsidR="00A54FE7" w:rsidRPr="00452FEA" w14:paraId="48C93B2F" w14:textId="77777777" w:rsidTr="003E66D4">
        <w:trPr>
          <w:trHeight w:val="179"/>
        </w:trPr>
        <w:tc>
          <w:tcPr>
            <w:tcW w:w="1384" w:type="dxa"/>
            <w:vMerge w:val="restart"/>
          </w:tcPr>
          <w:p w14:paraId="4ECF9C5C" w14:textId="77777777" w:rsidR="00A54FE7" w:rsidRPr="00452FEA" w:rsidRDefault="00A54FE7" w:rsidP="00452FEA">
            <w:pPr>
              <w:ind w:left="0" w:right="0"/>
              <w:rPr>
                <w:b/>
                <w:sz w:val="20"/>
                <w:szCs w:val="20"/>
              </w:rPr>
            </w:pPr>
            <w:r w:rsidRPr="00452FEA">
              <w:rPr>
                <w:b/>
                <w:sz w:val="20"/>
                <w:szCs w:val="20"/>
              </w:rPr>
              <w:t>Missing information</w:t>
            </w:r>
          </w:p>
        </w:tc>
        <w:tc>
          <w:tcPr>
            <w:tcW w:w="3260" w:type="dxa"/>
          </w:tcPr>
          <w:p w14:paraId="0DAE5C14" w14:textId="77777777" w:rsidR="00A54FE7" w:rsidRPr="00452FEA" w:rsidRDefault="00A54FE7" w:rsidP="00452FEA">
            <w:pPr>
              <w:ind w:left="0" w:right="0"/>
              <w:rPr>
                <w:sz w:val="20"/>
                <w:szCs w:val="20"/>
              </w:rPr>
            </w:pPr>
            <w:r w:rsidRPr="00452FEA">
              <w:rPr>
                <w:sz w:val="20"/>
                <w:szCs w:val="20"/>
              </w:rPr>
              <w:t>Very rare unanticipated AEs that could not be identified during the clinical development</w:t>
            </w:r>
          </w:p>
        </w:tc>
        <w:tc>
          <w:tcPr>
            <w:tcW w:w="993" w:type="dxa"/>
          </w:tcPr>
          <w:p w14:paraId="750F18E5" w14:textId="77777777" w:rsidR="00A54FE7" w:rsidRPr="00452FEA" w:rsidRDefault="00A54FE7" w:rsidP="00452FEA">
            <w:pPr>
              <w:ind w:left="0" w:right="0"/>
              <w:rPr>
                <w:sz w:val="20"/>
                <w:szCs w:val="20"/>
              </w:rPr>
            </w:pPr>
            <w:r w:rsidRPr="00452FEA">
              <w:rPr>
                <w:sz w:val="20"/>
                <w:szCs w:val="20"/>
              </w:rPr>
              <w:sym w:font="Wingdings" w:char="F0FC"/>
            </w:r>
          </w:p>
        </w:tc>
        <w:tc>
          <w:tcPr>
            <w:tcW w:w="1134" w:type="dxa"/>
          </w:tcPr>
          <w:p w14:paraId="5F3AFAC8" w14:textId="77777777" w:rsidR="00A54FE7" w:rsidRPr="00452FEA" w:rsidRDefault="00A54FE7" w:rsidP="00452FEA">
            <w:pPr>
              <w:ind w:left="0" w:right="0"/>
              <w:rPr>
                <w:sz w:val="20"/>
                <w:szCs w:val="20"/>
              </w:rPr>
            </w:pPr>
            <w:r w:rsidRPr="00452FEA">
              <w:rPr>
                <w:sz w:val="20"/>
                <w:szCs w:val="20"/>
              </w:rPr>
              <w:t>–</w:t>
            </w:r>
          </w:p>
        </w:tc>
        <w:tc>
          <w:tcPr>
            <w:tcW w:w="992" w:type="dxa"/>
          </w:tcPr>
          <w:p w14:paraId="74B3B294" w14:textId="77777777" w:rsidR="00A54FE7" w:rsidRPr="00452FEA" w:rsidRDefault="00A54FE7" w:rsidP="00452FEA">
            <w:pPr>
              <w:ind w:left="0" w:right="0"/>
              <w:rPr>
                <w:sz w:val="20"/>
                <w:szCs w:val="20"/>
              </w:rPr>
            </w:pPr>
            <w:r w:rsidRPr="00452FEA">
              <w:rPr>
                <w:sz w:val="20"/>
                <w:szCs w:val="20"/>
              </w:rPr>
              <w:sym w:font="Wingdings" w:char="F0FC"/>
            </w:r>
          </w:p>
        </w:tc>
        <w:tc>
          <w:tcPr>
            <w:tcW w:w="1164" w:type="dxa"/>
          </w:tcPr>
          <w:p w14:paraId="2CD6D57F" w14:textId="77777777" w:rsidR="00A54FE7" w:rsidRPr="00452FEA" w:rsidRDefault="00A54FE7" w:rsidP="00452FEA">
            <w:pPr>
              <w:ind w:left="0" w:right="0"/>
              <w:rPr>
                <w:sz w:val="20"/>
                <w:szCs w:val="20"/>
              </w:rPr>
            </w:pPr>
            <w:r w:rsidRPr="00452FEA">
              <w:rPr>
                <w:sz w:val="20"/>
                <w:szCs w:val="20"/>
              </w:rPr>
              <w:t>–</w:t>
            </w:r>
          </w:p>
        </w:tc>
      </w:tr>
      <w:tr w:rsidR="00A54FE7" w:rsidRPr="00452FEA" w14:paraId="7D606947" w14:textId="77777777" w:rsidTr="003E66D4">
        <w:trPr>
          <w:trHeight w:val="104"/>
        </w:trPr>
        <w:tc>
          <w:tcPr>
            <w:tcW w:w="1384" w:type="dxa"/>
            <w:vMerge/>
          </w:tcPr>
          <w:p w14:paraId="6AF04FF1" w14:textId="77777777" w:rsidR="00A54FE7" w:rsidRPr="00452FEA" w:rsidRDefault="00A54FE7" w:rsidP="00452FEA">
            <w:pPr>
              <w:ind w:left="0" w:right="0"/>
              <w:rPr>
                <w:sz w:val="20"/>
                <w:szCs w:val="20"/>
              </w:rPr>
            </w:pPr>
          </w:p>
        </w:tc>
        <w:tc>
          <w:tcPr>
            <w:tcW w:w="3260" w:type="dxa"/>
          </w:tcPr>
          <w:p w14:paraId="2037B089" w14:textId="0E9D9E45" w:rsidR="00A54FE7" w:rsidRPr="00452FEA" w:rsidRDefault="00A54FE7" w:rsidP="00452FEA">
            <w:pPr>
              <w:ind w:left="0" w:right="0"/>
              <w:rPr>
                <w:sz w:val="20"/>
                <w:szCs w:val="20"/>
              </w:rPr>
            </w:pPr>
            <w:r w:rsidRPr="00452FEA">
              <w:rPr>
                <w:sz w:val="20"/>
                <w:szCs w:val="20"/>
              </w:rPr>
              <w:t>Use</w:t>
            </w:r>
            <w:r w:rsidR="00876012">
              <w:rPr>
                <w:sz w:val="20"/>
                <w:szCs w:val="20"/>
              </w:rPr>
              <w:t xml:space="preserve"> in pregnant or lactating women</w:t>
            </w:r>
          </w:p>
        </w:tc>
        <w:tc>
          <w:tcPr>
            <w:tcW w:w="993" w:type="dxa"/>
          </w:tcPr>
          <w:p w14:paraId="137C4579" w14:textId="77777777" w:rsidR="00A54FE7" w:rsidRPr="00452FEA" w:rsidRDefault="00A54FE7" w:rsidP="00452FEA">
            <w:pPr>
              <w:ind w:left="0" w:right="0"/>
              <w:rPr>
                <w:sz w:val="20"/>
                <w:szCs w:val="20"/>
                <w:vertAlign w:val="superscript"/>
              </w:rPr>
            </w:pPr>
            <w:r w:rsidRPr="00452FEA">
              <w:rPr>
                <w:sz w:val="20"/>
                <w:szCs w:val="20"/>
              </w:rPr>
              <w:sym w:font="Wingdings" w:char="F0FC"/>
            </w:r>
            <w:r w:rsidRPr="00452FEA">
              <w:rPr>
                <w:sz w:val="20"/>
                <w:szCs w:val="20"/>
                <w:vertAlign w:val="superscript"/>
              </w:rPr>
              <w:t>1</w:t>
            </w:r>
          </w:p>
        </w:tc>
        <w:tc>
          <w:tcPr>
            <w:tcW w:w="1134" w:type="dxa"/>
          </w:tcPr>
          <w:p w14:paraId="2181F44C" w14:textId="77777777" w:rsidR="00A54FE7" w:rsidRPr="00452FEA" w:rsidRDefault="00A54FE7" w:rsidP="00452FEA">
            <w:pPr>
              <w:ind w:left="0" w:right="0"/>
              <w:rPr>
                <w:sz w:val="20"/>
                <w:szCs w:val="20"/>
                <w:vertAlign w:val="superscript"/>
              </w:rPr>
            </w:pPr>
            <w:r w:rsidRPr="00452FEA">
              <w:rPr>
                <w:sz w:val="20"/>
                <w:szCs w:val="20"/>
              </w:rPr>
              <w:sym w:font="Wingdings" w:char="F0FC"/>
            </w:r>
            <w:r w:rsidRPr="00452FEA">
              <w:rPr>
                <w:sz w:val="20"/>
                <w:szCs w:val="20"/>
                <w:vertAlign w:val="superscript"/>
              </w:rPr>
              <w:t>2</w:t>
            </w:r>
          </w:p>
        </w:tc>
        <w:tc>
          <w:tcPr>
            <w:tcW w:w="992" w:type="dxa"/>
          </w:tcPr>
          <w:p w14:paraId="1185CA13" w14:textId="77777777" w:rsidR="00A54FE7" w:rsidRPr="00452FEA" w:rsidRDefault="00A54FE7" w:rsidP="00452FEA">
            <w:pPr>
              <w:ind w:left="0" w:right="0"/>
              <w:rPr>
                <w:sz w:val="20"/>
                <w:szCs w:val="20"/>
              </w:rPr>
            </w:pPr>
            <w:r w:rsidRPr="00452FEA">
              <w:rPr>
                <w:sz w:val="20"/>
                <w:szCs w:val="20"/>
              </w:rPr>
              <w:t xml:space="preserve"> </w:t>
            </w:r>
            <w:r w:rsidRPr="00452FEA">
              <w:rPr>
                <w:sz w:val="20"/>
                <w:szCs w:val="20"/>
              </w:rPr>
              <w:sym w:font="Wingdings" w:char="F0FC"/>
            </w:r>
          </w:p>
        </w:tc>
        <w:tc>
          <w:tcPr>
            <w:tcW w:w="1164" w:type="dxa"/>
          </w:tcPr>
          <w:p w14:paraId="54A5F2CC" w14:textId="77777777" w:rsidR="00A54FE7" w:rsidRPr="00452FEA" w:rsidRDefault="00A54FE7" w:rsidP="00452FEA">
            <w:pPr>
              <w:ind w:left="0" w:right="0"/>
              <w:rPr>
                <w:sz w:val="20"/>
                <w:szCs w:val="20"/>
              </w:rPr>
            </w:pPr>
            <w:r w:rsidRPr="00452FEA">
              <w:rPr>
                <w:sz w:val="20"/>
                <w:szCs w:val="20"/>
              </w:rPr>
              <w:t>–</w:t>
            </w:r>
          </w:p>
        </w:tc>
      </w:tr>
      <w:tr w:rsidR="00A54FE7" w:rsidRPr="00452FEA" w14:paraId="6E4D34BD" w14:textId="77777777" w:rsidTr="003E66D4">
        <w:trPr>
          <w:trHeight w:val="104"/>
        </w:trPr>
        <w:tc>
          <w:tcPr>
            <w:tcW w:w="1384" w:type="dxa"/>
            <w:vMerge/>
          </w:tcPr>
          <w:p w14:paraId="76B3BB95" w14:textId="77777777" w:rsidR="00A54FE7" w:rsidRPr="00452FEA" w:rsidRDefault="00A54FE7" w:rsidP="00452FEA">
            <w:pPr>
              <w:ind w:left="0" w:right="0"/>
              <w:rPr>
                <w:sz w:val="20"/>
                <w:szCs w:val="20"/>
              </w:rPr>
            </w:pPr>
          </w:p>
        </w:tc>
        <w:tc>
          <w:tcPr>
            <w:tcW w:w="3260" w:type="dxa"/>
          </w:tcPr>
          <w:p w14:paraId="68302775" w14:textId="7DE20F1D" w:rsidR="00A54FE7" w:rsidRPr="00452FEA" w:rsidRDefault="00A54FE7" w:rsidP="00452FEA">
            <w:pPr>
              <w:ind w:left="0" w:right="0"/>
              <w:rPr>
                <w:sz w:val="20"/>
                <w:szCs w:val="20"/>
              </w:rPr>
            </w:pPr>
            <w:r w:rsidRPr="00452FEA">
              <w:rPr>
                <w:sz w:val="20"/>
                <w:szCs w:val="20"/>
              </w:rPr>
              <w:t>Use</w:t>
            </w:r>
            <w:r w:rsidR="00876012">
              <w:rPr>
                <w:sz w:val="20"/>
                <w:szCs w:val="20"/>
              </w:rPr>
              <w:t xml:space="preserve"> in immune-compromised patients</w:t>
            </w:r>
          </w:p>
        </w:tc>
        <w:tc>
          <w:tcPr>
            <w:tcW w:w="993" w:type="dxa"/>
          </w:tcPr>
          <w:p w14:paraId="1A6695BD" w14:textId="77777777" w:rsidR="00A54FE7" w:rsidRPr="00452FEA" w:rsidRDefault="00A54FE7" w:rsidP="00452FEA">
            <w:pPr>
              <w:ind w:left="0" w:right="0"/>
              <w:rPr>
                <w:sz w:val="20"/>
                <w:szCs w:val="20"/>
                <w:vertAlign w:val="superscript"/>
              </w:rPr>
            </w:pPr>
            <w:r w:rsidRPr="00452FEA">
              <w:rPr>
                <w:sz w:val="20"/>
                <w:szCs w:val="20"/>
              </w:rPr>
              <w:sym w:font="Wingdings" w:char="F0FC"/>
            </w:r>
            <w:r w:rsidRPr="00452FEA">
              <w:rPr>
                <w:sz w:val="20"/>
                <w:szCs w:val="20"/>
                <w:vertAlign w:val="superscript"/>
              </w:rPr>
              <w:t>1</w:t>
            </w:r>
          </w:p>
        </w:tc>
        <w:tc>
          <w:tcPr>
            <w:tcW w:w="1134" w:type="dxa"/>
          </w:tcPr>
          <w:p w14:paraId="6C8B2C27" w14:textId="77777777" w:rsidR="00A54FE7" w:rsidRPr="00452FEA" w:rsidRDefault="00A54FE7" w:rsidP="00452FEA">
            <w:pPr>
              <w:ind w:left="0" w:right="0"/>
              <w:rPr>
                <w:sz w:val="20"/>
                <w:szCs w:val="20"/>
              </w:rPr>
            </w:pPr>
            <w:r w:rsidRPr="00452FEA">
              <w:rPr>
                <w:sz w:val="20"/>
                <w:szCs w:val="20"/>
              </w:rPr>
              <w:t>–</w:t>
            </w:r>
          </w:p>
        </w:tc>
        <w:tc>
          <w:tcPr>
            <w:tcW w:w="992" w:type="dxa"/>
          </w:tcPr>
          <w:p w14:paraId="3229D2B9" w14:textId="77777777" w:rsidR="00A54FE7" w:rsidRPr="00452FEA" w:rsidRDefault="00A54FE7" w:rsidP="00452FEA">
            <w:pPr>
              <w:ind w:left="0" w:right="0"/>
              <w:rPr>
                <w:sz w:val="20"/>
                <w:szCs w:val="20"/>
              </w:rPr>
            </w:pPr>
            <w:r w:rsidRPr="00452FEA">
              <w:rPr>
                <w:sz w:val="20"/>
                <w:szCs w:val="20"/>
              </w:rPr>
              <w:sym w:font="Wingdings" w:char="F0FC"/>
            </w:r>
          </w:p>
        </w:tc>
        <w:tc>
          <w:tcPr>
            <w:tcW w:w="1164" w:type="dxa"/>
          </w:tcPr>
          <w:p w14:paraId="0985D51B" w14:textId="77777777" w:rsidR="00A54FE7" w:rsidRPr="00452FEA" w:rsidRDefault="00A54FE7" w:rsidP="00452FEA">
            <w:pPr>
              <w:ind w:left="0" w:right="0"/>
              <w:rPr>
                <w:sz w:val="20"/>
                <w:szCs w:val="20"/>
              </w:rPr>
            </w:pPr>
            <w:r w:rsidRPr="00452FEA">
              <w:rPr>
                <w:sz w:val="20"/>
                <w:szCs w:val="20"/>
              </w:rPr>
              <w:t>–</w:t>
            </w:r>
          </w:p>
        </w:tc>
      </w:tr>
      <w:tr w:rsidR="00A54FE7" w:rsidRPr="00452FEA" w14:paraId="6370A5B6" w14:textId="77777777" w:rsidTr="003E66D4">
        <w:trPr>
          <w:trHeight w:val="141"/>
        </w:trPr>
        <w:tc>
          <w:tcPr>
            <w:tcW w:w="1384" w:type="dxa"/>
            <w:vMerge/>
          </w:tcPr>
          <w:p w14:paraId="22ED1EE3" w14:textId="77777777" w:rsidR="00A54FE7" w:rsidRPr="00452FEA" w:rsidRDefault="00A54FE7" w:rsidP="00452FEA">
            <w:pPr>
              <w:ind w:left="0" w:right="0"/>
              <w:rPr>
                <w:sz w:val="20"/>
                <w:szCs w:val="20"/>
              </w:rPr>
            </w:pPr>
          </w:p>
        </w:tc>
        <w:tc>
          <w:tcPr>
            <w:tcW w:w="3260" w:type="dxa"/>
          </w:tcPr>
          <w:p w14:paraId="7DC6B76A" w14:textId="2632B015" w:rsidR="00A54FE7" w:rsidRPr="00452FEA" w:rsidRDefault="00876012" w:rsidP="00452FEA">
            <w:pPr>
              <w:ind w:left="0" w:right="0"/>
              <w:rPr>
                <w:sz w:val="20"/>
                <w:szCs w:val="20"/>
              </w:rPr>
            </w:pPr>
            <w:r>
              <w:rPr>
                <w:sz w:val="20"/>
                <w:szCs w:val="20"/>
              </w:rPr>
              <w:t>Vaccine effectiveness</w:t>
            </w:r>
          </w:p>
        </w:tc>
        <w:tc>
          <w:tcPr>
            <w:tcW w:w="993" w:type="dxa"/>
          </w:tcPr>
          <w:p w14:paraId="4B774C40" w14:textId="77777777" w:rsidR="00A54FE7" w:rsidRPr="00452FEA" w:rsidRDefault="00A54FE7" w:rsidP="00452FEA">
            <w:pPr>
              <w:ind w:left="0" w:right="0"/>
              <w:rPr>
                <w:sz w:val="20"/>
                <w:szCs w:val="20"/>
              </w:rPr>
            </w:pPr>
            <w:r w:rsidRPr="00452FEA">
              <w:rPr>
                <w:sz w:val="20"/>
                <w:szCs w:val="20"/>
              </w:rPr>
              <w:sym w:font="Wingdings" w:char="F0FC"/>
            </w:r>
          </w:p>
        </w:tc>
        <w:tc>
          <w:tcPr>
            <w:tcW w:w="1134" w:type="dxa"/>
          </w:tcPr>
          <w:p w14:paraId="3AB51F13" w14:textId="77777777" w:rsidR="00A54FE7" w:rsidRPr="00452FEA" w:rsidRDefault="00A54FE7" w:rsidP="00452FEA">
            <w:pPr>
              <w:ind w:left="0" w:right="0"/>
              <w:rPr>
                <w:sz w:val="20"/>
                <w:szCs w:val="20"/>
                <w:vertAlign w:val="superscript"/>
              </w:rPr>
            </w:pPr>
            <w:r w:rsidRPr="00452FEA">
              <w:rPr>
                <w:sz w:val="20"/>
                <w:szCs w:val="20"/>
              </w:rPr>
              <w:sym w:font="Wingdings" w:char="F0FC"/>
            </w:r>
            <w:r w:rsidRPr="00452FEA">
              <w:rPr>
                <w:sz w:val="20"/>
                <w:szCs w:val="20"/>
                <w:vertAlign w:val="superscript"/>
              </w:rPr>
              <w:t>3</w:t>
            </w:r>
          </w:p>
        </w:tc>
        <w:tc>
          <w:tcPr>
            <w:tcW w:w="992" w:type="dxa"/>
          </w:tcPr>
          <w:p w14:paraId="5175DDFD" w14:textId="77777777" w:rsidR="00A54FE7" w:rsidRPr="00452FEA" w:rsidRDefault="00A54FE7" w:rsidP="00452FEA">
            <w:pPr>
              <w:ind w:left="0" w:right="0"/>
              <w:rPr>
                <w:sz w:val="20"/>
                <w:szCs w:val="20"/>
              </w:rPr>
            </w:pPr>
            <w:r w:rsidRPr="00452FEA">
              <w:rPr>
                <w:sz w:val="20"/>
                <w:szCs w:val="20"/>
              </w:rPr>
              <w:sym w:font="Wingdings" w:char="F0FC"/>
            </w:r>
          </w:p>
        </w:tc>
        <w:tc>
          <w:tcPr>
            <w:tcW w:w="1164" w:type="dxa"/>
          </w:tcPr>
          <w:p w14:paraId="31D214B1" w14:textId="77777777" w:rsidR="00A54FE7" w:rsidRPr="00452FEA" w:rsidRDefault="00A54FE7" w:rsidP="00452FEA">
            <w:pPr>
              <w:ind w:left="0" w:right="0"/>
              <w:rPr>
                <w:sz w:val="20"/>
                <w:szCs w:val="20"/>
              </w:rPr>
            </w:pPr>
            <w:r w:rsidRPr="00452FEA">
              <w:rPr>
                <w:sz w:val="20"/>
                <w:szCs w:val="20"/>
              </w:rPr>
              <w:t>–</w:t>
            </w:r>
          </w:p>
        </w:tc>
      </w:tr>
    </w:tbl>
    <w:p w14:paraId="068B24B7" w14:textId="478C0670" w:rsidR="00A54FE7" w:rsidRDefault="00A54FE7" w:rsidP="00452FEA">
      <w:pPr>
        <w:pStyle w:val="TableDescription"/>
      </w:pPr>
      <w:r>
        <w:t>1</w:t>
      </w:r>
      <w:r w:rsidR="00452FEA">
        <w:t xml:space="preserve">: </w:t>
      </w:r>
      <w:r>
        <w:t>Specific adverse rea</w:t>
      </w:r>
      <w:r w:rsidR="00452FEA">
        <w:t xml:space="preserve">ction follow-up questionnaire. </w:t>
      </w:r>
      <w:r>
        <w:t>2</w:t>
      </w:r>
      <w:r w:rsidR="00452FEA">
        <w:t xml:space="preserve">: Phase IV clinical trial. </w:t>
      </w:r>
      <w:r>
        <w:t>3</w:t>
      </w:r>
      <w:r w:rsidR="00452FEA">
        <w:t>: Research network project.</w:t>
      </w:r>
    </w:p>
    <w:p w14:paraId="230C3695" w14:textId="0B5935C5" w:rsidR="00A54FE7" w:rsidRPr="00F13519" w:rsidRDefault="00A54FE7" w:rsidP="00452FEA">
      <w:pPr>
        <w:pStyle w:val="ListBullet"/>
      </w:pPr>
      <w:r w:rsidRPr="00F13519">
        <w:t>Routine pharmacovigilance has been proposed to monitor all the safety concerns. A</w:t>
      </w:r>
      <w:r w:rsidR="00452FEA">
        <w:t>dditional monitoring through a P</w:t>
      </w:r>
      <w:r w:rsidRPr="00F13519">
        <w:t>hase IV clinical trial and a research network project in the EU have been proposed to monitor missing information ‘use in pregnant or lactating women’ and ‘vaccine effectiveness’. The s</w:t>
      </w:r>
      <w:r>
        <w:t>ponsor is committed to conducting an enhanced surveillan</w:t>
      </w:r>
      <w:r w:rsidR="00452FEA">
        <w:t>ce program when being required.</w:t>
      </w:r>
    </w:p>
    <w:p w14:paraId="7D30B368" w14:textId="19A3BCFB" w:rsidR="00A54FE7" w:rsidRDefault="00A54FE7" w:rsidP="00452FEA">
      <w:pPr>
        <w:pStyle w:val="ListBullet"/>
      </w:pPr>
      <w:r w:rsidRPr="00702F0F">
        <w:t xml:space="preserve">Routine risk minimisation has been proposed to mitigate all the safety concerns. This approach is consistent with other </w:t>
      </w:r>
      <w:r w:rsidR="00452FEA">
        <w:t>inactivated influenza vaccines.</w:t>
      </w:r>
    </w:p>
    <w:p w14:paraId="505F9E7B" w14:textId="77777777" w:rsidR="008E7846" w:rsidRDefault="00AA0ED0" w:rsidP="008E7846">
      <w:pPr>
        <w:pStyle w:val="Heading3"/>
      </w:pPr>
      <w:bookmarkStart w:id="54" w:name="_Toc247691531"/>
      <w:bookmarkStart w:id="55" w:name="_Toc314842515"/>
      <w:bookmarkStart w:id="56" w:name="_Toc196046505"/>
      <w:bookmarkStart w:id="57" w:name="_Toc196046949"/>
      <w:bookmarkStart w:id="58" w:name="_Toc30581708"/>
      <w:r>
        <w:t>Risk-benefit a</w:t>
      </w:r>
      <w:r w:rsidR="008E7846">
        <w:t>nalysis</w:t>
      </w:r>
      <w:bookmarkEnd w:id="54"/>
      <w:bookmarkEnd w:id="55"/>
      <w:bookmarkEnd w:id="58"/>
    </w:p>
    <w:p w14:paraId="7F4FBEB4" w14:textId="77777777" w:rsidR="00D23139" w:rsidRDefault="00A54FE7" w:rsidP="00D23139">
      <w:pPr>
        <w:pStyle w:val="Heading4"/>
      </w:pPr>
      <w:r>
        <w:t>Delegate’s considerations</w:t>
      </w:r>
    </w:p>
    <w:p w14:paraId="7EA0DA9D" w14:textId="0B4D6344" w:rsidR="00A54FE7" w:rsidRDefault="00740D4A" w:rsidP="00740D4A">
      <w:r>
        <w:t>The D</w:t>
      </w:r>
      <w:r w:rsidR="00A54FE7">
        <w:t xml:space="preserve">elegate agrees with the clinical evaluator and is of view that </w:t>
      </w:r>
      <w:proofErr w:type="spellStart"/>
      <w:r w:rsidR="00A54FE7">
        <w:t>Vaxigrip</w:t>
      </w:r>
      <w:proofErr w:type="spellEnd"/>
      <w:r w:rsidR="00A54FE7">
        <w:t xml:space="preserve"> Tetra induces a satisfactory post-vaccination immune response in terms of GMTs, GMTRs, and </w:t>
      </w:r>
      <w:r w:rsidRPr="000C2FEC">
        <w:rPr>
          <w:rFonts w:asciiTheme="minorHAnsi" w:hAnsiTheme="minorHAnsi" w:cs="ArialNarrow"/>
        </w:rPr>
        <w:t>seroconversion rate</w:t>
      </w:r>
      <w:r>
        <w:rPr>
          <w:rFonts w:asciiTheme="minorHAnsi" w:hAnsiTheme="minorHAnsi" w:cs="ArialNarrow"/>
        </w:rPr>
        <w:t>s</w:t>
      </w:r>
      <w:r>
        <w:t xml:space="preserve"> (</w:t>
      </w:r>
      <w:r w:rsidR="00A54FE7">
        <w:t>SCRs</w:t>
      </w:r>
      <w:r>
        <w:t>)</w:t>
      </w:r>
      <w:r w:rsidR="00A54FE7">
        <w:t xml:space="preserve"> in all age groups, a</w:t>
      </w:r>
      <w:r>
        <w:t>nd in the youngest age group (6 to 35 </w:t>
      </w:r>
      <w:r w:rsidR="00A54FE7">
        <w:t xml:space="preserve">months), clinical efficacy was demonstrated. </w:t>
      </w:r>
      <w:proofErr w:type="spellStart"/>
      <w:r w:rsidR="00A54FE7">
        <w:t>Vaxigrip</w:t>
      </w:r>
      <w:proofErr w:type="spellEnd"/>
      <w:r w:rsidR="00A54FE7">
        <w:t xml:space="preserve"> Tetra will be one of the QIV recommended at the same d</w:t>
      </w:r>
      <w:r>
        <w:t>ose across the age spectrum, that is,</w:t>
      </w:r>
      <w:r w:rsidR="00A54FE7">
        <w:t xml:space="preserve"> 6 months of age and older. The safety profile of the QIV is comparable to that of the TIV. The v</w:t>
      </w:r>
      <w:r>
        <w:t xml:space="preserve">accine given as a single or two </w:t>
      </w:r>
      <w:r w:rsidR="00A54FE7">
        <w:t>dose schedule in vaccine naïve children was well tolerated. No safety signal of concern was revealed i</w:t>
      </w:r>
      <w:r>
        <w:t>n any age group given this QIV.</w:t>
      </w:r>
    </w:p>
    <w:p w14:paraId="7BEFBFC1" w14:textId="6432B009" w:rsidR="00A54FE7" w:rsidRDefault="00A54FE7" w:rsidP="00740D4A">
      <w:r>
        <w:t xml:space="preserve">The </w:t>
      </w:r>
      <w:r w:rsidR="00740D4A">
        <w:t>quality</w:t>
      </w:r>
      <w:r>
        <w:t xml:space="preserve"> </w:t>
      </w:r>
      <w:r w:rsidR="00740D4A">
        <w:t>evaluator</w:t>
      </w:r>
      <w:r>
        <w:t xml:space="preserve"> advises that on the basis of </w:t>
      </w:r>
      <w:r w:rsidR="00740D4A">
        <w:t>quality</w:t>
      </w:r>
      <w:r>
        <w:t xml:space="preserve"> assessment, there are no identified quality issues that would preclude the registration of the product, however, there are some issues that need to be fully resolved before it is possible to provide assurances that the product is able to meet all of the requirements of the Therapeutics Goods Act 1989 and its associated instruments. The </w:t>
      </w:r>
      <w:r w:rsidR="00740D4A">
        <w:t>quality</w:t>
      </w:r>
      <w:r>
        <w:t xml:space="preserve"> </w:t>
      </w:r>
      <w:r w:rsidR="00740D4A">
        <w:t>evaluator</w:t>
      </w:r>
      <w:r>
        <w:t xml:space="preserve"> has proposed a list of quality</w:t>
      </w:r>
      <w:r w:rsidR="00740D4A">
        <w:t xml:space="preserve"> ‘conditions of registration’ </w:t>
      </w:r>
      <w:r>
        <w:t>to ensure the product is fully compliant with all of the previously mentioned instruments before release of the produc</w:t>
      </w:r>
      <w:r w:rsidR="00740D4A">
        <w:t>t into the market in Australia (outlined above in ‘</w:t>
      </w:r>
      <w:r w:rsidR="00740D4A" w:rsidRPr="00740D4A">
        <w:rPr>
          <w:i/>
        </w:rPr>
        <w:t>Proposed quality conditions of registration’</w:t>
      </w:r>
      <w:r w:rsidR="00740D4A">
        <w:t>).</w:t>
      </w:r>
    </w:p>
    <w:p w14:paraId="379C3FBB" w14:textId="14B72276" w:rsidR="00A54FE7" w:rsidRDefault="00740D4A" w:rsidP="00740D4A">
      <w:r>
        <w:t>The D</w:t>
      </w:r>
      <w:r w:rsidR="00A54FE7">
        <w:t>elegate considers that there is a positive benefit-risk balance and recommends the approval of this QIV for</w:t>
      </w:r>
      <w:r>
        <w:t xml:space="preserve"> the proposed indication below:</w:t>
      </w:r>
    </w:p>
    <w:p w14:paraId="0045C314" w14:textId="02FE978A" w:rsidR="00A54FE7" w:rsidRPr="00740D4A" w:rsidRDefault="00A54FE7" w:rsidP="00740D4A">
      <w:pPr>
        <w:ind w:left="720"/>
        <w:rPr>
          <w:i/>
        </w:rPr>
      </w:pPr>
      <w:proofErr w:type="spellStart"/>
      <w:r w:rsidRPr="00740D4A">
        <w:rPr>
          <w:i/>
        </w:rPr>
        <w:lastRenderedPageBreak/>
        <w:t>Vaxigrip</w:t>
      </w:r>
      <w:proofErr w:type="spellEnd"/>
      <w:r w:rsidRPr="00740D4A">
        <w:rPr>
          <w:i/>
        </w:rPr>
        <w:t xml:space="preserve"> Tetra is indicated for active immunisation of adults and children from 6 months of age and older for the prevention of influenza disease caused by the two influenza A virus subtypes and the two influenza B virus </w:t>
      </w:r>
      <w:r w:rsidR="00740D4A" w:rsidRPr="00740D4A">
        <w:rPr>
          <w:i/>
        </w:rPr>
        <w:t>types contained in the vaccine.</w:t>
      </w:r>
    </w:p>
    <w:p w14:paraId="0F597716" w14:textId="77777777" w:rsidR="00456765" w:rsidRDefault="00A54FE7" w:rsidP="00740D4A">
      <w:r>
        <w:t>The finalisation of this submission is subjected to the satisfactory resolution of the PI revision and agreement on the conditions of registration.</w:t>
      </w:r>
    </w:p>
    <w:p w14:paraId="3C69224F" w14:textId="77777777" w:rsidR="00D23139" w:rsidRDefault="00D23139" w:rsidP="00D23139">
      <w:pPr>
        <w:pStyle w:val="Heading4"/>
      </w:pPr>
      <w:r w:rsidRPr="00D23139">
        <w:t>Proposed action</w:t>
      </w:r>
    </w:p>
    <w:p w14:paraId="28560572" w14:textId="614FBAA6" w:rsidR="00A54FE7" w:rsidRDefault="00740D4A" w:rsidP="00A54FE7">
      <w:r>
        <w:t>The Delegate has</w:t>
      </w:r>
      <w:r w:rsidR="00A54FE7">
        <w:t xml:space="preserve"> no reason to say, at this time, that the application for </w:t>
      </w:r>
      <w:proofErr w:type="spellStart"/>
      <w:r w:rsidR="00A54FE7">
        <w:t>Vaxigrip</w:t>
      </w:r>
      <w:proofErr w:type="spellEnd"/>
      <w:r w:rsidR="00A54FE7">
        <w:t xml:space="preserve"> Tetra should not be approved for registration.</w:t>
      </w:r>
    </w:p>
    <w:p w14:paraId="071BAA9A" w14:textId="77777777" w:rsidR="00456765" w:rsidRPr="00456765" w:rsidRDefault="00A54FE7" w:rsidP="00A54FE7">
      <w:r>
        <w:t>The finalisation of this submission is subjected to the satisfactory resolution of the PI revision and the agreement on the conditions of registration.</w:t>
      </w:r>
    </w:p>
    <w:p w14:paraId="4B6C94A9" w14:textId="0CF05CD6" w:rsidR="00D23139" w:rsidRDefault="00A22D57" w:rsidP="00D23139">
      <w:pPr>
        <w:pStyle w:val="Heading4"/>
      </w:pPr>
      <w:r>
        <w:t xml:space="preserve">Request for </w:t>
      </w:r>
      <w:r w:rsidR="003E66D4" w:rsidRPr="00456765">
        <w:t xml:space="preserve">Advisory Committee on </w:t>
      </w:r>
      <w:r w:rsidR="003E66D4">
        <w:t xml:space="preserve">Vaccines </w:t>
      </w:r>
      <w:r w:rsidR="00D23139" w:rsidRPr="00D23139">
        <w:t>advice</w:t>
      </w:r>
    </w:p>
    <w:p w14:paraId="1F8FF282" w14:textId="77777777" w:rsidR="00A54FE7" w:rsidRDefault="00A54FE7" w:rsidP="00A54FE7">
      <w:r>
        <w:t>The committee is requested to provide advice on the following specific issues:</w:t>
      </w:r>
    </w:p>
    <w:p w14:paraId="70573A44" w14:textId="4E731A46" w:rsidR="00A54FE7" w:rsidRDefault="00F23105" w:rsidP="00F23105">
      <w:pPr>
        <w:pStyle w:val="Numberbullet0"/>
        <w:numPr>
          <w:ilvl w:val="0"/>
          <w:numId w:val="33"/>
        </w:numPr>
      </w:pPr>
      <w:r w:rsidRPr="00F23105">
        <w:t xml:space="preserve">Does the </w:t>
      </w:r>
      <w:r w:rsidR="009C7F5A">
        <w:t>Advisory Committee on Vaccines (</w:t>
      </w:r>
      <w:r w:rsidRPr="00F23105">
        <w:t>ACV</w:t>
      </w:r>
      <w:r w:rsidR="009C7F5A">
        <w:t>)</w:t>
      </w:r>
      <w:r w:rsidRPr="00F23105">
        <w:t xml:space="preserve"> support the registration of </w:t>
      </w:r>
      <w:proofErr w:type="spellStart"/>
      <w:r w:rsidRPr="00F23105">
        <w:t>Vaxigrip</w:t>
      </w:r>
      <w:proofErr w:type="spellEnd"/>
      <w:r w:rsidRPr="00F23105">
        <w:t xml:space="preserve"> Tetra for individuals from 6 months of age based on the data submitted?</w:t>
      </w:r>
    </w:p>
    <w:p w14:paraId="5D63491F" w14:textId="1DC13A67" w:rsidR="00A54FE7" w:rsidRDefault="00A54FE7" w:rsidP="00740D4A">
      <w:pPr>
        <w:pStyle w:val="Numberbullet0"/>
        <w:numPr>
          <w:ilvl w:val="0"/>
          <w:numId w:val="33"/>
        </w:numPr>
      </w:pPr>
      <w:r>
        <w:t xml:space="preserve">The advice of the ACV is requested on the proposed PI statements relating to individuals with history of </w:t>
      </w:r>
      <w:proofErr w:type="spellStart"/>
      <w:r>
        <w:t>Guillain-Barré</w:t>
      </w:r>
      <w:proofErr w:type="spellEnd"/>
      <w:r>
        <w:t xml:space="preserve"> syndrome and individuals who have a known allergy to egg protein.</w:t>
      </w:r>
    </w:p>
    <w:p w14:paraId="44F9255E" w14:textId="06582FF3" w:rsidR="00A54FE7" w:rsidRDefault="00A54FE7" w:rsidP="00740D4A">
      <w:pPr>
        <w:pStyle w:val="Numberbullet0"/>
        <w:numPr>
          <w:ilvl w:val="0"/>
          <w:numId w:val="33"/>
        </w:numPr>
      </w:pPr>
      <w:r>
        <w:t>Does ACV have any other comments on the draft PI dated 30 January 2019?</w:t>
      </w:r>
    </w:p>
    <w:p w14:paraId="0034255E" w14:textId="7E14040A" w:rsidR="00F23105" w:rsidRDefault="00F23105" w:rsidP="00F23105">
      <w:pPr>
        <w:pStyle w:val="Numberbullet0"/>
        <w:numPr>
          <w:ilvl w:val="0"/>
          <w:numId w:val="33"/>
        </w:numPr>
      </w:pPr>
      <w:r w:rsidRPr="00F23105">
        <w:t xml:space="preserve">Can the ACV comment about the lower immune response and the vaccine effectiveness result against </w:t>
      </w:r>
      <w:r w:rsidR="009C7F5A">
        <w:t xml:space="preserve">the influenza </w:t>
      </w:r>
      <w:r w:rsidRPr="00F23105">
        <w:t>B Victoria lineage in children 6 to 35 months, and are there any concerns about this result?</w:t>
      </w:r>
    </w:p>
    <w:p w14:paraId="251B71B3" w14:textId="77777777" w:rsidR="00456765" w:rsidRPr="00456765" w:rsidRDefault="00A54FE7" w:rsidP="00A54FE7">
      <w:r>
        <w:t>The committee is (also) requested to provide advice on any other issues that it thinks may be relevant to a decision on whether or not to approve the application.</w:t>
      </w:r>
    </w:p>
    <w:p w14:paraId="28E59EBE" w14:textId="50AD4611" w:rsidR="008E7846" w:rsidRDefault="008E7846" w:rsidP="008E7846">
      <w:pPr>
        <w:pStyle w:val="Heading4"/>
      </w:pPr>
      <w:r>
        <w:t xml:space="preserve">Advisory </w:t>
      </w:r>
      <w:r w:rsidR="00A613B3">
        <w:t>c</w:t>
      </w:r>
      <w:r>
        <w:t xml:space="preserve">ommittee </w:t>
      </w:r>
      <w:r w:rsidR="00A613B3">
        <w:t>c</w:t>
      </w:r>
      <w:r>
        <w:t>onsiderations</w:t>
      </w:r>
    </w:p>
    <w:p w14:paraId="1F7CA5C3" w14:textId="1D0E2FD3" w:rsidR="007B52D6" w:rsidRPr="00740D4A" w:rsidRDefault="00456765" w:rsidP="00740D4A">
      <w:r w:rsidRPr="00456765">
        <w:t xml:space="preserve">The Advisory Committee on </w:t>
      </w:r>
      <w:r w:rsidR="00740D4A">
        <w:t>Vaccines (ACV</w:t>
      </w:r>
      <w:r w:rsidRPr="00456765">
        <w:t>), having considered the evaluations and the Delegate’s overview, as well as the sponsor’s response to these d</w:t>
      </w:r>
      <w:r w:rsidR="00740D4A">
        <w:t>ocuments, advised the following.</w:t>
      </w:r>
    </w:p>
    <w:p w14:paraId="40D17366" w14:textId="08429F38" w:rsidR="007B52D6" w:rsidRDefault="007B52D6" w:rsidP="00740D4A">
      <w:r>
        <w:t>The ACV, taking into account the submitted evidence of efficacy, safety and q</w:t>
      </w:r>
      <w:r w:rsidR="00740D4A">
        <w:t xml:space="preserve">uality, considered the vaccine </w:t>
      </w:r>
      <w:proofErr w:type="spellStart"/>
      <w:r w:rsidR="00740D4A">
        <w:t>Vaxigrip</w:t>
      </w:r>
      <w:proofErr w:type="spellEnd"/>
      <w:r w:rsidR="00740D4A">
        <w:t xml:space="preserve"> Tetra </w:t>
      </w:r>
      <w:r>
        <w:t xml:space="preserve">inactivated </w:t>
      </w:r>
      <w:proofErr w:type="spellStart"/>
      <w:r>
        <w:t>quadrivalent</w:t>
      </w:r>
      <w:proofErr w:type="spellEnd"/>
      <w:r>
        <w:t xml:space="preserve"> influenza vaccine (split </w:t>
      </w:r>
      <w:proofErr w:type="spellStart"/>
      <w:r>
        <w:t>virion</w:t>
      </w:r>
      <w:proofErr w:type="spellEnd"/>
      <w:r>
        <w:t xml:space="preserve">), containing 60 microgram of influenza virus </w:t>
      </w:r>
      <w:proofErr w:type="spellStart"/>
      <w:r>
        <w:t>haemagglutinin</w:t>
      </w:r>
      <w:proofErr w:type="spellEnd"/>
      <w:r>
        <w:t xml:space="preserve"> in each 0.5 mL dose (15 micrograms of influenza virus </w:t>
      </w:r>
      <w:proofErr w:type="spellStart"/>
      <w:r>
        <w:t>haemaggluti</w:t>
      </w:r>
      <w:r w:rsidR="00740D4A">
        <w:t>nin</w:t>
      </w:r>
      <w:proofErr w:type="spellEnd"/>
      <w:r w:rsidR="00740D4A">
        <w:t xml:space="preserve"> from each of four strains) </w:t>
      </w:r>
      <w:r>
        <w:t>to have an overall positive benefit-r</w:t>
      </w:r>
      <w:r w:rsidR="00740D4A">
        <w:t>isk profile for the indication:</w:t>
      </w:r>
    </w:p>
    <w:p w14:paraId="3E44D703" w14:textId="78D3BC4E" w:rsidR="007B52D6" w:rsidRPr="00740D4A" w:rsidRDefault="007B52D6" w:rsidP="00740D4A">
      <w:pPr>
        <w:ind w:left="720"/>
        <w:rPr>
          <w:i/>
        </w:rPr>
      </w:pPr>
      <w:proofErr w:type="spellStart"/>
      <w:r w:rsidRPr="00740D4A">
        <w:rPr>
          <w:i/>
        </w:rPr>
        <w:t>Vaxigrip</w:t>
      </w:r>
      <w:proofErr w:type="spellEnd"/>
      <w:r w:rsidRPr="00740D4A">
        <w:rPr>
          <w:i/>
        </w:rPr>
        <w:t xml:space="preserve"> Tetra is indicated for active immunisatio</w:t>
      </w:r>
      <w:r w:rsidR="003E66D4">
        <w:rPr>
          <w:i/>
        </w:rPr>
        <w:t>n of adults and children from 6 </w:t>
      </w:r>
      <w:r w:rsidRPr="00740D4A">
        <w:rPr>
          <w:i/>
        </w:rPr>
        <w:t xml:space="preserve">months of age and older for the prevention of influenza disease caused by the two influenza A virus subtypes and the two influenza B virus </w:t>
      </w:r>
      <w:r w:rsidR="00740D4A" w:rsidRPr="00740D4A">
        <w:rPr>
          <w:i/>
        </w:rPr>
        <w:t>types contained in the vaccine.</w:t>
      </w:r>
    </w:p>
    <w:p w14:paraId="71F96873" w14:textId="3B088077" w:rsidR="007B52D6" w:rsidRDefault="007B52D6" w:rsidP="00740D4A">
      <w:r>
        <w:t>In</w:t>
      </w:r>
      <w:r w:rsidR="00740D4A">
        <w:t xml:space="preserve"> providing this advice the ACV:</w:t>
      </w:r>
    </w:p>
    <w:p w14:paraId="0829063B" w14:textId="257A7999" w:rsidR="007B52D6" w:rsidRDefault="009C7F5A" w:rsidP="00740D4A">
      <w:pPr>
        <w:pStyle w:val="ListBullet"/>
      </w:pPr>
      <w:r>
        <w:t>w</w:t>
      </w:r>
      <w:r w:rsidR="007B52D6">
        <w:t>as of the view that the immunogenicity data were adequate, based on five Phase III studies in adults, the elderly, and in sub</w:t>
      </w:r>
      <w:r w:rsidR="00740D4A">
        <w:t>jects from 3 to 17 years of age;</w:t>
      </w:r>
    </w:p>
    <w:p w14:paraId="28E0C20D" w14:textId="6FFABB46" w:rsidR="007B52D6" w:rsidRDefault="009C7F5A" w:rsidP="00740D4A">
      <w:pPr>
        <w:pStyle w:val="ListBullet"/>
      </w:pPr>
      <w:r>
        <w:t>w</w:t>
      </w:r>
      <w:r w:rsidR="007B52D6">
        <w:t>as of the view that the primary objectives of efficacy in subjects from 6 to 35</w:t>
      </w:r>
      <w:r>
        <w:t> </w:t>
      </w:r>
      <w:r w:rsidR="007B52D6">
        <w:t>months of age were me</w:t>
      </w:r>
      <w:r w:rsidR="00740D4A">
        <w:t>t, including efficacy of two QI</w:t>
      </w:r>
      <w:r w:rsidR="007B52D6">
        <w:t>V doses in previously unvaccinated children for the prevention of laborat</w:t>
      </w:r>
      <w:r w:rsidR="00740D4A">
        <w:t>ory-confirmed influenza illness;</w:t>
      </w:r>
    </w:p>
    <w:p w14:paraId="5181448A" w14:textId="07B00312" w:rsidR="007B52D6" w:rsidRDefault="009C7F5A" w:rsidP="00740D4A">
      <w:pPr>
        <w:pStyle w:val="ListBullet"/>
      </w:pPr>
      <w:r>
        <w:lastRenderedPageBreak/>
        <w:t>w</w:t>
      </w:r>
      <w:r w:rsidR="007B52D6">
        <w:t>as of the view that the safety data were adequate for the use of the same 0.5 mL dose in adults and also in children</w:t>
      </w:r>
      <w:r w:rsidR="00740D4A">
        <w:t xml:space="preserve"> from 6 months of age and older;</w:t>
      </w:r>
    </w:p>
    <w:p w14:paraId="197018E4" w14:textId="291AC9A9" w:rsidR="007B52D6" w:rsidRDefault="009C7F5A" w:rsidP="00740D4A">
      <w:pPr>
        <w:pStyle w:val="ListBullet"/>
      </w:pPr>
      <w:r>
        <w:t>s</w:t>
      </w:r>
      <w:r w:rsidR="007B52D6">
        <w:t>upported the approach of the 2018 edition of the Australian Immunisation Handbook on vaccinatio</w:t>
      </w:r>
      <w:r w:rsidR="00740D4A">
        <w:t>n of egg-allergic individuals.</w:t>
      </w:r>
    </w:p>
    <w:p w14:paraId="7C77A6EF" w14:textId="77210DBC" w:rsidR="007B52D6" w:rsidRDefault="007B52D6" w:rsidP="00740D4A">
      <w:pPr>
        <w:pStyle w:val="Heading5"/>
      </w:pPr>
      <w:r>
        <w:t xml:space="preserve">Proposed </w:t>
      </w:r>
      <w:r w:rsidR="00A613B3">
        <w:t>product information/consumer medicine information amendments</w:t>
      </w:r>
    </w:p>
    <w:p w14:paraId="154C234D" w14:textId="3BF6593A" w:rsidR="007B52D6" w:rsidRDefault="007B52D6" w:rsidP="00421D43">
      <w:r>
        <w:t>The committee provided comments on the PI, as</w:t>
      </w:r>
      <w:r w:rsidR="003E66D4">
        <w:t xml:space="preserve"> discussed in Question 3 below.</w:t>
      </w:r>
    </w:p>
    <w:p w14:paraId="24F2F9D8" w14:textId="5E9DB8B1" w:rsidR="00456765" w:rsidRDefault="007B52D6" w:rsidP="00421D43">
      <w:r>
        <w:t>The committee supported the Category A classification for use in pregnancy</w:t>
      </w:r>
      <w:r w:rsidR="009C7F5A">
        <w:t>;</w:t>
      </w:r>
      <w:r w:rsidR="009C7F5A">
        <w:rPr>
          <w:rStyle w:val="FootnoteReference"/>
        </w:rPr>
        <w:footnoteReference w:id="10"/>
      </w:r>
      <w:r>
        <w:t xml:space="preserve"> noting the clinical trials and population experience with the use of </w:t>
      </w:r>
      <w:proofErr w:type="spellStart"/>
      <w:r>
        <w:t>Vaxigrip</w:t>
      </w:r>
      <w:proofErr w:type="spellEnd"/>
      <w:r>
        <w:t xml:space="preserve"> (TIV) in pregnant women and women of child-bearing age.</w:t>
      </w:r>
    </w:p>
    <w:p w14:paraId="1867A824" w14:textId="78CD16BC" w:rsidR="007B52D6" w:rsidRPr="007B52D6" w:rsidRDefault="00421D43" w:rsidP="00421D43">
      <w:pPr>
        <w:pStyle w:val="Heading5"/>
        <w:rPr>
          <w:rFonts w:eastAsiaTheme="minorHAnsi"/>
        </w:rPr>
      </w:pPr>
      <w:r>
        <w:rPr>
          <w:rFonts w:eastAsiaTheme="minorHAnsi"/>
        </w:rPr>
        <w:t>Specific advice</w:t>
      </w:r>
    </w:p>
    <w:p w14:paraId="5BAA2A4B" w14:textId="2C7A04B8" w:rsidR="007B52D6" w:rsidRPr="007B52D6" w:rsidRDefault="007B52D6" w:rsidP="00421D43">
      <w:pPr>
        <w:rPr>
          <w:rFonts w:eastAsiaTheme="minorHAnsi" w:cs="Cambria"/>
          <w:color w:val="000000"/>
        </w:rPr>
      </w:pPr>
      <w:r w:rsidRPr="007B52D6">
        <w:rPr>
          <w:rFonts w:eastAsiaTheme="minorHAnsi" w:cs="Cambria"/>
          <w:color w:val="000000"/>
        </w:rPr>
        <w:t>The ACV advised the following in response to the Delegate’s specif</w:t>
      </w:r>
      <w:r w:rsidR="00421D43">
        <w:rPr>
          <w:rFonts w:eastAsiaTheme="minorHAnsi" w:cs="Cambria"/>
          <w:color w:val="000000"/>
        </w:rPr>
        <w:t>ic questions on the submission.</w:t>
      </w:r>
    </w:p>
    <w:p w14:paraId="7824B826" w14:textId="325935BB" w:rsidR="007B52D6" w:rsidRPr="00421D43" w:rsidRDefault="007B52D6" w:rsidP="00421D43">
      <w:pPr>
        <w:pStyle w:val="Numberbullet0"/>
        <w:numPr>
          <w:ilvl w:val="0"/>
          <w:numId w:val="34"/>
        </w:numPr>
        <w:rPr>
          <w:b/>
          <w:i/>
        </w:rPr>
      </w:pPr>
      <w:r w:rsidRPr="00421D43">
        <w:rPr>
          <w:b/>
          <w:i/>
        </w:rPr>
        <w:t xml:space="preserve">Does the ACV support the registration of </w:t>
      </w:r>
      <w:proofErr w:type="spellStart"/>
      <w:r w:rsidRPr="00421D43">
        <w:rPr>
          <w:b/>
          <w:i/>
        </w:rPr>
        <w:t>Vaxigrip</w:t>
      </w:r>
      <w:proofErr w:type="spellEnd"/>
      <w:r w:rsidRPr="00421D43">
        <w:rPr>
          <w:b/>
          <w:i/>
        </w:rPr>
        <w:t xml:space="preserve"> Tetra for individuals from 6 months of age based on th</w:t>
      </w:r>
      <w:r w:rsidR="00421D43" w:rsidRPr="00421D43">
        <w:rPr>
          <w:b/>
          <w:i/>
        </w:rPr>
        <w:t>e data submitted?</w:t>
      </w:r>
    </w:p>
    <w:p w14:paraId="33B988BC" w14:textId="728C501A" w:rsidR="007B52D6" w:rsidRPr="007B52D6" w:rsidRDefault="007B52D6" w:rsidP="00421D43">
      <w:r w:rsidRPr="007B52D6">
        <w:t xml:space="preserve">The ACV advised that the supporting </w:t>
      </w:r>
      <w:r w:rsidR="003E66D4">
        <w:t>data shows that the proposed QI</w:t>
      </w:r>
      <w:r w:rsidRPr="007B52D6">
        <w:t>V is well tolerated and has a safety profile similar to that of th</w:t>
      </w:r>
      <w:r w:rsidR="00421D43">
        <w:t xml:space="preserve">e </w:t>
      </w:r>
      <w:r w:rsidR="003E66D4">
        <w:t>licensed Sanofi Pasteur TI</w:t>
      </w:r>
      <w:r w:rsidR="00421D43">
        <w:t>V.</w:t>
      </w:r>
    </w:p>
    <w:p w14:paraId="6FBF62BF" w14:textId="38097076" w:rsidR="007B52D6" w:rsidRPr="007B52D6" w:rsidRDefault="007B52D6" w:rsidP="00421D43">
      <w:r w:rsidRPr="007B52D6">
        <w:t>The proposed vaccine showed marginally higher rates for injection site reactions, mainly of injection site pain. In infants 6 to less than 24 months of age, irritability occurred at</w:t>
      </w:r>
      <w:r w:rsidR="003E66D4">
        <w:t xml:space="preserve"> a higher rate than from the TI</w:t>
      </w:r>
      <w:r w:rsidRPr="007B52D6">
        <w:t>V. For infant</w:t>
      </w:r>
      <w:r w:rsidR="003E66D4">
        <w:t xml:space="preserve">s aged 24 to </w:t>
      </w:r>
      <w:r w:rsidRPr="007B52D6">
        <w:t xml:space="preserve">35 months, malaise occurred at a </w:t>
      </w:r>
      <w:r w:rsidR="003E66D4">
        <w:t>higher rate than from the TI</w:t>
      </w:r>
      <w:r w:rsidR="00421D43">
        <w:t>V.</w:t>
      </w:r>
    </w:p>
    <w:p w14:paraId="1C3C1A0C" w14:textId="4936F28A" w:rsidR="007B52D6" w:rsidRPr="007B52D6" w:rsidRDefault="007B52D6" w:rsidP="00421D43">
      <w:r w:rsidRPr="007B52D6">
        <w:t>The committee noted the trend in Europe towards the use of the 0.5 mL dose at all ages, and published literature supporting the administration of two ‘adult’ doses (2 x 0.5 mL) of</w:t>
      </w:r>
      <w:r w:rsidR="003E66D4">
        <w:t xml:space="preserve"> TI</w:t>
      </w:r>
      <w:r w:rsidRPr="007B52D6">
        <w:t>V in influenza vacc</w:t>
      </w:r>
      <w:r w:rsidR="00421D43">
        <w:t>ine-naïve infants and toddlers.</w:t>
      </w:r>
    </w:p>
    <w:p w14:paraId="0884DB35" w14:textId="132B2580" w:rsidR="007B52D6" w:rsidRPr="00421D43" w:rsidRDefault="007B52D6" w:rsidP="00421D43">
      <w:pPr>
        <w:pStyle w:val="Numberbullet0"/>
        <w:rPr>
          <w:b/>
          <w:i/>
        </w:rPr>
      </w:pPr>
      <w:r w:rsidRPr="00421D43">
        <w:rPr>
          <w:b/>
          <w:i/>
        </w:rPr>
        <w:t xml:space="preserve">Does the ACV support the proposed PI statements relating to individuals with history of </w:t>
      </w:r>
      <w:proofErr w:type="spellStart"/>
      <w:r w:rsidRPr="00421D43">
        <w:rPr>
          <w:b/>
          <w:i/>
        </w:rPr>
        <w:t>Guillain-Barré</w:t>
      </w:r>
      <w:proofErr w:type="spellEnd"/>
      <w:r w:rsidRPr="00421D43">
        <w:rPr>
          <w:b/>
          <w:i/>
        </w:rPr>
        <w:t xml:space="preserve"> syndrome and individuals who have </w:t>
      </w:r>
      <w:r w:rsidR="00421D43" w:rsidRPr="00421D43">
        <w:rPr>
          <w:b/>
          <w:i/>
        </w:rPr>
        <w:t>a known allergy to egg protein?</w:t>
      </w:r>
    </w:p>
    <w:p w14:paraId="6BDA41F7" w14:textId="17A54067" w:rsidR="007B52D6" w:rsidRPr="007B52D6" w:rsidRDefault="007B52D6" w:rsidP="00421D43">
      <w:r w:rsidRPr="007B52D6">
        <w:t>The committee advised that the PI shoul</w:t>
      </w:r>
      <w:r w:rsidR="00421D43">
        <w:t>d include a precaution such as:</w:t>
      </w:r>
    </w:p>
    <w:p w14:paraId="2F218609" w14:textId="62293B78" w:rsidR="007B52D6" w:rsidRPr="007B52D6" w:rsidRDefault="00421D43" w:rsidP="00421D43">
      <w:pPr>
        <w:ind w:left="720"/>
      </w:pPr>
      <w:r>
        <w:t>‘</w:t>
      </w:r>
      <w:r w:rsidR="007B52D6" w:rsidRPr="007B52D6">
        <w:t xml:space="preserve">Patients with a history of </w:t>
      </w:r>
      <w:proofErr w:type="spellStart"/>
      <w:r w:rsidR="007B52D6" w:rsidRPr="007B52D6">
        <w:t>Guillain-Barré</w:t>
      </w:r>
      <w:proofErr w:type="spellEnd"/>
      <w:r w:rsidR="007B52D6" w:rsidRPr="007B52D6">
        <w:t xml:space="preserve"> </w:t>
      </w:r>
      <w:r w:rsidR="009C7F5A">
        <w:t>s</w:t>
      </w:r>
      <w:r w:rsidR="007B52D6" w:rsidRPr="007B52D6">
        <w:t xml:space="preserve">yndrome (GBS) with an onset related in time to influenza vaccination may be at increased risk of again developing GBS, but whether vaccination specifically might increase the risk for recurrence is unknown. Because patients with a history of GBS have an increased likelihood of again developing the syndrome, the chance of them coincidentally developing the syndrome following influenza vaccination may be higher than in individuals with no history of GBS. If GBS has occurred within 6 weeks following previous influenza vaccination, the decision to give </w:t>
      </w:r>
      <w:proofErr w:type="spellStart"/>
      <w:r w:rsidR="007B52D6" w:rsidRPr="007B52D6">
        <w:t>Vaxigrip</w:t>
      </w:r>
      <w:proofErr w:type="spellEnd"/>
      <w:r w:rsidR="007B52D6" w:rsidRPr="007B52D6">
        <w:t xml:space="preserve"> Tetra should be based on careful consideration of th</w:t>
      </w:r>
      <w:r>
        <w:t>e potential benefits and risks.’</w:t>
      </w:r>
    </w:p>
    <w:p w14:paraId="341FD0ED" w14:textId="5F73BB42" w:rsidR="007B52D6" w:rsidRPr="007B52D6" w:rsidRDefault="007B52D6" w:rsidP="00421D43">
      <w:r w:rsidRPr="007B52D6">
        <w:t>The committee noted that a similar precaution was inclu</w:t>
      </w:r>
      <w:r w:rsidR="00F23105">
        <w:t>ded in the PI of the related TI</w:t>
      </w:r>
      <w:r w:rsidRPr="007B52D6">
        <w:t>V and the above text aligns with the Australian Immuni</w:t>
      </w:r>
      <w:r w:rsidR="00F23105">
        <w:t>sation Handbook recommendation.</w:t>
      </w:r>
    </w:p>
    <w:p w14:paraId="439EDCC7" w14:textId="1A3D530D" w:rsidR="007B52D6" w:rsidRPr="007B52D6" w:rsidRDefault="007B52D6" w:rsidP="00421D43">
      <w:r w:rsidRPr="007B52D6">
        <w:t>While noting the sponsor’s pre-ACV response, the committee advised that ‘egg allergy’ is not a contraindication and instead should be treated as a special wa</w:t>
      </w:r>
      <w:r w:rsidR="00421D43">
        <w:t>rning and precaution in the PI.</w:t>
      </w:r>
    </w:p>
    <w:p w14:paraId="40889F7A" w14:textId="7D3C065A" w:rsidR="007B52D6" w:rsidRPr="007B52D6" w:rsidRDefault="007B52D6" w:rsidP="00421D43">
      <w:r w:rsidRPr="007B52D6">
        <w:t>The committee advised that, even as a precaution, ‘egg products’ is ill-defined and can be misleading as i</w:t>
      </w:r>
      <w:r w:rsidR="00421D43">
        <w:t>t is unnecessarily restrictive.</w:t>
      </w:r>
    </w:p>
    <w:p w14:paraId="3BB7A2DB" w14:textId="4F9C7808" w:rsidR="007B52D6" w:rsidRDefault="007B52D6" w:rsidP="00421D43">
      <w:r w:rsidRPr="007B52D6">
        <w:lastRenderedPageBreak/>
        <w:t xml:space="preserve">The committee noted the Australian Immunisation Handbook advises that persons with egg allergy, including a history of egg allergy anaphylaxis, can be safety vaccinated with influenza vaccine noting that current inactivated influenza vaccines in Australia contain less than 1 </w:t>
      </w:r>
      <w:r w:rsidR="00F23105">
        <w:t>µg</w:t>
      </w:r>
      <w:r w:rsidRPr="007B52D6">
        <w:t xml:space="preserve"> (1000 </w:t>
      </w:r>
      <w:r w:rsidR="00F23105">
        <w:t>ng</w:t>
      </w:r>
      <w:r w:rsidRPr="007B52D6">
        <w:t xml:space="preserve">) ovalbumin per dose; </w:t>
      </w:r>
      <w:proofErr w:type="spellStart"/>
      <w:r w:rsidRPr="007B52D6">
        <w:t>Vaxigrip</w:t>
      </w:r>
      <w:proofErr w:type="spellEnd"/>
      <w:r w:rsidRPr="007B52D6">
        <w:t xml:space="preserve"> Tetra may contain traces of ovalbumin, at not more than 0.05 </w:t>
      </w:r>
      <w:r w:rsidR="00F23105">
        <w:t>µg</w:t>
      </w:r>
      <w:r w:rsidRPr="007B52D6">
        <w:t xml:space="preserve"> (50 </w:t>
      </w:r>
      <w:r w:rsidR="00F23105">
        <w:t>ng</w:t>
      </w:r>
      <w:r w:rsidRPr="007B52D6">
        <w:t>) per dose.</w:t>
      </w:r>
    </w:p>
    <w:p w14:paraId="0EEF7823" w14:textId="0DCC9F18" w:rsidR="007B52D6" w:rsidRPr="00421D43" w:rsidRDefault="00421D43" w:rsidP="00421D43">
      <w:pPr>
        <w:pStyle w:val="Numberbullet0"/>
        <w:rPr>
          <w:b/>
          <w:i/>
        </w:rPr>
      </w:pPr>
      <w:r w:rsidRPr="00421D43">
        <w:rPr>
          <w:b/>
          <w:i/>
        </w:rPr>
        <w:t>Can the ACV comment</w:t>
      </w:r>
      <w:r w:rsidR="007B52D6" w:rsidRPr="00421D43">
        <w:rPr>
          <w:b/>
          <w:i/>
        </w:rPr>
        <w:t xml:space="preserve"> on the </w:t>
      </w:r>
      <w:r w:rsidRPr="00421D43">
        <w:rPr>
          <w:b/>
          <w:i/>
        </w:rPr>
        <w:t>draft PI dated 30 January 2019?</w:t>
      </w:r>
    </w:p>
    <w:p w14:paraId="13E0A29F" w14:textId="5D0D64A8" w:rsidR="007B52D6" w:rsidRDefault="007B52D6" w:rsidP="007B52D6">
      <w:pPr>
        <w:pStyle w:val="Default"/>
        <w:spacing w:before="120" w:after="180"/>
        <w:rPr>
          <w:sz w:val="22"/>
          <w:szCs w:val="22"/>
        </w:rPr>
      </w:pPr>
      <w:r>
        <w:rPr>
          <w:sz w:val="22"/>
          <w:szCs w:val="22"/>
        </w:rPr>
        <w:t xml:space="preserve">The ACV advised that it supported the inclusion in the PI of the proposed statements regarding of </w:t>
      </w:r>
      <w:proofErr w:type="spellStart"/>
      <w:r>
        <w:rPr>
          <w:sz w:val="22"/>
          <w:szCs w:val="22"/>
        </w:rPr>
        <w:t>Guillain-Barré</w:t>
      </w:r>
      <w:proofErr w:type="spellEnd"/>
      <w:r>
        <w:rPr>
          <w:sz w:val="22"/>
          <w:szCs w:val="22"/>
        </w:rPr>
        <w:t xml:space="preserve"> syndrome and individuals who have a known allergy t</w:t>
      </w:r>
      <w:r w:rsidR="00421D43">
        <w:rPr>
          <w:sz w:val="22"/>
          <w:szCs w:val="22"/>
        </w:rPr>
        <w:t>o egg protein (see Question 2).</w:t>
      </w:r>
    </w:p>
    <w:p w14:paraId="2BCB6150" w14:textId="7D471921" w:rsidR="007B52D6" w:rsidRDefault="007B52D6" w:rsidP="007B52D6">
      <w:pPr>
        <w:pStyle w:val="Default"/>
        <w:spacing w:before="120" w:after="180"/>
        <w:rPr>
          <w:sz w:val="22"/>
          <w:szCs w:val="22"/>
        </w:rPr>
      </w:pPr>
      <w:r>
        <w:rPr>
          <w:sz w:val="22"/>
          <w:szCs w:val="22"/>
        </w:rPr>
        <w:t>The ACV advised that the use of the 0.5 mL dose in all ag</w:t>
      </w:r>
      <w:r w:rsidR="00421D43">
        <w:rPr>
          <w:sz w:val="22"/>
          <w:szCs w:val="22"/>
        </w:rPr>
        <w:t>e groups is safe and effective.</w:t>
      </w:r>
    </w:p>
    <w:p w14:paraId="0B1758AA" w14:textId="1B84667C" w:rsidR="007B52D6" w:rsidRPr="00421D43" w:rsidRDefault="007B52D6" w:rsidP="00421D43">
      <w:pPr>
        <w:pStyle w:val="Numberbullet0"/>
        <w:rPr>
          <w:b/>
          <w:i/>
        </w:rPr>
      </w:pPr>
      <w:r w:rsidRPr="00421D43">
        <w:rPr>
          <w:b/>
          <w:i/>
        </w:rPr>
        <w:t xml:space="preserve">Can the ACV comment about the lower immune response and the vaccine effectiveness result against </w:t>
      </w:r>
      <w:r w:rsidR="009C7F5A">
        <w:rPr>
          <w:b/>
          <w:i/>
        </w:rPr>
        <w:t xml:space="preserve">influenza </w:t>
      </w:r>
      <w:r w:rsidRPr="00421D43">
        <w:rPr>
          <w:b/>
          <w:i/>
        </w:rPr>
        <w:t xml:space="preserve">B Victoria lineage in children 6 to 35 months, and are there </w:t>
      </w:r>
      <w:r w:rsidR="00421D43" w:rsidRPr="00421D43">
        <w:rPr>
          <w:b/>
          <w:i/>
        </w:rPr>
        <w:t>any concerns about this result?</w:t>
      </w:r>
    </w:p>
    <w:p w14:paraId="19B119FF" w14:textId="5DA4D90A" w:rsidR="007B52D6" w:rsidRDefault="007B52D6" w:rsidP="00421D43">
      <w:r>
        <w:t xml:space="preserve">Study GQM05 </w:t>
      </w:r>
      <w:r w:rsidR="00F23105">
        <w:t xml:space="preserve">was a </w:t>
      </w:r>
      <w:r w:rsidR="00421D43">
        <w:t xml:space="preserve">Phase III, randomised, observer </w:t>
      </w:r>
      <w:r>
        <w:t>blind (ex</w:t>
      </w:r>
      <w:r w:rsidR="00421D43">
        <w:t xml:space="preserve">cept TIV groups which were open label), placebo </w:t>
      </w:r>
      <w:r>
        <w:t xml:space="preserve">controlled, multicentre trial in 4 regions involving approximately 9000 healthy children aged 6 to 35 months of age who were influenza vaccine naive. Overall in the </w:t>
      </w:r>
      <w:r w:rsidR="00F23105">
        <w:t>FASE</w:t>
      </w:r>
      <w:r w:rsidR="00421D43">
        <w:t xml:space="preserve"> population, the QI</w:t>
      </w:r>
      <w:r>
        <w:t>V prevented 52% (95% CI: 40.24; 61.66) of laboratory-confirmed influenza illness caused by any circulating strains and 69% (95%</w:t>
      </w:r>
      <w:r w:rsidR="009C7F5A">
        <w:t> </w:t>
      </w:r>
      <w:r w:rsidR="00421D43">
        <w:t>CI:</w:t>
      </w:r>
      <w:r w:rsidR="009C7F5A">
        <w:t> </w:t>
      </w:r>
      <w:r w:rsidR="00421D43">
        <w:t xml:space="preserve">51.93; 81.03) of laboratory </w:t>
      </w:r>
      <w:r>
        <w:t>confirmed influenza illness cau</w:t>
      </w:r>
      <w:r w:rsidR="00421D43">
        <w:t>sed by vaccine similar strains.</w:t>
      </w:r>
    </w:p>
    <w:p w14:paraId="3A3F13DE" w14:textId="06ABDD3D" w:rsidR="007B52D6" w:rsidRDefault="007B52D6" w:rsidP="00421D43">
      <w:r>
        <w:t xml:space="preserve">However, a secondary objective of Study GQM05 was non-inferiority of the </w:t>
      </w:r>
      <w:r w:rsidR="009C7F5A">
        <w:t>influenza </w:t>
      </w:r>
      <w:r>
        <w:t xml:space="preserve">B/Brisbane/60/2008 strain (B Victoria lineage) compared to placebo, which was not demonstrated (efficacy of 40% (CI:-28.98, 73.24)). Also, non-inferiority was not demonstrated between </w:t>
      </w:r>
      <w:proofErr w:type="spellStart"/>
      <w:r>
        <w:t>Va</w:t>
      </w:r>
      <w:r w:rsidR="00421D43">
        <w:t>xigrip</w:t>
      </w:r>
      <w:proofErr w:type="spellEnd"/>
      <w:r w:rsidR="00421D43">
        <w:t xml:space="preserve"> Tetra compared to the TIV (on average a 26% lower GMT).</w:t>
      </w:r>
    </w:p>
    <w:p w14:paraId="20EA0963" w14:textId="0A531699" w:rsidR="007B52D6" w:rsidRDefault="007B52D6" w:rsidP="00421D43">
      <w:r>
        <w:t xml:space="preserve">The reasons offered for not demonstrating non-inferiority for the </w:t>
      </w:r>
      <w:r w:rsidR="009C7F5A">
        <w:t xml:space="preserve">influenza </w:t>
      </w:r>
      <w:r>
        <w:t>B/Brisbane strain included: the study was not design</w:t>
      </w:r>
      <w:r w:rsidR="00421D43">
        <w:t>ed or powered to demonstrate QI</w:t>
      </w:r>
      <w:r>
        <w:t>V efficacy against individual influenza strain types and sub-types; small absolute numb</w:t>
      </w:r>
      <w:r w:rsidR="00421D43">
        <w:t>er of cases (12 cases in the QI</w:t>
      </w:r>
      <w:r>
        <w:t>V group and 20 cases in the placebo group) leading to wide confidence interval; that the study had been terminated early due to the achievement of a sufficient number of evaluable influenza cases. No confounding factors or l</w:t>
      </w:r>
      <w:r w:rsidR="00421D43">
        <w:t>aboratory cause was identified.</w:t>
      </w:r>
    </w:p>
    <w:p w14:paraId="4D76D75B" w14:textId="6C80D1A1" w:rsidR="007B52D6" w:rsidRDefault="007B52D6" w:rsidP="00421D43">
      <w:r>
        <w:t>The ACV advised that the demonstration of immunogenicity induced by the Q</w:t>
      </w:r>
      <w:r w:rsidR="00421D43">
        <w:t>I</w:t>
      </w:r>
      <w:r>
        <w:t>V against all four strains in children aged 6 to 35 months and the demonstration of non-inferiority for the same four strains in adults aged 18 years and older and in children aged 3 to 8 years balance against the missed non-inferiority endpoint for the</w:t>
      </w:r>
      <w:r w:rsidR="009C7F5A">
        <w:t xml:space="preserve"> influenza</w:t>
      </w:r>
      <w:r>
        <w:t xml:space="preserve"> B/Brisbane strain in the 6 to 35 months age group. While the benefit of </w:t>
      </w:r>
      <w:r w:rsidR="009C7F5A">
        <w:t xml:space="preserve">the influenza </w:t>
      </w:r>
      <w:r>
        <w:t>B/Brisbane</w:t>
      </w:r>
      <w:r w:rsidR="009C7F5A">
        <w:t xml:space="preserve"> strain</w:t>
      </w:r>
      <w:r>
        <w:t xml:space="preserve"> in the 6</w:t>
      </w:r>
      <w:r w:rsidR="009C7F5A">
        <w:t> </w:t>
      </w:r>
      <w:r>
        <w:t>to 35 months age group was not shown, it is not a</w:t>
      </w:r>
      <w:r w:rsidR="00421D43">
        <w:t>ssociated with additional risk.</w:t>
      </w:r>
    </w:p>
    <w:p w14:paraId="6330A755" w14:textId="30590EF7" w:rsidR="007B52D6" w:rsidRDefault="00421D43" w:rsidP="00421D43">
      <w:r>
        <w:t>While the purpose of any QIV compared to any TI</w:t>
      </w:r>
      <w:r w:rsidR="007B52D6">
        <w:t>V is to protect against the additional</w:t>
      </w:r>
      <w:r w:rsidR="009C7F5A">
        <w:t xml:space="preserve"> influenza</w:t>
      </w:r>
      <w:r w:rsidR="007B52D6">
        <w:t xml:space="preserve"> B lineage</w:t>
      </w:r>
      <w:r w:rsidR="009C7F5A">
        <w:t xml:space="preserve"> </w:t>
      </w:r>
      <w:r w:rsidR="007B52D6">
        <w:t xml:space="preserve">strain, and this was not demonstrated in </w:t>
      </w:r>
      <w:r>
        <w:t xml:space="preserve">Study </w:t>
      </w:r>
      <w:r w:rsidR="007B52D6">
        <w:t>GQM05, the po</w:t>
      </w:r>
      <w:r>
        <w:t>int estimate showed protection.</w:t>
      </w:r>
    </w:p>
    <w:p w14:paraId="5C904995" w14:textId="64E68A06" w:rsidR="007B52D6" w:rsidRPr="00A322B3" w:rsidRDefault="007B52D6" w:rsidP="00421D43">
      <w:r>
        <w:t>The committee noted that a</w:t>
      </w:r>
      <w:r w:rsidR="009C7F5A">
        <w:t>n influenza</w:t>
      </w:r>
      <w:r>
        <w:t xml:space="preserve"> B/Brisbane-like strain is not included in the 2019 influenza vaccines, and may or may not be included in future seasonal influenza vaccines.</w:t>
      </w:r>
    </w:p>
    <w:p w14:paraId="2663D3F0" w14:textId="151991C2" w:rsidR="008E7846" w:rsidRPr="002E238E" w:rsidRDefault="008E7846" w:rsidP="008E7846">
      <w:pPr>
        <w:pStyle w:val="Heading3"/>
      </w:pPr>
      <w:bookmarkStart w:id="59" w:name="_Toc247691532"/>
      <w:bookmarkStart w:id="60" w:name="_Toc314842516"/>
      <w:bookmarkStart w:id="61" w:name="_Toc30581709"/>
      <w:bookmarkEnd w:id="32"/>
      <w:bookmarkEnd w:id="56"/>
      <w:bookmarkEnd w:id="57"/>
      <w:r>
        <w:t>Outcome</w:t>
      </w:r>
      <w:bookmarkEnd w:id="59"/>
      <w:bookmarkEnd w:id="60"/>
      <w:bookmarkEnd w:id="61"/>
    </w:p>
    <w:p w14:paraId="5EC66CDC" w14:textId="7B4A04A2" w:rsidR="00D23139" w:rsidRPr="00D23139" w:rsidRDefault="00D23139" w:rsidP="00D23139">
      <w:bookmarkStart w:id="62" w:name="_Toc247691533"/>
      <w:bookmarkStart w:id="63" w:name="_Toc314842517"/>
      <w:r w:rsidRPr="00D23139">
        <w:t xml:space="preserve">Based on a review of quality, safety and efficacy, </w:t>
      </w:r>
      <w:r w:rsidR="009C7F5A">
        <w:t xml:space="preserve">the </w:t>
      </w:r>
      <w:r w:rsidRPr="00D23139">
        <w:t xml:space="preserve">TGA approved the registration of </w:t>
      </w:r>
      <w:proofErr w:type="spellStart"/>
      <w:r w:rsidR="007B52D6">
        <w:t>Vaxigrip</w:t>
      </w:r>
      <w:proofErr w:type="spellEnd"/>
      <w:r w:rsidR="007B52D6">
        <w:t xml:space="preserve"> Tetra (</w:t>
      </w:r>
      <w:r w:rsidR="007B52D6" w:rsidRPr="002835DD">
        <w:t xml:space="preserve">Inactivated </w:t>
      </w:r>
      <w:proofErr w:type="spellStart"/>
      <w:r w:rsidR="007B52D6" w:rsidRPr="002835DD">
        <w:t>quadrivalent</w:t>
      </w:r>
      <w:proofErr w:type="spellEnd"/>
      <w:r w:rsidR="007B52D6" w:rsidRPr="002835DD">
        <w:t xml:space="preserve"> influenza vaccine (split </w:t>
      </w:r>
      <w:proofErr w:type="spellStart"/>
      <w:r w:rsidR="007B52D6" w:rsidRPr="002835DD">
        <w:t>virion</w:t>
      </w:r>
      <w:proofErr w:type="spellEnd"/>
      <w:r w:rsidR="007B52D6" w:rsidRPr="002835DD">
        <w:t xml:space="preserve">) influenza virus </w:t>
      </w:r>
      <w:proofErr w:type="spellStart"/>
      <w:r w:rsidR="007B52D6" w:rsidRPr="002835DD">
        <w:t>haemagglutinin</w:t>
      </w:r>
      <w:proofErr w:type="spellEnd"/>
      <w:r w:rsidR="007B52D6">
        <w:t>)</w:t>
      </w:r>
      <w:r w:rsidRPr="00D23139">
        <w:t>, indicated for:</w:t>
      </w:r>
    </w:p>
    <w:p w14:paraId="7D4B297B" w14:textId="64811E58" w:rsidR="00D23139" w:rsidRPr="007B52D6" w:rsidRDefault="007B52D6" w:rsidP="007B52D6">
      <w:pPr>
        <w:ind w:left="720"/>
        <w:rPr>
          <w:i/>
        </w:rPr>
      </w:pPr>
      <w:proofErr w:type="spellStart"/>
      <w:r w:rsidRPr="007B52D6">
        <w:rPr>
          <w:i/>
        </w:rPr>
        <w:lastRenderedPageBreak/>
        <w:t>Vaxigrip</w:t>
      </w:r>
      <w:proofErr w:type="spellEnd"/>
      <w:r w:rsidRPr="007B52D6">
        <w:rPr>
          <w:i/>
        </w:rPr>
        <w:t xml:space="preserve"> Tetra is indicated for active immunisation of adults and children from 6</w:t>
      </w:r>
      <w:r w:rsidR="009C7F5A">
        <w:rPr>
          <w:i/>
        </w:rPr>
        <w:t> </w:t>
      </w:r>
      <w:r w:rsidRPr="007B52D6">
        <w:rPr>
          <w:i/>
        </w:rPr>
        <w:t>months of age and older for the prevention of influenza disease caused by the two</w:t>
      </w:r>
      <w:r w:rsidR="009C7F5A">
        <w:rPr>
          <w:i/>
        </w:rPr>
        <w:t> </w:t>
      </w:r>
      <w:r w:rsidRPr="007B52D6">
        <w:rPr>
          <w:i/>
        </w:rPr>
        <w:t>influenza A virus subtypes and the two influenza B virus types contained in the vaccine.</w:t>
      </w:r>
    </w:p>
    <w:p w14:paraId="24751125" w14:textId="5DFA6330" w:rsidR="0046616A" w:rsidRPr="0046616A" w:rsidRDefault="00D23139" w:rsidP="0046616A">
      <w:pPr>
        <w:pStyle w:val="Heading4"/>
      </w:pPr>
      <w:r w:rsidRPr="0046616A">
        <w:t>Specific conditions of registration applying to these goods</w:t>
      </w:r>
    </w:p>
    <w:p w14:paraId="09130E6F" w14:textId="77777777" w:rsidR="00356C80" w:rsidRDefault="00356C80" w:rsidP="008173A5">
      <w:pPr>
        <w:pStyle w:val="ListBullet"/>
      </w:pPr>
      <w:r w:rsidRPr="001F353A">
        <w:t xml:space="preserve">The </w:t>
      </w:r>
      <w:proofErr w:type="spellStart"/>
      <w:r w:rsidRPr="001F353A">
        <w:t>Vaxigrip</w:t>
      </w:r>
      <w:proofErr w:type="spellEnd"/>
      <w:r w:rsidRPr="001F353A">
        <w:t xml:space="preserve"> Tetra</w:t>
      </w:r>
      <w:r>
        <w:t xml:space="preserve"> EU-Risk Management Plan (RMP) (version 5.0, dated 13 July 2017, data lock point 25 April 2017), with Australian Specific Annex (version 1.0, dated February 2018), included with submission PM-2018-00583-1-2, to be revised to the satisfaction of the TGA, will be implemented in Australia.</w:t>
      </w:r>
    </w:p>
    <w:p w14:paraId="3B1D5CAA" w14:textId="77777777" w:rsidR="00356C80" w:rsidRDefault="00356C80" w:rsidP="008173A5">
      <w:pPr>
        <w:pStyle w:val="ListBullet"/>
        <w:numPr>
          <w:ilvl w:val="0"/>
          <w:numId w:val="0"/>
        </w:numPr>
        <w:ind w:left="360"/>
      </w:pPr>
      <w:r>
        <w:t>An obligatory component of risk management plans is routine pharmacovigilance. Routine pharmacovigilance includes the submission of periodic safety update reports (PSURs).</w:t>
      </w:r>
    </w:p>
    <w:p w14:paraId="7078C344" w14:textId="77777777" w:rsidR="00356C80" w:rsidRDefault="00356C80" w:rsidP="008173A5">
      <w:pPr>
        <w:pStyle w:val="ListBullet"/>
        <w:numPr>
          <w:ilvl w:val="0"/>
          <w:numId w:val="0"/>
        </w:numPr>
        <w:ind w:left="360"/>
      </w:pPr>
      <w:r>
        <w:t>Reports are to be provided in line with the current published list of EU reference dates and frequency of submission of PSURs until the period covered by such reports is not less than three years from the date of this approval letter.</w:t>
      </w:r>
    </w:p>
    <w:p w14:paraId="29A6C075" w14:textId="3E6A8B8C" w:rsidR="00356C80" w:rsidRDefault="00356C80" w:rsidP="008173A5">
      <w:pPr>
        <w:pStyle w:val="ListBullet"/>
        <w:numPr>
          <w:ilvl w:val="0"/>
          <w:numId w:val="0"/>
        </w:numPr>
        <w:ind w:left="360"/>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18784025" w14:textId="1A7CD5CD" w:rsidR="008173A5" w:rsidRPr="008173A5" w:rsidRDefault="008173A5" w:rsidP="008173A5">
      <w:pPr>
        <w:pStyle w:val="ListBullet"/>
      </w:pPr>
      <w:r>
        <w:t>For all injectable products the Product Information must be included with the product as a package insert.</w:t>
      </w:r>
    </w:p>
    <w:p w14:paraId="142D5D87" w14:textId="553BC497" w:rsidR="007B52D6" w:rsidRPr="00356C80" w:rsidRDefault="007B52D6" w:rsidP="0046616A">
      <w:pPr>
        <w:rPr>
          <w:i/>
        </w:rPr>
      </w:pPr>
      <w:r w:rsidRPr="00356C80">
        <w:rPr>
          <w:i/>
        </w:rPr>
        <w:t xml:space="preserve">Quality – </w:t>
      </w:r>
      <w:r w:rsidR="00F23105" w:rsidRPr="00356C80">
        <w:rPr>
          <w:i/>
        </w:rPr>
        <w:t xml:space="preserve">including compliance </w:t>
      </w:r>
      <w:r w:rsidRPr="00356C80">
        <w:rPr>
          <w:i/>
        </w:rPr>
        <w:t xml:space="preserve">with Ph. </w:t>
      </w:r>
      <w:proofErr w:type="spellStart"/>
      <w:r w:rsidRPr="00356C80">
        <w:rPr>
          <w:i/>
        </w:rPr>
        <w:t>Eur</w:t>
      </w:r>
      <w:proofErr w:type="spellEnd"/>
      <w:r w:rsidRPr="00356C80">
        <w:rPr>
          <w:i/>
        </w:rPr>
        <w:t xml:space="preserve"> 2.6.16 (Infectious Disease Safety)</w:t>
      </w:r>
    </w:p>
    <w:p w14:paraId="2B69C36F" w14:textId="77777777" w:rsidR="007B52D6" w:rsidRDefault="007B52D6" w:rsidP="0046616A">
      <w:pPr>
        <w:rPr>
          <w:rFonts w:eastAsiaTheme="minorHAnsi" w:cs="Cambria"/>
        </w:rPr>
      </w:pPr>
      <w:r>
        <w:rPr>
          <w:rFonts w:eastAsiaTheme="minorHAnsi" w:cs="Cambria"/>
        </w:rPr>
        <w:t>It is a condition of registration that:</w:t>
      </w:r>
    </w:p>
    <w:p w14:paraId="637F6906" w14:textId="11631DC5" w:rsidR="007B52D6" w:rsidRDefault="007B52D6" w:rsidP="0046616A">
      <w:pPr>
        <w:pStyle w:val="Numberbullet0"/>
        <w:numPr>
          <w:ilvl w:val="0"/>
          <w:numId w:val="35"/>
        </w:numPr>
      </w:pPr>
      <w:r>
        <w:t>At least 45 working days before the submission of th</w:t>
      </w:r>
      <w:r w:rsidR="0046616A">
        <w:t xml:space="preserve">e first request under s9D(3) of </w:t>
      </w:r>
      <w:r>
        <w:t>the Therapeutic Goods Act 1989 for a change t</w:t>
      </w:r>
      <w:r w:rsidR="0046616A">
        <w:t xml:space="preserve">o the strain composition of the </w:t>
      </w:r>
      <w:r>
        <w:t xml:space="preserve">vaccine, and not later than </w:t>
      </w:r>
      <w:r w:rsidRPr="0046616A">
        <w:t>31 October</w:t>
      </w:r>
      <w:r>
        <w:t xml:space="preserve"> 2019, t</w:t>
      </w:r>
      <w:r w:rsidR="0046616A">
        <w:t xml:space="preserve">he following be provided to the </w:t>
      </w:r>
      <w:r>
        <w:t>TGA for approval under s9D(3) of the Act:</w:t>
      </w:r>
    </w:p>
    <w:p w14:paraId="0284C6B0" w14:textId="5F2EF361" w:rsidR="007B52D6" w:rsidRDefault="007B52D6" w:rsidP="0046616A">
      <w:pPr>
        <w:pStyle w:val="Numberbullet2"/>
      </w:pPr>
      <w:r>
        <w:t xml:space="preserve">Revised syringe labels that clearly show the age indication for </w:t>
      </w:r>
      <w:r w:rsidR="0046616A">
        <w:t xml:space="preserve">the product and, </w:t>
      </w:r>
      <w:r>
        <w:t>amended packaging that meets the requirement of TGO91.</w:t>
      </w:r>
    </w:p>
    <w:p w14:paraId="7EEFF84B" w14:textId="2E2034D4" w:rsidR="007B52D6" w:rsidRDefault="007B52D6" w:rsidP="0046616A">
      <w:pPr>
        <w:pStyle w:val="Numberbullet2"/>
      </w:pPr>
      <w:r>
        <w:t>Summaries of historical inactivation data and stabil</w:t>
      </w:r>
      <w:r w:rsidR="0046616A">
        <w:t xml:space="preserve">ity data is to be provided in a </w:t>
      </w:r>
      <w:r>
        <w:t>suitable format in a clearly identified section of the dossier.</w:t>
      </w:r>
    </w:p>
    <w:p w14:paraId="53339996" w14:textId="3C1417C6" w:rsidR="007B52D6" w:rsidRPr="0046616A" w:rsidRDefault="007B52D6" w:rsidP="0046616A">
      <w:pPr>
        <w:pStyle w:val="Numberbullet2"/>
      </w:pPr>
      <w:r>
        <w:t xml:space="preserve">Evidence demonstrating that the factors </w:t>
      </w:r>
      <w:r w:rsidR="0046616A">
        <w:t xml:space="preserve">responsible for the presence of </w:t>
      </w:r>
      <w:r>
        <w:t>particles/filaments in samples of monovalent bul</w:t>
      </w:r>
      <w:r w:rsidR="0046616A">
        <w:t xml:space="preserve">k (drug substance) used for the </w:t>
      </w:r>
      <w:r>
        <w:t>Appearance Test (conducted under Q_0001593) have been adequately addressed</w:t>
      </w:r>
      <w:r w:rsidR="0046616A">
        <w:t xml:space="preserve"> </w:t>
      </w:r>
      <w:r>
        <w:rPr>
          <w:color w:val="000000"/>
        </w:rPr>
        <w:t>to significantly reduce the risk of contamination of test samples with extraneous</w:t>
      </w:r>
      <w:r w:rsidR="0046616A">
        <w:t xml:space="preserve"> </w:t>
      </w:r>
      <w:r>
        <w:rPr>
          <w:color w:val="000000"/>
        </w:rPr>
        <w:t>particles.</w:t>
      </w:r>
    </w:p>
    <w:p w14:paraId="7D97EDF9" w14:textId="738E1DA0" w:rsidR="007B52D6" w:rsidRDefault="007B52D6" w:rsidP="0046616A">
      <w:pPr>
        <w:pStyle w:val="Numberbullet2"/>
        <w:rPr>
          <w:color w:val="000000"/>
        </w:rPr>
      </w:pPr>
      <w:r>
        <w:rPr>
          <w:color w:val="000000"/>
        </w:rPr>
        <w:t>Demonstration that the product:</w:t>
      </w:r>
    </w:p>
    <w:p w14:paraId="67E398E5" w14:textId="241850B0" w:rsidR="007B52D6" w:rsidRDefault="007B52D6" w:rsidP="0046616A">
      <w:pPr>
        <w:pStyle w:val="Numberbullet3"/>
      </w:pPr>
      <w:r>
        <w:t>Conforms to the tests which are invoked by the Eu</w:t>
      </w:r>
      <w:r w:rsidR="0046616A">
        <w:t xml:space="preserve">ropean Pharmacopoeia (Ph. Eur.) </w:t>
      </w:r>
      <w:r>
        <w:t xml:space="preserve">General Monograph 07/2018:0153 </w:t>
      </w:r>
      <w:r w:rsidRPr="0046616A">
        <w:rPr>
          <w:rFonts w:cs="Cambria-Italic"/>
          <w:i/>
          <w:iCs/>
        </w:rPr>
        <w:t xml:space="preserve">Vaccines for human use </w:t>
      </w:r>
      <w:r w:rsidR="0046616A" w:rsidRPr="0046616A">
        <w:t xml:space="preserve">that control for nonspecific </w:t>
      </w:r>
      <w:r w:rsidRPr="0046616A">
        <w:t>extraneous agents including non-env</w:t>
      </w:r>
      <w:r w:rsidR="0046616A" w:rsidRPr="0046616A">
        <w:t xml:space="preserve">eloped viruses. These tests are </w:t>
      </w:r>
      <w:r w:rsidRPr="0046616A">
        <w:t xml:space="preserve">specified in Ph. Eur. Methods of Analysis 2.6.16 </w:t>
      </w:r>
      <w:r w:rsidRPr="0046616A">
        <w:rPr>
          <w:rFonts w:cs="Cambria-Italic"/>
          <w:i/>
          <w:iCs/>
        </w:rPr>
        <w:t>Tests for extraneous agents in</w:t>
      </w:r>
      <w:r w:rsidR="0046616A" w:rsidRPr="0046616A">
        <w:t xml:space="preserve"> </w:t>
      </w:r>
      <w:r w:rsidRPr="0046616A">
        <w:rPr>
          <w:rFonts w:cs="Cambria-Italic"/>
          <w:i/>
          <w:iCs/>
        </w:rPr>
        <w:t>viral vaccines for human use</w:t>
      </w:r>
      <w:r w:rsidRPr="0046616A">
        <w:t>;</w:t>
      </w:r>
      <w:r>
        <w:t xml:space="preserve"> or</w:t>
      </w:r>
    </w:p>
    <w:p w14:paraId="6780E258" w14:textId="32B17B6D" w:rsidR="007B52D6" w:rsidRDefault="0046616A" w:rsidP="0046616A">
      <w:pPr>
        <w:pStyle w:val="Numberbullet3"/>
      </w:pPr>
      <w:r>
        <w:t>H</w:t>
      </w:r>
      <w:r w:rsidR="007B52D6">
        <w:t>as alternative measures applied that are ef</w:t>
      </w:r>
      <w:r>
        <w:t xml:space="preserve">fective at managing the risk of </w:t>
      </w:r>
      <w:r w:rsidR="007B52D6">
        <w:t>contamination with known, emerging, and un</w:t>
      </w:r>
      <w:r>
        <w:t xml:space="preserve">known non-enveloped viruses, </w:t>
      </w:r>
      <w:r>
        <w:lastRenderedPageBreak/>
        <w:t xml:space="preserve">to </w:t>
      </w:r>
      <w:r w:rsidR="007B52D6">
        <w:t>an equivalent or greater level than the measures prescribed by Ph. Eur. 2.6.16.</w:t>
      </w:r>
    </w:p>
    <w:p w14:paraId="567840BB" w14:textId="0490237C" w:rsidR="007B52D6" w:rsidRDefault="007B52D6" w:rsidP="0046616A">
      <w:pPr>
        <w:pStyle w:val="Numberbullet2"/>
      </w:pPr>
      <w:r>
        <w:t>An updated risk assessment and risk management procedure which:</w:t>
      </w:r>
    </w:p>
    <w:p w14:paraId="132D94EA" w14:textId="5F06217C" w:rsidR="007B52D6" w:rsidRDefault="0046616A" w:rsidP="0046616A">
      <w:pPr>
        <w:pStyle w:val="Numberbullet3"/>
      </w:pPr>
      <w:r>
        <w:t>P</w:t>
      </w:r>
      <w:r w:rsidR="007B52D6">
        <w:t xml:space="preserve">rovides specific coverage on how Sanofi-Aventis </w:t>
      </w:r>
      <w:r>
        <w:t xml:space="preserve">addresses product contamination </w:t>
      </w:r>
      <w:r w:rsidR="007B52D6">
        <w:t>risks posed due to entry of known, emerging, a</w:t>
      </w:r>
      <w:r>
        <w:t xml:space="preserve">nd unknown viruses in candidate </w:t>
      </w:r>
      <w:r w:rsidR="007B52D6">
        <w:t>virus vaccine or egg substrates; and</w:t>
      </w:r>
    </w:p>
    <w:p w14:paraId="34C9C145" w14:textId="2F4E53C2" w:rsidR="007B52D6" w:rsidRDefault="0046616A" w:rsidP="0046616A">
      <w:pPr>
        <w:pStyle w:val="Numberbullet3"/>
      </w:pPr>
      <w:r>
        <w:t>S</w:t>
      </w:r>
      <w:r w:rsidR="007B52D6">
        <w:t>ummarises the risk management strategies fo</w:t>
      </w:r>
      <w:r>
        <w:t xml:space="preserve">r ensuring ongoing freedom from </w:t>
      </w:r>
      <w:r w:rsidR="007B52D6">
        <w:t>extraneous agents in final product.</w:t>
      </w:r>
    </w:p>
    <w:p w14:paraId="47935B1C" w14:textId="6953D1AE" w:rsidR="007B52D6" w:rsidRDefault="007B52D6" w:rsidP="0046616A">
      <w:pPr>
        <w:pStyle w:val="Numberbullet0"/>
        <w:numPr>
          <w:ilvl w:val="0"/>
          <w:numId w:val="0"/>
        </w:numPr>
        <w:ind w:left="425"/>
      </w:pPr>
      <w:r>
        <w:t>Any extension beyond the time frame and dates in</w:t>
      </w:r>
      <w:r w:rsidR="0046616A">
        <w:t xml:space="preserve">dicated above would be would be </w:t>
      </w:r>
      <w:r>
        <w:t>subject to written agreement with the TGA.</w:t>
      </w:r>
    </w:p>
    <w:p w14:paraId="58CCD112" w14:textId="48B0A3BD" w:rsidR="007B52D6" w:rsidRDefault="007B52D6" w:rsidP="0046616A">
      <w:pPr>
        <w:pStyle w:val="Numberbullet0"/>
      </w:pPr>
      <w:r>
        <w:t>The shelf-life of the drug substance (DS) will be 24</w:t>
      </w:r>
      <w:r w:rsidR="0046616A">
        <w:t xml:space="preserve"> months with the condition that </w:t>
      </w:r>
      <w:r>
        <w:t xml:space="preserve">any DS to be used for formulation of drug product </w:t>
      </w:r>
      <w:r w:rsidR="0046616A">
        <w:t xml:space="preserve">will be retested if it is to be </w:t>
      </w:r>
      <w:r>
        <w:t>used in the manufacture of Drug Product (DP) m</w:t>
      </w:r>
      <w:r w:rsidR="0046616A">
        <w:t xml:space="preserve">ore than three (3) months after </w:t>
      </w:r>
      <w:r>
        <w:t>its date of manufacture. The DS must meet th</w:t>
      </w:r>
      <w:r w:rsidR="0046616A">
        <w:t xml:space="preserve">e specification of having an HA </w:t>
      </w:r>
      <w:r>
        <w:t xml:space="preserve">content of not less </w:t>
      </w:r>
      <w:proofErr w:type="spellStart"/>
      <w:r>
        <w:t>that</w:t>
      </w:r>
      <w:proofErr w:type="spellEnd"/>
      <w:r>
        <w:t xml:space="preserve"> 70% of the content estimated in t</w:t>
      </w:r>
      <w:r w:rsidR="0046616A">
        <w:t xml:space="preserve">he first test after </w:t>
      </w:r>
      <w:r>
        <w:t>manufacture before it can be used for the manuf</w:t>
      </w:r>
      <w:r w:rsidR="0046616A">
        <w:t xml:space="preserve">acture of DP. Summary protocols </w:t>
      </w:r>
      <w:r>
        <w:t>of manufacture must provide the results for both tests on the DS.</w:t>
      </w:r>
    </w:p>
    <w:p w14:paraId="447D9015" w14:textId="5336E889" w:rsidR="007B52D6" w:rsidRPr="00356C80" w:rsidRDefault="007B52D6" w:rsidP="0046616A">
      <w:pPr>
        <w:rPr>
          <w:i/>
        </w:rPr>
      </w:pPr>
      <w:r w:rsidRPr="00356C80">
        <w:rPr>
          <w:i/>
        </w:rPr>
        <w:t xml:space="preserve">Batch </w:t>
      </w:r>
      <w:r w:rsidR="00F23105" w:rsidRPr="00356C80">
        <w:rPr>
          <w:i/>
        </w:rPr>
        <w:t xml:space="preserve">release testing and compliance </w:t>
      </w:r>
      <w:r w:rsidRPr="00356C80">
        <w:rPr>
          <w:i/>
        </w:rPr>
        <w:t>with the Certified Product Details</w:t>
      </w:r>
    </w:p>
    <w:p w14:paraId="539956B2" w14:textId="5D6EB7DE" w:rsidR="007B52D6" w:rsidRDefault="007B52D6" w:rsidP="0046616A">
      <w:pPr>
        <w:rPr>
          <w:rFonts w:eastAsiaTheme="minorHAnsi" w:cs="Cambria"/>
          <w:color w:val="000000"/>
        </w:rPr>
      </w:pPr>
      <w:r>
        <w:rPr>
          <w:rFonts w:eastAsiaTheme="minorHAnsi" w:cs="Cambria"/>
          <w:color w:val="000000"/>
        </w:rPr>
        <w:t>It is a condition of registration that all independen</w:t>
      </w:r>
      <w:r w:rsidR="0046616A">
        <w:rPr>
          <w:rFonts w:eastAsiaTheme="minorHAnsi" w:cs="Cambria"/>
          <w:color w:val="000000"/>
        </w:rPr>
        <w:t xml:space="preserve">t batches of </w:t>
      </w:r>
      <w:proofErr w:type="spellStart"/>
      <w:r w:rsidR="0046616A">
        <w:rPr>
          <w:rFonts w:eastAsiaTheme="minorHAnsi" w:cs="Cambria"/>
          <w:color w:val="000000"/>
        </w:rPr>
        <w:t>Vaxigrip</w:t>
      </w:r>
      <w:proofErr w:type="spellEnd"/>
      <w:r w:rsidR="0046616A">
        <w:rPr>
          <w:rFonts w:eastAsiaTheme="minorHAnsi" w:cs="Cambria"/>
          <w:color w:val="000000"/>
        </w:rPr>
        <w:t xml:space="preserve"> Tetra and </w:t>
      </w:r>
      <w:proofErr w:type="spellStart"/>
      <w:r>
        <w:rPr>
          <w:rFonts w:eastAsiaTheme="minorHAnsi" w:cs="Cambria"/>
          <w:color w:val="000000"/>
        </w:rPr>
        <w:t>Vaxigrip</w:t>
      </w:r>
      <w:proofErr w:type="spellEnd"/>
      <w:r>
        <w:rPr>
          <w:rFonts w:eastAsiaTheme="minorHAnsi" w:cs="Cambria"/>
          <w:color w:val="000000"/>
        </w:rPr>
        <w:t xml:space="preserve"> Tetra Junior imported into Australia are not </w:t>
      </w:r>
      <w:r w:rsidR="0046616A">
        <w:rPr>
          <w:rFonts w:eastAsiaTheme="minorHAnsi" w:cs="Cambria"/>
          <w:color w:val="000000"/>
        </w:rPr>
        <w:t xml:space="preserve">released for sale until samples </w:t>
      </w:r>
      <w:r>
        <w:rPr>
          <w:rFonts w:eastAsiaTheme="minorHAnsi" w:cs="Cambria"/>
          <w:color w:val="000000"/>
        </w:rPr>
        <w:t>and the manufacturer’s release data have been</w:t>
      </w:r>
      <w:r w:rsidR="0046616A">
        <w:rPr>
          <w:rFonts w:eastAsiaTheme="minorHAnsi" w:cs="Cambria"/>
          <w:color w:val="000000"/>
        </w:rPr>
        <w:t xml:space="preserve"> assessed and you have received </w:t>
      </w:r>
      <w:r>
        <w:rPr>
          <w:rFonts w:eastAsiaTheme="minorHAnsi" w:cs="Cambria"/>
          <w:color w:val="000000"/>
        </w:rPr>
        <w:t>notification acknowledging release from the Laboratories Branch, TGA.</w:t>
      </w:r>
    </w:p>
    <w:p w14:paraId="57A72185" w14:textId="54620F83" w:rsidR="007B52D6" w:rsidRDefault="007B52D6" w:rsidP="0046616A">
      <w:pPr>
        <w:rPr>
          <w:rFonts w:eastAsiaTheme="minorHAnsi" w:cs="Cambria"/>
          <w:color w:val="000000"/>
        </w:rPr>
      </w:pPr>
      <w:r>
        <w:rPr>
          <w:rFonts w:eastAsiaTheme="minorHAnsi" w:cs="Cambria"/>
          <w:color w:val="000000"/>
        </w:rPr>
        <w:t>For each independent batch of the product imported i</w:t>
      </w:r>
      <w:r w:rsidR="0046616A">
        <w:rPr>
          <w:rFonts w:eastAsiaTheme="minorHAnsi" w:cs="Cambria"/>
          <w:color w:val="000000"/>
        </w:rPr>
        <w:t xml:space="preserve">nto Australia, the sponsor must </w:t>
      </w:r>
      <w:r>
        <w:rPr>
          <w:rFonts w:eastAsiaTheme="minorHAnsi" w:cs="Cambria"/>
          <w:color w:val="000000"/>
        </w:rPr>
        <w:t>supply the following:</w:t>
      </w:r>
    </w:p>
    <w:p w14:paraId="6ADE817B" w14:textId="77777777" w:rsidR="001F353A" w:rsidRDefault="007B52D6" w:rsidP="001F353A">
      <w:pPr>
        <w:pStyle w:val="ListBullet"/>
        <w:rPr>
          <w:color w:val="000000"/>
        </w:rPr>
      </w:pPr>
      <w:r>
        <w:rPr>
          <w:color w:val="000000"/>
        </w:rPr>
        <w:t xml:space="preserve">A completed Request for Release Form, available from </w:t>
      </w:r>
      <w:hyperlink r:id="rId24" w:history="1">
        <w:r w:rsidR="0046616A" w:rsidRPr="00014A6E">
          <w:rPr>
            <w:rStyle w:val="Hyperlink"/>
            <w:rFonts w:eastAsiaTheme="minorHAnsi" w:cs="Cambria"/>
          </w:rPr>
          <w:t>vaccines@health.gov.au</w:t>
        </w:r>
      </w:hyperlink>
      <w:r w:rsidR="0046616A">
        <w:rPr>
          <w:color w:val="000000"/>
        </w:rPr>
        <w:t>.</w:t>
      </w:r>
    </w:p>
    <w:p w14:paraId="69863516" w14:textId="7EFDD4ED" w:rsidR="007B52D6" w:rsidRDefault="007B52D6" w:rsidP="001F353A">
      <w:pPr>
        <w:pStyle w:val="ListBullet"/>
        <w:rPr>
          <w:color w:val="000000"/>
        </w:rPr>
      </w:pPr>
      <w:r>
        <w:rPr>
          <w:color w:val="000000"/>
        </w:rPr>
        <w:t>Complete summary protocols for manufacture</w:t>
      </w:r>
      <w:r w:rsidR="0046616A">
        <w:rPr>
          <w:color w:val="000000"/>
        </w:rPr>
        <w:t xml:space="preserve"> and QC, including all steps in </w:t>
      </w:r>
      <w:r>
        <w:rPr>
          <w:color w:val="000000"/>
        </w:rPr>
        <w:t>production.</w:t>
      </w:r>
    </w:p>
    <w:p w14:paraId="2892B879" w14:textId="4A6C8407" w:rsidR="007B52D6" w:rsidRDefault="007B52D6" w:rsidP="001F353A">
      <w:pPr>
        <w:pStyle w:val="ListBullet"/>
        <w:rPr>
          <w:color w:val="000000"/>
        </w:rPr>
      </w:pPr>
      <w:r>
        <w:rPr>
          <w:color w:val="000000"/>
        </w:rPr>
        <w:t xml:space="preserve">At least 20 (twenty) doses of the first consignment </w:t>
      </w:r>
      <w:r w:rsidR="0046616A">
        <w:rPr>
          <w:color w:val="000000"/>
        </w:rPr>
        <w:t xml:space="preserve">of each batch of </w:t>
      </w:r>
      <w:proofErr w:type="spellStart"/>
      <w:r w:rsidR="0046616A">
        <w:rPr>
          <w:color w:val="000000"/>
        </w:rPr>
        <w:t>Vaxigrip</w:t>
      </w:r>
      <w:proofErr w:type="spellEnd"/>
      <w:r w:rsidR="0046616A">
        <w:rPr>
          <w:color w:val="000000"/>
        </w:rPr>
        <w:t xml:space="preserve"> Tetra </w:t>
      </w:r>
      <w:r>
        <w:rPr>
          <w:color w:val="000000"/>
        </w:rPr>
        <w:t>with the Australian approved labels, PI and packag</w:t>
      </w:r>
      <w:r w:rsidR="0046616A">
        <w:rPr>
          <w:color w:val="000000"/>
        </w:rPr>
        <w:t xml:space="preserve">ing and 40 (forty) doses of the </w:t>
      </w:r>
      <w:r>
        <w:rPr>
          <w:color w:val="000000"/>
        </w:rPr>
        <w:t xml:space="preserve">first consignment of each batch of </w:t>
      </w:r>
      <w:proofErr w:type="spellStart"/>
      <w:r>
        <w:rPr>
          <w:color w:val="000000"/>
        </w:rPr>
        <w:t>Vaxigrip</w:t>
      </w:r>
      <w:proofErr w:type="spellEnd"/>
      <w:r>
        <w:rPr>
          <w:color w:val="000000"/>
        </w:rPr>
        <w:t xml:space="preserve"> T</w:t>
      </w:r>
      <w:r w:rsidR="0046616A">
        <w:rPr>
          <w:color w:val="000000"/>
        </w:rPr>
        <w:t xml:space="preserve">etra Junior with the Australian </w:t>
      </w:r>
      <w:r>
        <w:rPr>
          <w:color w:val="000000"/>
        </w:rPr>
        <w:t>approved labels, PI and packaging.</w:t>
      </w:r>
    </w:p>
    <w:p w14:paraId="13B49395" w14:textId="687E187E" w:rsidR="007B52D6" w:rsidRDefault="007B52D6" w:rsidP="001F353A">
      <w:pPr>
        <w:pStyle w:val="ListBullet"/>
        <w:rPr>
          <w:color w:val="000000"/>
        </w:rPr>
      </w:pPr>
      <w:r>
        <w:rPr>
          <w:color w:val="000000"/>
        </w:rPr>
        <w:t xml:space="preserve">At least 10 (ten) doses of any further consignment </w:t>
      </w:r>
      <w:r w:rsidR="0046616A">
        <w:rPr>
          <w:color w:val="000000"/>
        </w:rPr>
        <w:t xml:space="preserve">of each batch of </w:t>
      </w:r>
      <w:proofErr w:type="spellStart"/>
      <w:r w:rsidR="0046616A">
        <w:rPr>
          <w:color w:val="000000"/>
        </w:rPr>
        <w:t>Vaxigrip</w:t>
      </w:r>
      <w:proofErr w:type="spellEnd"/>
      <w:r w:rsidR="0046616A">
        <w:rPr>
          <w:color w:val="000000"/>
        </w:rPr>
        <w:t xml:space="preserve"> Tetra </w:t>
      </w:r>
      <w:r>
        <w:rPr>
          <w:color w:val="000000"/>
        </w:rPr>
        <w:t>with the Australian approved labels, PI and pac</w:t>
      </w:r>
      <w:r w:rsidR="0046616A">
        <w:rPr>
          <w:color w:val="000000"/>
        </w:rPr>
        <w:t xml:space="preserve">kaging and at least 20 (twenty) </w:t>
      </w:r>
      <w:r>
        <w:rPr>
          <w:color w:val="000000"/>
        </w:rPr>
        <w:t>doses of any further consignment of each batch of</w:t>
      </w:r>
      <w:r w:rsidR="0046616A">
        <w:rPr>
          <w:color w:val="000000"/>
        </w:rPr>
        <w:t xml:space="preserve"> </w:t>
      </w:r>
      <w:proofErr w:type="spellStart"/>
      <w:r w:rsidR="0046616A">
        <w:rPr>
          <w:color w:val="000000"/>
        </w:rPr>
        <w:t>Vaxigrip</w:t>
      </w:r>
      <w:proofErr w:type="spellEnd"/>
      <w:r w:rsidR="0046616A">
        <w:rPr>
          <w:color w:val="000000"/>
        </w:rPr>
        <w:t xml:space="preserve"> Tetra Junior with the </w:t>
      </w:r>
      <w:r>
        <w:rPr>
          <w:color w:val="000000"/>
        </w:rPr>
        <w:t>Australian approved labels, PI and packaging.</w:t>
      </w:r>
    </w:p>
    <w:p w14:paraId="23EC073E" w14:textId="6D873CE8" w:rsidR="007B52D6" w:rsidRDefault="007B52D6" w:rsidP="001F353A">
      <w:pPr>
        <w:pStyle w:val="ListBullet"/>
        <w:rPr>
          <w:color w:val="000000"/>
        </w:rPr>
      </w:pPr>
      <w:r>
        <w:rPr>
          <w:color w:val="000000"/>
        </w:rPr>
        <w:t>Certificate of Release from regulatory agency acting</w:t>
      </w:r>
      <w:r w:rsidR="0046616A">
        <w:rPr>
          <w:color w:val="000000"/>
        </w:rPr>
        <w:t xml:space="preserve"> for the country of origin such </w:t>
      </w:r>
      <w:r>
        <w:rPr>
          <w:color w:val="000000"/>
        </w:rPr>
        <w:t>as an OMCL (if available).</w:t>
      </w:r>
    </w:p>
    <w:p w14:paraId="642507A4" w14:textId="6913E599" w:rsidR="007B52D6" w:rsidRDefault="007B52D6" w:rsidP="001F353A">
      <w:pPr>
        <w:pStyle w:val="ListBullet"/>
        <w:rPr>
          <w:color w:val="000000"/>
        </w:rPr>
      </w:pPr>
      <w:r>
        <w:rPr>
          <w:color w:val="000000"/>
        </w:rPr>
        <w:t>Any reagents, reference material and standards re</w:t>
      </w:r>
      <w:r w:rsidR="0046616A">
        <w:rPr>
          <w:color w:val="000000"/>
        </w:rPr>
        <w:t xml:space="preserve">quired to undertake testing, as </w:t>
      </w:r>
      <w:r>
        <w:rPr>
          <w:color w:val="000000"/>
        </w:rPr>
        <w:t>requested by Laboratories Branch, TGA.</w:t>
      </w:r>
    </w:p>
    <w:p w14:paraId="7D6968A4" w14:textId="16A5DB2B" w:rsidR="007B52D6" w:rsidRDefault="007B52D6" w:rsidP="0046616A">
      <w:pPr>
        <w:rPr>
          <w:rFonts w:eastAsiaTheme="minorHAnsi" w:cs="Cambria"/>
        </w:rPr>
      </w:pPr>
      <w:r>
        <w:rPr>
          <w:rFonts w:eastAsiaTheme="minorHAnsi" w:cs="Cambria"/>
        </w:rPr>
        <w:t>Distribution of each shipment of each batch of vaccine is</w:t>
      </w:r>
      <w:r w:rsidR="001F353A">
        <w:rPr>
          <w:rFonts w:eastAsiaTheme="minorHAnsi" w:cs="Cambria"/>
        </w:rPr>
        <w:t xml:space="preserve"> conditional upon fulfilment of </w:t>
      </w:r>
      <w:r>
        <w:rPr>
          <w:rFonts w:eastAsiaTheme="minorHAnsi" w:cs="Cambria"/>
        </w:rPr>
        <w:t>these conditions and receipt of a letter from the Laboratories Bra</w:t>
      </w:r>
      <w:r w:rsidR="001F353A">
        <w:rPr>
          <w:rFonts w:eastAsiaTheme="minorHAnsi" w:cs="Cambria"/>
        </w:rPr>
        <w:t xml:space="preserve">nch acknowledging </w:t>
      </w:r>
      <w:r>
        <w:rPr>
          <w:rFonts w:eastAsiaTheme="minorHAnsi" w:cs="Cambria"/>
        </w:rPr>
        <w:t>release.</w:t>
      </w:r>
    </w:p>
    <w:p w14:paraId="18D0CDF3" w14:textId="074AAE99" w:rsidR="007B52D6" w:rsidRDefault="007B52D6" w:rsidP="0046616A">
      <w:pPr>
        <w:rPr>
          <w:rFonts w:eastAsiaTheme="minorHAnsi" w:cs="Cambria"/>
        </w:rPr>
      </w:pPr>
      <w:r>
        <w:rPr>
          <w:rFonts w:eastAsiaTheme="minorHAnsi" w:cs="Cambria"/>
        </w:rPr>
        <w:t xml:space="preserve">Samples and data should be forwarded to the </w:t>
      </w:r>
      <w:proofErr w:type="spellStart"/>
      <w:r>
        <w:rPr>
          <w:rFonts w:eastAsiaTheme="minorHAnsi" w:cs="Cambria"/>
        </w:rPr>
        <w:t>Immu</w:t>
      </w:r>
      <w:r w:rsidR="001F353A">
        <w:rPr>
          <w:rFonts w:eastAsiaTheme="minorHAnsi" w:cs="Cambria"/>
        </w:rPr>
        <w:t>nobiology</w:t>
      </w:r>
      <w:proofErr w:type="spellEnd"/>
      <w:r w:rsidR="001F353A">
        <w:rPr>
          <w:rFonts w:eastAsiaTheme="minorHAnsi" w:cs="Cambria"/>
        </w:rPr>
        <w:t xml:space="preserve"> Section, Laboratories </w:t>
      </w:r>
      <w:r>
        <w:rPr>
          <w:rFonts w:eastAsiaTheme="minorHAnsi" w:cs="Cambria"/>
        </w:rPr>
        <w:t>Branch before release of each batch and with su</w:t>
      </w:r>
      <w:r w:rsidR="001F353A">
        <w:rPr>
          <w:rFonts w:eastAsiaTheme="minorHAnsi" w:cs="Cambria"/>
        </w:rPr>
        <w:t xml:space="preserve">fficient lead time to allow for </w:t>
      </w:r>
      <w:r>
        <w:rPr>
          <w:rFonts w:eastAsiaTheme="minorHAnsi" w:cs="Cambria"/>
        </w:rPr>
        <w:t>Laboratories Branch testing.</w:t>
      </w:r>
    </w:p>
    <w:p w14:paraId="0ED43219" w14:textId="6722CA3D" w:rsidR="007B52D6" w:rsidRDefault="007B52D6" w:rsidP="0046616A">
      <w:pPr>
        <w:rPr>
          <w:rFonts w:eastAsiaTheme="minorHAnsi" w:cs="Cambria"/>
        </w:rPr>
      </w:pPr>
      <w:r>
        <w:rPr>
          <w:rFonts w:eastAsiaTheme="minorHAnsi" w:cs="Cambria"/>
        </w:rPr>
        <w:lastRenderedPageBreak/>
        <w:t xml:space="preserve">All shipments (including reagents) must be </w:t>
      </w:r>
      <w:r w:rsidR="001F353A">
        <w:rPr>
          <w:rFonts w:eastAsiaTheme="minorHAnsi" w:cs="Cambria"/>
        </w:rPr>
        <w:t>sent to TGA from the Australian sponsor/a</w:t>
      </w:r>
      <w:r>
        <w:rPr>
          <w:rFonts w:eastAsiaTheme="minorHAnsi" w:cs="Cambria"/>
        </w:rPr>
        <w:t>gent who will be required to facilitate t</w:t>
      </w:r>
      <w:r w:rsidR="001F353A">
        <w:rPr>
          <w:rFonts w:eastAsiaTheme="minorHAnsi" w:cs="Cambria"/>
        </w:rPr>
        <w:t xml:space="preserve">he import and customs clearance </w:t>
      </w:r>
      <w:r>
        <w:rPr>
          <w:rFonts w:eastAsiaTheme="minorHAnsi" w:cs="Cambria"/>
        </w:rPr>
        <w:t>process.</w:t>
      </w:r>
    </w:p>
    <w:p w14:paraId="7D92AE2A" w14:textId="1AB57944" w:rsidR="007B52D6" w:rsidRPr="00356C80" w:rsidRDefault="007B52D6" w:rsidP="001F353A">
      <w:pPr>
        <w:rPr>
          <w:i/>
        </w:rPr>
      </w:pPr>
      <w:r w:rsidRPr="00356C80">
        <w:rPr>
          <w:i/>
        </w:rPr>
        <w:t>Certified Product Details</w:t>
      </w:r>
    </w:p>
    <w:p w14:paraId="799BF145" w14:textId="239DAB90" w:rsidR="007B52D6" w:rsidRDefault="007B52D6" w:rsidP="0046616A">
      <w:pPr>
        <w:rPr>
          <w:rFonts w:eastAsiaTheme="minorHAnsi" w:cs="Cambria"/>
        </w:rPr>
      </w:pPr>
      <w:r>
        <w:rPr>
          <w:rFonts w:eastAsiaTheme="minorHAnsi" w:cs="Cambria"/>
        </w:rPr>
        <w:t>An electronic copy of the Certified Product Details (C</w:t>
      </w:r>
      <w:r w:rsidR="001F353A">
        <w:rPr>
          <w:rFonts w:eastAsiaTheme="minorHAnsi" w:cs="Cambria"/>
        </w:rPr>
        <w:t xml:space="preserve">PD) as described in Guidance 7: </w:t>
      </w:r>
      <w:r>
        <w:rPr>
          <w:rFonts w:eastAsiaTheme="minorHAnsi" w:cs="Cambria"/>
        </w:rPr>
        <w:t>Certified Product Details of the Australian Regulatory Guidelines for Prescrip</w:t>
      </w:r>
      <w:r w:rsidR="001F353A">
        <w:rPr>
          <w:rFonts w:eastAsiaTheme="minorHAnsi" w:cs="Cambria"/>
        </w:rPr>
        <w:t xml:space="preserve">tion </w:t>
      </w:r>
      <w:r>
        <w:rPr>
          <w:rFonts w:eastAsiaTheme="minorHAnsi" w:cs="Cambria"/>
        </w:rPr>
        <w:t xml:space="preserve">Medicines (ARGPM) </w:t>
      </w:r>
      <w:hyperlink r:id="rId25" w:history="1">
        <w:r w:rsidR="001F353A" w:rsidRPr="00014A6E">
          <w:rPr>
            <w:rStyle w:val="Hyperlink"/>
            <w:rFonts w:eastAsiaTheme="minorHAnsi" w:cs="Cambria"/>
          </w:rPr>
          <w:t>https://www.tga.gov.au/guidance-7-certified-product-details</w:t>
        </w:r>
      </w:hyperlink>
      <w:r w:rsidR="001F353A">
        <w:rPr>
          <w:rFonts w:eastAsiaTheme="minorHAnsi" w:cs="Cambria"/>
        </w:rPr>
        <w:t xml:space="preserve"> </w:t>
      </w:r>
      <w:r>
        <w:rPr>
          <w:rFonts w:eastAsiaTheme="minorHAnsi" w:cs="Cambria"/>
        </w:rPr>
        <w:t>should be provided upon registration of the therapeuti</w:t>
      </w:r>
      <w:r w:rsidR="001F353A">
        <w:rPr>
          <w:rFonts w:eastAsiaTheme="minorHAnsi" w:cs="Cambria"/>
        </w:rPr>
        <w:t xml:space="preserve">c good. In addition, an updated </w:t>
      </w:r>
      <w:r>
        <w:rPr>
          <w:rFonts w:eastAsiaTheme="minorHAnsi" w:cs="Cambria"/>
        </w:rPr>
        <w:t>CPD, for the above products incorporating the app</w:t>
      </w:r>
      <w:r w:rsidR="001F353A">
        <w:rPr>
          <w:rFonts w:eastAsiaTheme="minorHAnsi" w:cs="Cambria"/>
        </w:rPr>
        <w:t xml:space="preserve">roved changes is to be provided </w:t>
      </w:r>
      <w:r>
        <w:rPr>
          <w:rFonts w:eastAsiaTheme="minorHAnsi" w:cs="Cambria"/>
        </w:rPr>
        <w:t>within one month of the date of approval letter. A temp</w:t>
      </w:r>
      <w:r w:rsidR="001F353A">
        <w:rPr>
          <w:rFonts w:eastAsiaTheme="minorHAnsi" w:cs="Cambria"/>
        </w:rPr>
        <w:t xml:space="preserve">late for preparation of CPD for </w:t>
      </w:r>
      <w:r>
        <w:rPr>
          <w:rFonts w:eastAsiaTheme="minorHAnsi" w:cs="Cambria"/>
        </w:rPr>
        <w:t>biological prescription medicines and Vaccines can b</w:t>
      </w:r>
      <w:r w:rsidR="001F353A">
        <w:rPr>
          <w:rFonts w:eastAsiaTheme="minorHAnsi" w:cs="Cambria"/>
        </w:rPr>
        <w:t xml:space="preserve">e obtained from the TGA website </w:t>
      </w:r>
      <w:hyperlink r:id="rId26" w:history="1">
        <w:r w:rsidR="001F353A" w:rsidRPr="00014A6E">
          <w:rPr>
            <w:rStyle w:val="Hyperlink"/>
            <w:rFonts w:eastAsiaTheme="minorHAnsi" w:cs="Cambria"/>
          </w:rPr>
          <w:t>https://www.tga.gov.au/form/certified-product-details-cpd-biological-prescriptionmedicines</w:t>
        </w:r>
      </w:hyperlink>
      <w:r>
        <w:rPr>
          <w:rFonts w:eastAsiaTheme="minorHAnsi" w:cs="Cambria"/>
        </w:rPr>
        <w:t>]</w:t>
      </w:r>
      <w:r w:rsidR="001F353A">
        <w:rPr>
          <w:rFonts w:eastAsiaTheme="minorHAnsi" w:cs="Cambria"/>
        </w:rPr>
        <w:t xml:space="preserve">. </w:t>
      </w:r>
      <w:r>
        <w:rPr>
          <w:rFonts w:eastAsiaTheme="minorHAnsi" w:cs="Cambria"/>
        </w:rPr>
        <w:t xml:space="preserve">The CPD should be sent as a </w:t>
      </w:r>
      <w:r w:rsidRPr="001F353A">
        <w:t>single bookmarked PDF</w:t>
      </w:r>
      <w:r>
        <w:rPr>
          <w:rFonts w:ascii="Cambria-Bold" w:eastAsiaTheme="minorHAnsi" w:hAnsi="Cambria-Bold" w:cs="Cambria-Bold"/>
          <w:b/>
          <w:bCs/>
        </w:rPr>
        <w:t xml:space="preserve"> </w:t>
      </w:r>
      <w:r w:rsidR="001F353A">
        <w:rPr>
          <w:rFonts w:eastAsiaTheme="minorHAnsi" w:cs="Cambria"/>
        </w:rPr>
        <w:t xml:space="preserve">document to </w:t>
      </w:r>
      <w:r>
        <w:rPr>
          <w:rFonts w:eastAsiaTheme="minorHAnsi" w:cs="Cambria"/>
        </w:rPr>
        <w:t>Vaccines@health.gov.au as soon as possible after regis</w:t>
      </w:r>
      <w:r w:rsidR="001F353A">
        <w:rPr>
          <w:rFonts w:eastAsiaTheme="minorHAnsi" w:cs="Cambria"/>
        </w:rPr>
        <w:t xml:space="preserve">tration/approval of the product </w:t>
      </w:r>
      <w:r>
        <w:rPr>
          <w:rFonts w:eastAsiaTheme="minorHAnsi" w:cs="Cambria"/>
        </w:rPr>
        <w:t>or any subsequent changes as indicated above.</w:t>
      </w:r>
    </w:p>
    <w:p w14:paraId="12A2E9A6" w14:textId="77777777" w:rsidR="008E7846" w:rsidRDefault="00A80B5B" w:rsidP="00D23139">
      <w:pPr>
        <w:pStyle w:val="Heading2"/>
      </w:pPr>
      <w:bookmarkStart w:id="64" w:name="_Toc30581710"/>
      <w:r>
        <w:t xml:space="preserve">Attachment 1. </w:t>
      </w:r>
      <w:r w:rsidR="008E7846">
        <w:t xml:space="preserve">Product </w:t>
      </w:r>
      <w:r w:rsidR="00AA0ED0">
        <w:t>I</w:t>
      </w:r>
      <w:r w:rsidR="008E7846">
        <w:t>nformation</w:t>
      </w:r>
      <w:bookmarkEnd w:id="62"/>
      <w:bookmarkEnd w:id="63"/>
      <w:bookmarkEnd w:id="64"/>
    </w:p>
    <w:p w14:paraId="0EEA5315" w14:textId="77777777" w:rsidR="00770CAC" w:rsidRPr="007B52D6" w:rsidRDefault="006136D7" w:rsidP="007B52D6">
      <w:pPr>
        <w:rPr>
          <w:color w:val="000000"/>
          <w:lang w:eastAsia="en-AU"/>
        </w:rPr>
      </w:pPr>
      <w:r w:rsidRPr="002B3624">
        <w:t xml:space="preserve">The </w:t>
      </w:r>
      <w:r>
        <w:t>PI</w:t>
      </w:r>
      <w:r w:rsidRPr="002B3624">
        <w:t xml:space="preserve"> for </w:t>
      </w:r>
      <w:proofErr w:type="spellStart"/>
      <w:r w:rsidR="007B52D6">
        <w:t>Vaxigrip</w:t>
      </w:r>
      <w:proofErr w:type="spellEnd"/>
      <w:r w:rsidR="007B52D6">
        <w:t xml:space="preserve"> Tetra</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7" w:history="1">
        <w:r w:rsidR="007C6B9B" w:rsidRPr="007C6B9B">
          <w:rPr>
            <w:rStyle w:val="Hyperlink"/>
          </w:rPr>
          <w:t>https://www.tga.gov.au/product-information-pi</w:t>
        </w:r>
      </w:hyperlink>
      <w:r w:rsidR="007B52D6">
        <w:t>&gt;.</w:t>
      </w:r>
    </w:p>
    <w:p w14:paraId="4E8214EF" w14:textId="77777777" w:rsidR="00291957" w:rsidRDefault="00291957" w:rsidP="00291957">
      <w:pPr>
        <w:rPr>
          <w:lang w:eastAsia="ja-JP"/>
        </w:rPr>
      </w:pPr>
    </w:p>
    <w:p w14:paraId="6F69F986" w14:textId="77777777" w:rsidR="00C80137" w:rsidRPr="001D043B" w:rsidRDefault="00C80137" w:rsidP="003A7F6C">
      <w:pPr>
        <w:pStyle w:val="TableTitle"/>
        <w:sectPr w:rsidR="00C80137" w:rsidRPr="001D043B" w:rsidSect="00B452CE">
          <w:headerReference w:type="even" r:id="rId28"/>
          <w:headerReference w:type="default" r:id="rId29"/>
          <w:headerReference w:type="first" r:id="rId30"/>
          <w:footerReference w:type="first" r:id="rId3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5DEC6C92" w14:textId="77777777" w:rsidTr="00A05FA4">
        <w:trPr>
          <w:trHeight w:hRule="exact" w:val="704"/>
        </w:trPr>
        <w:tc>
          <w:tcPr>
            <w:tcW w:w="9175" w:type="dxa"/>
          </w:tcPr>
          <w:p w14:paraId="4F968EAD" w14:textId="77777777" w:rsidR="001C32CD" w:rsidRPr="00487162" w:rsidRDefault="001C32CD" w:rsidP="00A05FA4">
            <w:pPr>
              <w:pStyle w:val="TGASignoff"/>
            </w:pPr>
            <w:r w:rsidRPr="00487162">
              <w:lastRenderedPageBreak/>
              <w:t>Therapeutic Goods Administration</w:t>
            </w:r>
          </w:p>
        </w:tc>
      </w:tr>
      <w:tr w:rsidR="001C32CD" w:rsidRPr="004C239D" w14:paraId="52C9249D" w14:textId="77777777" w:rsidTr="00A05FA4">
        <w:trPr>
          <w:trHeight w:val="1221"/>
        </w:trPr>
        <w:tc>
          <w:tcPr>
            <w:tcW w:w="9175" w:type="dxa"/>
            <w:tcMar>
              <w:top w:w="28" w:type="dxa"/>
            </w:tcMar>
          </w:tcPr>
          <w:p w14:paraId="520E0231" w14:textId="77777777" w:rsidR="001C32CD" w:rsidRPr="00487162" w:rsidRDefault="001C32CD" w:rsidP="00A05FA4">
            <w:pPr>
              <w:pStyle w:val="Address"/>
            </w:pPr>
            <w:r w:rsidRPr="00487162">
              <w:t>PO Box 100 Woden ACT 2606 Australia</w:t>
            </w:r>
          </w:p>
          <w:p w14:paraId="7E76F3E1" w14:textId="77777777" w:rsidR="001C32CD" w:rsidRPr="00487162" w:rsidRDefault="001C32CD" w:rsidP="00A05FA4">
            <w:pPr>
              <w:pStyle w:val="Address"/>
            </w:pPr>
            <w:r w:rsidRPr="00487162">
              <w:t xml:space="preserve">Email: </w:t>
            </w:r>
            <w:hyperlink r:id="rId32" w:history="1">
              <w:r w:rsidRPr="004C239D">
                <w:rPr>
                  <w:rStyle w:val="Hyperlink"/>
                </w:rPr>
                <w:t>info@tga.gov.au</w:t>
              </w:r>
            </w:hyperlink>
            <w:r w:rsidRPr="00487162">
              <w:t xml:space="preserve">  Phone: 1800 020 653  Fax: 02 6232 8605</w:t>
            </w:r>
          </w:p>
          <w:p w14:paraId="3476F606" w14:textId="77777777" w:rsidR="001C32CD" w:rsidRPr="004C239D" w:rsidRDefault="00A613B3" w:rsidP="00A05FA4">
            <w:pPr>
              <w:pStyle w:val="Address"/>
              <w:spacing w:line="260" w:lineRule="atLeast"/>
              <w:rPr>
                <w:b/>
                <w:color w:val="0000FF"/>
                <w:u w:val="single"/>
              </w:rPr>
            </w:pPr>
            <w:hyperlink r:id="rId33" w:history="1">
              <w:r w:rsidR="007C6B9B" w:rsidRPr="007C6B9B">
                <w:rPr>
                  <w:rStyle w:val="Hyperlink"/>
                  <w:b/>
                </w:rPr>
                <w:t>https://www.tga.gov.au</w:t>
              </w:r>
            </w:hyperlink>
          </w:p>
        </w:tc>
      </w:tr>
    </w:tbl>
    <w:p w14:paraId="098E6C1C" w14:textId="77777777" w:rsidR="00774E1D" w:rsidRPr="008A5E0B" w:rsidRDefault="00774E1D" w:rsidP="004C239D"/>
    <w:sectPr w:rsidR="00774E1D" w:rsidRPr="008A5E0B" w:rsidSect="001C32CD">
      <w:headerReference w:type="even" r:id="rId34"/>
      <w:headerReference w:type="default" r:id="rId35"/>
      <w:footerReference w:type="default" r:id="rId36"/>
      <w:headerReference w:type="first" r:id="rId37"/>
      <w:footerReference w:type="first" r:id="rId38"/>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B9858D" w14:textId="77777777" w:rsidR="0023588F" w:rsidRDefault="0023588F" w:rsidP="00C40A36">
      <w:pPr>
        <w:spacing w:after="0"/>
      </w:pPr>
      <w:r>
        <w:separator/>
      </w:r>
    </w:p>
  </w:endnote>
  <w:endnote w:type="continuationSeparator" w:id="0">
    <w:p w14:paraId="26F3976C" w14:textId="77777777" w:rsidR="0023588F" w:rsidRDefault="0023588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NewRoman">
    <w:panose1 w:val="00000000000000000000"/>
    <w:charset w:val="80"/>
    <w:family w:val="auto"/>
    <w:notTrueType/>
    <w:pitch w:val="default"/>
    <w:sig w:usb0="00000001" w:usb1="08070000" w:usb2="00000010" w:usb3="00000000" w:csb0="00020000" w:csb1="00000000"/>
  </w:font>
  <w:font w:name="ArialNarrow">
    <w:panose1 w:val="00000000000000000000"/>
    <w:charset w:val="00"/>
    <w:family w:val="swiss"/>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TimesNewRomanPSMT">
    <w:altName w:val="MS Mincho"/>
    <w:panose1 w:val="00000000000000000000"/>
    <w:charset w:val="00"/>
    <w:family w:val="auto"/>
    <w:notTrueType/>
    <w:pitch w:val="default"/>
    <w:sig w:usb0="00000003" w:usb1="080F0000" w:usb2="00000010" w:usb3="00000000" w:csb0="00060001" w:csb1="00000000"/>
  </w:font>
  <w:font w:name="Cambria-Italic">
    <w:panose1 w:val="00000000000000000000"/>
    <w:charset w:val="00"/>
    <w:family w:val="roman"/>
    <w:notTrueType/>
    <w:pitch w:val="default"/>
    <w:sig w:usb0="00000003" w:usb1="00000000" w:usb2="00000000" w:usb3="00000000" w:csb0="00000001" w:csb1="00000000"/>
  </w:font>
  <w:font w:name="Cambria-Bold">
    <w:panose1 w:val="00000000000000000000"/>
    <w:charset w:val="00"/>
    <w:family w:val="roman"/>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62D06" w14:textId="77777777" w:rsidR="009338F6" w:rsidRDefault="009338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23588F" w:rsidRPr="00487162" w14:paraId="4961EF2E" w14:textId="77777777" w:rsidTr="00DB750B">
      <w:trPr>
        <w:trHeight w:val="269"/>
      </w:trPr>
      <w:tc>
        <w:tcPr>
          <w:tcW w:w="7371" w:type="dxa"/>
          <w:tcMar>
            <w:top w:w="142" w:type="dxa"/>
            <w:bottom w:w="0" w:type="dxa"/>
          </w:tcMar>
        </w:tcPr>
        <w:p w14:paraId="79EDD683" w14:textId="2FEA4801" w:rsidR="0023588F" w:rsidRPr="00487162" w:rsidRDefault="0023588F" w:rsidP="009338F6">
          <w:pPr>
            <w:pStyle w:val="Footer"/>
          </w:pPr>
          <w:r w:rsidRPr="00487162">
            <w:t>AusPA</w:t>
          </w:r>
          <w:r>
            <w:t xml:space="preserve">R - </w:t>
          </w:r>
          <w:proofErr w:type="spellStart"/>
          <w:r>
            <w:t>Vaxigrip</w:t>
          </w:r>
          <w:proofErr w:type="spellEnd"/>
          <w:r>
            <w:t xml:space="preserve"> Tetra - </w:t>
          </w:r>
          <w:r w:rsidRPr="002A7FDF">
            <w:t xml:space="preserve">Inactivated </w:t>
          </w:r>
          <w:proofErr w:type="spellStart"/>
          <w:r w:rsidRPr="002A7FDF">
            <w:t>quadrivalent</w:t>
          </w:r>
          <w:proofErr w:type="spellEnd"/>
          <w:r w:rsidRPr="002A7FDF">
            <w:t xml:space="preserve"> influenza vaccine (split </w:t>
          </w:r>
          <w:proofErr w:type="spellStart"/>
          <w:r w:rsidRPr="002A7FDF">
            <w:t>virion</w:t>
          </w:r>
          <w:proofErr w:type="spellEnd"/>
          <w:r w:rsidRPr="002A7FDF">
            <w:t>) - Sanofi-Aventis Australia Pty Ltd - PM-2018-00583-1-2</w:t>
          </w:r>
          <w:r w:rsidR="009338F6">
            <w:t xml:space="preserve"> </w:t>
          </w:r>
          <w:r w:rsidR="00D47FAA">
            <w:t>FINAL 19</w:t>
          </w:r>
          <w:r>
            <w:t xml:space="preserve"> December 2019</w:t>
          </w:r>
        </w:p>
      </w:tc>
      <w:tc>
        <w:tcPr>
          <w:tcW w:w="1490" w:type="dxa"/>
          <w:tcMar>
            <w:top w:w="142" w:type="dxa"/>
            <w:bottom w:w="0" w:type="dxa"/>
          </w:tcMar>
        </w:tcPr>
        <w:p w14:paraId="344B5754" w14:textId="75E04435" w:rsidR="0023588F" w:rsidRPr="00487162" w:rsidRDefault="0023588F" w:rsidP="00DB750B">
          <w:pPr>
            <w:pStyle w:val="Footer"/>
            <w:jc w:val="right"/>
          </w:pPr>
          <w:r w:rsidRPr="00487162">
            <w:t xml:space="preserve">Page </w:t>
          </w:r>
          <w:r>
            <w:fldChar w:fldCharType="begin"/>
          </w:r>
          <w:r>
            <w:instrText xml:space="preserve"> PAGE  \* Arabic </w:instrText>
          </w:r>
          <w:r>
            <w:fldChar w:fldCharType="separate"/>
          </w:r>
          <w:r w:rsidR="00A613B3">
            <w:rPr>
              <w:noProof/>
            </w:rPr>
            <w:t>3</w:t>
          </w:r>
          <w:r>
            <w:fldChar w:fldCharType="end"/>
          </w:r>
          <w:r w:rsidRPr="00487162">
            <w:t xml:space="preserve"> of </w:t>
          </w:r>
          <w:r w:rsidR="00A613B3">
            <w:fldChar w:fldCharType="begin"/>
          </w:r>
          <w:r w:rsidR="00A613B3">
            <w:instrText xml:space="preserve"> NUMPAGES  \* Arabic </w:instrText>
          </w:r>
          <w:r w:rsidR="00A613B3">
            <w:fldChar w:fldCharType="separate"/>
          </w:r>
          <w:r w:rsidR="00A613B3">
            <w:rPr>
              <w:noProof/>
            </w:rPr>
            <w:t>30</w:t>
          </w:r>
          <w:r w:rsidR="00A613B3">
            <w:rPr>
              <w:noProof/>
            </w:rPr>
            <w:fldChar w:fldCharType="end"/>
          </w:r>
        </w:p>
      </w:tc>
    </w:tr>
  </w:tbl>
  <w:p w14:paraId="4D21A45B" w14:textId="77777777" w:rsidR="0023588F" w:rsidRDefault="0023588F"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CAEF8" w14:textId="77777777" w:rsidR="009338F6" w:rsidRDefault="009338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3588F" w:rsidRPr="00487162" w14:paraId="0049EC1A" w14:textId="77777777" w:rsidTr="00E45619">
      <w:trPr>
        <w:trHeight w:val="269"/>
      </w:trPr>
      <w:tc>
        <w:tcPr>
          <w:tcW w:w="4519" w:type="dxa"/>
          <w:tcBorders>
            <w:top w:val="single" w:sz="4" w:space="0" w:color="auto"/>
          </w:tcBorders>
          <w:tcMar>
            <w:top w:w="142" w:type="dxa"/>
            <w:bottom w:w="0" w:type="dxa"/>
          </w:tcMar>
        </w:tcPr>
        <w:p w14:paraId="55DDD225" w14:textId="77777777" w:rsidR="0023588F" w:rsidRPr="00487162" w:rsidRDefault="0023588F" w:rsidP="00FE1DEE">
          <w:pPr>
            <w:pStyle w:val="Footer"/>
          </w:pPr>
          <w:r w:rsidRPr="00487162">
            <w:t>Document title, Part #, Section # - Section title</w:t>
          </w:r>
        </w:p>
        <w:p w14:paraId="39D3B68D" w14:textId="77777777" w:rsidR="0023588F" w:rsidRPr="00487162" w:rsidRDefault="0023588F" w:rsidP="00FE1DEE">
          <w:pPr>
            <w:pStyle w:val="Footer"/>
          </w:pPr>
          <w:r w:rsidRPr="00487162">
            <w:t>V1.0 October 2010</w:t>
          </w:r>
        </w:p>
      </w:tc>
      <w:tc>
        <w:tcPr>
          <w:tcW w:w="4342" w:type="dxa"/>
          <w:tcBorders>
            <w:top w:val="single" w:sz="4" w:space="0" w:color="auto"/>
          </w:tcBorders>
          <w:tcMar>
            <w:top w:w="142" w:type="dxa"/>
            <w:bottom w:w="0" w:type="dxa"/>
          </w:tcMar>
        </w:tcPr>
        <w:p w14:paraId="0A0F194A" w14:textId="77777777" w:rsidR="0023588F" w:rsidRPr="00487162" w:rsidRDefault="0023588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A613B3">
            <w:fldChar w:fldCharType="begin"/>
          </w:r>
          <w:r w:rsidR="00A613B3">
            <w:instrText xml:space="preserve"> NUMPAGES  </w:instrText>
          </w:r>
          <w:r w:rsidR="00A613B3">
            <w:fldChar w:fldCharType="separate"/>
          </w:r>
          <w:r>
            <w:rPr>
              <w:noProof/>
            </w:rPr>
            <w:t>3</w:t>
          </w:r>
          <w:r w:rsidR="00A613B3">
            <w:rPr>
              <w:noProof/>
            </w:rPr>
            <w:fldChar w:fldCharType="end"/>
          </w:r>
        </w:p>
      </w:tc>
    </w:tr>
  </w:tbl>
  <w:p w14:paraId="2EF3481C" w14:textId="77777777" w:rsidR="0023588F" w:rsidRDefault="0023588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73FBA" w14:textId="77777777" w:rsidR="0023588F" w:rsidRPr="001C32CD" w:rsidRDefault="0023588F"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3588F" w14:paraId="7381988A" w14:textId="77777777" w:rsidTr="0010601F">
      <w:trPr>
        <w:trHeight w:val="108"/>
      </w:trPr>
      <w:tc>
        <w:tcPr>
          <w:tcW w:w="8875" w:type="dxa"/>
          <w:gridSpan w:val="2"/>
          <w:tcBorders>
            <w:bottom w:val="single" w:sz="4" w:space="0" w:color="auto"/>
          </w:tcBorders>
          <w:tcMar>
            <w:right w:w="284" w:type="dxa"/>
          </w:tcMar>
        </w:tcPr>
        <w:p w14:paraId="1396277D" w14:textId="77777777" w:rsidR="0023588F" w:rsidRDefault="0023588F" w:rsidP="006E08B3">
          <w:pPr>
            <w:pStyle w:val="Heading3"/>
          </w:pPr>
          <w:r>
            <w:t>Copyright</w:t>
          </w:r>
        </w:p>
        <w:p w14:paraId="0275A98D" w14:textId="77777777" w:rsidR="0023588F" w:rsidRDefault="0023588F" w:rsidP="006E08B3">
          <w:r>
            <w:rPr>
              <w:rFonts w:cs="Arial"/>
            </w:rPr>
            <w:t>©</w:t>
          </w:r>
          <w:r>
            <w:t xml:space="preserve"> Commonwealth of Australia [add year]</w:t>
          </w:r>
        </w:p>
        <w:p w14:paraId="76F6301B" w14:textId="77777777" w:rsidR="0023588F" w:rsidRDefault="0023588F" w:rsidP="006E08B3"/>
        <w:p w14:paraId="5DA06A41" w14:textId="77777777" w:rsidR="0023588F" w:rsidRDefault="0023588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6E19267D" w14:textId="77777777" w:rsidR="0023588F" w:rsidRDefault="0023588F" w:rsidP="006E08B3"/>
        <w:p w14:paraId="55E6724F" w14:textId="77777777" w:rsidR="0023588F" w:rsidRDefault="0023588F" w:rsidP="006E08B3">
          <w:pPr>
            <w:pStyle w:val="Heading3"/>
          </w:pPr>
          <w:r>
            <w:t>Confidentiality</w:t>
          </w:r>
        </w:p>
        <w:p w14:paraId="04BC25EE" w14:textId="77777777" w:rsidR="0023588F" w:rsidRDefault="0023588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4107DE26" w14:textId="77777777" w:rsidR="0023588F" w:rsidRDefault="0023588F" w:rsidP="006E08B3"/>
        <w:p w14:paraId="65E2249B" w14:textId="77777777" w:rsidR="0023588F" w:rsidRDefault="0023588F" w:rsidP="006E08B3">
          <w:r>
            <w:t>For submission made by individuals, all personal details, other than your name, will be removed from your submission before it is published on the TGA’s Internet site.</w:t>
          </w:r>
        </w:p>
        <w:p w14:paraId="2FA32F1E" w14:textId="77777777" w:rsidR="0023588F" w:rsidRDefault="0023588F" w:rsidP="006E08B3"/>
        <w:p w14:paraId="22535F74" w14:textId="77777777" w:rsidR="0023588F" w:rsidRDefault="0023588F"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23588F" w14:paraId="2BEF0C37" w14:textId="77777777" w:rsidTr="0010601F">
      <w:trPr>
        <w:trHeight w:val="417"/>
      </w:trPr>
      <w:tc>
        <w:tcPr>
          <w:tcW w:w="4519" w:type="dxa"/>
          <w:tcBorders>
            <w:top w:val="single" w:sz="4" w:space="0" w:color="auto"/>
          </w:tcBorders>
          <w:tcMar>
            <w:top w:w="142" w:type="dxa"/>
            <w:bottom w:w="0" w:type="dxa"/>
          </w:tcMar>
        </w:tcPr>
        <w:p w14:paraId="4DC5D733" w14:textId="77777777" w:rsidR="0023588F" w:rsidRDefault="0023588F" w:rsidP="006E08B3">
          <w:r>
            <w:t>Document title, Part #, Section # - Section title</w:t>
          </w:r>
        </w:p>
        <w:p w14:paraId="39DD9D1D" w14:textId="77777777" w:rsidR="0023588F" w:rsidRDefault="0023588F" w:rsidP="006E08B3">
          <w:r>
            <w:t>V1.0 October 2010</w:t>
          </w:r>
        </w:p>
      </w:tc>
      <w:tc>
        <w:tcPr>
          <w:tcW w:w="4356" w:type="dxa"/>
          <w:tcBorders>
            <w:top w:val="single" w:sz="4" w:space="0" w:color="auto"/>
          </w:tcBorders>
          <w:tcMar>
            <w:top w:w="142" w:type="dxa"/>
            <w:bottom w:w="0" w:type="dxa"/>
          </w:tcMar>
        </w:tcPr>
        <w:p w14:paraId="05E1365C" w14:textId="77777777" w:rsidR="0023588F" w:rsidRDefault="0023588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A613B3">
            <w:fldChar w:fldCharType="begin"/>
          </w:r>
          <w:r w:rsidR="00A613B3">
            <w:instrText xml:space="preserve"> NUMPAGES  \* Arabic </w:instrText>
          </w:r>
          <w:r w:rsidR="00A613B3">
            <w:fldChar w:fldCharType="separate"/>
          </w:r>
          <w:r>
            <w:rPr>
              <w:noProof/>
            </w:rPr>
            <w:t>3</w:t>
          </w:r>
          <w:r w:rsidR="00A613B3">
            <w:rPr>
              <w:noProof/>
            </w:rPr>
            <w:fldChar w:fldCharType="end"/>
          </w:r>
          <w:r>
            <w:t xml:space="preserve">  </w:t>
          </w:r>
        </w:p>
      </w:tc>
    </w:tr>
  </w:tbl>
  <w:p w14:paraId="0CB45494" w14:textId="77777777" w:rsidR="0023588F" w:rsidRDefault="0023588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EA238A" w14:textId="77777777" w:rsidR="0023588F" w:rsidRDefault="0023588F" w:rsidP="00C40A36">
      <w:pPr>
        <w:spacing w:after="0"/>
      </w:pPr>
      <w:r>
        <w:separator/>
      </w:r>
    </w:p>
  </w:footnote>
  <w:footnote w:type="continuationSeparator" w:id="0">
    <w:p w14:paraId="37B49595" w14:textId="77777777" w:rsidR="0023588F" w:rsidRDefault="0023588F" w:rsidP="00C40A36">
      <w:pPr>
        <w:spacing w:after="0"/>
      </w:pPr>
      <w:r>
        <w:continuationSeparator/>
      </w:r>
    </w:p>
  </w:footnote>
  <w:footnote w:id="1">
    <w:p w14:paraId="5526422F" w14:textId="702A20AA" w:rsidR="0023588F" w:rsidRDefault="0023588F">
      <w:pPr>
        <w:pStyle w:val="FootnoteText"/>
      </w:pPr>
      <w:r>
        <w:rPr>
          <w:rStyle w:val="FootnoteReference"/>
        </w:rPr>
        <w:footnoteRef/>
      </w:r>
      <w:r>
        <w:t xml:space="preserve"> </w:t>
      </w:r>
      <w:r w:rsidRPr="005A5895">
        <w:t>Fiore</w:t>
      </w:r>
      <w:r>
        <w:t>,</w:t>
      </w:r>
      <w:r w:rsidRPr="005A5895">
        <w:t xml:space="preserve"> A</w:t>
      </w:r>
      <w:r>
        <w:t>.</w:t>
      </w:r>
      <w:r w:rsidRPr="005A5895">
        <w:t>E</w:t>
      </w:r>
      <w:r>
        <w:t xml:space="preserve">. </w:t>
      </w:r>
      <w:r w:rsidRPr="005A5895">
        <w:t xml:space="preserve">et al. </w:t>
      </w:r>
      <w:r>
        <w:t xml:space="preserve">(2009). </w:t>
      </w:r>
      <w:r w:rsidRPr="005A5895">
        <w:t>Prevention and control of seasonal influenza with vaccines: recommendations of the Advisory Committee on Immun</w:t>
      </w:r>
      <w:r>
        <w:t xml:space="preserve">ization Practices (ACIP), </w:t>
      </w:r>
      <w:r w:rsidRPr="005A5895">
        <w:rPr>
          <w:i/>
        </w:rPr>
        <w:t xml:space="preserve">MMWR </w:t>
      </w:r>
      <w:proofErr w:type="spellStart"/>
      <w:r w:rsidRPr="005A5895">
        <w:rPr>
          <w:i/>
        </w:rPr>
        <w:t>Recomm</w:t>
      </w:r>
      <w:proofErr w:type="spellEnd"/>
      <w:r w:rsidRPr="005A5895">
        <w:rPr>
          <w:i/>
        </w:rPr>
        <w:t xml:space="preserve"> Rep</w:t>
      </w:r>
      <w:r>
        <w:t>,</w:t>
      </w:r>
      <w:r w:rsidRPr="005A5895">
        <w:t xml:space="preserve"> 2009;</w:t>
      </w:r>
      <w:r>
        <w:t xml:space="preserve"> 58</w:t>
      </w:r>
      <w:r w:rsidRPr="005A5895">
        <w:t>:</w:t>
      </w:r>
      <w:r>
        <w:t xml:space="preserve"> </w:t>
      </w:r>
      <w:r w:rsidRPr="005A5895">
        <w:t>1-52.</w:t>
      </w:r>
    </w:p>
  </w:footnote>
  <w:footnote w:id="2">
    <w:p w14:paraId="07C0E924" w14:textId="623E1FFA" w:rsidR="0023588F" w:rsidRDefault="0023588F">
      <w:pPr>
        <w:pStyle w:val="FootnoteText"/>
      </w:pPr>
      <w:r>
        <w:rPr>
          <w:rStyle w:val="FootnoteReference"/>
        </w:rPr>
        <w:footnoteRef/>
      </w:r>
      <w:r>
        <w:t xml:space="preserve"> </w:t>
      </w:r>
      <w:r w:rsidRPr="005A5895">
        <w:t>Rothberg</w:t>
      </w:r>
      <w:r>
        <w:t>,</w:t>
      </w:r>
      <w:r w:rsidRPr="005A5895">
        <w:t xml:space="preserve"> M</w:t>
      </w:r>
      <w:r>
        <w:t>.</w:t>
      </w:r>
      <w:r w:rsidRPr="005A5895">
        <w:t>B</w:t>
      </w:r>
      <w:r>
        <w:t>. et al. (2008)</w:t>
      </w:r>
      <w:r w:rsidRPr="005A5895">
        <w:t>. Complications of viral influenza</w:t>
      </w:r>
      <w:r w:rsidRPr="005A5895">
        <w:rPr>
          <w:i/>
        </w:rPr>
        <w:t>. Am J Med</w:t>
      </w:r>
      <w:r>
        <w:t>, 2008 ;121</w:t>
      </w:r>
      <w:r w:rsidRPr="005A5895">
        <w:t>:</w:t>
      </w:r>
      <w:r>
        <w:t xml:space="preserve"> </w:t>
      </w:r>
      <w:r w:rsidRPr="005A5895">
        <w:t>258-</w:t>
      </w:r>
      <w:r>
        <w:t>2</w:t>
      </w:r>
      <w:r w:rsidRPr="005A5895">
        <w:t>64.</w:t>
      </w:r>
    </w:p>
  </w:footnote>
  <w:footnote w:id="3">
    <w:p w14:paraId="395BAE96" w14:textId="1D344483" w:rsidR="0023588F" w:rsidRDefault="0023588F">
      <w:pPr>
        <w:pStyle w:val="FootnoteText"/>
      </w:pPr>
      <w:r>
        <w:rPr>
          <w:rStyle w:val="FootnoteReference"/>
        </w:rPr>
        <w:footnoteRef/>
      </w:r>
      <w:r>
        <w:t xml:space="preserve"> </w:t>
      </w:r>
      <w:r w:rsidRPr="005A5895">
        <w:t>Monto</w:t>
      </w:r>
      <w:r>
        <w:t>,</w:t>
      </w:r>
      <w:r w:rsidRPr="005A5895">
        <w:t xml:space="preserve"> A</w:t>
      </w:r>
      <w:r>
        <w:t>.</w:t>
      </w:r>
      <w:r w:rsidRPr="005A5895">
        <w:t>S.</w:t>
      </w:r>
      <w:r>
        <w:t xml:space="preserve"> (2008).</w:t>
      </w:r>
      <w:r w:rsidRPr="005A5895">
        <w:t xml:space="preserve"> Epidemiology of influenza. </w:t>
      </w:r>
      <w:r w:rsidRPr="005A5895">
        <w:rPr>
          <w:i/>
        </w:rPr>
        <w:t>Vaccine</w:t>
      </w:r>
      <w:r>
        <w:t>. 2008; 26: D</w:t>
      </w:r>
      <w:r w:rsidRPr="005A5895">
        <w:t>45-</w:t>
      </w:r>
      <w:r>
        <w:t>4</w:t>
      </w:r>
      <w:r w:rsidRPr="005A5895">
        <w:t>8.</w:t>
      </w:r>
    </w:p>
  </w:footnote>
  <w:footnote w:id="4">
    <w:p w14:paraId="6C694EC1" w14:textId="104811AB" w:rsidR="0023588F" w:rsidRDefault="0023588F">
      <w:pPr>
        <w:pStyle w:val="FootnoteText"/>
      </w:pPr>
      <w:r>
        <w:rPr>
          <w:rStyle w:val="FootnoteReference"/>
        </w:rPr>
        <w:footnoteRef/>
      </w:r>
      <w:r>
        <w:t xml:space="preserve"> </w:t>
      </w:r>
      <w:r w:rsidRPr="00B93073">
        <w:t>Hay</w:t>
      </w:r>
      <w:r>
        <w:t>,</w:t>
      </w:r>
      <w:r w:rsidRPr="00B93073">
        <w:t xml:space="preserve"> A</w:t>
      </w:r>
      <w:r>
        <w:t>.J.</w:t>
      </w:r>
      <w:r w:rsidRPr="00B93073">
        <w:t xml:space="preserve"> et al. </w:t>
      </w:r>
      <w:r>
        <w:t xml:space="preserve">(1991). </w:t>
      </w:r>
      <w:r w:rsidRPr="00B93073">
        <w:t xml:space="preserve">Influenza viruses. In: </w:t>
      </w:r>
      <w:proofErr w:type="spellStart"/>
      <w:r w:rsidRPr="00B93073">
        <w:t>Belshe</w:t>
      </w:r>
      <w:proofErr w:type="spellEnd"/>
      <w:r w:rsidRPr="00B93073">
        <w:t xml:space="preserve"> RB, ed. Textbook of Human Virology. St. Louis, Missouri: Mosby Year Book, Inc, 1991;</w:t>
      </w:r>
      <w:r>
        <w:t xml:space="preserve"> </w:t>
      </w:r>
      <w:r w:rsidRPr="00B93073">
        <w:t>307−341.</w:t>
      </w:r>
    </w:p>
  </w:footnote>
  <w:footnote w:id="5">
    <w:p w14:paraId="4C8588CB" w14:textId="261283DC" w:rsidR="0023588F" w:rsidRPr="006D67C6" w:rsidRDefault="0023588F" w:rsidP="00D73400">
      <w:pPr>
        <w:pStyle w:val="FootnoteText"/>
        <w:rPr>
          <w:lang w:val="en-US"/>
        </w:rPr>
      </w:pPr>
      <w:r>
        <w:rPr>
          <w:rStyle w:val="FootnoteReference"/>
        </w:rPr>
        <w:footnoteRef/>
      </w:r>
      <w:r>
        <w:t xml:space="preserve"> European Medicines Agency (</w:t>
      </w:r>
      <w:r>
        <w:rPr>
          <w:lang w:val="en-US"/>
        </w:rPr>
        <w:t xml:space="preserve">EMA) </w:t>
      </w:r>
      <w:r w:rsidRPr="00A660E4">
        <w:rPr>
          <w:lang w:val="en-US"/>
        </w:rPr>
        <w:t>Committee for Medicinal Products for Human Use</w:t>
      </w:r>
      <w:r>
        <w:rPr>
          <w:lang w:val="en-US"/>
        </w:rPr>
        <w:t xml:space="preserve"> (CHMP). Guideline on influenza vaccines. Nonclinical and clinical module. 21 July 2016, EMA/CHMP/VWP/457259/2014.</w:t>
      </w:r>
    </w:p>
  </w:footnote>
  <w:footnote w:id="6">
    <w:p w14:paraId="72B2D6AF" w14:textId="03655DF5" w:rsidR="0023588F" w:rsidRDefault="0023588F">
      <w:pPr>
        <w:pStyle w:val="FootnoteText"/>
      </w:pPr>
      <w:r>
        <w:rPr>
          <w:rStyle w:val="FootnoteReference"/>
        </w:rPr>
        <w:footnoteRef/>
      </w:r>
      <w:r>
        <w:t xml:space="preserve"> European Medicines Agency (EMA), </w:t>
      </w:r>
      <w:r w:rsidRPr="00733D82">
        <w:t xml:space="preserve">Committee for Proprietary Medicinal Products </w:t>
      </w:r>
      <w:r>
        <w:t xml:space="preserve">(CPMP), Guideline on </w:t>
      </w:r>
      <w:r w:rsidRPr="00733D82">
        <w:t>Harmonisation of requirements for influenza vaccines</w:t>
      </w:r>
      <w:r>
        <w:t xml:space="preserve">, 12 March 1997, </w:t>
      </w:r>
      <w:r w:rsidRPr="00733D82">
        <w:t>CPMP/BWP/214/96</w:t>
      </w:r>
      <w:r>
        <w:t>.</w:t>
      </w:r>
    </w:p>
  </w:footnote>
  <w:footnote w:id="7">
    <w:p w14:paraId="226719E4" w14:textId="1B2211A1" w:rsidR="0023588F" w:rsidRPr="00322211" w:rsidRDefault="0023588F">
      <w:pPr>
        <w:pStyle w:val="FootnoteText"/>
        <w:rPr>
          <w:lang w:val="en-GB"/>
        </w:rPr>
      </w:pPr>
      <w:r>
        <w:rPr>
          <w:rStyle w:val="FootnoteReference"/>
        </w:rPr>
        <w:footnoteRef/>
      </w:r>
      <w:r>
        <w:t xml:space="preserve"> </w:t>
      </w:r>
      <w:r>
        <w:rPr>
          <w:lang w:val="en-GB"/>
        </w:rPr>
        <w:t xml:space="preserve">TIV2 group, trivalent inactivated influenza vaccine containing a single </w:t>
      </w:r>
      <w:r w:rsidRPr="005B3B7C">
        <w:rPr>
          <w:lang w:val="en-GB"/>
        </w:rPr>
        <w:t xml:space="preserve">B strain </w:t>
      </w:r>
      <w:r>
        <w:rPr>
          <w:lang w:val="en-GB"/>
        </w:rPr>
        <w:t>from the Yamagata lineage.</w:t>
      </w:r>
    </w:p>
  </w:footnote>
  <w:footnote w:id="8">
    <w:p w14:paraId="196198FD" w14:textId="195FB3BD" w:rsidR="0023588F" w:rsidRDefault="0023588F">
      <w:pPr>
        <w:pStyle w:val="FootnoteText"/>
      </w:pPr>
      <w:r>
        <w:rPr>
          <w:rStyle w:val="FootnoteReference"/>
        </w:rPr>
        <w:footnoteRef/>
      </w:r>
      <w:r>
        <w:t xml:space="preserve"> TIV1 group, </w:t>
      </w:r>
      <w:r>
        <w:rPr>
          <w:lang w:val="en-GB"/>
        </w:rPr>
        <w:t xml:space="preserve">trivalent inactivated influenza vaccine containing a single </w:t>
      </w:r>
      <w:r w:rsidRPr="005B3B7C">
        <w:rPr>
          <w:lang w:val="en-GB"/>
        </w:rPr>
        <w:t xml:space="preserve">B strain </w:t>
      </w:r>
      <w:r>
        <w:rPr>
          <w:lang w:val="en-GB"/>
        </w:rPr>
        <w:t xml:space="preserve">from the </w:t>
      </w:r>
      <w:r w:rsidRPr="0023588F">
        <w:rPr>
          <w:lang w:val="en-GB"/>
        </w:rPr>
        <w:t>Victoria lineage</w:t>
      </w:r>
      <w:r>
        <w:rPr>
          <w:lang w:val="en-GB"/>
        </w:rPr>
        <w:t>.</w:t>
      </w:r>
    </w:p>
  </w:footnote>
  <w:footnote w:id="9">
    <w:p w14:paraId="2CE48D48" w14:textId="77777777" w:rsidR="0023588F" w:rsidRDefault="0023588F" w:rsidP="00452FEA">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570CC996" w14:textId="77777777" w:rsidR="0023588F" w:rsidRDefault="0023588F" w:rsidP="00452FEA">
      <w:pPr>
        <w:pStyle w:val="FootnoteText"/>
      </w:pPr>
      <w:r w:rsidRPr="00F12492">
        <w:rPr>
          <w:i/>
        </w:rPr>
        <w:t>Routine pharmacovigilance</w:t>
      </w:r>
      <w:r>
        <w:t xml:space="preserve"> practices involve the following activities:</w:t>
      </w:r>
    </w:p>
    <w:p w14:paraId="209E75CE" w14:textId="77777777" w:rsidR="0023588F" w:rsidRDefault="0023588F" w:rsidP="00452FEA">
      <w:pPr>
        <w:pStyle w:val="FootnoteText"/>
        <w:numPr>
          <w:ilvl w:val="0"/>
          <w:numId w:val="28"/>
        </w:numPr>
      </w:pPr>
      <w:r>
        <w:t>All suspected adverse reactions that are reported to the personnel of the company are collected and collated in an accessible manner;</w:t>
      </w:r>
    </w:p>
    <w:p w14:paraId="7A1A3267" w14:textId="77777777" w:rsidR="0023588F" w:rsidRDefault="0023588F" w:rsidP="00452FEA">
      <w:pPr>
        <w:pStyle w:val="FootnoteText"/>
        <w:numPr>
          <w:ilvl w:val="0"/>
          <w:numId w:val="28"/>
        </w:numPr>
      </w:pPr>
      <w:r>
        <w:t>Reporting to regulatory authorities;</w:t>
      </w:r>
    </w:p>
    <w:p w14:paraId="5A0CA010" w14:textId="7BBF605A" w:rsidR="0023588F" w:rsidRDefault="0023588F" w:rsidP="00452FEA">
      <w:pPr>
        <w:pStyle w:val="FootnoteText"/>
        <w:numPr>
          <w:ilvl w:val="0"/>
          <w:numId w:val="28"/>
        </w:numPr>
      </w:pPr>
      <w:r>
        <w:t>Continuous monitoring of the safety profiles of approved products including signal detection and updating of labelling;</w:t>
      </w:r>
    </w:p>
    <w:p w14:paraId="31656F63" w14:textId="77777777" w:rsidR="0023588F" w:rsidRDefault="0023588F" w:rsidP="00452FEA">
      <w:pPr>
        <w:pStyle w:val="FootnoteText"/>
        <w:numPr>
          <w:ilvl w:val="0"/>
          <w:numId w:val="28"/>
        </w:numPr>
      </w:pPr>
      <w:r>
        <w:t>Submission of PSURs;</w:t>
      </w:r>
    </w:p>
    <w:p w14:paraId="1B6F002F" w14:textId="77777777" w:rsidR="0023588F" w:rsidRPr="00F12492" w:rsidRDefault="0023588F" w:rsidP="00452FEA">
      <w:pPr>
        <w:pStyle w:val="FootnoteText"/>
        <w:numPr>
          <w:ilvl w:val="0"/>
          <w:numId w:val="28"/>
        </w:numPr>
        <w:rPr>
          <w:lang w:val="en-US"/>
        </w:rPr>
      </w:pPr>
      <w:r>
        <w:t>Meeting other local regulatory agency requirements.</w:t>
      </w:r>
    </w:p>
  </w:footnote>
  <w:footnote w:id="10">
    <w:p w14:paraId="362BAC43" w14:textId="4EAC992C" w:rsidR="0023588F" w:rsidRPr="009C7F5A" w:rsidRDefault="0023588F" w:rsidP="009C7F5A">
      <w:pPr>
        <w:pStyle w:val="FootnoteText"/>
      </w:pPr>
      <w:r>
        <w:rPr>
          <w:rStyle w:val="FootnoteReference"/>
        </w:rPr>
        <w:footnoteRef/>
      </w:r>
      <w:r>
        <w:t xml:space="preserve"> Australian Pregnancy Category A: Drugs which have been taken by a large number of pregnant women and women of childbearing age without any proven increase in the frequency of malformations or other direct or indirect harmful effects on the </w:t>
      </w:r>
      <w:proofErr w:type="spellStart"/>
      <w:r>
        <w:t>fetus</w:t>
      </w:r>
      <w:proofErr w:type="spellEnd"/>
      <w:r>
        <w:t xml:space="preserve"> having been observed.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48012" w14:textId="77777777" w:rsidR="009338F6" w:rsidRDefault="009338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433E9" w14:textId="77777777" w:rsidR="0023588F" w:rsidRDefault="0023588F"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1C024" w14:textId="77777777" w:rsidR="0023588F" w:rsidRDefault="0023588F">
    <w:pPr>
      <w:rPr>
        <w:noProof/>
        <w:lang w:eastAsia="en-AU"/>
      </w:rPr>
    </w:pPr>
    <w:r w:rsidRPr="00347824">
      <w:rPr>
        <w:noProof/>
        <w:lang w:eastAsia="en-AU"/>
      </w:rPr>
      <w:drawing>
        <wp:anchor distT="0" distB="0" distL="114300" distR="114300" simplePos="0" relativeHeight="251659264" behindDoc="1" locked="0" layoutInCell="1" allowOverlap="1" wp14:anchorId="7EF6EA25" wp14:editId="61818A58">
          <wp:simplePos x="0" y="0"/>
          <wp:positionH relativeFrom="column">
            <wp:posOffset>-1089660</wp:posOffset>
          </wp:positionH>
          <wp:positionV relativeFrom="paragraph">
            <wp:posOffset>-585470</wp:posOffset>
          </wp:positionV>
          <wp:extent cx="7572375" cy="10706100"/>
          <wp:effectExtent l="19050" t="0" r="0" b="0"/>
          <wp:wrapNone/>
          <wp:docPr id="1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094DE3F" w14:textId="77777777" w:rsidR="0023588F" w:rsidRDefault="0023588F" w:rsidP="00593AD1">
    <w:pPr>
      <w:pStyle w:val="HeaderNoLine"/>
    </w:pPr>
    <w:r>
      <w:rPr>
        <w:noProof/>
        <w:lang w:eastAsia="en-AU"/>
      </w:rPr>
      <w:drawing>
        <wp:inline distT="0" distB="0" distL="0" distR="0" wp14:anchorId="41A54A61" wp14:editId="7D23411A">
          <wp:extent cx="5400675" cy="7639050"/>
          <wp:effectExtent l="0" t="0" r="9525" b="0"/>
          <wp:docPr id="17" name="Picture 17"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CDA0F" w14:textId="77777777" w:rsidR="0023588F" w:rsidRDefault="002358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A2CAB" w14:textId="77777777" w:rsidR="0023588F" w:rsidRDefault="0023588F">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E9A00" w14:textId="77777777" w:rsidR="0023588F" w:rsidRDefault="0023588F">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FC941" w14:textId="77777777" w:rsidR="0023588F" w:rsidRDefault="0023588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72647" w14:textId="77777777" w:rsidR="0023588F" w:rsidRDefault="0023588F"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8EB12" w14:textId="77777777" w:rsidR="0023588F" w:rsidRDefault="0023588F" w:rsidP="006E08B3">
    <w:r>
      <w:t>Therapeutic Goods Administration</w:t>
    </w:r>
  </w:p>
  <w:p w14:paraId="506F07DA" w14:textId="77777777" w:rsidR="0023588F" w:rsidRDefault="0023588F"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68F13E9"/>
    <w:multiLevelType w:val="multilevel"/>
    <w:tmpl w:val="982082FE"/>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32C43D98"/>
    <w:multiLevelType w:val="hybridMultilevel"/>
    <w:tmpl w:val="7D12A1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5CE0FFF"/>
    <w:multiLevelType w:val="hybridMultilevel"/>
    <w:tmpl w:val="A948E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8"/>
  </w:num>
  <w:num w:numId="28">
    <w:abstractNumId w:val="10"/>
  </w:num>
  <w:num w:numId="29">
    <w:abstractNumId w:val="9"/>
  </w:num>
  <w:num w:numId="30">
    <w:abstractNumId w:val="4"/>
  </w:num>
  <w:num w:numId="31">
    <w:abstractNumId w:val="7"/>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FDF"/>
    <w:rsid w:val="00002031"/>
    <w:rsid w:val="00004734"/>
    <w:rsid w:val="00006B22"/>
    <w:rsid w:val="0001276A"/>
    <w:rsid w:val="000246AE"/>
    <w:rsid w:val="00025C67"/>
    <w:rsid w:val="00044772"/>
    <w:rsid w:val="0004541C"/>
    <w:rsid w:val="0005559E"/>
    <w:rsid w:val="000604D6"/>
    <w:rsid w:val="000734D8"/>
    <w:rsid w:val="000739BE"/>
    <w:rsid w:val="00075877"/>
    <w:rsid w:val="00077775"/>
    <w:rsid w:val="00090471"/>
    <w:rsid w:val="00096AA7"/>
    <w:rsid w:val="000A3AED"/>
    <w:rsid w:val="000B3532"/>
    <w:rsid w:val="000B3A75"/>
    <w:rsid w:val="000C00C2"/>
    <w:rsid w:val="000C2FEC"/>
    <w:rsid w:val="000C690F"/>
    <w:rsid w:val="000D1295"/>
    <w:rsid w:val="000D391B"/>
    <w:rsid w:val="000D3D6D"/>
    <w:rsid w:val="000D4FC7"/>
    <w:rsid w:val="000E6196"/>
    <w:rsid w:val="000F4869"/>
    <w:rsid w:val="000F5B42"/>
    <w:rsid w:val="000F6E6F"/>
    <w:rsid w:val="0010601F"/>
    <w:rsid w:val="0010788A"/>
    <w:rsid w:val="00107A31"/>
    <w:rsid w:val="00110EA5"/>
    <w:rsid w:val="00112F56"/>
    <w:rsid w:val="00124ACD"/>
    <w:rsid w:val="00125318"/>
    <w:rsid w:val="001305A2"/>
    <w:rsid w:val="00133238"/>
    <w:rsid w:val="00133A1B"/>
    <w:rsid w:val="0014197B"/>
    <w:rsid w:val="001447CD"/>
    <w:rsid w:val="001516B1"/>
    <w:rsid w:val="00154EBB"/>
    <w:rsid w:val="00156316"/>
    <w:rsid w:val="00161181"/>
    <w:rsid w:val="00162D14"/>
    <w:rsid w:val="00163780"/>
    <w:rsid w:val="00165389"/>
    <w:rsid w:val="0017693F"/>
    <w:rsid w:val="0018110E"/>
    <w:rsid w:val="00181684"/>
    <w:rsid w:val="001843C6"/>
    <w:rsid w:val="001850E0"/>
    <w:rsid w:val="001A03AF"/>
    <w:rsid w:val="001A2158"/>
    <w:rsid w:val="001A525F"/>
    <w:rsid w:val="001B09F9"/>
    <w:rsid w:val="001B5C90"/>
    <w:rsid w:val="001B6448"/>
    <w:rsid w:val="001C32CD"/>
    <w:rsid w:val="001C63C1"/>
    <w:rsid w:val="001D2984"/>
    <w:rsid w:val="001E07CF"/>
    <w:rsid w:val="001E59F1"/>
    <w:rsid w:val="001F2CEE"/>
    <w:rsid w:val="001F353A"/>
    <w:rsid w:val="001F49EB"/>
    <w:rsid w:val="001F6CBA"/>
    <w:rsid w:val="00201D4E"/>
    <w:rsid w:val="002076C9"/>
    <w:rsid w:val="00220B8A"/>
    <w:rsid w:val="002257F3"/>
    <w:rsid w:val="00233456"/>
    <w:rsid w:val="002339A5"/>
    <w:rsid w:val="0023588F"/>
    <w:rsid w:val="00244C61"/>
    <w:rsid w:val="00255E4E"/>
    <w:rsid w:val="00257848"/>
    <w:rsid w:val="0027084A"/>
    <w:rsid w:val="00280265"/>
    <w:rsid w:val="002835DD"/>
    <w:rsid w:val="00286434"/>
    <w:rsid w:val="00286C59"/>
    <w:rsid w:val="00291957"/>
    <w:rsid w:val="002942D1"/>
    <w:rsid w:val="0029501A"/>
    <w:rsid w:val="002A3721"/>
    <w:rsid w:val="002A7FDF"/>
    <w:rsid w:val="002B1638"/>
    <w:rsid w:val="002B3624"/>
    <w:rsid w:val="002D0952"/>
    <w:rsid w:val="002E40B3"/>
    <w:rsid w:val="002E4C9A"/>
    <w:rsid w:val="002F11F8"/>
    <w:rsid w:val="002F3F56"/>
    <w:rsid w:val="002F44B5"/>
    <w:rsid w:val="002F5122"/>
    <w:rsid w:val="00311AC0"/>
    <w:rsid w:val="003176FC"/>
    <w:rsid w:val="00322211"/>
    <w:rsid w:val="0032583B"/>
    <w:rsid w:val="00327883"/>
    <w:rsid w:val="00335504"/>
    <w:rsid w:val="00336FBB"/>
    <w:rsid w:val="00340C18"/>
    <w:rsid w:val="003442FD"/>
    <w:rsid w:val="00347824"/>
    <w:rsid w:val="00350567"/>
    <w:rsid w:val="003521E8"/>
    <w:rsid w:val="00356C80"/>
    <w:rsid w:val="003675C9"/>
    <w:rsid w:val="00370CE3"/>
    <w:rsid w:val="003728F3"/>
    <w:rsid w:val="003735BC"/>
    <w:rsid w:val="0037496E"/>
    <w:rsid w:val="00383221"/>
    <w:rsid w:val="00386150"/>
    <w:rsid w:val="003874CE"/>
    <w:rsid w:val="00390900"/>
    <w:rsid w:val="003A7F6C"/>
    <w:rsid w:val="003B4D60"/>
    <w:rsid w:val="003B7E39"/>
    <w:rsid w:val="003C58DC"/>
    <w:rsid w:val="003D1E62"/>
    <w:rsid w:val="003E0B99"/>
    <w:rsid w:val="003E2486"/>
    <w:rsid w:val="003E3208"/>
    <w:rsid w:val="003E66D4"/>
    <w:rsid w:val="003F0B04"/>
    <w:rsid w:val="0040134E"/>
    <w:rsid w:val="00421D43"/>
    <w:rsid w:val="004334C7"/>
    <w:rsid w:val="00440A2D"/>
    <w:rsid w:val="00441C3F"/>
    <w:rsid w:val="00444D1A"/>
    <w:rsid w:val="0045186A"/>
    <w:rsid w:val="00452FEA"/>
    <w:rsid w:val="004564A7"/>
    <w:rsid w:val="00456765"/>
    <w:rsid w:val="004617BF"/>
    <w:rsid w:val="00463658"/>
    <w:rsid w:val="004637A0"/>
    <w:rsid w:val="0046616A"/>
    <w:rsid w:val="004722CC"/>
    <w:rsid w:val="00490483"/>
    <w:rsid w:val="00490D74"/>
    <w:rsid w:val="004936E4"/>
    <w:rsid w:val="00494E60"/>
    <w:rsid w:val="00497487"/>
    <w:rsid w:val="004A2771"/>
    <w:rsid w:val="004A6189"/>
    <w:rsid w:val="004A7390"/>
    <w:rsid w:val="004B7B76"/>
    <w:rsid w:val="004C239D"/>
    <w:rsid w:val="004C2DCA"/>
    <w:rsid w:val="004C61D2"/>
    <w:rsid w:val="004F0C4A"/>
    <w:rsid w:val="004F0F38"/>
    <w:rsid w:val="004F47D6"/>
    <w:rsid w:val="00500337"/>
    <w:rsid w:val="00501921"/>
    <w:rsid w:val="00530354"/>
    <w:rsid w:val="0053625B"/>
    <w:rsid w:val="00537CBF"/>
    <w:rsid w:val="005434C6"/>
    <w:rsid w:val="00543B39"/>
    <w:rsid w:val="00546154"/>
    <w:rsid w:val="00550096"/>
    <w:rsid w:val="00555280"/>
    <w:rsid w:val="00557FF9"/>
    <w:rsid w:val="00562327"/>
    <w:rsid w:val="005711D5"/>
    <w:rsid w:val="00576378"/>
    <w:rsid w:val="00577130"/>
    <w:rsid w:val="00577945"/>
    <w:rsid w:val="00577E38"/>
    <w:rsid w:val="00585322"/>
    <w:rsid w:val="005857C6"/>
    <w:rsid w:val="00592F6E"/>
    <w:rsid w:val="00593AD1"/>
    <w:rsid w:val="005A5895"/>
    <w:rsid w:val="005A68B6"/>
    <w:rsid w:val="005B3B7C"/>
    <w:rsid w:val="005C5570"/>
    <w:rsid w:val="005C79A4"/>
    <w:rsid w:val="005D5442"/>
    <w:rsid w:val="00603F32"/>
    <w:rsid w:val="00605AD4"/>
    <w:rsid w:val="006136D7"/>
    <w:rsid w:val="00617247"/>
    <w:rsid w:val="00625A6E"/>
    <w:rsid w:val="00632398"/>
    <w:rsid w:val="00640FC3"/>
    <w:rsid w:val="00642020"/>
    <w:rsid w:val="006430EE"/>
    <w:rsid w:val="0065337B"/>
    <w:rsid w:val="0065419D"/>
    <w:rsid w:val="006603BC"/>
    <w:rsid w:val="006604D8"/>
    <w:rsid w:val="006608C0"/>
    <w:rsid w:val="00664A5B"/>
    <w:rsid w:val="0066735C"/>
    <w:rsid w:val="006763D2"/>
    <w:rsid w:val="00680C08"/>
    <w:rsid w:val="006916A0"/>
    <w:rsid w:val="006931B1"/>
    <w:rsid w:val="006A15C0"/>
    <w:rsid w:val="006A58A8"/>
    <w:rsid w:val="006C3E2A"/>
    <w:rsid w:val="006C642F"/>
    <w:rsid w:val="006C7A0B"/>
    <w:rsid w:val="006D03E5"/>
    <w:rsid w:val="006D5D3E"/>
    <w:rsid w:val="006E08B3"/>
    <w:rsid w:val="006F17AC"/>
    <w:rsid w:val="006F25B8"/>
    <w:rsid w:val="006F572E"/>
    <w:rsid w:val="007046D6"/>
    <w:rsid w:val="00705DB0"/>
    <w:rsid w:val="007166E1"/>
    <w:rsid w:val="00722B57"/>
    <w:rsid w:val="00730F8A"/>
    <w:rsid w:val="00733D82"/>
    <w:rsid w:val="00735A8C"/>
    <w:rsid w:val="00740D4A"/>
    <w:rsid w:val="0074253D"/>
    <w:rsid w:val="0074429B"/>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A46F5"/>
    <w:rsid w:val="007A6505"/>
    <w:rsid w:val="007B52D6"/>
    <w:rsid w:val="007B6132"/>
    <w:rsid w:val="007B6E9F"/>
    <w:rsid w:val="007B7DA2"/>
    <w:rsid w:val="007C1216"/>
    <w:rsid w:val="007C1AF7"/>
    <w:rsid w:val="007C6B9B"/>
    <w:rsid w:val="0080237B"/>
    <w:rsid w:val="00805D27"/>
    <w:rsid w:val="00806DCB"/>
    <w:rsid w:val="008173A5"/>
    <w:rsid w:val="00821776"/>
    <w:rsid w:val="008321F5"/>
    <w:rsid w:val="00832369"/>
    <w:rsid w:val="00834660"/>
    <w:rsid w:val="00836BC2"/>
    <w:rsid w:val="0085156D"/>
    <w:rsid w:val="00852B28"/>
    <w:rsid w:val="0085641B"/>
    <w:rsid w:val="00857136"/>
    <w:rsid w:val="00875A6B"/>
    <w:rsid w:val="00876012"/>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51A9"/>
    <w:rsid w:val="008E7846"/>
    <w:rsid w:val="008F02E5"/>
    <w:rsid w:val="008F1CCC"/>
    <w:rsid w:val="008F2967"/>
    <w:rsid w:val="008F6943"/>
    <w:rsid w:val="00902A21"/>
    <w:rsid w:val="0091523F"/>
    <w:rsid w:val="00920330"/>
    <w:rsid w:val="009219D7"/>
    <w:rsid w:val="00922D53"/>
    <w:rsid w:val="00923B70"/>
    <w:rsid w:val="00924482"/>
    <w:rsid w:val="00930237"/>
    <w:rsid w:val="009338F6"/>
    <w:rsid w:val="00937C17"/>
    <w:rsid w:val="00940A89"/>
    <w:rsid w:val="00941F77"/>
    <w:rsid w:val="00946EA5"/>
    <w:rsid w:val="00963C08"/>
    <w:rsid w:val="009752A5"/>
    <w:rsid w:val="00985229"/>
    <w:rsid w:val="0098585A"/>
    <w:rsid w:val="009A4CED"/>
    <w:rsid w:val="009A690D"/>
    <w:rsid w:val="009B1D12"/>
    <w:rsid w:val="009B416B"/>
    <w:rsid w:val="009C4BD5"/>
    <w:rsid w:val="009C7F5A"/>
    <w:rsid w:val="009D7B77"/>
    <w:rsid w:val="009E0BB0"/>
    <w:rsid w:val="009E3FBB"/>
    <w:rsid w:val="009F7353"/>
    <w:rsid w:val="00A02978"/>
    <w:rsid w:val="00A04F85"/>
    <w:rsid w:val="00A05FA4"/>
    <w:rsid w:val="00A102E4"/>
    <w:rsid w:val="00A1219C"/>
    <w:rsid w:val="00A12C42"/>
    <w:rsid w:val="00A14DF7"/>
    <w:rsid w:val="00A22D57"/>
    <w:rsid w:val="00A26064"/>
    <w:rsid w:val="00A3246D"/>
    <w:rsid w:val="00A36FA7"/>
    <w:rsid w:val="00A44DDB"/>
    <w:rsid w:val="00A475B7"/>
    <w:rsid w:val="00A47AF7"/>
    <w:rsid w:val="00A47C3E"/>
    <w:rsid w:val="00A50226"/>
    <w:rsid w:val="00A54FE7"/>
    <w:rsid w:val="00A60BAD"/>
    <w:rsid w:val="00A613B3"/>
    <w:rsid w:val="00A660E4"/>
    <w:rsid w:val="00A6734A"/>
    <w:rsid w:val="00A77F87"/>
    <w:rsid w:val="00A80B5B"/>
    <w:rsid w:val="00A84E36"/>
    <w:rsid w:val="00A964D1"/>
    <w:rsid w:val="00AA0ED0"/>
    <w:rsid w:val="00AB6B85"/>
    <w:rsid w:val="00AC2B40"/>
    <w:rsid w:val="00AC2BB2"/>
    <w:rsid w:val="00AC2C3C"/>
    <w:rsid w:val="00AC512D"/>
    <w:rsid w:val="00AC57E8"/>
    <w:rsid w:val="00AD0083"/>
    <w:rsid w:val="00AD3935"/>
    <w:rsid w:val="00AE65EB"/>
    <w:rsid w:val="00AE67A7"/>
    <w:rsid w:val="00AF1D94"/>
    <w:rsid w:val="00AF60C5"/>
    <w:rsid w:val="00B009C6"/>
    <w:rsid w:val="00B01548"/>
    <w:rsid w:val="00B130C5"/>
    <w:rsid w:val="00B13EBD"/>
    <w:rsid w:val="00B21D29"/>
    <w:rsid w:val="00B25034"/>
    <w:rsid w:val="00B33588"/>
    <w:rsid w:val="00B33863"/>
    <w:rsid w:val="00B37D17"/>
    <w:rsid w:val="00B4175E"/>
    <w:rsid w:val="00B41C85"/>
    <w:rsid w:val="00B452CE"/>
    <w:rsid w:val="00B5478E"/>
    <w:rsid w:val="00B54C25"/>
    <w:rsid w:val="00B76B91"/>
    <w:rsid w:val="00B77EB1"/>
    <w:rsid w:val="00B811C6"/>
    <w:rsid w:val="00B855B0"/>
    <w:rsid w:val="00B92E08"/>
    <w:rsid w:val="00B93073"/>
    <w:rsid w:val="00BC622A"/>
    <w:rsid w:val="00BE0A78"/>
    <w:rsid w:val="00BE79F0"/>
    <w:rsid w:val="00BF046D"/>
    <w:rsid w:val="00BF1190"/>
    <w:rsid w:val="00BF3774"/>
    <w:rsid w:val="00BF5D04"/>
    <w:rsid w:val="00C009AA"/>
    <w:rsid w:val="00C1164D"/>
    <w:rsid w:val="00C16861"/>
    <w:rsid w:val="00C214D9"/>
    <w:rsid w:val="00C346AB"/>
    <w:rsid w:val="00C37281"/>
    <w:rsid w:val="00C404A6"/>
    <w:rsid w:val="00C40A36"/>
    <w:rsid w:val="00C44419"/>
    <w:rsid w:val="00C45E7B"/>
    <w:rsid w:val="00C471B1"/>
    <w:rsid w:val="00C52E24"/>
    <w:rsid w:val="00C6316B"/>
    <w:rsid w:val="00C634A9"/>
    <w:rsid w:val="00C64586"/>
    <w:rsid w:val="00C70D53"/>
    <w:rsid w:val="00C73D0B"/>
    <w:rsid w:val="00C74F5C"/>
    <w:rsid w:val="00C772FF"/>
    <w:rsid w:val="00C80137"/>
    <w:rsid w:val="00C801AF"/>
    <w:rsid w:val="00C80256"/>
    <w:rsid w:val="00C94CD4"/>
    <w:rsid w:val="00C9747E"/>
    <w:rsid w:val="00CB0EDD"/>
    <w:rsid w:val="00CB6BC0"/>
    <w:rsid w:val="00CC1B7C"/>
    <w:rsid w:val="00CC727F"/>
    <w:rsid w:val="00CD2383"/>
    <w:rsid w:val="00CF15C3"/>
    <w:rsid w:val="00CF2B6F"/>
    <w:rsid w:val="00CF2F3E"/>
    <w:rsid w:val="00CF58B6"/>
    <w:rsid w:val="00D0062D"/>
    <w:rsid w:val="00D017ED"/>
    <w:rsid w:val="00D040D3"/>
    <w:rsid w:val="00D04C65"/>
    <w:rsid w:val="00D153D8"/>
    <w:rsid w:val="00D201D2"/>
    <w:rsid w:val="00D224FE"/>
    <w:rsid w:val="00D23139"/>
    <w:rsid w:val="00D425BB"/>
    <w:rsid w:val="00D453FA"/>
    <w:rsid w:val="00D47FAA"/>
    <w:rsid w:val="00D6493E"/>
    <w:rsid w:val="00D7195D"/>
    <w:rsid w:val="00D7301E"/>
    <w:rsid w:val="00D73400"/>
    <w:rsid w:val="00D83AE1"/>
    <w:rsid w:val="00D855D4"/>
    <w:rsid w:val="00D902C9"/>
    <w:rsid w:val="00D93466"/>
    <w:rsid w:val="00DA1124"/>
    <w:rsid w:val="00DA64CB"/>
    <w:rsid w:val="00DB06B8"/>
    <w:rsid w:val="00DB6124"/>
    <w:rsid w:val="00DB750B"/>
    <w:rsid w:val="00DB75B7"/>
    <w:rsid w:val="00DC0A2F"/>
    <w:rsid w:val="00DC1948"/>
    <w:rsid w:val="00DC6E02"/>
    <w:rsid w:val="00DD28CD"/>
    <w:rsid w:val="00DE02AE"/>
    <w:rsid w:val="00DE39D1"/>
    <w:rsid w:val="00DF1D7F"/>
    <w:rsid w:val="00DF4BE4"/>
    <w:rsid w:val="00E02382"/>
    <w:rsid w:val="00E02FB4"/>
    <w:rsid w:val="00E13FC7"/>
    <w:rsid w:val="00E20571"/>
    <w:rsid w:val="00E235F7"/>
    <w:rsid w:val="00E23659"/>
    <w:rsid w:val="00E239D4"/>
    <w:rsid w:val="00E26130"/>
    <w:rsid w:val="00E37302"/>
    <w:rsid w:val="00E40B22"/>
    <w:rsid w:val="00E44ED1"/>
    <w:rsid w:val="00E45619"/>
    <w:rsid w:val="00E4588F"/>
    <w:rsid w:val="00E46DA3"/>
    <w:rsid w:val="00E51BB1"/>
    <w:rsid w:val="00E55CB0"/>
    <w:rsid w:val="00E624A5"/>
    <w:rsid w:val="00E64BA4"/>
    <w:rsid w:val="00E7344E"/>
    <w:rsid w:val="00E82665"/>
    <w:rsid w:val="00E9496F"/>
    <w:rsid w:val="00EB0798"/>
    <w:rsid w:val="00EB40AD"/>
    <w:rsid w:val="00EB586E"/>
    <w:rsid w:val="00EB5FC8"/>
    <w:rsid w:val="00EC463D"/>
    <w:rsid w:val="00EC7A85"/>
    <w:rsid w:val="00ED2922"/>
    <w:rsid w:val="00ED3CAD"/>
    <w:rsid w:val="00ED5A41"/>
    <w:rsid w:val="00EE1DE8"/>
    <w:rsid w:val="00EE27C2"/>
    <w:rsid w:val="00EF4BAD"/>
    <w:rsid w:val="00EF59DC"/>
    <w:rsid w:val="00F033EC"/>
    <w:rsid w:val="00F04F68"/>
    <w:rsid w:val="00F05E8B"/>
    <w:rsid w:val="00F12670"/>
    <w:rsid w:val="00F14B27"/>
    <w:rsid w:val="00F23105"/>
    <w:rsid w:val="00F23643"/>
    <w:rsid w:val="00F3148D"/>
    <w:rsid w:val="00F325C5"/>
    <w:rsid w:val="00F32723"/>
    <w:rsid w:val="00F32FE0"/>
    <w:rsid w:val="00F35298"/>
    <w:rsid w:val="00F47333"/>
    <w:rsid w:val="00F47E37"/>
    <w:rsid w:val="00F53C07"/>
    <w:rsid w:val="00F54B65"/>
    <w:rsid w:val="00F640B6"/>
    <w:rsid w:val="00F66DF2"/>
    <w:rsid w:val="00F72B59"/>
    <w:rsid w:val="00F80E40"/>
    <w:rsid w:val="00F81880"/>
    <w:rsid w:val="00F848D9"/>
    <w:rsid w:val="00FA5069"/>
    <w:rsid w:val="00FA5B82"/>
    <w:rsid w:val="00FA639E"/>
    <w:rsid w:val="00FC1FCA"/>
    <w:rsid w:val="00FC25E4"/>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6551CBE"/>
  <w15:docId w15:val="{3874E7FD-C26C-46D4-AF0E-131B31464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A613B3"/>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rsid w:val="0080237B"/>
    <w:pPr>
      <w:ind w:left="720"/>
      <w:contextualSpacing/>
    </w:pPr>
  </w:style>
  <w:style w:type="paragraph" w:customStyle="1" w:styleId="Default">
    <w:name w:val="Default"/>
    <w:rsid w:val="00255E4E"/>
    <w:pPr>
      <w:autoSpaceDE w:val="0"/>
      <w:autoSpaceDN w:val="0"/>
      <w:adjustRightInd w:val="0"/>
      <w:spacing w:after="0" w:line="240" w:lineRule="auto"/>
    </w:pPr>
    <w:rPr>
      <w:rFonts w:ascii="Cambria" w:hAnsi="Cambria" w:cs="Cambria"/>
      <w:color w:val="000000"/>
      <w:sz w:val="24"/>
      <w:szCs w:val="24"/>
    </w:rPr>
  </w:style>
  <w:style w:type="character" w:customStyle="1" w:styleId="TabletextChar">
    <w:name w:val="Table text Char"/>
    <w:basedOn w:val="DefaultParagraphFont"/>
    <w:link w:val="Tabletext"/>
    <w:rsid w:val="00A54FE7"/>
    <w:rPr>
      <w:rFonts w:ascii="Cambria" w:eastAsia="Cambria" w:hAnsi="Cambria" w:cs="Times New Roman"/>
      <w:sz w:val="19"/>
    </w:rPr>
  </w:style>
  <w:style w:type="paragraph" w:customStyle="1" w:styleId="Summaryofsafetyconcerns">
    <w:name w:val="Summary of safety concerns"/>
    <w:basedOn w:val="Tabletext"/>
    <w:link w:val="SummaryofsafetyconcernsChar"/>
    <w:qFormat/>
    <w:rsid w:val="00A54FE7"/>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A54FE7"/>
    <w:rPr>
      <w:rFonts w:ascii="Cambria" w:eastAsia="Times New Roman" w:hAnsi="Cambria" w:cs="Times New Roman"/>
      <w:b/>
      <w:snapToGrid w:val="0"/>
      <w:kern w:val="16"/>
      <w:sz w:val="20"/>
      <w:szCs w:val="24"/>
    </w:rPr>
  </w:style>
  <w:style w:type="paragraph" w:customStyle="1" w:styleId="Bulletlist">
    <w:name w:val="Bullet list"/>
    <w:basedOn w:val="Normal"/>
    <w:link w:val="BulletlistChar"/>
    <w:qFormat/>
    <w:rsid w:val="00A54FE7"/>
    <w:pPr>
      <w:numPr>
        <w:numId w:val="30"/>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A54FE7"/>
    <w:rPr>
      <w:rFonts w:ascii="Cambria" w:eastAsia="Times New Roman" w:hAnsi="Cambria" w:cs="Times New Roman"/>
      <w:snapToGrid w:val="0"/>
      <w:kern w:val="2"/>
      <w:sz w:val="23"/>
    </w:rPr>
  </w:style>
  <w:style w:type="paragraph" w:customStyle="1" w:styleId="Standard">
    <w:name w:val="Standard"/>
    <w:basedOn w:val="Normal"/>
    <w:link w:val="StandardChar"/>
    <w:rsid w:val="00D73400"/>
    <w:pPr>
      <w:spacing w:before="0" w:after="180" w:line="252" w:lineRule="auto"/>
    </w:pPr>
    <w:rPr>
      <w:rFonts w:eastAsia="Times New Roman"/>
      <w:snapToGrid w:val="0"/>
      <w:kern w:val="16"/>
      <w:szCs w:val="24"/>
    </w:rPr>
  </w:style>
  <w:style w:type="character" w:customStyle="1" w:styleId="StandardChar">
    <w:name w:val="Standard Char"/>
    <w:basedOn w:val="DefaultParagraphFont"/>
    <w:link w:val="Standard"/>
    <w:rsid w:val="00D73400"/>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D73400"/>
    <w:pPr>
      <w:keepNext/>
      <w:spacing w:after="110"/>
      <w:outlineLvl w:val="2"/>
    </w:pPr>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6978301">
      <w:bodyDiv w:val="1"/>
      <w:marLeft w:val="0"/>
      <w:marRight w:val="0"/>
      <w:marTop w:val="0"/>
      <w:marBottom w:val="0"/>
      <w:divBdr>
        <w:top w:val="none" w:sz="0" w:space="0" w:color="auto"/>
        <w:left w:val="none" w:sz="0" w:space="0" w:color="auto"/>
        <w:bottom w:val="none" w:sz="0" w:space="0" w:color="auto"/>
        <w:right w:val="none" w:sz="0" w:space="0" w:color="auto"/>
      </w:divBdr>
      <w:divsChild>
        <w:div w:id="506406297">
          <w:marLeft w:val="0"/>
          <w:marRight w:val="0"/>
          <w:marTop w:val="0"/>
          <w:marBottom w:val="0"/>
          <w:divBdr>
            <w:top w:val="none" w:sz="0" w:space="0" w:color="auto"/>
            <w:left w:val="none" w:sz="0" w:space="0" w:color="auto"/>
            <w:bottom w:val="none" w:sz="0" w:space="0" w:color="auto"/>
            <w:right w:val="none" w:sz="0" w:space="0" w:color="auto"/>
          </w:divBdr>
          <w:divsChild>
            <w:div w:id="118405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s://www.tga.gov.au/form/certified-product-details-cpd-biological-prescriptionmedicines"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s://www.tga.gov.au/guidance-7-certified-product-details" TargetMode="External"/><Relationship Id="rId33" Type="http://schemas.openxmlformats.org/officeDocument/2006/relationships/hyperlink" Target="https://www.tga.gov.au" TargetMode="Externa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6.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vaccines@health.gov.au" TargetMode="External"/><Relationship Id="rId32" Type="http://schemas.openxmlformats.org/officeDocument/2006/relationships/hyperlink" Target="mailto:info@tga.gov.au" TargetMode="External"/><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header" Target="header4.xml"/><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yperlink" Target="https://www.tga.gov.au/product-information-pi" TargetMode="External"/><Relationship Id="rId30" Type="http://schemas.openxmlformats.org/officeDocument/2006/relationships/header" Target="header6.xml"/><Relationship Id="rId35" Type="http://schemas.openxmlformats.org/officeDocument/2006/relationships/header" Target="header8.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gul\AppData\Local\Hewlett-Packard\HP%20TRIM\TEMP\HPTRIM.13480\t0TO107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7E654-5890-4F43-8E84-95B4D265C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t0TO107D</Template>
  <TotalTime>6</TotalTime>
  <Pages>30</Pages>
  <Words>9598</Words>
  <Characters>60473</Characters>
  <Application>Microsoft Office Word</Application>
  <DocSecurity>0</DocSecurity>
  <Lines>2085</Lines>
  <Paragraphs>1322</Paragraphs>
  <ScaleCrop>false</ScaleCrop>
  <HeadingPairs>
    <vt:vector size="2" baseType="variant">
      <vt:variant>
        <vt:lpstr>Title</vt:lpstr>
      </vt:variant>
      <vt:variant>
        <vt:i4>1</vt:i4>
      </vt:variant>
    </vt:vector>
  </HeadingPairs>
  <TitlesOfParts>
    <vt:vector size="1" baseType="lpstr">
      <vt:lpstr>Australian Public Assessment Report for Inactivated quadrivalent influenza vaccine (split virion)</vt:lpstr>
    </vt:vector>
  </TitlesOfParts>
  <Company>Department of Health Therapeutic Goods Administration</Company>
  <LinksUpToDate>false</LinksUpToDate>
  <CharactersWithSpaces>68749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Inactivated quadrivalent influenza vaccine (split virion)</dc:title>
  <dc:subject>prescription medicines</dc:subject>
  <dc:creator>Therapeutic Goods Administration</dc:creator>
  <cp:lastPrinted>2019-08-14T04:30:00Z</cp:lastPrinted>
  <dcterms:created xsi:type="dcterms:W3CDTF">2020-01-21T23:26:00Z</dcterms:created>
  <dcterms:modified xsi:type="dcterms:W3CDTF">2020-01-21T23:34:00Z</dcterms:modified>
</cp:coreProperties>
</file>