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14" w:rsidRPr="00F446DF" w:rsidRDefault="00887C04" w:rsidP="000961FF">
      <w:pPr>
        <w:pStyle w:val="Title"/>
      </w:pPr>
      <w:bookmarkStart w:id="0" w:name="_GoBack"/>
      <w:bookmarkEnd w:id="0"/>
      <w:r>
        <w:t>Afluria</w:t>
      </w:r>
      <w:r w:rsidR="00DE2288">
        <w:t xml:space="preserve"> </w:t>
      </w:r>
      <w:r w:rsidR="00E43ADC">
        <w:t>Quad</w:t>
      </w:r>
      <w:r w:rsidR="00110DD6">
        <w:t>™</w:t>
      </w:r>
    </w:p>
    <w:p w:rsidR="00504C71" w:rsidRPr="00304682" w:rsidRDefault="00504C71" w:rsidP="00504C71">
      <w:pPr>
        <w:pStyle w:val="Header"/>
        <w:pBdr>
          <w:top w:val="single" w:sz="12" w:space="4" w:color="auto"/>
          <w:left w:val="single" w:sz="12" w:space="4" w:color="auto"/>
          <w:bottom w:val="single" w:sz="12" w:space="1" w:color="auto"/>
          <w:right w:val="single" w:sz="12" w:space="4" w:color="auto"/>
        </w:pBdr>
        <w:tabs>
          <w:tab w:val="clear" w:pos="4153"/>
          <w:tab w:val="clear" w:pos="8306"/>
        </w:tabs>
        <w:rPr>
          <w:b/>
          <w:lang w:val="en-AU"/>
        </w:rPr>
      </w:pPr>
      <w:r w:rsidRPr="00304682">
        <w:rPr>
          <w:b/>
          <w:lang w:val="en-AU"/>
        </w:rPr>
        <w:t xml:space="preserve">WARNING: </w:t>
      </w:r>
      <w:r>
        <w:rPr>
          <w:b/>
          <w:lang w:val="en-AU"/>
        </w:rPr>
        <w:t>Afluria</w:t>
      </w:r>
      <w:r w:rsidRPr="00304682">
        <w:rPr>
          <w:b/>
          <w:lang w:val="en-AU"/>
        </w:rPr>
        <w:t xml:space="preserve"> </w:t>
      </w:r>
      <w:r>
        <w:rPr>
          <w:b/>
          <w:lang w:val="en-AU"/>
        </w:rPr>
        <w:t>Quad</w:t>
      </w:r>
      <w:r w:rsidR="00110DD6">
        <w:rPr>
          <w:rFonts w:cs="Arial"/>
          <w:b/>
          <w:lang w:val="en-AU"/>
        </w:rPr>
        <w:t>™</w:t>
      </w:r>
      <w:r>
        <w:rPr>
          <w:b/>
          <w:lang w:val="en-AU"/>
        </w:rPr>
        <w:t xml:space="preserve"> </w:t>
      </w:r>
      <w:r w:rsidRPr="00304682">
        <w:rPr>
          <w:b/>
          <w:lang w:val="en-AU"/>
        </w:rPr>
        <w:t xml:space="preserve">vaccine is indicated for use only in persons aged </w:t>
      </w:r>
      <w:r>
        <w:rPr>
          <w:b/>
          <w:lang w:val="en-AU"/>
        </w:rPr>
        <w:t>18</w:t>
      </w:r>
      <w:r w:rsidRPr="00304682">
        <w:rPr>
          <w:b/>
          <w:lang w:val="en-AU"/>
        </w:rPr>
        <w:t xml:space="preserve"> years and over. </w:t>
      </w:r>
      <w:r w:rsidRPr="00304682">
        <w:rPr>
          <w:b/>
          <w:lang w:val="en-AU"/>
        </w:rPr>
        <w:br/>
        <w:t xml:space="preserve">It must not be used in </w:t>
      </w:r>
      <w:r>
        <w:rPr>
          <w:b/>
          <w:lang w:val="en-AU"/>
        </w:rPr>
        <w:t>persons</w:t>
      </w:r>
      <w:r w:rsidRPr="00304682">
        <w:rPr>
          <w:b/>
          <w:lang w:val="en-AU"/>
        </w:rPr>
        <w:t xml:space="preserve"> under </w:t>
      </w:r>
      <w:r>
        <w:rPr>
          <w:b/>
          <w:lang w:val="en-AU"/>
        </w:rPr>
        <w:t>18</w:t>
      </w:r>
      <w:r w:rsidRPr="00304682">
        <w:rPr>
          <w:b/>
          <w:lang w:val="en-AU"/>
        </w:rPr>
        <w:t xml:space="preserve"> years (see Contraindications). </w:t>
      </w:r>
    </w:p>
    <w:p w:rsidR="00504C71" w:rsidRDefault="00504C71" w:rsidP="00315B63">
      <w:pPr>
        <w:pStyle w:val="Header"/>
        <w:tabs>
          <w:tab w:val="clear" w:pos="4153"/>
          <w:tab w:val="clear" w:pos="8306"/>
        </w:tabs>
        <w:rPr>
          <w:b/>
          <w:lang w:val="en-AU"/>
        </w:rPr>
      </w:pPr>
    </w:p>
    <w:p w:rsidR="009819EB" w:rsidRPr="00B81ECB" w:rsidRDefault="00EA7E7D" w:rsidP="00315B63">
      <w:pPr>
        <w:pStyle w:val="Header"/>
        <w:tabs>
          <w:tab w:val="clear" w:pos="4153"/>
          <w:tab w:val="clear" w:pos="8306"/>
        </w:tabs>
        <w:rPr>
          <w:b/>
          <w:lang w:val="en-AU"/>
        </w:rPr>
      </w:pPr>
      <w:r>
        <w:rPr>
          <w:b/>
          <w:lang w:val="en-AU"/>
        </w:rPr>
        <w:t>For s</w:t>
      </w:r>
      <w:r w:rsidR="00C140C7">
        <w:rPr>
          <w:b/>
          <w:lang w:val="en-AU"/>
        </w:rPr>
        <w:t xml:space="preserve">eason </w:t>
      </w:r>
      <w:r w:rsidR="004A7C33">
        <w:rPr>
          <w:b/>
          <w:lang w:val="en-AU"/>
        </w:rPr>
        <w:t>2017</w:t>
      </w:r>
    </w:p>
    <w:p w:rsidR="009819EB" w:rsidRPr="000961FF" w:rsidRDefault="009819EB" w:rsidP="000961FF"/>
    <w:p w:rsidR="00187193" w:rsidRPr="00B81ECB" w:rsidRDefault="000961FF" w:rsidP="000961FF">
      <w:pPr>
        <w:pStyle w:val="Heading1"/>
      </w:pPr>
      <w:r>
        <w:rPr>
          <w:caps w:val="0"/>
        </w:rPr>
        <w:t>NAME OF THE MEDICINE</w:t>
      </w:r>
    </w:p>
    <w:p w:rsidR="00BD62A0" w:rsidRPr="00B81ECB" w:rsidRDefault="00887C04" w:rsidP="00315B63">
      <w:pPr>
        <w:rPr>
          <w:lang w:val="en-AU"/>
        </w:rPr>
      </w:pPr>
      <w:r>
        <w:rPr>
          <w:lang w:val="en-AU"/>
        </w:rPr>
        <w:t>Afluria</w:t>
      </w:r>
      <w:r w:rsidR="00DE2288" w:rsidRPr="00B81ECB">
        <w:rPr>
          <w:lang w:val="en-AU"/>
        </w:rPr>
        <w:t xml:space="preserve"> </w:t>
      </w:r>
      <w:r w:rsidR="00E43ADC">
        <w:rPr>
          <w:lang w:val="en-AU"/>
        </w:rPr>
        <w:t>Quad</w:t>
      </w:r>
      <w:r w:rsidR="00110DD6">
        <w:rPr>
          <w:rFonts w:cs="Arial"/>
          <w:lang w:val="en-AU"/>
        </w:rPr>
        <w:t>™</w:t>
      </w:r>
      <w:r w:rsidR="00E43ADC">
        <w:rPr>
          <w:lang w:val="en-AU"/>
        </w:rPr>
        <w:t xml:space="preserve"> </w:t>
      </w:r>
      <w:r w:rsidR="00187193" w:rsidRPr="00B81ECB">
        <w:rPr>
          <w:lang w:val="en-AU"/>
        </w:rPr>
        <w:t>vaccine</w:t>
      </w:r>
    </w:p>
    <w:p w:rsidR="00BF0678" w:rsidRDefault="00187193" w:rsidP="00315B63">
      <w:pPr>
        <w:rPr>
          <w:lang w:val="en-AU"/>
        </w:rPr>
      </w:pPr>
      <w:r w:rsidRPr="00B81ECB">
        <w:rPr>
          <w:lang w:val="en-AU"/>
        </w:rPr>
        <w:t>In</w:t>
      </w:r>
      <w:r w:rsidR="0013214D" w:rsidRPr="00B81ECB">
        <w:rPr>
          <w:lang w:val="en-AU"/>
        </w:rPr>
        <w:t xml:space="preserve">activated </w:t>
      </w:r>
      <w:proofErr w:type="spellStart"/>
      <w:r w:rsidR="00DE2288">
        <w:rPr>
          <w:lang w:val="en-AU"/>
        </w:rPr>
        <w:t>Quadrivalent</w:t>
      </w:r>
      <w:proofErr w:type="spellEnd"/>
      <w:r w:rsidR="00DE2288">
        <w:rPr>
          <w:lang w:val="en-AU"/>
        </w:rPr>
        <w:t xml:space="preserve"> </w:t>
      </w:r>
      <w:r w:rsidR="00142C1E">
        <w:rPr>
          <w:lang w:val="en-AU"/>
        </w:rPr>
        <w:t>I</w:t>
      </w:r>
      <w:r w:rsidR="00142C1E" w:rsidRPr="00B81ECB">
        <w:rPr>
          <w:lang w:val="en-AU"/>
        </w:rPr>
        <w:t xml:space="preserve">nfluenza </w:t>
      </w:r>
      <w:r w:rsidR="00142C1E">
        <w:rPr>
          <w:lang w:val="en-AU"/>
        </w:rPr>
        <w:t>V</w:t>
      </w:r>
      <w:r w:rsidR="00142C1E" w:rsidRPr="00B81ECB">
        <w:rPr>
          <w:lang w:val="en-AU"/>
        </w:rPr>
        <w:t xml:space="preserve">accine </w:t>
      </w:r>
      <w:r w:rsidR="0013214D" w:rsidRPr="00B81ECB">
        <w:rPr>
          <w:lang w:val="en-AU"/>
        </w:rPr>
        <w:t xml:space="preserve">(split </w:t>
      </w:r>
      <w:proofErr w:type="spellStart"/>
      <w:r w:rsidR="0013214D" w:rsidRPr="00B81ECB">
        <w:rPr>
          <w:lang w:val="en-AU"/>
        </w:rPr>
        <w:t>virion</w:t>
      </w:r>
      <w:proofErr w:type="spellEnd"/>
      <w:r w:rsidR="0013214D" w:rsidRPr="00B81ECB">
        <w:rPr>
          <w:lang w:val="en-AU"/>
        </w:rPr>
        <w:t>)</w:t>
      </w:r>
    </w:p>
    <w:p w:rsidR="00BF0678" w:rsidRPr="00906E51" w:rsidRDefault="00BF0678" w:rsidP="00315B63">
      <w:pPr>
        <w:rPr>
          <w:color w:val="000000"/>
          <w:lang w:val="en-AU"/>
        </w:rPr>
      </w:pPr>
      <w:r w:rsidRPr="00906E51">
        <w:rPr>
          <w:color w:val="000000"/>
          <w:lang w:val="en-AU"/>
        </w:rPr>
        <w:t>Suspension for injection</w:t>
      </w:r>
    </w:p>
    <w:p w:rsidR="0013214D" w:rsidRPr="0013214D" w:rsidRDefault="0013214D" w:rsidP="00315B63">
      <w:pPr>
        <w:rPr>
          <w:u w:val="single"/>
          <w:lang w:val="en-AU"/>
        </w:rPr>
      </w:pPr>
    </w:p>
    <w:p w:rsidR="00650714" w:rsidRDefault="000961FF" w:rsidP="000961FF">
      <w:pPr>
        <w:pStyle w:val="Heading1"/>
      </w:pPr>
      <w:r>
        <w:rPr>
          <w:caps w:val="0"/>
        </w:rPr>
        <w:t>DESCRIPTION</w:t>
      </w:r>
    </w:p>
    <w:p w:rsidR="00650714" w:rsidRDefault="00650714" w:rsidP="00315B63">
      <w:pPr>
        <w:rPr>
          <w:lang w:val="en-AU"/>
        </w:rPr>
      </w:pPr>
      <w:r>
        <w:rPr>
          <w:lang w:val="en-AU"/>
        </w:rPr>
        <w:t>This is a purified, inactivated, split virion (split virus) vaccine</w:t>
      </w:r>
      <w:r w:rsidR="00916553">
        <w:rPr>
          <w:lang w:val="en-AU"/>
        </w:rPr>
        <w:t>.</w:t>
      </w:r>
      <w:r>
        <w:rPr>
          <w:lang w:val="en-AU"/>
        </w:rPr>
        <w:t xml:space="preserve"> </w:t>
      </w:r>
      <w:r w:rsidR="00916553">
        <w:rPr>
          <w:lang w:val="en-AU"/>
        </w:rPr>
        <w:t>E</w:t>
      </w:r>
      <w:r>
        <w:rPr>
          <w:lang w:val="en-AU"/>
        </w:rPr>
        <w:t xml:space="preserve">ach 0.5 mL </w:t>
      </w:r>
      <w:r w:rsidR="00916553">
        <w:rPr>
          <w:lang w:val="en-AU"/>
        </w:rPr>
        <w:t xml:space="preserve">dose </w:t>
      </w:r>
      <w:r>
        <w:rPr>
          <w:lang w:val="en-AU"/>
        </w:rPr>
        <w:t xml:space="preserve">contains antigens </w:t>
      </w:r>
      <w:r w:rsidR="006D7754" w:rsidRPr="006D7754">
        <w:rPr>
          <w:lang w:val="en-AU"/>
        </w:rPr>
        <w:t xml:space="preserve">for the </w:t>
      </w:r>
      <w:r w:rsidR="004A7C33">
        <w:rPr>
          <w:lang w:val="en-AU"/>
        </w:rPr>
        <w:t>2017</w:t>
      </w:r>
      <w:r w:rsidR="006D7754" w:rsidRPr="006D7754">
        <w:rPr>
          <w:lang w:val="en-AU"/>
        </w:rPr>
        <w:t xml:space="preserve"> influenza season</w:t>
      </w:r>
      <w:r w:rsidR="006D7754">
        <w:rPr>
          <w:lang w:val="en-AU"/>
        </w:rPr>
        <w:t xml:space="preserve"> </w:t>
      </w:r>
      <w:r>
        <w:rPr>
          <w:lang w:val="en-AU"/>
        </w:rPr>
        <w:t>representative of the following types:</w:t>
      </w:r>
    </w:p>
    <w:p w:rsidR="00201584" w:rsidRDefault="004A7C33" w:rsidP="004072E0">
      <w:pPr>
        <w:tabs>
          <w:tab w:val="left" w:pos="2694"/>
          <w:tab w:val="left" w:pos="5103"/>
        </w:tabs>
        <w:spacing w:line="312" w:lineRule="auto"/>
        <w:rPr>
          <w:lang w:val="en-AU"/>
        </w:rPr>
      </w:pPr>
      <w:bookmarkStart w:id="1" w:name="OLE_LINK5"/>
      <w:bookmarkStart w:id="2" w:name="OLE_LINK6"/>
      <w:r w:rsidRPr="004A7C33">
        <w:rPr>
          <w:rFonts w:cs="Arial"/>
          <w:snapToGrid/>
          <w:color w:val="000000"/>
          <w:kern w:val="24"/>
          <w:lang w:val="en-AU" w:eastAsia="en-AU"/>
        </w:rPr>
        <w:t>A/Singapore/GP1908/2015</w:t>
      </w:r>
      <w:r w:rsidR="003835C1">
        <w:rPr>
          <w:rFonts w:cs="Arial"/>
          <w:snapToGrid/>
          <w:color w:val="000000"/>
          <w:kern w:val="24"/>
          <w:lang w:val="en-AU" w:eastAsia="en-AU"/>
        </w:rPr>
        <w:t xml:space="preserve"> (IVR-180)</w:t>
      </w:r>
      <w:r w:rsidRPr="004A7C33">
        <w:rPr>
          <w:rFonts w:ascii="Calibri" w:hAnsi="Calibri" w:cs="Calibri"/>
          <w:snapToGrid/>
          <w:color w:val="000000"/>
          <w:kern w:val="24"/>
          <w:sz w:val="22"/>
          <w:szCs w:val="22"/>
          <w:lang w:val="en-AU" w:eastAsia="en-AU"/>
        </w:rPr>
        <w:t xml:space="preserve"> </w:t>
      </w:r>
      <w:r>
        <w:rPr>
          <w:rFonts w:ascii="Calibri" w:hAnsi="Calibri" w:cs="Calibri"/>
          <w:snapToGrid/>
          <w:color w:val="000000"/>
          <w:kern w:val="24"/>
          <w:sz w:val="22"/>
          <w:szCs w:val="22"/>
          <w:lang w:val="en-AU" w:eastAsia="en-AU"/>
        </w:rPr>
        <w:t>(</w:t>
      </w:r>
      <w:r w:rsidR="00717E14" w:rsidRPr="00620390">
        <w:rPr>
          <w:lang w:val="en-AU"/>
        </w:rPr>
        <w:t>A</w:t>
      </w:r>
      <w:r w:rsidR="00201584">
        <w:rPr>
          <w:lang w:val="en-AU"/>
        </w:rPr>
        <w:t xml:space="preserve">/Michigan/45/2015 </w:t>
      </w:r>
      <w:r w:rsidR="00717E14" w:rsidRPr="00620390">
        <w:rPr>
          <w:lang w:val="en-AU"/>
        </w:rPr>
        <w:t>(H</w:t>
      </w:r>
      <w:r w:rsidR="00AE5C0E" w:rsidRPr="00AE5C0E">
        <w:rPr>
          <w:lang w:val="en-AU"/>
        </w:rPr>
        <w:t>1</w:t>
      </w:r>
      <w:r w:rsidR="00717E14" w:rsidRPr="00620390">
        <w:rPr>
          <w:lang w:val="en-AU"/>
        </w:rPr>
        <w:t>N</w:t>
      </w:r>
      <w:r w:rsidR="00AE5C0E" w:rsidRPr="00AE5C0E">
        <w:rPr>
          <w:lang w:val="en-AU"/>
        </w:rPr>
        <w:t>1</w:t>
      </w:r>
      <w:r w:rsidR="00717E14" w:rsidRPr="00620390">
        <w:rPr>
          <w:lang w:val="en-AU"/>
        </w:rPr>
        <w:t>) – like</w:t>
      </w:r>
      <w:r>
        <w:rPr>
          <w:lang w:val="en-AU"/>
        </w:rPr>
        <w:t>)</w:t>
      </w:r>
      <w:r w:rsidR="009B2005">
        <w:rPr>
          <w:lang w:val="en-AU"/>
        </w:rPr>
        <w:t>:</w:t>
      </w:r>
    </w:p>
    <w:p w:rsidR="00717E14" w:rsidRPr="00620390" w:rsidRDefault="00535453" w:rsidP="00201584">
      <w:pPr>
        <w:tabs>
          <w:tab w:val="left" w:pos="709"/>
          <w:tab w:val="left" w:pos="5103"/>
        </w:tabs>
        <w:spacing w:line="312" w:lineRule="auto"/>
        <w:rPr>
          <w:lang w:val="en-AU"/>
        </w:rPr>
      </w:pPr>
      <w:r>
        <w:rPr>
          <w:lang w:val="en-AU"/>
        </w:rPr>
        <w:t xml:space="preserve"> </w:t>
      </w:r>
      <w:r w:rsidR="00110DD6">
        <w:rPr>
          <w:lang w:val="en-AU"/>
        </w:rPr>
        <w:tab/>
        <w:t>1</w:t>
      </w:r>
      <w:r w:rsidR="00717E14" w:rsidRPr="00620390">
        <w:rPr>
          <w:lang w:val="en-AU"/>
        </w:rPr>
        <w:t xml:space="preserve">5 </w:t>
      </w:r>
      <w:r w:rsidR="00592199">
        <w:t>μ</w:t>
      </w:r>
      <w:r w:rsidR="00717E14" w:rsidRPr="00620390">
        <w:rPr>
          <w:lang w:val="en-AU"/>
        </w:rPr>
        <w:t xml:space="preserve">g </w:t>
      </w:r>
      <w:proofErr w:type="spellStart"/>
      <w:r w:rsidR="00717E14" w:rsidRPr="00620390">
        <w:rPr>
          <w:lang w:val="en-AU"/>
        </w:rPr>
        <w:t>haemagglutinin</w:t>
      </w:r>
      <w:proofErr w:type="spellEnd"/>
      <w:r w:rsidR="00717E14" w:rsidRPr="00620390">
        <w:rPr>
          <w:lang w:val="en-AU"/>
        </w:rPr>
        <w:t xml:space="preserve"> per dose</w:t>
      </w:r>
    </w:p>
    <w:p w:rsidR="00201584" w:rsidRDefault="004A7C33" w:rsidP="004072E0">
      <w:pPr>
        <w:tabs>
          <w:tab w:val="left" w:pos="709"/>
          <w:tab w:val="left" w:pos="2694"/>
          <w:tab w:val="left" w:pos="5103"/>
          <w:tab w:val="right" w:pos="9356"/>
        </w:tabs>
        <w:spacing w:line="312" w:lineRule="auto"/>
        <w:jc w:val="left"/>
        <w:rPr>
          <w:lang w:val="en-AU"/>
        </w:rPr>
      </w:pPr>
      <w:r>
        <w:rPr>
          <w:lang w:val="en-AU"/>
        </w:rPr>
        <w:t>A/Hong Kong/4801/2014 (NYMC X-263B) (</w:t>
      </w:r>
      <w:r w:rsidR="009B2005" w:rsidRPr="00CB2F8D">
        <w:rPr>
          <w:lang w:val="en-AU"/>
        </w:rPr>
        <w:t>A</w:t>
      </w:r>
      <w:r w:rsidR="00535453">
        <w:rPr>
          <w:lang w:val="en-AU"/>
        </w:rPr>
        <w:t>/</w:t>
      </w:r>
      <w:r w:rsidR="00201584">
        <w:rPr>
          <w:lang w:val="en-AU"/>
        </w:rPr>
        <w:t xml:space="preserve">Hong Kong/4801/2014 </w:t>
      </w:r>
      <w:r w:rsidR="004915EC">
        <w:rPr>
          <w:lang w:val="en-AU"/>
        </w:rPr>
        <w:t xml:space="preserve">(H3N2) </w:t>
      </w:r>
      <w:r w:rsidR="004915EC" w:rsidRPr="00620390">
        <w:rPr>
          <w:lang w:val="en-AU"/>
        </w:rPr>
        <w:t>–</w:t>
      </w:r>
      <w:r w:rsidR="004915EC">
        <w:rPr>
          <w:lang w:val="en-AU"/>
        </w:rPr>
        <w:t xml:space="preserve"> like</w:t>
      </w:r>
      <w:r w:rsidR="00201584">
        <w:rPr>
          <w:lang w:val="en-AU"/>
        </w:rPr>
        <w:t>)</w:t>
      </w:r>
      <w:r w:rsidR="009B2005">
        <w:rPr>
          <w:lang w:val="en-AU"/>
        </w:rPr>
        <w:t>:</w:t>
      </w:r>
    </w:p>
    <w:p w:rsidR="00F83B3F" w:rsidRDefault="00535453" w:rsidP="004072E0">
      <w:pPr>
        <w:tabs>
          <w:tab w:val="left" w:pos="709"/>
          <w:tab w:val="left" w:pos="2694"/>
          <w:tab w:val="left" w:pos="5103"/>
          <w:tab w:val="right" w:pos="9356"/>
        </w:tabs>
        <w:spacing w:line="312" w:lineRule="auto"/>
        <w:jc w:val="left"/>
        <w:rPr>
          <w:lang w:val="en-AU"/>
        </w:rPr>
      </w:pPr>
      <w:r>
        <w:rPr>
          <w:lang w:val="en-AU"/>
        </w:rPr>
        <w:t xml:space="preserve"> </w:t>
      </w:r>
      <w:r w:rsidR="004072E0">
        <w:rPr>
          <w:lang w:val="en-AU"/>
        </w:rPr>
        <w:tab/>
      </w:r>
      <w:r w:rsidR="00717E14" w:rsidRPr="00620390">
        <w:rPr>
          <w:lang w:val="en-AU"/>
        </w:rPr>
        <w:t xml:space="preserve">15 </w:t>
      </w:r>
      <w:r w:rsidR="00592199">
        <w:t>μ</w:t>
      </w:r>
      <w:r w:rsidR="00717E14" w:rsidRPr="00620390">
        <w:rPr>
          <w:lang w:val="en-AU"/>
        </w:rPr>
        <w:t xml:space="preserve">g </w:t>
      </w:r>
      <w:proofErr w:type="spellStart"/>
      <w:r w:rsidR="00717E14" w:rsidRPr="00620390">
        <w:rPr>
          <w:lang w:val="en-AU"/>
        </w:rPr>
        <w:t>haemagglutinin</w:t>
      </w:r>
      <w:proofErr w:type="spellEnd"/>
      <w:r w:rsidR="00717E14" w:rsidRPr="00620390">
        <w:rPr>
          <w:lang w:val="en-AU"/>
        </w:rPr>
        <w:t xml:space="preserve"> per dose</w:t>
      </w:r>
    </w:p>
    <w:p w:rsidR="00201584" w:rsidRDefault="005C675C" w:rsidP="004072E0">
      <w:pPr>
        <w:tabs>
          <w:tab w:val="left" w:pos="709"/>
          <w:tab w:val="left" w:pos="2694"/>
          <w:tab w:val="left" w:pos="5103"/>
          <w:tab w:val="right" w:pos="9498"/>
        </w:tabs>
        <w:spacing w:line="312" w:lineRule="auto"/>
        <w:jc w:val="left"/>
        <w:rPr>
          <w:lang w:val="en-AU"/>
        </w:rPr>
      </w:pPr>
      <w:r>
        <w:rPr>
          <w:lang w:val="en-AU"/>
        </w:rPr>
        <w:t>B/Phuket/30</w:t>
      </w:r>
      <w:r w:rsidR="00345B85">
        <w:rPr>
          <w:lang w:val="en-AU"/>
        </w:rPr>
        <w:t>7</w:t>
      </w:r>
      <w:r>
        <w:rPr>
          <w:lang w:val="en-AU"/>
        </w:rPr>
        <w:t xml:space="preserve">3/2013 </w:t>
      </w:r>
      <w:r w:rsidR="00201584">
        <w:rPr>
          <w:lang w:val="en-AU"/>
        </w:rPr>
        <w:t>(</w:t>
      </w:r>
      <w:r w:rsidR="009B2005" w:rsidRPr="00CB2F8D">
        <w:rPr>
          <w:lang w:val="en-AU"/>
        </w:rPr>
        <w:t>B</w:t>
      </w:r>
      <w:r w:rsidR="00535453">
        <w:rPr>
          <w:lang w:val="en-AU"/>
        </w:rPr>
        <w:t>/</w:t>
      </w:r>
      <w:r w:rsidR="00201584">
        <w:rPr>
          <w:lang w:val="en-AU"/>
        </w:rPr>
        <w:t>Phuket/3073/2013</w:t>
      </w:r>
      <w:r w:rsidR="00863A65">
        <w:rPr>
          <w:lang w:val="en-AU"/>
        </w:rPr>
        <w:t>- like</w:t>
      </w:r>
      <w:r w:rsidR="00201584">
        <w:rPr>
          <w:lang w:val="en-AU"/>
        </w:rPr>
        <w:t>)</w:t>
      </w:r>
      <w:r w:rsidR="009B2005">
        <w:rPr>
          <w:lang w:val="en-AU"/>
        </w:rPr>
        <w:t>:</w:t>
      </w:r>
    </w:p>
    <w:p w:rsidR="00717E14" w:rsidRDefault="009B2005" w:rsidP="004072E0">
      <w:pPr>
        <w:tabs>
          <w:tab w:val="left" w:pos="709"/>
          <w:tab w:val="left" w:pos="2694"/>
          <w:tab w:val="left" w:pos="5103"/>
          <w:tab w:val="right" w:pos="9498"/>
        </w:tabs>
        <w:spacing w:line="312" w:lineRule="auto"/>
        <w:jc w:val="left"/>
        <w:rPr>
          <w:lang w:val="en-AU"/>
        </w:rPr>
      </w:pPr>
      <w:r>
        <w:rPr>
          <w:lang w:val="en-AU"/>
        </w:rPr>
        <w:t xml:space="preserve"> </w:t>
      </w:r>
      <w:r w:rsidR="004072E0">
        <w:rPr>
          <w:lang w:val="en-AU"/>
        </w:rPr>
        <w:tab/>
      </w:r>
      <w:r w:rsidR="00717E14" w:rsidRPr="00620390">
        <w:rPr>
          <w:lang w:val="en-AU"/>
        </w:rPr>
        <w:t xml:space="preserve">15 </w:t>
      </w:r>
      <w:r w:rsidR="00592199">
        <w:t>μ</w:t>
      </w:r>
      <w:r w:rsidR="00717E14" w:rsidRPr="00620390">
        <w:rPr>
          <w:lang w:val="en-AU"/>
        </w:rPr>
        <w:t xml:space="preserve">g </w:t>
      </w:r>
      <w:proofErr w:type="spellStart"/>
      <w:r w:rsidR="00717E14" w:rsidRPr="00620390">
        <w:rPr>
          <w:lang w:val="en-AU"/>
        </w:rPr>
        <w:t>haemagglutinin</w:t>
      </w:r>
      <w:proofErr w:type="spellEnd"/>
      <w:r w:rsidR="00717E14" w:rsidRPr="00620390">
        <w:rPr>
          <w:lang w:val="en-AU"/>
        </w:rPr>
        <w:t xml:space="preserve"> per dose</w:t>
      </w:r>
    </w:p>
    <w:p w:rsidR="00201584" w:rsidRDefault="005C675C" w:rsidP="004072E0">
      <w:pPr>
        <w:tabs>
          <w:tab w:val="left" w:pos="709"/>
          <w:tab w:val="left" w:pos="2694"/>
          <w:tab w:val="left" w:pos="5103"/>
        </w:tabs>
        <w:spacing w:line="312" w:lineRule="auto"/>
        <w:jc w:val="left"/>
        <w:rPr>
          <w:lang w:val="en-AU"/>
        </w:rPr>
      </w:pPr>
      <w:r>
        <w:rPr>
          <w:lang w:val="en-AU"/>
        </w:rPr>
        <w:t xml:space="preserve">B/Brisbane/46/2015 </w:t>
      </w:r>
      <w:r w:rsidR="00201584">
        <w:rPr>
          <w:lang w:val="en-AU"/>
        </w:rPr>
        <w:t>(</w:t>
      </w:r>
      <w:r w:rsidR="004035A2">
        <w:rPr>
          <w:lang w:val="en-AU"/>
        </w:rPr>
        <w:t>B</w:t>
      </w:r>
      <w:r w:rsidR="00535453">
        <w:rPr>
          <w:lang w:val="en-AU"/>
        </w:rPr>
        <w:t>/</w:t>
      </w:r>
      <w:r w:rsidR="00201584">
        <w:rPr>
          <w:lang w:val="en-AU"/>
        </w:rPr>
        <w:t>Brisbane/60/2008</w:t>
      </w:r>
      <w:r w:rsidR="00863A65">
        <w:rPr>
          <w:lang w:val="en-AU"/>
        </w:rPr>
        <w:t xml:space="preserve"> - like</w:t>
      </w:r>
      <w:r w:rsidR="00201584">
        <w:rPr>
          <w:lang w:val="en-AU"/>
        </w:rPr>
        <w:t>)</w:t>
      </w:r>
      <w:r w:rsidR="004035A2" w:rsidRPr="004035A2">
        <w:rPr>
          <w:lang w:val="en-AU"/>
        </w:rPr>
        <w:t xml:space="preserve">: </w:t>
      </w:r>
    </w:p>
    <w:p w:rsidR="004035A2" w:rsidRPr="00620390" w:rsidRDefault="004072E0" w:rsidP="004072E0">
      <w:pPr>
        <w:tabs>
          <w:tab w:val="left" w:pos="709"/>
          <w:tab w:val="left" w:pos="2694"/>
          <w:tab w:val="left" w:pos="5103"/>
        </w:tabs>
        <w:spacing w:line="312" w:lineRule="auto"/>
        <w:jc w:val="left"/>
        <w:rPr>
          <w:lang w:val="en-AU"/>
        </w:rPr>
      </w:pPr>
      <w:r>
        <w:rPr>
          <w:lang w:val="en-AU"/>
        </w:rPr>
        <w:tab/>
        <w:t>15</w:t>
      </w:r>
      <w:r w:rsidR="004035A2" w:rsidRPr="004035A2">
        <w:rPr>
          <w:lang w:val="en-AU"/>
        </w:rPr>
        <w:t xml:space="preserve"> </w:t>
      </w:r>
      <w:proofErr w:type="spellStart"/>
      <w:r w:rsidR="004035A2" w:rsidRPr="004035A2">
        <w:rPr>
          <w:lang w:val="en-AU"/>
        </w:rPr>
        <w:t>μg</w:t>
      </w:r>
      <w:proofErr w:type="spellEnd"/>
      <w:r w:rsidR="004035A2" w:rsidRPr="004035A2">
        <w:rPr>
          <w:lang w:val="en-AU"/>
        </w:rPr>
        <w:t xml:space="preserve"> </w:t>
      </w:r>
      <w:proofErr w:type="spellStart"/>
      <w:r w:rsidR="004035A2" w:rsidRPr="004035A2">
        <w:rPr>
          <w:lang w:val="en-AU"/>
        </w:rPr>
        <w:t>haemagglutinin</w:t>
      </w:r>
      <w:proofErr w:type="spellEnd"/>
      <w:r w:rsidR="004035A2" w:rsidRPr="004035A2">
        <w:rPr>
          <w:lang w:val="en-AU"/>
        </w:rPr>
        <w:t xml:space="preserve"> per dose</w:t>
      </w:r>
    </w:p>
    <w:bookmarkEnd w:id="1"/>
    <w:bookmarkEnd w:id="2"/>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50714" w:rsidRDefault="00650714" w:rsidP="00315B63">
      <w:pPr>
        <w:pStyle w:val="BodyText2"/>
        <w:spacing w:line="360" w:lineRule="auto"/>
        <w:rPr>
          <w:u w:val="none"/>
        </w:rPr>
      </w:pPr>
      <w:r>
        <w:rPr>
          <w:u w:val="none"/>
        </w:rPr>
        <w:t>Each 0.5 mL dose also contains</w:t>
      </w:r>
      <w:r w:rsidR="007F0F3D">
        <w:rPr>
          <w:u w:val="none"/>
        </w:rPr>
        <w:t>, nominally</w:t>
      </w:r>
      <w:r>
        <w:rPr>
          <w:u w:val="none"/>
        </w:rPr>
        <w:t xml:space="preserve">: sodium chloride 4.1 mg, </w:t>
      </w:r>
      <w:r w:rsidR="00A348C4">
        <w:rPr>
          <w:u w:val="none"/>
        </w:rPr>
        <w:t xml:space="preserve">dibasic </w:t>
      </w:r>
      <w:r>
        <w:rPr>
          <w:u w:val="none"/>
        </w:rPr>
        <w:t>sodiu</w:t>
      </w:r>
      <w:r w:rsidR="00DE1D61">
        <w:rPr>
          <w:u w:val="none"/>
        </w:rPr>
        <w:t>m phosphate anhydrous</w:t>
      </w:r>
      <w:r w:rsidR="007112F8">
        <w:rPr>
          <w:u w:val="none"/>
        </w:rPr>
        <w:t xml:space="preserve"> </w:t>
      </w:r>
      <w:r>
        <w:rPr>
          <w:u w:val="none"/>
        </w:rPr>
        <w:t xml:space="preserve">0.3 mg, </w:t>
      </w:r>
      <w:r w:rsidR="00A348C4">
        <w:rPr>
          <w:u w:val="none"/>
        </w:rPr>
        <w:t xml:space="preserve">monobasic </w:t>
      </w:r>
      <w:r>
        <w:rPr>
          <w:u w:val="none"/>
        </w:rPr>
        <w:t xml:space="preserve">sodium phosphate 0.08 mg, potassium chloride 0.02 mg, </w:t>
      </w:r>
      <w:r w:rsidR="00A348C4">
        <w:rPr>
          <w:u w:val="none"/>
        </w:rPr>
        <w:t xml:space="preserve">monobasic </w:t>
      </w:r>
      <w:r>
        <w:rPr>
          <w:u w:val="none"/>
        </w:rPr>
        <w:t>potas</w:t>
      </w:r>
      <w:r w:rsidR="003E7D66">
        <w:rPr>
          <w:u w:val="none"/>
        </w:rPr>
        <w:t>sium phosphate 0.02 </w:t>
      </w:r>
      <w:r>
        <w:rPr>
          <w:u w:val="none"/>
        </w:rPr>
        <w:t xml:space="preserve">mg and calcium chloride </w:t>
      </w:r>
      <w:r w:rsidR="004035A2">
        <w:rPr>
          <w:u w:val="none"/>
        </w:rPr>
        <w:t>0</w:t>
      </w:r>
      <w:r>
        <w:rPr>
          <w:u w:val="none"/>
        </w:rPr>
        <w:t>.5 μg.</w:t>
      </w:r>
    </w:p>
    <w:p w:rsidR="00650714" w:rsidRPr="002B4675" w:rsidRDefault="00A348C4" w:rsidP="00315B63">
      <w:pPr>
        <w:pStyle w:val="BodyText2"/>
        <w:spacing w:line="360" w:lineRule="auto"/>
        <w:rPr>
          <w:u w:val="none"/>
        </w:rPr>
      </w:pPr>
      <w:r w:rsidRPr="00A348C4">
        <w:rPr>
          <w:u w:val="none"/>
        </w:rPr>
        <w:t>Trace amounts of the following may also be present in each 0.5 mL dose:</w:t>
      </w:r>
      <w:r>
        <w:rPr>
          <w:u w:val="none"/>
        </w:rPr>
        <w:t xml:space="preserve"> </w:t>
      </w:r>
      <w:r w:rsidR="00650714" w:rsidRPr="002B4675">
        <w:rPr>
          <w:u w:val="none"/>
        </w:rPr>
        <w:t xml:space="preserve">sodium </w:t>
      </w:r>
      <w:proofErr w:type="spellStart"/>
      <w:r w:rsidR="00650714" w:rsidRPr="002B4675">
        <w:rPr>
          <w:u w:val="none"/>
        </w:rPr>
        <w:t>taurodeoxycholate</w:t>
      </w:r>
      <w:proofErr w:type="spellEnd"/>
      <w:r w:rsidR="00F109DC" w:rsidRPr="002B4675">
        <w:rPr>
          <w:u w:val="none"/>
        </w:rPr>
        <w:t>,</w:t>
      </w:r>
      <w:r w:rsidR="00650714" w:rsidRPr="002B4675">
        <w:rPr>
          <w:u w:val="none"/>
        </w:rPr>
        <w:t xml:space="preserve"> ovalbumin </w:t>
      </w:r>
      <w:r>
        <w:rPr>
          <w:u w:val="none"/>
        </w:rPr>
        <w:t>(</w:t>
      </w:r>
      <w:r w:rsidR="003929AE" w:rsidRPr="00906E51">
        <w:rPr>
          <w:color w:val="000000"/>
          <w:u w:val="none"/>
        </w:rPr>
        <w:t>&lt;</w:t>
      </w:r>
      <w:r w:rsidR="00205619">
        <w:rPr>
          <w:color w:val="000000"/>
          <w:u w:val="none"/>
        </w:rPr>
        <w:t xml:space="preserve"> </w:t>
      </w:r>
      <w:r w:rsidR="00436549" w:rsidRPr="00984A6D">
        <w:rPr>
          <w:u w:val="none"/>
        </w:rPr>
        <w:t>1</w:t>
      </w:r>
      <w:r w:rsidR="00436549">
        <w:rPr>
          <w:u w:val="none"/>
        </w:rPr>
        <w:t xml:space="preserve"> </w:t>
      </w:r>
      <w:proofErr w:type="spellStart"/>
      <w:r w:rsidR="00650714" w:rsidRPr="002B4675">
        <w:rPr>
          <w:u w:val="none"/>
        </w:rPr>
        <w:t>μg</w:t>
      </w:r>
      <w:proofErr w:type="spellEnd"/>
      <w:r>
        <w:rPr>
          <w:u w:val="none"/>
        </w:rPr>
        <w:t>)</w:t>
      </w:r>
      <w:r w:rsidR="00650714" w:rsidRPr="002B4675">
        <w:rPr>
          <w:u w:val="none"/>
        </w:rPr>
        <w:t>,</w:t>
      </w:r>
      <w:r w:rsidR="00BC5389" w:rsidRPr="00BC5389">
        <w:rPr>
          <w:u w:val="none"/>
        </w:rPr>
        <w:t xml:space="preserve"> </w:t>
      </w:r>
      <w:r w:rsidR="00650714" w:rsidRPr="002B4675">
        <w:rPr>
          <w:u w:val="none"/>
        </w:rPr>
        <w:t>sucrose, neomycin</w:t>
      </w:r>
      <w:r w:rsidR="006B1503" w:rsidRPr="002B4675">
        <w:rPr>
          <w:u w:val="none"/>
        </w:rPr>
        <w:t xml:space="preserve"> </w:t>
      </w:r>
      <w:proofErr w:type="spellStart"/>
      <w:r w:rsidR="00C014A8">
        <w:rPr>
          <w:u w:val="none"/>
        </w:rPr>
        <w:t>sulfate</w:t>
      </w:r>
      <w:proofErr w:type="spellEnd"/>
      <w:r w:rsidR="002B4675">
        <w:rPr>
          <w:u w:val="none"/>
        </w:rPr>
        <w:t>,</w:t>
      </w:r>
      <w:r w:rsidR="00650714" w:rsidRPr="002B4675">
        <w:rPr>
          <w:u w:val="none"/>
        </w:rPr>
        <w:t xml:space="preserve"> </w:t>
      </w:r>
      <w:proofErr w:type="spellStart"/>
      <w:r w:rsidR="00650714" w:rsidRPr="002B4675">
        <w:rPr>
          <w:u w:val="none"/>
        </w:rPr>
        <w:t>polymyxin</w:t>
      </w:r>
      <w:proofErr w:type="spellEnd"/>
      <w:r w:rsidR="006B1503" w:rsidRPr="002B4675">
        <w:rPr>
          <w:u w:val="none"/>
        </w:rPr>
        <w:t xml:space="preserve"> </w:t>
      </w:r>
      <w:r w:rsidR="006161AC">
        <w:rPr>
          <w:u w:val="none"/>
        </w:rPr>
        <w:t xml:space="preserve">B </w:t>
      </w:r>
      <w:proofErr w:type="spellStart"/>
      <w:r w:rsidR="006161AC">
        <w:rPr>
          <w:u w:val="none"/>
        </w:rPr>
        <w:t>sulf</w:t>
      </w:r>
      <w:r w:rsidR="00310C04">
        <w:rPr>
          <w:u w:val="none"/>
        </w:rPr>
        <w:t>ate</w:t>
      </w:r>
      <w:proofErr w:type="spellEnd"/>
      <w:r w:rsidR="00310C04">
        <w:rPr>
          <w:u w:val="none"/>
        </w:rPr>
        <w:t xml:space="preserve"> </w:t>
      </w:r>
      <w:r w:rsidR="006B1503" w:rsidRPr="002B4675">
        <w:rPr>
          <w:u w:val="none"/>
        </w:rPr>
        <w:t xml:space="preserve">and </w:t>
      </w:r>
      <w:proofErr w:type="spellStart"/>
      <w:r w:rsidR="006B1503" w:rsidRPr="002B4675">
        <w:rPr>
          <w:u w:val="none"/>
        </w:rPr>
        <w:t>propiolactone</w:t>
      </w:r>
      <w:proofErr w:type="spellEnd"/>
      <w:r w:rsidR="00650714" w:rsidRPr="002B4675">
        <w:rPr>
          <w:u w:val="none"/>
        </w:rPr>
        <w:t>.</w:t>
      </w: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 xml:space="preserve">The type and amount of viral antigens in </w:t>
      </w:r>
      <w:r w:rsidR="00887C04">
        <w:rPr>
          <w:lang w:val="en-AU"/>
        </w:rPr>
        <w:t>Afluria</w:t>
      </w:r>
      <w:r w:rsidR="00DE2288">
        <w:rPr>
          <w:lang w:val="en-AU"/>
        </w:rPr>
        <w:t xml:space="preserve"> </w:t>
      </w:r>
      <w:r w:rsidR="00504C71">
        <w:rPr>
          <w:lang w:val="en-AU"/>
        </w:rPr>
        <w:t>Quad</w:t>
      </w:r>
      <w:r w:rsidR="004072E0">
        <w:rPr>
          <w:rFonts w:cs="Arial"/>
          <w:lang w:val="en-AU"/>
        </w:rPr>
        <w:t>™</w:t>
      </w:r>
      <w:r w:rsidR="00504C71">
        <w:rPr>
          <w:lang w:val="en-AU"/>
        </w:rPr>
        <w:t xml:space="preserve"> </w:t>
      </w:r>
      <w:r>
        <w:rPr>
          <w:lang w:val="en-AU"/>
        </w:rPr>
        <w:t>vaccine conform to the requirements of the Austral</w:t>
      </w:r>
      <w:r w:rsidR="0027138E">
        <w:rPr>
          <w:lang w:val="en-AU"/>
        </w:rPr>
        <w:t>ian Influenza Vaccine Committee</w:t>
      </w:r>
      <w:r w:rsidRPr="0024100C">
        <w:rPr>
          <w:lang w:val="en-AU"/>
        </w:rPr>
        <w:t xml:space="preserve"> </w:t>
      </w:r>
      <w:r>
        <w:rPr>
          <w:lang w:val="en-AU"/>
        </w:rPr>
        <w:t>for the winter of</w:t>
      </w:r>
      <w:r w:rsidR="00345B85">
        <w:rPr>
          <w:lang w:val="en-AU"/>
        </w:rPr>
        <w:t xml:space="preserve"> </w:t>
      </w:r>
      <w:r w:rsidR="004A7C33">
        <w:rPr>
          <w:lang w:val="en-AU"/>
        </w:rPr>
        <w:t>2017</w:t>
      </w:r>
      <w:r>
        <w:rPr>
          <w:lang w:val="en-AU"/>
        </w:rPr>
        <w:t xml:space="preserve">. The strains chosen for vaccine manufacture are endorsed by </w:t>
      </w:r>
      <w:r w:rsidRPr="0027138E">
        <w:rPr>
          <w:lang w:val="en-AU"/>
        </w:rPr>
        <w:t xml:space="preserve">the </w:t>
      </w:r>
      <w:r w:rsidR="005631AA" w:rsidRPr="0027138E">
        <w:rPr>
          <w:lang w:val="en-AU"/>
        </w:rPr>
        <w:t>Australian Influenza Vaccine Committee</w:t>
      </w:r>
      <w:r w:rsidRPr="0024100C">
        <w:rPr>
          <w:lang w:val="en-AU"/>
        </w:rPr>
        <w:t xml:space="preserve"> </w:t>
      </w:r>
      <w:r>
        <w:rPr>
          <w:lang w:val="en-AU"/>
        </w:rPr>
        <w:t xml:space="preserve">as being </w:t>
      </w:r>
      <w:proofErr w:type="spellStart"/>
      <w:r>
        <w:rPr>
          <w:lang w:val="en-AU"/>
        </w:rPr>
        <w:t>antigenically</w:t>
      </w:r>
      <w:proofErr w:type="spellEnd"/>
      <w:r>
        <w:rPr>
          <w:lang w:val="en-AU"/>
        </w:rPr>
        <w:t xml:space="preserve"> equivalent to the reference virus.</w:t>
      </w: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 xml:space="preserve">The vaccine is prepared from virus grown in the </w:t>
      </w:r>
      <w:proofErr w:type="spellStart"/>
      <w:r>
        <w:rPr>
          <w:lang w:val="en-AU"/>
        </w:rPr>
        <w:t>allant</w:t>
      </w:r>
      <w:r w:rsidR="00B81ECB">
        <w:rPr>
          <w:lang w:val="en-AU"/>
        </w:rPr>
        <w:t>oic</w:t>
      </w:r>
      <w:proofErr w:type="spellEnd"/>
      <w:r w:rsidR="00B81ECB">
        <w:rPr>
          <w:lang w:val="en-AU"/>
        </w:rPr>
        <w:t xml:space="preserve"> cavity of </w:t>
      </w:r>
      <w:proofErr w:type="spellStart"/>
      <w:r w:rsidR="00B81ECB">
        <w:rPr>
          <w:lang w:val="en-AU"/>
        </w:rPr>
        <w:t>embryonated</w:t>
      </w:r>
      <w:proofErr w:type="spellEnd"/>
      <w:r w:rsidR="00B81ECB">
        <w:rPr>
          <w:lang w:val="en-AU"/>
        </w:rPr>
        <w:t xml:space="preserve"> eggs,</w:t>
      </w:r>
      <w:r w:rsidR="0013214D">
        <w:rPr>
          <w:lang w:val="en-AU"/>
        </w:rPr>
        <w:t xml:space="preserve"> </w:t>
      </w:r>
      <w:r w:rsidR="0013214D" w:rsidRPr="00B81ECB">
        <w:rPr>
          <w:lang w:val="en-AU"/>
        </w:rPr>
        <w:t xml:space="preserve">purified by zonal centrifugation, inactivated by </w:t>
      </w:r>
      <w:proofErr w:type="spellStart"/>
      <w:r w:rsidR="0013214D" w:rsidRPr="00B81ECB">
        <w:rPr>
          <w:lang w:val="en-AU"/>
        </w:rPr>
        <w:t>propiolactone</w:t>
      </w:r>
      <w:proofErr w:type="spellEnd"/>
      <w:r w:rsidR="0013214D">
        <w:rPr>
          <w:lang w:val="en-AU"/>
        </w:rPr>
        <w:t xml:space="preserve"> </w:t>
      </w:r>
      <w:r>
        <w:rPr>
          <w:lang w:val="en-AU"/>
        </w:rPr>
        <w:t xml:space="preserve">and disrupted by sodium </w:t>
      </w:r>
      <w:proofErr w:type="spellStart"/>
      <w:r>
        <w:rPr>
          <w:lang w:val="en-AU"/>
        </w:rPr>
        <w:t>taurodeoxycholate</w:t>
      </w:r>
      <w:proofErr w:type="spellEnd"/>
      <w:r>
        <w:rPr>
          <w:lang w:val="en-AU"/>
        </w:rPr>
        <w:t xml:space="preserve">. </w:t>
      </w:r>
      <w:r w:rsidR="00887C04">
        <w:rPr>
          <w:lang w:val="en-AU"/>
        </w:rPr>
        <w:t>Afluria</w:t>
      </w:r>
      <w:r w:rsidR="00DE2288">
        <w:rPr>
          <w:lang w:val="en-AU"/>
        </w:rPr>
        <w:t xml:space="preserve"> </w:t>
      </w:r>
      <w:r w:rsidR="00504C71">
        <w:rPr>
          <w:lang w:val="en-AU"/>
        </w:rPr>
        <w:t>Quad</w:t>
      </w:r>
      <w:r w:rsidR="004072E0">
        <w:rPr>
          <w:rFonts w:cs="Arial"/>
          <w:lang w:val="en-AU"/>
        </w:rPr>
        <w:t>™</w:t>
      </w:r>
      <w:r w:rsidR="00504C71">
        <w:rPr>
          <w:lang w:val="en-AU"/>
        </w:rPr>
        <w:t xml:space="preserve"> </w:t>
      </w:r>
      <w:r>
        <w:rPr>
          <w:lang w:val="en-AU"/>
        </w:rPr>
        <w:t>vaccine conforms in safety and sterility to the requirements of the British Pharmacopoeia.</w:t>
      </w:r>
    </w:p>
    <w:p w:rsidR="00634685" w:rsidRDefault="00634685"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F55A88" w:rsidRDefault="00887C04" w:rsidP="003B0327">
      <w:pPr>
        <w:keepNext/>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lastRenderedPageBreak/>
        <w:t>Afluria</w:t>
      </w:r>
      <w:r w:rsidR="00DE2288">
        <w:rPr>
          <w:lang w:val="en-AU"/>
        </w:rPr>
        <w:t xml:space="preserve"> </w:t>
      </w:r>
      <w:r w:rsidR="00E43ADC">
        <w:rPr>
          <w:lang w:val="en-AU"/>
        </w:rPr>
        <w:t>Quad</w:t>
      </w:r>
      <w:r w:rsidR="004072E0">
        <w:rPr>
          <w:rFonts w:cs="Arial"/>
          <w:lang w:val="en-AU"/>
        </w:rPr>
        <w:t>™</w:t>
      </w:r>
      <w:r w:rsidR="00E43ADC">
        <w:rPr>
          <w:lang w:val="en-AU"/>
        </w:rPr>
        <w:t xml:space="preserve"> </w:t>
      </w:r>
      <w:r w:rsidR="00634685">
        <w:rPr>
          <w:lang w:val="en-AU"/>
        </w:rPr>
        <w:t>vaccine is a clear to slightly opaque liquid with some sediment that resuspends upon shaking.</w:t>
      </w:r>
    </w:p>
    <w:p w:rsidR="00634685" w:rsidRPr="00634685" w:rsidRDefault="00634685" w:rsidP="00F55A88">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See Administration.</w:t>
      </w:r>
    </w:p>
    <w:p w:rsidR="00B20E02" w:rsidRDefault="00B20E02" w:rsidP="00D648A2">
      <w:pPr>
        <w:widowControl/>
        <w:jc w:val="left"/>
        <w:rPr>
          <w:lang w:val="en-AU"/>
        </w:rPr>
      </w:pPr>
    </w:p>
    <w:p w:rsidR="00650714" w:rsidRDefault="00650714" w:rsidP="000961FF">
      <w:pPr>
        <w:pStyle w:val="Heading1"/>
      </w:pPr>
      <w:r>
        <w:t>PHARMACOLOGY</w:t>
      </w:r>
    </w:p>
    <w:p w:rsidR="00FA1E1E"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DE2288">
        <w:rPr>
          <w:lang w:val="en-AU"/>
        </w:rPr>
        <w:t xml:space="preserve"> </w:t>
      </w:r>
      <w:r w:rsidR="00E43ADC">
        <w:rPr>
          <w:lang w:val="en-AU"/>
        </w:rPr>
        <w:t>Quad</w:t>
      </w:r>
      <w:r w:rsidR="004072E0">
        <w:rPr>
          <w:rFonts w:cs="Arial"/>
          <w:lang w:val="en-AU"/>
        </w:rPr>
        <w:t>™</w:t>
      </w:r>
      <w:r w:rsidR="00E43ADC">
        <w:rPr>
          <w:lang w:val="en-AU"/>
        </w:rPr>
        <w:t xml:space="preserve"> </w:t>
      </w:r>
      <w:r w:rsidR="00650714">
        <w:rPr>
          <w:lang w:val="en-AU"/>
        </w:rPr>
        <w:t>vaccine has been shown to induce antibodies to the viral surface glycoprotein</w:t>
      </w:r>
      <w:r w:rsidR="00B27A8A">
        <w:rPr>
          <w:lang w:val="en-AU"/>
        </w:rPr>
        <w:t>,</w:t>
      </w:r>
      <w:r w:rsidR="009E1FD4">
        <w:rPr>
          <w:lang w:val="en-AU"/>
        </w:rPr>
        <w:t xml:space="preserve"> </w:t>
      </w:r>
      <w:proofErr w:type="spellStart"/>
      <w:r w:rsidR="00650714">
        <w:rPr>
          <w:lang w:val="en-AU"/>
        </w:rPr>
        <w:t>haemagglutinin</w:t>
      </w:r>
      <w:proofErr w:type="spellEnd"/>
      <w:r w:rsidR="009E1FD4">
        <w:rPr>
          <w:lang w:val="en-AU"/>
        </w:rPr>
        <w:t>.</w:t>
      </w:r>
      <w:r w:rsidR="00650714">
        <w:rPr>
          <w:lang w:val="en-AU"/>
        </w:rPr>
        <w:t xml:space="preserve"> These antibodies are important in the prevention of natural infection.</w:t>
      </w: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50714" w:rsidRPr="00B81ECB" w:rsidRDefault="0055718A"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B81ECB">
        <w:rPr>
          <w:lang w:val="en-AU"/>
        </w:rPr>
        <w:t>Seroprotection is generally obtained within 2 to 3 wee</w:t>
      </w:r>
      <w:r w:rsidR="007A76B0" w:rsidRPr="00B81ECB">
        <w:rPr>
          <w:lang w:val="en-AU"/>
        </w:rPr>
        <w:t>ks. The duration of post</w:t>
      </w:r>
      <w:r w:rsidR="00610795">
        <w:rPr>
          <w:lang w:val="en-AU"/>
        </w:rPr>
        <w:t>-</w:t>
      </w:r>
      <w:r w:rsidR="007A76B0" w:rsidRPr="00B81ECB">
        <w:rPr>
          <w:lang w:val="en-AU"/>
        </w:rPr>
        <w:t>vaccination</w:t>
      </w:r>
      <w:r w:rsidRPr="00B81ECB">
        <w:rPr>
          <w:lang w:val="en-AU"/>
        </w:rPr>
        <w:t xml:space="preserve"> immunity to homologous strains</w:t>
      </w:r>
      <w:r w:rsidR="00B20BC0">
        <w:rPr>
          <w:lang w:val="en-AU"/>
        </w:rPr>
        <w:t>,</w:t>
      </w:r>
      <w:r w:rsidRPr="00B81ECB">
        <w:rPr>
          <w:lang w:val="en-AU"/>
        </w:rPr>
        <w:t xml:space="preserve"> or to strains closely related to the vaccine st</w:t>
      </w:r>
      <w:r w:rsidR="0065157C">
        <w:rPr>
          <w:lang w:val="en-AU"/>
        </w:rPr>
        <w:t>rains</w:t>
      </w:r>
      <w:r w:rsidR="00B20BC0">
        <w:rPr>
          <w:lang w:val="en-AU"/>
        </w:rPr>
        <w:t>,</w:t>
      </w:r>
      <w:r w:rsidR="0065157C">
        <w:rPr>
          <w:lang w:val="en-AU"/>
        </w:rPr>
        <w:t xml:space="preserve"> varies but is usually 6 to</w:t>
      </w:r>
      <w:r w:rsidRPr="00B81ECB">
        <w:rPr>
          <w:lang w:val="en-AU"/>
        </w:rPr>
        <w:t xml:space="preserve"> 12 months. </w:t>
      </w:r>
    </w:p>
    <w:p w:rsidR="0098080A" w:rsidRDefault="0098080A" w:rsidP="000961FF">
      <w:pPr>
        <w:rPr>
          <w:lang w:val="en-AU"/>
        </w:rPr>
      </w:pPr>
    </w:p>
    <w:p w:rsidR="00B35FED" w:rsidRDefault="00B35FED" w:rsidP="000961FF">
      <w:pPr>
        <w:pStyle w:val="Heading1"/>
      </w:pPr>
      <w:r>
        <w:t>CLINICAL TRIALS</w:t>
      </w:r>
    </w:p>
    <w:p w:rsidR="003B46EA" w:rsidRPr="004A7E84" w:rsidRDefault="00913345" w:rsidP="000961FF">
      <w:r>
        <w:t>QIV-01 (</w:t>
      </w:r>
      <w:r w:rsidR="00802129">
        <w:t>NCT02214225, see http://clinicaltrials.gov)</w:t>
      </w:r>
      <w:r w:rsidR="003B46EA" w:rsidRPr="004A7E84">
        <w:t xml:space="preserve"> was a </w:t>
      </w:r>
      <w:proofErr w:type="spellStart"/>
      <w:r w:rsidR="00B27A8A" w:rsidRPr="004A7E84">
        <w:t>randomi</w:t>
      </w:r>
      <w:r w:rsidR="00B27A8A">
        <w:t>s</w:t>
      </w:r>
      <w:r w:rsidR="00B27A8A" w:rsidRPr="004A7E84">
        <w:t>ed</w:t>
      </w:r>
      <w:proofErr w:type="spellEnd"/>
      <w:r w:rsidR="003B46EA" w:rsidRPr="004A7E84">
        <w:t>, double-blind, active</w:t>
      </w:r>
      <w:r w:rsidR="00610795">
        <w:t xml:space="preserve"> comparator</w:t>
      </w:r>
      <w:r w:rsidR="003B46EA" w:rsidRPr="004A7E84">
        <w:t xml:space="preserve">-controlled trial conducted in the US in adults aged 18 years and older.  Subjects </w:t>
      </w:r>
      <w:r w:rsidR="007B7473">
        <w:t>in the per</w:t>
      </w:r>
      <w:r w:rsidR="009A0DE5">
        <w:t xml:space="preserve"> </w:t>
      </w:r>
      <w:r w:rsidR="007B7473">
        <w:t xml:space="preserve">protocol </w:t>
      </w:r>
      <w:r w:rsidR="009A0DE5">
        <w:t xml:space="preserve">population </w:t>
      </w:r>
      <w:r w:rsidR="000905A2">
        <w:t xml:space="preserve">that was </w:t>
      </w:r>
      <w:r w:rsidR="00B20E02">
        <w:t xml:space="preserve">used for the primary immunogenicity analysis </w:t>
      </w:r>
      <w:r w:rsidR="003B46EA" w:rsidRPr="004A7E84">
        <w:t xml:space="preserve">received one dose of either </w:t>
      </w:r>
      <w:r w:rsidR="00887C04">
        <w:t>Afluria</w:t>
      </w:r>
      <w:r w:rsidR="00DE2288" w:rsidRPr="004A7E84">
        <w:t xml:space="preserve"> </w:t>
      </w:r>
      <w:r w:rsidR="00E43ADC">
        <w:t>Quad</w:t>
      </w:r>
      <w:r w:rsidR="004072E0">
        <w:rPr>
          <w:rFonts w:cs="Arial"/>
        </w:rPr>
        <w:t>™</w:t>
      </w:r>
      <w:r w:rsidR="00E43ADC">
        <w:t xml:space="preserve"> </w:t>
      </w:r>
      <w:r w:rsidR="00DC4CEE">
        <w:t xml:space="preserve">vaccine </w:t>
      </w:r>
      <w:r w:rsidR="003B46EA" w:rsidRPr="004A7E84">
        <w:t>(N=1691) or one of two formulations of comparator trivalent influenza vaccine (TIV-1 N=854 or TIV-2 N=850)</w:t>
      </w:r>
      <w:r w:rsidR="00B27A8A">
        <w:t>,</w:t>
      </w:r>
      <w:r w:rsidR="003B46EA" w:rsidRPr="004A7E84">
        <w:t xml:space="preserve"> each containing an influenza type B virus that corresponded to one of the two B viruses in </w:t>
      </w:r>
      <w:r w:rsidR="00887C04">
        <w:t>Afluria</w:t>
      </w:r>
      <w:r w:rsidR="00DE2288" w:rsidRPr="004A7E84">
        <w:t xml:space="preserve"> </w:t>
      </w:r>
      <w:r w:rsidR="00E43ADC">
        <w:t>Quad</w:t>
      </w:r>
      <w:r w:rsidR="004072E0">
        <w:rPr>
          <w:rFonts w:cs="Arial"/>
        </w:rPr>
        <w:t>™</w:t>
      </w:r>
      <w:r w:rsidR="00E43ADC">
        <w:t xml:space="preserve"> </w:t>
      </w:r>
      <w:r w:rsidR="00DC4CEE">
        <w:t xml:space="preserve">vaccine </w:t>
      </w:r>
      <w:r w:rsidR="003B46EA" w:rsidRPr="004A7E84">
        <w:t xml:space="preserve">(a type B virus of the Victoria lineage or a type B virus of the Yamagata lineage). </w:t>
      </w:r>
      <w:r w:rsidR="007F08FA" w:rsidRPr="004A7E84">
        <w:t xml:space="preserve">The mean age of the </w:t>
      </w:r>
      <w:r w:rsidR="001B249F">
        <w:t>enrolled</w:t>
      </w:r>
      <w:r w:rsidR="007F08FA" w:rsidRPr="004A7E84">
        <w:t xml:space="preserve"> population was 58 years. 57% were female, </w:t>
      </w:r>
      <w:r w:rsidR="008557E9" w:rsidRPr="004A7E84">
        <w:t xml:space="preserve">82% </w:t>
      </w:r>
      <w:r w:rsidR="007F08FA" w:rsidRPr="004A7E84">
        <w:t xml:space="preserve">were White </w:t>
      </w:r>
      <w:r w:rsidR="008557E9" w:rsidRPr="004A7E84">
        <w:t>and</w:t>
      </w:r>
      <w:r w:rsidR="007F08FA" w:rsidRPr="004A7E84">
        <w:t xml:space="preserve"> </w:t>
      </w:r>
      <w:r w:rsidR="008557E9" w:rsidRPr="004A7E84">
        <w:t>1</w:t>
      </w:r>
      <w:r w:rsidR="001B249F">
        <w:t>6</w:t>
      </w:r>
      <w:r w:rsidR="008557E9" w:rsidRPr="004A7E84">
        <w:t xml:space="preserve">% </w:t>
      </w:r>
      <w:r w:rsidR="007F08FA" w:rsidRPr="004A7E84">
        <w:t>Black</w:t>
      </w:r>
      <w:r w:rsidR="008557E9" w:rsidRPr="004A7E84">
        <w:t xml:space="preserve">/African American. </w:t>
      </w:r>
      <w:r w:rsidR="00732435">
        <w:t xml:space="preserve">The age sub-groups were </w:t>
      </w:r>
      <w:r w:rsidR="00E0466E" w:rsidRPr="004A7E84">
        <w:rPr>
          <w:lang w:val="en-GB"/>
        </w:rPr>
        <w:t xml:space="preserve">18 to &lt; 65 years and </w:t>
      </w:r>
      <w:r w:rsidR="00E0466E" w:rsidRPr="004A7E84">
        <w:rPr>
          <w:rFonts w:cs="Arial"/>
          <w:lang w:val="en-GB"/>
        </w:rPr>
        <w:t>≥</w:t>
      </w:r>
      <w:r w:rsidR="00E0466E">
        <w:rPr>
          <w:rFonts w:cs="Arial"/>
          <w:lang w:val="en-GB"/>
        </w:rPr>
        <w:t> </w:t>
      </w:r>
      <w:r w:rsidR="00E0466E" w:rsidRPr="004A7E84">
        <w:rPr>
          <w:lang w:val="en-GB"/>
        </w:rPr>
        <w:t>65 years</w:t>
      </w:r>
      <w:r w:rsidR="00E0466E">
        <w:t xml:space="preserve"> with a mean age of </w:t>
      </w:r>
      <w:r w:rsidR="006E05EE">
        <w:t>43 years and 73 years</w:t>
      </w:r>
      <w:r w:rsidR="00F51667">
        <w:rPr>
          <w:lang w:val="en-GB"/>
        </w:rPr>
        <w:t>,</w:t>
      </w:r>
      <w:r w:rsidR="00732435">
        <w:rPr>
          <w:lang w:val="en-GB"/>
        </w:rPr>
        <w:t xml:space="preserve"> </w:t>
      </w:r>
      <w:r w:rsidR="00D21B69">
        <w:rPr>
          <w:lang w:val="en-GB"/>
        </w:rPr>
        <w:t>r</w:t>
      </w:r>
      <w:r w:rsidR="00732435">
        <w:rPr>
          <w:lang w:val="en-GB"/>
        </w:rPr>
        <w:t>espectively.</w:t>
      </w:r>
      <w:r w:rsidR="008557E9" w:rsidRPr="004A7E84">
        <w:t xml:space="preserve"> </w:t>
      </w:r>
      <w:r w:rsidR="003B46EA" w:rsidRPr="004A7E84">
        <w:t>Post</w:t>
      </w:r>
      <w:r w:rsidR="001D5C48">
        <w:t>-</w:t>
      </w:r>
      <w:r w:rsidR="003B46EA" w:rsidRPr="004A7E84">
        <w:t xml:space="preserve">vaccination immunogenicity was evaluated on sera obtained 21 days after administration of a single dose of </w:t>
      </w:r>
      <w:r w:rsidR="00887C04">
        <w:t>Afluria</w:t>
      </w:r>
      <w:r w:rsidR="00DE2288" w:rsidRPr="004A7E84">
        <w:t xml:space="preserve"> </w:t>
      </w:r>
      <w:r w:rsidR="00E43ADC">
        <w:t>Quad</w:t>
      </w:r>
      <w:r w:rsidR="004072E0">
        <w:rPr>
          <w:rFonts w:cs="Arial"/>
        </w:rPr>
        <w:t>™</w:t>
      </w:r>
      <w:r w:rsidR="00E43ADC">
        <w:t xml:space="preserve"> </w:t>
      </w:r>
      <w:r w:rsidR="00DC4CEE">
        <w:t xml:space="preserve">vaccine </w:t>
      </w:r>
      <w:r w:rsidR="008557E9" w:rsidRPr="004A7E84">
        <w:t>or TIV</w:t>
      </w:r>
      <w:r w:rsidR="003B46EA" w:rsidRPr="004A7E84">
        <w:t>.</w:t>
      </w:r>
    </w:p>
    <w:p w:rsidR="007F08FA" w:rsidRPr="004A7E84" w:rsidRDefault="007F08FA" w:rsidP="000961FF"/>
    <w:p w:rsidR="003B46EA" w:rsidRPr="004A7E84" w:rsidRDefault="007F08FA" w:rsidP="000961FF">
      <w:r w:rsidRPr="004A7E84">
        <w:t xml:space="preserve">The co-primary endpoints were HI Geometric Mean Titer (GMT) ratios </w:t>
      </w:r>
      <w:r w:rsidRPr="00535453">
        <w:t>(adjusted for baseline HI titers)</w:t>
      </w:r>
      <w:r w:rsidRPr="004A7E84">
        <w:t xml:space="preserve"> and the difference in seroconversion rates for each vaccine strain</w:t>
      </w:r>
      <w:r w:rsidR="00B27A8A">
        <w:t>,</w:t>
      </w:r>
      <w:r w:rsidRPr="004A7E84">
        <w:t xml:space="preserve"> 21 days after the vaccination.  Pre-specified non-inferiority criteria required that the upper bound of the 2-sided 95% CI of the GMT ratio (TIV/</w:t>
      </w:r>
      <w:r w:rsidR="00887C04">
        <w:t>Afluria</w:t>
      </w:r>
      <w:r w:rsidR="00E43ADC">
        <w:rPr>
          <w:lang w:val="en-AU"/>
        </w:rPr>
        <w:t xml:space="preserve"> Quad</w:t>
      </w:r>
      <w:r w:rsidR="004072E0">
        <w:rPr>
          <w:rFonts w:cs="Arial"/>
          <w:lang w:val="en-AU"/>
        </w:rPr>
        <w:t>™</w:t>
      </w:r>
      <w:r w:rsidR="00E43ADC">
        <w:rPr>
          <w:lang w:val="en-AU"/>
        </w:rPr>
        <w:t xml:space="preserve"> </w:t>
      </w:r>
      <w:r w:rsidR="00DC4CEE">
        <w:t>vaccine</w:t>
      </w:r>
      <w:r w:rsidRPr="004A7E84">
        <w:t xml:space="preserve">) did not exceed 1.5 and the upper bound of the 2-sided 95% CI of the seroconversion rate difference (TIV minus </w:t>
      </w:r>
      <w:r w:rsidR="00887C04">
        <w:t>Afluria</w:t>
      </w:r>
      <w:r w:rsidR="00E43ADC">
        <w:rPr>
          <w:lang w:val="en-AU"/>
        </w:rPr>
        <w:t xml:space="preserve"> Quad</w:t>
      </w:r>
      <w:r w:rsidR="004072E0">
        <w:rPr>
          <w:rFonts w:cs="Arial"/>
          <w:lang w:val="en-AU"/>
        </w:rPr>
        <w:t>™</w:t>
      </w:r>
      <w:r w:rsidR="00E43ADC">
        <w:rPr>
          <w:lang w:val="en-AU"/>
        </w:rPr>
        <w:t xml:space="preserve"> </w:t>
      </w:r>
      <w:r w:rsidR="00DC4CEE">
        <w:t>vaccine</w:t>
      </w:r>
      <w:r w:rsidRPr="004A7E84">
        <w:t xml:space="preserve">) did not exceed 10% for each strain.  </w:t>
      </w:r>
    </w:p>
    <w:p w:rsidR="007F08FA" w:rsidRPr="004A7E84" w:rsidRDefault="007F08FA" w:rsidP="000961FF"/>
    <w:p w:rsidR="00F04800" w:rsidRDefault="003B46EA" w:rsidP="000961FF">
      <w:pPr>
        <w:rPr>
          <w:lang w:val="en-GB"/>
        </w:rPr>
      </w:pPr>
      <w:r w:rsidRPr="004A7E84">
        <w:rPr>
          <w:lang w:val="en-GB"/>
        </w:rPr>
        <w:t xml:space="preserve">Serum HI antibody responses to </w:t>
      </w:r>
      <w:r w:rsidR="00887C04">
        <w:rPr>
          <w:lang w:val="en-GB"/>
        </w:rPr>
        <w:t>Afluria</w:t>
      </w:r>
      <w:r w:rsidR="00DE2288" w:rsidRPr="004A7E84">
        <w:rPr>
          <w:lang w:val="en-GB"/>
        </w:rPr>
        <w:t xml:space="preserve"> </w:t>
      </w:r>
      <w:r w:rsidR="00E43ADC">
        <w:rPr>
          <w:lang w:val="en-GB"/>
        </w:rPr>
        <w:t>Quad</w:t>
      </w:r>
      <w:r w:rsidR="004072E0">
        <w:rPr>
          <w:rFonts w:cs="Arial"/>
          <w:lang w:val="en-GB"/>
        </w:rPr>
        <w:t>™</w:t>
      </w:r>
      <w:r w:rsidR="00E43ADC">
        <w:rPr>
          <w:lang w:val="en-GB"/>
        </w:rPr>
        <w:t xml:space="preserve"> </w:t>
      </w:r>
      <w:r w:rsidR="00DC4CEE">
        <w:rPr>
          <w:lang w:val="en-GB"/>
        </w:rPr>
        <w:t xml:space="preserve">vaccine </w:t>
      </w:r>
      <w:r w:rsidRPr="004A7E84">
        <w:rPr>
          <w:lang w:val="en-GB"/>
        </w:rPr>
        <w:t>were non-inferior to both TIVs</w:t>
      </w:r>
      <w:r w:rsidR="00D47B91">
        <w:rPr>
          <w:lang w:val="en-GB"/>
        </w:rPr>
        <w:t xml:space="preserve"> for all influenza strains</w:t>
      </w:r>
      <w:r w:rsidRPr="004A7E84">
        <w:rPr>
          <w:lang w:val="en-GB"/>
        </w:rPr>
        <w:t>.  Additionally, non-inferiority was demonstrated</w:t>
      </w:r>
      <w:r w:rsidR="00843404">
        <w:rPr>
          <w:lang w:val="en-GB"/>
        </w:rPr>
        <w:t xml:space="preserve"> </w:t>
      </w:r>
      <w:r w:rsidR="00E0466E" w:rsidRPr="004A7E84">
        <w:rPr>
          <w:lang w:val="en-GB"/>
        </w:rPr>
        <w:t xml:space="preserve">for both endpoints </w:t>
      </w:r>
      <w:r w:rsidRPr="004A7E84">
        <w:rPr>
          <w:lang w:val="en-GB"/>
        </w:rPr>
        <w:t>in both age sub-groups, adults aged 18 to</w:t>
      </w:r>
      <w:r w:rsidR="00542099" w:rsidRPr="004A7E84">
        <w:rPr>
          <w:lang w:val="en-GB"/>
        </w:rPr>
        <w:t xml:space="preserve"> &lt;</w:t>
      </w:r>
      <w:r w:rsidRPr="004A7E84">
        <w:rPr>
          <w:lang w:val="en-GB"/>
        </w:rPr>
        <w:t xml:space="preserve"> 6</w:t>
      </w:r>
      <w:r w:rsidR="00542099" w:rsidRPr="004A7E84">
        <w:rPr>
          <w:lang w:val="en-GB"/>
        </w:rPr>
        <w:t>5</w:t>
      </w:r>
      <w:r w:rsidRPr="004A7E84">
        <w:rPr>
          <w:lang w:val="en-GB"/>
        </w:rPr>
        <w:t xml:space="preserve"> years and </w:t>
      </w:r>
      <w:r w:rsidR="00AC2108" w:rsidRPr="004A7E84">
        <w:rPr>
          <w:rFonts w:cs="Arial"/>
          <w:lang w:val="en-GB"/>
        </w:rPr>
        <w:t>≥</w:t>
      </w:r>
      <w:r w:rsidR="005C6F1B">
        <w:rPr>
          <w:rFonts w:cs="Arial"/>
          <w:lang w:val="en-GB"/>
        </w:rPr>
        <w:t xml:space="preserve"> </w:t>
      </w:r>
      <w:r w:rsidRPr="004A7E84">
        <w:rPr>
          <w:lang w:val="en-GB"/>
        </w:rPr>
        <w:t xml:space="preserve">65 years </w:t>
      </w:r>
      <w:r w:rsidR="00542099" w:rsidRPr="004A7E84">
        <w:rPr>
          <w:lang w:val="en-GB"/>
        </w:rPr>
        <w:t xml:space="preserve">(Table </w:t>
      </w:r>
      <w:r w:rsidR="00DE2288">
        <w:rPr>
          <w:lang w:val="en-GB"/>
        </w:rPr>
        <w:t>1</w:t>
      </w:r>
      <w:r w:rsidR="00542099" w:rsidRPr="004A7E84">
        <w:rPr>
          <w:lang w:val="en-GB"/>
        </w:rPr>
        <w:t>)</w:t>
      </w:r>
      <w:r w:rsidRPr="004A7E84">
        <w:rPr>
          <w:lang w:val="en-GB"/>
        </w:rPr>
        <w:t xml:space="preserve">, for all strains. </w:t>
      </w:r>
      <w:r w:rsidR="00AC2108" w:rsidRPr="004A7E84">
        <w:rPr>
          <w:lang w:val="en-GB"/>
        </w:rPr>
        <w:t>Antibody responses were lower in adults aged ≥ 65 years.</w:t>
      </w:r>
    </w:p>
    <w:p w:rsidR="00D21B69" w:rsidRDefault="00D21B69" w:rsidP="000961FF">
      <w:pPr>
        <w:rPr>
          <w:lang w:val="en-GB"/>
        </w:rPr>
      </w:pPr>
    </w:p>
    <w:p w:rsidR="00487B9A" w:rsidRDefault="003B46EA" w:rsidP="000961FF">
      <w:pPr>
        <w:rPr>
          <w:lang w:val="en-GB"/>
        </w:rPr>
      </w:pPr>
      <w:r w:rsidRPr="004A7E84">
        <w:rPr>
          <w:lang w:val="en-GB"/>
        </w:rPr>
        <w:t xml:space="preserve">Superiority of the immune response to each of the influenza B strains contained in </w:t>
      </w:r>
      <w:r w:rsidR="00887C04">
        <w:rPr>
          <w:lang w:val="en-GB"/>
        </w:rPr>
        <w:t>Afluria</w:t>
      </w:r>
      <w:r w:rsidR="00DE2288" w:rsidRPr="004A7E84">
        <w:rPr>
          <w:lang w:val="en-GB"/>
        </w:rPr>
        <w:t xml:space="preserve"> </w:t>
      </w:r>
      <w:r w:rsidR="00E43ADC">
        <w:rPr>
          <w:lang w:val="en-GB"/>
        </w:rPr>
        <w:t>Quad</w:t>
      </w:r>
      <w:r w:rsidR="004072E0">
        <w:rPr>
          <w:rFonts w:cs="Arial"/>
          <w:lang w:val="en-GB"/>
        </w:rPr>
        <w:t>™</w:t>
      </w:r>
      <w:r w:rsidR="00E43ADC">
        <w:rPr>
          <w:lang w:val="en-GB"/>
        </w:rPr>
        <w:t xml:space="preserve"> </w:t>
      </w:r>
      <w:r w:rsidR="00DC4CEE">
        <w:rPr>
          <w:lang w:val="en-GB"/>
        </w:rPr>
        <w:t xml:space="preserve">vaccine </w:t>
      </w:r>
      <w:r w:rsidRPr="004A7E84">
        <w:rPr>
          <w:lang w:val="en-GB"/>
        </w:rPr>
        <w:t xml:space="preserve">was shown relative to the antibody response after vaccination with TIV formulations not containing that B lineage strain.  </w:t>
      </w:r>
      <w:r w:rsidR="009358C5" w:rsidRPr="004A7E84">
        <w:rPr>
          <w:lang w:val="en-GB"/>
        </w:rPr>
        <w:t xml:space="preserve">Superiority against the alternate B strain was </w:t>
      </w:r>
      <w:r w:rsidR="006D131B" w:rsidRPr="004A7E84">
        <w:rPr>
          <w:lang w:val="en-GB"/>
        </w:rPr>
        <w:t xml:space="preserve">also </w:t>
      </w:r>
      <w:r w:rsidR="009358C5" w:rsidRPr="004A7E84">
        <w:rPr>
          <w:lang w:val="en-GB"/>
        </w:rPr>
        <w:t xml:space="preserve">demonstrated </w:t>
      </w:r>
      <w:r w:rsidR="00487B9A">
        <w:rPr>
          <w:lang w:val="en-GB"/>
        </w:rPr>
        <w:t xml:space="preserve">for </w:t>
      </w:r>
      <w:r w:rsidR="00D47B91">
        <w:rPr>
          <w:lang w:val="en-GB"/>
        </w:rPr>
        <w:t xml:space="preserve">each of the influenza </w:t>
      </w:r>
      <w:r w:rsidR="005140D8">
        <w:rPr>
          <w:lang w:val="en-GB"/>
        </w:rPr>
        <w:t xml:space="preserve">B </w:t>
      </w:r>
      <w:r w:rsidR="00D47B91">
        <w:rPr>
          <w:lang w:val="en-GB"/>
        </w:rPr>
        <w:t xml:space="preserve">strains </w:t>
      </w:r>
      <w:r w:rsidR="009358C5" w:rsidRPr="004A7E84">
        <w:rPr>
          <w:lang w:val="en-GB"/>
        </w:rPr>
        <w:t>in both age sub-groups</w:t>
      </w:r>
      <w:r w:rsidR="001D5C48">
        <w:rPr>
          <w:lang w:val="en-GB"/>
        </w:rPr>
        <w:t>;</w:t>
      </w:r>
      <w:r w:rsidR="009358C5" w:rsidRPr="004A7E84">
        <w:rPr>
          <w:lang w:val="en-GB"/>
        </w:rPr>
        <w:t xml:space="preserve"> 18 to &lt; 65 years and </w:t>
      </w:r>
      <w:r w:rsidR="00AC2108" w:rsidRPr="004A7E84">
        <w:rPr>
          <w:lang w:val="en-GB"/>
        </w:rPr>
        <w:t>≥ 65 years</w:t>
      </w:r>
      <w:r w:rsidR="009358C5" w:rsidRPr="004A7E84">
        <w:rPr>
          <w:lang w:val="en-GB"/>
        </w:rPr>
        <w:t xml:space="preserve">.  </w:t>
      </w:r>
      <w:bookmarkStart w:id="3" w:name="_Toc414548580"/>
      <w:r w:rsidR="005C19F8">
        <w:rPr>
          <w:lang w:val="en-GB"/>
        </w:rPr>
        <w:t xml:space="preserve">  </w:t>
      </w:r>
    </w:p>
    <w:p w:rsidR="00D21B69" w:rsidRDefault="00D21B69" w:rsidP="000961FF">
      <w:pPr>
        <w:rPr>
          <w:lang w:val="en-GB"/>
        </w:rPr>
      </w:pPr>
    </w:p>
    <w:p w:rsidR="00542099" w:rsidRPr="004A7E84" w:rsidRDefault="005C19F8" w:rsidP="000961FF">
      <w:pPr>
        <w:rPr>
          <w:rFonts w:ascii="Times New Roman" w:hAnsi="Times New Roman"/>
          <w:bCs/>
          <w:snapToGrid/>
          <w:sz w:val="22"/>
          <w:szCs w:val="24"/>
        </w:rPr>
      </w:pPr>
      <w:r w:rsidRPr="005C19F8">
        <w:rPr>
          <w:lang w:val="en-GB"/>
        </w:rPr>
        <w:lastRenderedPageBreak/>
        <w:t xml:space="preserve">Post-hoc analyses of immunogenicity by gender did not demonstrate significant differences between males and females.  The study </w:t>
      </w:r>
      <w:r w:rsidR="00487B9A">
        <w:rPr>
          <w:lang w:val="en-GB"/>
        </w:rPr>
        <w:t xml:space="preserve">population </w:t>
      </w:r>
      <w:r w:rsidRPr="005C19F8">
        <w:rPr>
          <w:lang w:val="en-GB"/>
        </w:rPr>
        <w:t>was not sufficiently diverse to assess differences between races or ethnicities.</w:t>
      </w:r>
    </w:p>
    <w:p w:rsidR="00542099" w:rsidRPr="004A7E84" w:rsidRDefault="00542099" w:rsidP="00535453">
      <w:pPr>
        <w:pStyle w:val="Caption"/>
        <w:spacing w:line="360" w:lineRule="auto"/>
        <w:ind w:left="993" w:hanging="993"/>
        <w:rPr>
          <w:rFonts w:ascii="Arial" w:hAnsi="Arial" w:cs="Arial"/>
          <w:bCs w:val="0"/>
          <w:sz w:val="20"/>
          <w:szCs w:val="20"/>
        </w:rPr>
      </w:pPr>
      <w:bookmarkStart w:id="4" w:name="_Toc419299963"/>
      <w:bookmarkStart w:id="5" w:name="_ultralink23"/>
      <w:bookmarkEnd w:id="3"/>
      <w:r w:rsidRPr="004A7E84">
        <w:rPr>
          <w:rFonts w:ascii="Arial" w:hAnsi="Arial" w:cs="Arial"/>
          <w:sz w:val="20"/>
          <w:szCs w:val="20"/>
        </w:rPr>
        <w:lastRenderedPageBreak/>
        <w:t>Table 1</w:t>
      </w:r>
      <w:r w:rsidRPr="004A7E84">
        <w:rPr>
          <w:rFonts w:ascii="Arial" w:hAnsi="Arial" w:cs="Arial"/>
          <w:bCs w:val="0"/>
          <w:sz w:val="20"/>
          <w:szCs w:val="20"/>
        </w:rPr>
        <w:t>:</w:t>
      </w:r>
      <w:r w:rsidRPr="004A7E84">
        <w:rPr>
          <w:rFonts w:ascii="Arial" w:hAnsi="Arial" w:cs="Arial"/>
          <w:bCs w:val="0"/>
          <w:sz w:val="20"/>
          <w:szCs w:val="20"/>
        </w:rPr>
        <w:tab/>
      </w:r>
      <w:r w:rsidR="00BF12B4">
        <w:rPr>
          <w:rFonts w:ascii="Arial" w:hAnsi="Arial" w:cs="Arial"/>
          <w:bCs w:val="0"/>
          <w:sz w:val="20"/>
          <w:szCs w:val="20"/>
        </w:rPr>
        <w:t xml:space="preserve">QIV-01: </w:t>
      </w:r>
      <w:r w:rsidRPr="004A7E84">
        <w:rPr>
          <w:rFonts w:ascii="Arial" w:hAnsi="Arial" w:cs="Arial"/>
          <w:bCs w:val="0"/>
          <w:sz w:val="20"/>
          <w:szCs w:val="20"/>
        </w:rPr>
        <w:t xml:space="preserve">Post-Vaccination HI Antibody GMTs, Seroconversion Rates, and Analyses of Non-Inferiority of </w:t>
      </w:r>
      <w:r w:rsidR="00887C04">
        <w:rPr>
          <w:rFonts w:ascii="Arial" w:hAnsi="Arial" w:cs="Arial"/>
          <w:bCs w:val="0"/>
          <w:sz w:val="20"/>
          <w:szCs w:val="20"/>
        </w:rPr>
        <w:t>Afluria</w:t>
      </w:r>
      <w:r w:rsidR="00DE2288" w:rsidRPr="004A7E84">
        <w:rPr>
          <w:rFonts w:ascii="Arial" w:hAnsi="Arial" w:cs="Arial"/>
          <w:bCs w:val="0"/>
          <w:sz w:val="20"/>
          <w:szCs w:val="20"/>
        </w:rPr>
        <w:t xml:space="preserve"> </w:t>
      </w:r>
      <w:r w:rsidR="00E43ADC">
        <w:rPr>
          <w:rFonts w:ascii="Arial" w:hAnsi="Arial" w:cs="Arial"/>
          <w:bCs w:val="0"/>
          <w:sz w:val="20"/>
          <w:szCs w:val="20"/>
        </w:rPr>
        <w:t>Quad</w:t>
      </w:r>
      <w:r w:rsidR="004072E0">
        <w:rPr>
          <w:rFonts w:ascii="Arial" w:hAnsi="Arial" w:cs="Arial"/>
          <w:bCs w:val="0"/>
          <w:sz w:val="20"/>
          <w:szCs w:val="20"/>
        </w:rPr>
        <w:t>™</w:t>
      </w:r>
      <w:r w:rsidR="00E43ADC">
        <w:rPr>
          <w:rFonts w:ascii="Arial" w:hAnsi="Arial" w:cs="Arial"/>
          <w:bCs w:val="0"/>
          <w:sz w:val="20"/>
          <w:szCs w:val="20"/>
        </w:rPr>
        <w:t xml:space="preserve"> </w:t>
      </w:r>
      <w:r w:rsidR="00DC4CEE">
        <w:rPr>
          <w:rFonts w:ascii="Arial" w:hAnsi="Arial" w:cs="Arial"/>
          <w:bCs w:val="0"/>
          <w:sz w:val="20"/>
          <w:szCs w:val="20"/>
        </w:rPr>
        <w:t xml:space="preserve">vaccine </w:t>
      </w:r>
      <w:r w:rsidRPr="004A7E84">
        <w:rPr>
          <w:rFonts w:ascii="Arial" w:hAnsi="Arial" w:cs="Arial"/>
          <w:bCs w:val="0"/>
          <w:sz w:val="20"/>
          <w:szCs w:val="20"/>
        </w:rPr>
        <w:t>Relative to Trivalent Influenza Vaccine (TIV) for each Strain</w:t>
      </w:r>
      <w:r w:rsidR="001D5C48">
        <w:rPr>
          <w:rFonts w:ascii="Arial" w:hAnsi="Arial" w:cs="Arial"/>
          <w:bCs w:val="0"/>
          <w:sz w:val="20"/>
          <w:szCs w:val="20"/>
        </w:rPr>
        <w:t>,</w:t>
      </w:r>
      <w:r w:rsidRPr="004A7E84">
        <w:rPr>
          <w:rFonts w:ascii="Arial" w:hAnsi="Arial" w:cs="Arial"/>
          <w:bCs w:val="0"/>
          <w:sz w:val="20"/>
          <w:szCs w:val="20"/>
        </w:rPr>
        <w:t xml:space="preserve"> </w:t>
      </w:r>
      <w:r w:rsidR="001D5C48">
        <w:rPr>
          <w:rFonts w:ascii="Arial" w:hAnsi="Arial" w:cs="Arial"/>
          <w:bCs w:val="0"/>
          <w:sz w:val="20"/>
          <w:szCs w:val="20"/>
        </w:rPr>
        <w:t xml:space="preserve">at </w:t>
      </w:r>
      <w:r w:rsidRPr="004A7E84">
        <w:rPr>
          <w:rFonts w:ascii="Arial" w:hAnsi="Arial" w:cs="Arial"/>
          <w:bCs w:val="0"/>
          <w:sz w:val="20"/>
          <w:szCs w:val="20"/>
        </w:rPr>
        <w:t xml:space="preserve">21 Days Post-Vaccination </w:t>
      </w:r>
      <w:r w:rsidR="00DE2288">
        <w:rPr>
          <w:rFonts w:ascii="Arial" w:hAnsi="Arial" w:cs="Arial"/>
          <w:bCs w:val="0"/>
          <w:sz w:val="20"/>
          <w:szCs w:val="20"/>
        </w:rPr>
        <w:t>by Age Cohort</w:t>
      </w:r>
      <w:r w:rsidRPr="004A7E84">
        <w:rPr>
          <w:rFonts w:ascii="Arial" w:hAnsi="Arial" w:cs="Arial"/>
          <w:bCs w:val="0"/>
          <w:sz w:val="20"/>
          <w:szCs w:val="20"/>
        </w:rPr>
        <w:t xml:space="preserve"> (Per Protocol Population)</w:t>
      </w:r>
      <w:bookmarkEnd w:id="4"/>
    </w:p>
    <w:bookmarkEnd w:id="5"/>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34"/>
        <w:gridCol w:w="1234"/>
        <w:gridCol w:w="1261"/>
        <w:gridCol w:w="1232"/>
        <w:gridCol w:w="1155"/>
        <w:gridCol w:w="1308"/>
        <w:gridCol w:w="1036"/>
      </w:tblGrid>
      <w:tr w:rsidR="00542099" w:rsidRPr="004A7E84" w:rsidTr="00D648A2">
        <w:trPr>
          <w:trHeight w:val="638"/>
          <w:tblHeader/>
        </w:trPr>
        <w:tc>
          <w:tcPr>
            <w:tcW w:w="640" w:type="pct"/>
          </w:tcPr>
          <w:p w:rsidR="00542099" w:rsidRPr="004A7E84" w:rsidRDefault="00542099" w:rsidP="004A7E84">
            <w:pPr>
              <w:keepNext/>
              <w:keepLines/>
              <w:autoSpaceDE w:val="0"/>
              <w:autoSpaceDN w:val="0"/>
              <w:adjustRightInd w:val="0"/>
              <w:spacing w:before="40" w:after="40" w:line="240" w:lineRule="auto"/>
              <w:ind w:left="-142" w:right="-108"/>
              <w:rPr>
                <w:rFonts w:cs="Arial"/>
                <w:b/>
                <w:sz w:val="18"/>
                <w:szCs w:val="18"/>
                <w:lang w:val="en-GB"/>
              </w:rPr>
            </w:pPr>
          </w:p>
        </w:tc>
        <w:tc>
          <w:tcPr>
            <w:tcW w:w="1272" w:type="pct"/>
            <w:gridSpan w:val="2"/>
            <w:vAlign w:val="center"/>
          </w:tcPr>
          <w:p w:rsidR="00542099" w:rsidRPr="004A7E84" w:rsidRDefault="00542099">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b/>
                <w:sz w:val="18"/>
                <w:szCs w:val="18"/>
                <w:lang w:val="en-GB"/>
              </w:rPr>
              <w:t>Post-vaccination GMT</w:t>
            </w:r>
            <w:r w:rsidR="00A26A6F">
              <w:rPr>
                <w:rFonts w:cs="Arial"/>
                <w:sz w:val="18"/>
                <w:szCs w:val="18"/>
                <w:vertAlign w:val="superscript"/>
                <w:lang w:val="en-GB"/>
              </w:rPr>
              <w:t xml:space="preserve"> </w:t>
            </w:r>
            <w:r w:rsidR="00B813F0">
              <w:rPr>
                <w:rFonts w:cs="Arial"/>
                <w:sz w:val="18"/>
                <w:szCs w:val="18"/>
                <w:vertAlign w:val="superscript"/>
                <w:lang w:val="en-GB"/>
              </w:rPr>
              <w:t>a</w:t>
            </w:r>
          </w:p>
        </w:tc>
        <w:tc>
          <w:tcPr>
            <w:tcW w:w="650"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b/>
                <w:sz w:val="18"/>
                <w:szCs w:val="18"/>
                <w:lang w:val="en-GB"/>
              </w:rPr>
              <w:t xml:space="preserve">GMT </w:t>
            </w:r>
            <w:r w:rsidRPr="004A7E84">
              <w:rPr>
                <w:rFonts w:cs="Arial"/>
                <w:b/>
                <w:sz w:val="18"/>
                <w:szCs w:val="18"/>
                <w:lang w:val="en-GB"/>
              </w:rPr>
              <w:br/>
              <w:t>Ratio</w:t>
            </w:r>
          </w:p>
        </w:tc>
        <w:tc>
          <w:tcPr>
            <w:tcW w:w="1230" w:type="pct"/>
            <w:gridSpan w:val="2"/>
            <w:vAlign w:val="center"/>
          </w:tcPr>
          <w:p w:rsidR="00542099" w:rsidRPr="004A7E84" w:rsidRDefault="00542099" w:rsidP="007C4389">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 xml:space="preserve">Seroconversion % </w:t>
            </w:r>
            <w:r w:rsidR="00B813F0">
              <w:rPr>
                <w:rFonts w:cs="Arial"/>
                <w:sz w:val="18"/>
                <w:szCs w:val="18"/>
                <w:vertAlign w:val="superscript"/>
                <w:lang w:val="en-GB"/>
              </w:rPr>
              <w:t>b</w:t>
            </w:r>
          </w:p>
        </w:tc>
        <w:tc>
          <w:tcPr>
            <w:tcW w:w="674"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b/>
                <w:sz w:val="18"/>
                <w:szCs w:val="18"/>
                <w:vertAlign w:val="superscript"/>
                <w:lang w:val="en-GB"/>
              </w:rPr>
            </w:pPr>
            <w:r w:rsidRPr="004A7E84">
              <w:rPr>
                <w:rFonts w:cs="Arial"/>
                <w:b/>
                <w:sz w:val="18"/>
                <w:szCs w:val="18"/>
                <w:lang w:val="en-GB"/>
              </w:rPr>
              <w:t>Difference</w:t>
            </w:r>
          </w:p>
        </w:tc>
        <w:tc>
          <w:tcPr>
            <w:tcW w:w="534" w:type="pct"/>
            <w:vMerge w:val="restart"/>
            <w:vAlign w:val="center"/>
          </w:tcPr>
          <w:p w:rsidR="00542099" w:rsidRPr="004A7E84" w:rsidRDefault="00542099" w:rsidP="004A7E84">
            <w:pPr>
              <w:keepNext/>
              <w:keepLines/>
              <w:autoSpaceDE w:val="0"/>
              <w:autoSpaceDN w:val="0"/>
              <w:adjustRightInd w:val="0"/>
              <w:spacing w:before="40" w:after="40" w:line="240" w:lineRule="auto"/>
              <w:ind w:left="-24" w:right="-48"/>
              <w:jc w:val="center"/>
              <w:rPr>
                <w:rFonts w:cs="Arial"/>
                <w:b/>
                <w:sz w:val="18"/>
                <w:szCs w:val="18"/>
                <w:lang w:val="en-GB"/>
              </w:rPr>
            </w:pPr>
            <w:r w:rsidRPr="004A7E84">
              <w:rPr>
                <w:rFonts w:cs="Arial"/>
                <w:b/>
                <w:sz w:val="18"/>
                <w:szCs w:val="18"/>
                <w:lang w:val="en-GB"/>
              </w:rPr>
              <w:t xml:space="preserve">Met both pre-defined non-inferiority criteria? </w:t>
            </w:r>
            <w:r w:rsidR="00B813F0">
              <w:rPr>
                <w:rFonts w:cs="Arial"/>
                <w:sz w:val="18"/>
                <w:szCs w:val="18"/>
                <w:vertAlign w:val="superscript"/>
                <w:lang w:val="en-GB"/>
              </w:rPr>
              <w:t>c</w:t>
            </w:r>
          </w:p>
        </w:tc>
      </w:tr>
      <w:tr w:rsidR="00542099" w:rsidRPr="004A7E84" w:rsidTr="00D648A2">
        <w:trPr>
          <w:trHeight w:val="706"/>
          <w:tblHeader/>
        </w:trPr>
        <w:tc>
          <w:tcPr>
            <w:tcW w:w="64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Strain</w:t>
            </w:r>
          </w:p>
        </w:tc>
        <w:tc>
          <w:tcPr>
            <w:tcW w:w="636" w:type="pct"/>
            <w:vAlign w:val="center"/>
          </w:tcPr>
          <w:p w:rsidR="00542099" w:rsidRPr="004A7E84" w:rsidRDefault="00887C04" w:rsidP="004072E0">
            <w:pPr>
              <w:keepNext/>
              <w:keepLines/>
              <w:autoSpaceDE w:val="0"/>
              <w:autoSpaceDN w:val="0"/>
              <w:adjustRightInd w:val="0"/>
              <w:spacing w:before="40" w:after="40" w:line="240" w:lineRule="auto"/>
              <w:ind w:left="-108" w:right="-108"/>
              <w:jc w:val="center"/>
              <w:rPr>
                <w:rFonts w:cs="Arial"/>
                <w:b/>
                <w:sz w:val="18"/>
                <w:szCs w:val="18"/>
                <w:lang w:val="en-GB"/>
              </w:rPr>
            </w:pPr>
            <w:r>
              <w:rPr>
                <w:rFonts w:cs="Arial"/>
                <w:b/>
                <w:sz w:val="18"/>
                <w:szCs w:val="18"/>
                <w:lang w:val="en-GB"/>
              </w:rPr>
              <w:t>Afluria</w:t>
            </w:r>
            <w:r w:rsidR="00CB2AFA" w:rsidRPr="004A7E84">
              <w:rPr>
                <w:rFonts w:cs="Arial"/>
                <w:b/>
                <w:sz w:val="18"/>
                <w:szCs w:val="18"/>
                <w:lang w:val="en-GB"/>
              </w:rPr>
              <w:t xml:space="preserve"> </w:t>
            </w:r>
            <w:r w:rsidR="00E43ADC">
              <w:rPr>
                <w:rFonts w:cs="Arial"/>
                <w:b/>
                <w:sz w:val="18"/>
                <w:szCs w:val="18"/>
                <w:lang w:val="en-GB"/>
              </w:rPr>
              <w:br/>
              <w:t>Quad</w:t>
            </w:r>
            <w:r w:rsidR="004072E0">
              <w:rPr>
                <w:rFonts w:cs="Arial"/>
                <w:b/>
                <w:sz w:val="18"/>
                <w:szCs w:val="18"/>
                <w:lang w:val="en-GB"/>
              </w:rPr>
              <w:t>™</w:t>
            </w:r>
            <w:r w:rsidR="00E43ADC">
              <w:rPr>
                <w:rFonts w:cs="Arial"/>
                <w:b/>
                <w:sz w:val="18"/>
                <w:szCs w:val="18"/>
                <w:lang w:val="en-GB"/>
              </w:rPr>
              <w:t xml:space="preserve"> </w:t>
            </w:r>
            <w:r w:rsidR="00854061">
              <w:rPr>
                <w:rFonts w:cs="Arial"/>
                <w:b/>
                <w:sz w:val="18"/>
                <w:szCs w:val="18"/>
                <w:lang w:val="en-GB"/>
              </w:rPr>
              <w:br/>
            </w:r>
            <w:r w:rsidR="00DC4CEE">
              <w:rPr>
                <w:rFonts w:cs="Arial"/>
                <w:b/>
                <w:sz w:val="18"/>
                <w:szCs w:val="18"/>
                <w:lang w:val="en-GB"/>
              </w:rPr>
              <w:t>vaccine</w:t>
            </w:r>
          </w:p>
        </w:tc>
        <w:tc>
          <w:tcPr>
            <w:tcW w:w="63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b/>
                <w:bCs/>
                <w:sz w:val="18"/>
                <w:szCs w:val="18"/>
                <w:lang w:val="en-GB"/>
              </w:rPr>
            </w:pPr>
            <w:r w:rsidRPr="004A7E84">
              <w:rPr>
                <w:rFonts w:cs="Arial"/>
                <w:b/>
                <w:bCs/>
                <w:sz w:val="18"/>
                <w:szCs w:val="18"/>
                <w:lang w:val="en-GB"/>
              </w:rPr>
              <w:t xml:space="preserve">Pooled TIV or </w:t>
            </w:r>
            <w:r w:rsidRPr="004A7E84">
              <w:rPr>
                <w:rFonts w:cs="Arial"/>
                <w:b/>
                <w:sz w:val="18"/>
                <w:szCs w:val="18"/>
                <w:lang w:val="en-GB"/>
              </w:rPr>
              <w:t>TIV-1</w:t>
            </w:r>
            <w:r w:rsidRPr="004A7E84">
              <w:rPr>
                <w:rFonts w:cs="Arial"/>
                <w:b/>
                <w:bCs/>
                <w:sz w:val="18"/>
                <w:szCs w:val="18"/>
                <w:lang w:val="en-GB"/>
              </w:rPr>
              <w:t xml:space="preserve"> </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 xml:space="preserve">(B Yam) </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or</w:t>
            </w:r>
            <w:r w:rsidRPr="004A7E84">
              <w:rPr>
                <w:rFonts w:cs="Arial"/>
                <w:b/>
                <w:bCs/>
                <w:sz w:val="18"/>
                <w:szCs w:val="18"/>
                <w:lang w:val="en-GB"/>
              </w:rPr>
              <w:t xml:space="preserve"> </w:t>
            </w:r>
            <w:r w:rsidRPr="004A7E84">
              <w:rPr>
                <w:rFonts w:cs="Arial"/>
                <w:b/>
                <w:sz w:val="18"/>
                <w:szCs w:val="18"/>
                <w:lang w:val="en-GB"/>
              </w:rPr>
              <w:t xml:space="preserve">TIV-2 </w:t>
            </w:r>
          </w:p>
          <w:p w:rsidR="00542099" w:rsidRPr="004A7E84" w:rsidRDefault="00542099" w:rsidP="004A7E84">
            <w:pPr>
              <w:keepNext/>
              <w:keepLines/>
              <w:autoSpaceDE w:val="0"/>
              <w:autoSpaceDN w:val="0"/>
              <w:adjustRightInd w:val="0"/>
              <w:spacing w:before="40" w:after="40" w:line="240" w:lineRule="auto"/>
              <w:jc w:val="center"/>
              <w:rPr>
                <w:rFonts w:cs="Arial"/>
                <w:b/>
                <w:bCs/>
                <w:sz w:val="18"/>
                <w:szCs w:val="18"/>
                <w:lang w:val="en-GB"/>
              </w:rPr>
            </w:pPr>
            <w:r w:rsidRPr="004A7E84">
              <w:rPr>
                <w:rFonts w:cs="Arial"/>
                <w:b/>
                <w:sz w:val="18"/>
                <w:szCs w:val="18"/>
                <w:lang w:val="en-GB"/>
              </w:rPr>
              <w:t>(B Vic)</w:t>
            </w:r>
          </w:p>
        </w:tc>
        <w:tc>
          <w:tcPr>
            <w:tcW w:w="65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bCs/>
                <w:sz w:val="18"/>
                <w:szCs w:val="18"/>
                <w:lang w:val="en-GB"/>
              </w:rPr>
              <w:t xml:space="preserve">Pooled TIV or </w:t>
            </w:r>
            <w:r w:rsidRPr="004A7E84">
              <w:rPr>
                <w:rFonts w:cs="Arial"/>
                <w:b/>
                <w:sz w:val="18"/>
                <w:szCs w:val="18"/>
                <w:lang w:val="en-GB"/>
              </w:rPr>
              <w:t>TIV-1</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or</w:t>
            </w:r>
            <w:r w:rsidRPr="004A7E84">
              <w:rPr>
                <w:rFonts w:cs="Arial"/>
                <w:b/>
                <w:bCs/>
                <w:sz w:val="18"/>
                <w:szCs w:val="18"/>
                <w:lang w:val="en-GB"/>
              </w:rPr>
              <w:t xml:space="preserve"> </w:t>
            </w:r>
            <w:r w:rsidRPr="004A7E84">
              <w:rPr>
                <w:rFonts w:cs="Arial"/>
                <w:b/>
                <w:sz w:val="18"/>
                <w:szCs w:val="18"/>
                <w:lang w:val="en-GB"/>
              </w:rPr>
              <w:t xml:space="preserve">TIV-2 over </w:t>
            </w:r>
          </w:p>
          <w:p w:rsidR="00542099" w:rsidRPr="004A7E84" w:rsidRDefault="00887C04" w:rsidP="004072E0">
            <w:pPr>
              <w:keepNext/>
              <w:keepLines/>
              <w:autoSpaceDE w:val="0"/>
              <w:autoSpaceDN w:val="0"/>
              <w:adjustRightInd w:val="0"/>
              <w:spacing w:before="40" w:after="40" w:line="240" w:lineRule="auto"/>
              <w:ind w:left="-108" w:right="-108"/>
              <w:jc w:val="center"/>
              <w:rPr>
                <w:rFonts w:cs="Arial"/>
                <w:b/>
                <w:sz w:val="18"/>
                <w:szCs w:val="18"/>
                <w:lang w:val="en-GB"/>
              </w:rPr>
            </w:pPr>
            <w:r>
              <w:rPr>
                <w:rFonts w:cs="Arial"/>
                <w:b/>
                <w:sz w:val="18"/>
                <w:szCs w:val="18"/>
                <w:lang w:val="en-GB"/>
              </w:rPr>
              <w:t>Afluria</w:t>
            </w:r>
            <w:r w:rsidR="00CB2AFA" w:rsidRPr="004A7E84">
              <w:rPr>
                <w:rFonts w:cs="Arial"/>
                <w:b/>
                <w:sz w:val="18"/>
                <w:szCs w:val="18"/>
                <w:lang w:val="en-GB"/>
              </w:rPr>
              <w:t xml:space="preserve"> </w:t>
            </w:r>
            <w:r w:rsidR="00E43ADC">
              <w:rPr>
                <w:rFonts w:cs="Arial"/>
                <w:b/>
                <w:sz w:val="18"/>
                <w:szCs w:val="18"/>
                <w:lang w:val="en-GB"/>
              </w:rPr>
              <w:t>Quad</w:t>
            </w:r>
            <w:r w:rsidR="004072E0">
              <w:rPr>
                <w:rFonts w:cs="Arial"/>
                <w:b/>
                <w:sz w:val="18"/>
                <w:szCs w:val="18"/>
                <w:lang w:val="en-GB"/>
              </w:rPr>
              <w:t>™</w:t>
            </w:r>
            <w:r w:rsidR="00E43ADC">
              <w:rPr>
                <w:rFonts w:cs="Arial"/>
                <w:b/>
                <w:sz w:val="18"/>
                <w:szCs w:val="18"/>
                <w:lang w:val="en-GB"/>
              </w:rPr>
              <w:br/>
            </w:r>
            <w:r w:rsidR="00DC4CEE">
              <w:rPr>
                <w:rFonts w:cs="Arial"/>
                <w:b/>
                <w:sz w:val="18"/>
                <w:szCs w:val="18"/>
                <w:lang w:val="en-GB"/>
              </w:rPr>
              <w:t xml:space="preserve">vaccine </w:t>
            </w:r>
            <w:r w:rsidR="00E43ADC">
              <w:rPr>
                <w:rFonts w:cs="Arial"/>
                <w:b/>
                <w:sz w:val="18"/>
                <w:szCs w:val="18"/>
                <w:lang w:val="en-GB"/>
              </w:rPr>
              <w:br/>
            </w:r>
            <w:r w:rsidR="00542099" w:rsidRPr="004A7E84">
              <w:rPr>
                <w:rFonts w:cs="Arial"/>
                <w:b/>
                <w:sz w:val="18"/>
                <w:szCs w:val="18"/>
                <w:lang w:val="en-GB"/>
              </w:rPr>
              <w:t>(95% CI)</w:t>
            </w:r>
          </w:p>
        </w:tc>
        <w:tc>
          <w:tcPr>
            <w:tcW w:w="635" w:type="pct"/>
            <w:vAlign w:val="center"/>
          </w:tcPr>
          <w:p w:rsidR="00542099" w:rsidRPr="004A7E84" w:rsidRDefault="00887C04" w:rsidP="004072E0">
            <w:pPr>
              <w:keepNext/>
              <w:keepLines/>
              <w:autoSpaceDE w:val="0"/>
              <w:autoSpaceDN w:val="0"/>
              <w:adjustRightInd w:val="0"/>
              <w:spacing w:before="40" w:after="40" w:line="240" w:lineRule="auto"/>
              <w:ind w:left="-108" w:right="-108"/>
              <w:jc w:val="center"/>
              <w:rPr>
                <w:rFonts w:cs="Arial"/>
                <w:b/>
                <w:sz w:val="18"/>
                <w:szCs w:val="18"/>
                <w:lang w:val="en-GB"/>
              </w:rPr>
            </w:pPr>
            <w:r>
              <w:rPr>
                <w:rFonts w:cs="Arial"/>
                <w:b/>
                <w:sz w:val="18"/>
                <w:szCs w:val="18"/>
                <w:lang w:val="en-GB"/>
              </w:rPr>
              <w:t>Afluria</w:t>
            </w:r>
            <w:r w:rsidR="00CB2AFA" w:rsidRPr="004A7E84">
              <w:rPr>
                <w:rFonts w:cs="Arial"/>
                <w:b/>
                <w:sz w:val="18"/>
                <w:szCs w:val="18"/>
                <w:lang w:val="en-GB"/>
              </w:rPr>
              <w:t xml:space="preserve"> </w:t>
            </w:r>
            <w:r w:rsidR="00E43ADC">
              <w:rPr>
                <w:rFonts w:cs="Arial"/>
                <w:b/>
                <w:sz w:val="18"/>
                <w:szCs w:val="18"/>
                <w:lang w:val="en-GB"/>
              </w:rPr>
              <w:br/>
              <w:t>Quad</w:t>
            </w:r>
            <w:r w:rsidR="004072E0">
              <w:rPr>
                <w:rFonts w:cs="Arial"/>
                <w:b/>
                <w:sz w:val="18"/>
                <w:szCs w:val="18"/>
                <w:lang w:val="en-GB"/>
              </w:rPr>
              <w:t>™</w:t>
            </w:r>
            <w:r w:rsidR="00E43ADC">
              <w:rPr>
                <w:rFonts w:cs="Arial"/>
                <w:b/>
                <w:sz w:val="18"/>
                <w:szCs w:val="18"/>
                <w:lang w:val="en-GB"/>
              </w:rPr>
              <w:t xml:space="preserve"> </w:t>
            </w:r>
            <w:r w:rsidR="00854061">
              <w:rPr>
                <w:rFonts w:cs="Arial"/>
                <w:b/>
                <w:sz w:val="18"/>
                <w:szCs w:val="18"/>
                <w:lang w:val="en-GB"/>
              </w:rPr>
              <w:br/>
            </w:r>
            <w:r w:rsidR="00DC4CEE">
              <w:rPr>
                <w:rFonts w:cs="Arial"/>
                <w:b/>
                <w:sz w:val="18"/>
                <w:szCs w:val="18"/>
                <w:lang w:val="en-GB"/>
              </w:rPr>
              <w:t xml:space="preserve"> vaccine</w:t>
            </w:r>
          </w:p>
        </w:tc>
        <w:tc>
          <w:tcPr>
            <w:tcW w:w="59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b/>
                <w:bCs/>
                <w:sz w:val="18"/>
                <w:szCs w:val="18"/>
                <w:lang w:val="en-GB"/>
              </w:rPr>
            </w:pPr>
            <w:r w:rsidRPr="004A7E84">
              <w:rPr>
                <w:rFonts w:cs="Arial"/>
                <w:b/>
                <w:bCs/>
                <w:sz w:val="18"/>
                <w:szCs w:val="18"/>
                <w:lang w:val="en-GB"/>
              </w:rPr>
              <w:t xml:space="preserve">Pooled TIV or </w:t>
            </w:r>
            <w:r w:rsidRPr="004A7E84">
              <w:rPr>
                <w:rFonts w:cs="Arial"/>
                <w:b/>
                <w:sz w:val="18"/>
                <w:szCs w:val="18"/>
                <w:lang w:val="en-GB"/>
              </w:rPr>
              <w:t>TIV-1</w:t>
            </w:r>
            <w:r w:rsidRPr="004A7E84">
              <w:rPr>
                <w:rFonts w:cs="Arial"/>
                <w:b/>
                <w:bCs/>
                <w:sz w:val="18"/>
                <w:szCs w:val="18"/>
                <w:lang w:val="en-GB"/>
              </w:rPr>
              <w:t xml:space="preserve"> </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 xml:space="preserve">(B Yam) </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or</w:t>
            </w:r>
            <w:r w:rsidRPr="004A7E84">
              <w:rPr>
                <w:rFonts w:cs="Arial"/>
                <w:b/>
                <w:bCs/>
                <w:sz w:val="18"/>
                <w:szCs w:val="18"/>
                <w:lang w:val="en-GB"/>
              </w:rPr>
              <w:t xml:space="preserve"> </w:t>
            </w:r>
            <w:r w:rsidRPr="004A7E84">
              <w:rPr>
                <w:rFonts w:cs="Arial"/>
                <w:b/>
                <w:sz w:val="18"/>
                <w:szCs w:val="18"/>
                <w:lang w:val="en-GB"/>
              </w:rPr>
              <w:t xml:space="preserve">TIV-2 </w:t>
            </w:r>
          </w:p>
          <w:p w:rsidR="00542099" w:rsidRPr="004A7E84" w:rsidRDefault="00542099" w:rsidP="004A7E84">
            <w:pPr>
              <w:keepNext/>
              <w:keepLines/>
              <w:autoSpaceDE w:val="0"/>
              <w:autoSpaceDN w:val="0"/>
              <w:adjustRightInd w:val="0"/>
              <w:spacing w:before="40" w:after="40" w:line="240" w:lineRule="auto"/>
              <w:jc w:val="center"/>
              <w:rPr>
                <w:rFonts w:cs="Arial"/>
                <w:b/>
                <w:bCs/>
                <w:sz w:val="18"/>
                <w:szCs w:val="18"/>
                <w:lang w:val="en-GB"/>
              </w:rPr>
            </w:pPr>
            <w:r w:rsidRPr="004A7E84">
              <w:rPr>
                <w:rFonts w:cs="Arial"/>
                <w:b/>
                <w:sz w:val="18"/>
                <w:szCs w:val="18"/>
                <w:lang w:val="en-GB"/>
              </w:rPr>
              <w:t>(B Vic)</w:t>
            </w:r>
          </w:p>
        </w:tc>
        <w:tc>
          <w:tcPr>
            <w:tcW w:w="67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bCs/>
                <w:sz w:val="18"/>
                <w:szCs w:val="18"/>
                <w:lang w:val="en-GB"/>
              </w:rPr>
              <w:t xml:space="preserve">Pooled TIV or </w:t>
            </w:r>
            <w:r w:rsidRPr="004A7E84">
              <w:rPr>
                <w:rFonts w:cs="Arial"/>
                <w:b/>
                <w:sz w:val="18"/>
                <w:szCs w:val="18"/>
                <w:lang w:val="en-GB"/>
              </w:rPr>
              <w:t>TIV-1</w:t>
            </w:r>
          </w:p>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r w:rsidRPr="004A7E84">
              <w:rPr>
                <w:rFonts w:cs="Arial"/>
                <w:b/>
                <w:sz w:val="18"/>
                <w:szCs w:val="18"/>
                <w:lang w:val="en-GB"/>
              </w:rPr>
              <w:t>or</w:t>
            </w:r>
            <w:r w:rsidRPr="004A7E84">
              <w:rPr>
                <w:rFonts w:cs="Arial"/>
                <w:b/>
                <w:bCs/>
                <w:sz w:val="18"/>
                <w:szCs w:val="18"/>
                <w:lang w:val="en-GB"/>
              </w:rPr>
              <w:t xml:space="preserve"> </w:t>
            </w:r>
            <w:r w:rsidRPr="004A7E84">
              <w:rPr>
                <w:rFonts w:cs="Arial"/>
                <w:b/>
                <w:sz w:val="18"/>
                <w:szCs w:val="18"/>
                <w:lang w:val="en-GB"/>
              </w:rPr>
              <w:t xml:space="preserve">TIV-2 minus </w:t>
            </w:r>
          </w:p>
          <w:p w:rsidR="00542099" w:rsidRPr="004A7E84" w:rsidRDefault="00887C04" w:rsidP="004072E0">
            <w:pPr>
              <w:keepNext/>
              <w:keepLines/>
              <w:autoSpaceDE w:val="0"/>
              <w:autoSpaceDN w:val="0"/>
              <w:adjustRightInd w:val="0"/>
              <w:spacing w:before="40" w:after="40" w:line="240" w:lineRule="auto"/>
              <w:ind w:left="-108" w:right="-108"/>
              <w:jc w:val="center"/>
              <w:rPr>
                <w:rFonts w:cs="Arial"/>
                <w:b/>
                <w:sz w:val="18"/>
                <w:szCs w:val="18"/>
                <w:lang w:val="en-GB"/>
              </w:rPr>
            </w:pPr>
            <w:r>
              <w:rPr>
                <w:rFonts w:cs="Arial"/>
                <w:b/>
                <w:sz w:val="18"/>
                <w:szCs w:val="18"/>
                <w:lang w:val="en-GB"/>
              </w:rPr>
              <w:t>Afluria</w:t>
            </w:r>
            <w:r w:rsidR="00CB2AFA" w:rsidRPr="004A7E84">
              <w:rPr>
                <w:rFonts w:cs="Arial"/>
                <w:b/>
                <w:sz w:val="18"/>
                <w:szCs w:val="18"/>
                <w:lang w:val="en-GB"/>
              </w:rPr>
              <w:t xml:space="preserve"> </w:t>
            </w:r>
            <w:r w:rsidR="00E43ADC">
              <w:rPr>
                <w:rFonts w:cs="Arial"/>
                <w:b/>
                <w:sz w:val="18"/>
                <w:szCs w:val="18"/>
                <w:lang w:val="en-GB"/>
              </w:rPr>
              <w:t>Quad</w:t>
            </w:r>
            <w:r w:rsidR="004072E0">
              <w:rPr>
                <w:rFonts w:cs="Arial"/>
                <w:b/>
                <w:sz w:val="18"/>
                <w:szCs w:val="18"/>
                <w:lang w:val="en-GB"/>
              </w:rPr>
              <w:t>™</w:t>
            </w:r>
            <w:r w:rsidR="00E43ADC">
              <w:rPr>
                <w:rFonts w:cs="Arial"/>
                <w:b/>
                <w:sz w:val="18"/>
                <w:szCs w:val="18"/>
                <w:lang w:val="en-GB"/>
              </w:rPr>
              <w:t xml:space="preserve"> </w:t>
            </w:r>
            <w:r w:rsidR="00DC4CEE">
              <w:rPr>
                <w:rFonts w:cs="Arial"/>
                <w:b/>
                <w:sz w:val="18"/>
                <w:szCs w:val="18"/>
                <w:lang w:val="en-GB"/>
              </w:rPr>
              <w:t xml:space="preserve">vaccine </w:t>
            </w:r>
            <w:r w:rsidR="00E43ADC">
              <w:rPr>
                <w:rFonts w:cs="Arial"/>
                <w:b/>
                <w:sz w:val="18"/>
                <w:szCs w:val="18"/>
                <w:lang w:val="en-GB"/>
              </w:rPr>
              <w:br/>
            </w:r>
            <w:r w:rsidR="00542099" w:rsidRPr="004A7E84">
              <w:rPr>
                <w:rFonts w:cs="Arial"/>
                <w:b/>
                <w:sz w:val="18"/>
                <w:szCs w:val="18"/>
                <w:lang w:val="en-GB"/>
              </w:rPr>
              <w:t>(95% CI)</w:t>
            </w:r>
          </w:p>
        </w:tc>
        <w:tc>
          <w:tcPr>
            <w:tcW w:w="534" w:type="pct"/>
            <w:vMerge/>
            <w:vAlign w:val="center"/>
          </w:tcPr>
          <w:p w:rsidR="00542099" w:rsidRPr="004A7E84" w:rsidRDefault="00542099" w:rsidP="004A7E84">
            <w:pPr>
              <w:keepNext/>
              <w:keepLines/>
              <w:autoSpaceDE w:val="0"/>
              <w:autoSpaceDN w:val="0"/>
              <w:adjustRightInd w:val="0"/>
              <w:spacing w:before="40" w:after="40" w:line="240" w:lineRule="auto"/>
              <w:jc w:val="center"/>
              <w:rPr>
                <w:rFonts w:cs="Arial"/>
                <w:b/>
                <w:sz w:val="18"/>
                <w:szCs w:val="18"/>
                <w:lang w:val="en-GB"/>
              </w:rPr>
            </w:pPr>
          </w:p>
        </w:tc>
      </w:tr>
      <w:tr w:rsidR="00CB2AFA" w:rsidRPr="004A7E84" w:rsidTr="00D648A2">
        <w:trPr>
          <w:trHeight w:val="567"/>
        </w:trPr>
        <w:tc>
          <w:tcPr>
            <w:tcW w:w="640" w:type="pct"/>
            <w:vAlign w:val="center"/>
          </w:tcPr>
          <w:p w:rsidR="00CB2AFA" w:rsidRPr="007C4389" w:rsidRDefault="00CB2AFA" w:rsidP="004A7E84">
            <w:pPr>
              <w:keepNext/>
              <w:keepLines/>
              <w:autoSpaceDE w:val="0"/>
              <w:autoSpaceDN w:val="0"/>
              <w:adjustRightInd w:val="0"/>
              <w:spacing w:before="40" w:after="40" w:line="240" w:lineRule="auto"/>
              <w:jc w:val="center"/>
              <w:rPr>
                <w:rFonts w:cs="Arial"/>
                <w:b/>
                <w:sz w:val="18"/>
                <w:szCs w:val="18"/>
                <w:lang w:val="en-GB"/>
              </w:rPr>
            </w:pPr>
            <w:r w:rsidRPr="007C4389">
              <w:rPr>
                <w:rFonts w:cs="Arial"/>
                <w:b/>
                <w:sz w:val="18"/>
                <w:szCs w:val="18"/>
                <w:lang w:val="en-GB"/>
              </w:rPr>
              <w:t>18 to &lt; 65 years</w:t>
            </w:r>
          </w:p>
        </w:tc>
        <w:tc>
          <w:tcPr>
            <w:tcW w:w="4360" w:type="pct"/>
            <w:gridSpan w:val="7"/>
            <w:vAlign w:val="center"/>
          </w:tcPr>
          <w:p w:rsidR="00CB2AFA" w:rsidRPr="004A7E84" w:rsidRDefault="00887C04" w:rsidP="004072E0">
            <w:pPr>
              <w:keepNext/>
              <w:keepLines/>
              <w:autoSpaceDE w:val="0"/>
              <w:autoSpaceDN w:val="0"/>
              <w:adjustRightInd w:val="0"/>
              <w:spacing w:before="40" w:after="40" w:line="240" w:lineRule="auto"/>
              <w:jc w:val="center"/>
              <w:rPr>
                <w:rFonts w:cs="Arial"/>
                <w:sz w:val="18"/>
                <w:szCs w:val="18"/>
                <w:lang w:val="en-GB"/>
              </w:rPr>
            </w:pPr>
            <w:r>
              <w:rPr>
                <w:b/>
                <w:sz w:val="18"/>
                <w:szCs w:val="18"/>
              </w:rPr>
              <w:t>Afluria</w:t>
            </w:r>
            <w:r w:rsidR="00CB2AFA">
              <w:rPr>
                <w:b/>
                <w:sz w:val="18"/>
                <w:szCs w:val="18"/>
              </w:rPr>
              <w:t xml:space="preserve"> </w:t>
            </w:r>
            <w:r w:rsidR="00E43ADC">
              <w:rPr>
                <w:b/>
                <w:sz w:val="18"/>
                <w:szCs w:val="18"/>
              </w:rPr>
              <w:t>Quad</w:t>
            </w:r>
            <w:r w:rsidR="004072E0">
              <w:rPr>
                <w:rFonts w:cs="Arial"/>
                <w:b/>
                <w:sz w:val="18"/>
                <w:szCs w:val="18"/>
              </w:rPr>
              <w:t>™</w:t>
            </w:r>
            <w:r w:rsidR="00E43ADC">
              <w:rPr>
                <w:b/>
                <w:sz w:val="18"/>
                <w:szCs w:val="18"/>
              </w:rPr>
              <w:t xml:space="preserve"> </w:t>
            </w:r>
            <w:r w:rsidR="00DC4CEE">
              <w:rPr>
                <w:b/>
                <w:sz w:val="18"/>
                <w:szCs w:val="18"/>
              </w:rPr>
              <w:t xml:space="preserve">vaccine </w:t>
            </w:r>
            <w:r w:rsidR="00CB2AFA" w:rsidRPr="00A9312A">
              <w:rPr>
                <w:b/>
                <w:sz w:val="18"/>
                <w:szCs w:val="18"/>
              </w:rPr>
              <w:t>N=835, Pooled TIV N=845, TIV-1 N=424, TIV-2 N=421</w:t>
            </w:r>
          </w:p>
        </w:tc>
      </w:tr>
      <w:tr w:rsidR="00542099" w:rsidRPr="004A7E84" w:rsidTr="00D648A2">
        <w:trPr>
          <w:trHeight w:val="567"/>
        </w:trPr>
        <w:tc>
          <w:tcPr>
            <w:tcW w:w="64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A/H1N1</w:t>
            </w:r>
          </w:p>
        </w:tc>
        <w:tc>
          <w:tcPr>
            <w:tcW w:w="636"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432.7</w:t>
            </w:r>
          </w:p>
        </w:tc>
        <w:tc>
          <w:tcPr>
            <w:tcW w:w="635"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402.8</w:t>
            </w:r>
          </w:p>
        </w:tc>
        <w:tc>
          <w:tcPr>
            <w:tcW w:w="65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0.93</w:t>
            </w:r>
            <w:r w:rsidRPr="004A7E84">
              <w:rPr>
                <w:rFonts w:cs="Arial"/>
                <w:sz w:val="18"/>
                <w:szCs w:val="18"/>
                <w:vertAlign w:val="superscript"/>
                <w:lang w:val="en-GB"/>
              </w:rPr>
              <w:t xml:space="preserve"> </w:t>
            </w:r>
            <w:r w:rsidR="00B813F0">
              <w:rPr>
                <w:rFonts w:cs="Arial"/>
                <w:sz w:val="18"/>
                <w:szCs w:val="18"/>
                <w:vertAlign w:val="superscript"/>
                <w:lang w:val="en-GB"/>
              </w:rPr>
              <w:t>d</w:t>
            </w:r>
            <w:r w:rsidRPr="004A7E84">
              <w:rPr>
                <w:rFonts w:cs="Arial"/>
                <w:sz w:val="18"/>
                <w:szCs w:val="18"/>
                <w:lang w:val="en-GB"/>
              </w:rPr>
              <w:t xml:space="preserve"> </w:t>
            </w:r>
            <w:r w:rsidRPr="004A7E84">
              <w:rPr>
                <w:rFonts w:cs="Arial"/>
                <w:sz w:val="18"/>
                <w:szCs w:val="18"/>
                <w:lang w:val="en-GB"/>
              </w:rPr>
              <w:br/>
              <w:t>(0.85, 1.02)</w:t>
            </w:r>
          </w:p>
        </w:tc>
        <w:tc>
          <w:tcPr>
            <w:tcW w:w="63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51.3</w:t>
            </w:r>
          </w:p>
        </w:tc>
        <w:tc>
          <w:tcPr>
            <w:tcW w:w="595" w:type="pct"/>
            <w:vAlign w:val="center"/>
          </w:tcPr>
          <w:p w:rsidR="00542099" w:rsidRPr="004A7E84" w:rsidRDefault="00542099">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49.1</w:t>
            </w:r>
          </w:p>
        </w:tc>
        <w:tc>
          <w:tcPr>
            <w:tcW w:w="674" w:type="pct"/>
            <w:vAlign w:val="center"/>
          </w:tcPr>
          <w:p w:rsidR="00542099" w:rsidRPr="004A7E84" w:rsidRDefault="00542099"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-2.1</w:t>
            </w:r>
            <w:r w:rsidRPr="004A7E84">
              <w:rPr>
                <w:rFonts w:cs="Arial"/>
                <w:sz w:val="18"/>
                <w:szCs w:val="18"/>
                <w:vertAlign w:val="superscript"/>
                <w:lang w:val="en-GB"/>
              </w:rPr>
              <w:t xml:space="preserve"> </w:t>
            </w:r>
            <w:r w:rsidR="00B813F0">
              <w:rPr>
                <w:rFonts w:cs="Arial"/>
                <w:sz w:val="18"/>
                <w:szCs w:val="18"/>
                <w:vertAlign w:val="superscript"/>
                <w:lang w:val="en-GB"/>
              </w:rPr>
              <w:t>g</w:t>
            </w:r>
            <w:r w:rsidRPr="004A7E84">
              <w:rPr>
                <w:rFonts w:cs="Arial"/>
                <w:sz w:val="18"/>
                <w:szCs w:val="18"/>
                <w:lang w:val="en-GB"/>
              </w:rPr>
              <w:t xml:space="preserve"> </w:t>
            </w:r>
            <w:r w:rsidRPr="004A7E84">
              <w:rPr>
                <w:rFonts w:cs="Arial"/>
                <w:sz w:val="18"/>
                <w:szCs w:val="18"/>
                <w:lang w:val="en-GB"/>
              </w:rPr>
              <w:br/>
              <w:t>(-6.9, 2.</w:t>
            </w:r>
            <w:r w:rsidR="00F47C38">
              <w:rPr>
                <w:rFonts w:cs="Arial"/>
                <w:sz w:val="18"/>
                <w:szCs w:val="18"/>
                <w:lang w:val="en-GB"/>
              </w:rPr>
              <w:t>7</w:t>
            </w:r>
            <w:r w:rsidRPr="004A7E84">
              <w:rPr>
                <w:rFonts w:cs="Arial"/>
                <w:sz w:val="18"/>
                <w:szCs w:val="18"/>
                <w:lang w:val="en-GB"/>
              </w:rPr>
              <w:t>)</w:t>
            </w:r>
          </w:p>
        </w:tc>
        <w:tc>
          <w:tcPr>
            <w:tcW w:w="53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542099" w:rsidRPr="004A7E84" w:rsidTr="00D648A2">
        <w:trPr>
          <w:trHeight w:val="567"/>
        </w:trPr>
        <w:tc>
          <w:tcPr>
            <w:tcW w:w="64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A/H3N2</w:t>
            </w:r>
          </w:p>
        </w:tc>
        <w:tc>
          <w:tcPr>
            <w:tcW w:w="636"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569.1</w:t>
            </w:r>
          </w:p>
        </w:tc>
        <w:tc>
          <w:tcPr>
            <w:tcW w:w="635"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515.1</w:t>
            </w:r>
          </w:p>
        </w:tc>
        <w:tc>
          <w:tcPr>
            <w:tcW w:w="65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0.91</w:t>
            </w:r>
            <w:r w:rsidRPr="004A7E84">
              <w:rPr>
                <w:rFonts w:cs="Arial"/>
                <w:sz w:val="18"/>
                <w:szCs w:val="18"/>
                <w:vertAlign w:val="superscript"/>
                <w:lang w:val="en-GB"/>
              </w:rPr>
              <w:t xml:space="preserve"> </w:t>
            </w:r>
            <w:r w:rsidR="00B813F0">
              <w:rPr>
                <w:rFonts w:cs="Arial"/>
                <w:sz w:val="18"/>
                <w:szCs w:val="18"/>
                <w:vertAlign w:val="superscript"/>
                <w:lang w:val="en-GB"/>
              </w:rPr>
              <w:t>d</w:t>
            </w:r>
            <w:r w:rsidRPr="004A7E84">
              <w:rPr>
                <w:rFonts w:cs="Arial"/>
                <w:sz w:val="18"/>
                <w:szCs w:val="18"/>
                <w:lang w:val="en-GB"/>
              </w:rPr>
              <w:t xml:space="preserve"> </w:t>
            </w:r>
            <w:r w:rsidRPr="004A7E84">
              <w:rPr>
                <w:rFonts w:cs="Arial"/>
                <w:sz w:val="18"/>
                <w:szCs w:val="18"/>
                <w:lang w:val="en-GB"/>
              </w:rPr>
              <w:br/>
              <w:t>(0.83, 0.99)</w:t>
            </w:r>
          </w:p>
        </w:tc>
        <w:tc>
          <w:tcPr>
            <w:tcW w:w="63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56.3</w:t>
            </w:r>
          </w:p>
        </w:tc>
        <w:tc>
          <w:tcPr>
            <w:tcW w:w="595" w:type="pct"/>
            <w:vAlign w:val="center"/>
          </w:tcPr>
          <w:p w:rsidR="00542099" w:rsidRPr="004A7E84" w:rsidRDefault="00542099">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51.7</w:t>
            </w:r>
          </w:p>
        </w:tc>
        <w:tc>
          <w:tcPr>
            <w:tcW w:w="674" w:type="pct"/>
            <w:vAlign w:val="center"/>
          </w:tcPr>
          <w:p w:rsidR="00542099" w:rsidRPr="004A7E84" w:rsidRDefault="00542099"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-4.6</w:t>
            </w:r>
            <w:r w:rsidRPr="004A7E84">
              <w:rPr>
                <w:rFonts w:cs="Arial"/>
                <w:sz w:val="18"/>
                <w:szCs w:val="18"/>
                <w:vertAlign w:val="superscript"/>
                <w:lang w:val="en-GB"/>
              </w:rPr>
              <w:t xml:space="preserve"> </w:t>
            </w:r>
            <w:r w:rsidR="00B813F0">
              <w:rPr>
                <w:rFonts w:cs="Arial"/>
                <w:sz w:val="18"/>
                <w:szCs w:val="18"/>
                <w:vertAlign w:val="superscript"/>
                <w:lang w:val="en-GB"/>
              </w:rPr>
              <w:t>g</w:t>
            </w:r>
            <w:r w:rsidRPr="004A7E84">
              <w:rPr>
                <w:rFonts w:cs="Arial"/>
                <w:sz w:val="18"/>
                <w:szCs w:val="18"/>
                <w:lang w:val="en-GB"/>
              </w:rPr>
              <w:t xml:space="preserve"> </w:t>
            </w:r>
            <w:r w:rsidRPr="004A7E84">
              <w:rPr>
                <w:rFonts w:cs="Arial"/>
                <w:sz w:val="18"/>
                <w:szCs w:val="18"/>
                <w:lang w:val="en-GB"/>
              </w:rPr>
              <w:br/>
              <w:t>(-9.</w:t>
            </w:r>
            <w:r w:rsidR="00F47C38">
              <w:rPr>
                <w:rFonts w:cs="Arial"/>
                <w:sz w:val="18"/>
                <w:szCs w:val="18"/>
                <w:lang w:val="en-GB"/>
              </w:rPr>
              <w:t>4</w:t>
            </w:r>
            <w:r w:rsidRPr="004A7E84">
              <w:rPr>
                <w:rFonts w:cs="Arial"/>
                <w:sz w:val="18"/>
                <w:szCs w:val="18"/>
                <w:lang w:val="en-GB"/>
              </w:rPr>
              <w:t>, 0.2)</w:t>
            </w:r>
          </w:p>
        </w:tc>
        <w:tc>
          <w:tcPr>
            <w:tcW w:w="53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542099" w:rsidRPr="004A7E84" w:rsidTr="00D648A2">
        <w:trPr>
          <w:trHeight w:val="567"/>
        </w:trPr>
        <w:tc>
          <w:tcPr>
            <w:tcW w:w="64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B/YAM</w:t>
            </w:r>
          </w:p>
        </w:tc>
        <w:tc>
          <w:tcPr>
            <w:tcW w:w="636"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92.3</w:t>
            </w:r>
          </w:p>
        </w:tc>
        <w:tc>
          <w:tcPr>
            <w:tcW w:w="635"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79.3</w:t>
            </w:r>
          </w:p>
        </w:tc>
        <w:tc>
          <w:tcPr>
            <w:tcW w:w="65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0.86</w:t>
            </w:r>
            <w:r w:rsidRPr="004A7E84">
              <w:rPr>
                <w:rFonts w:cs="Arial"/>
                <w:sz w:val="18"/>
                <w:szCs w:val="18"/>
                <w:vertAlign w:val="superscript"/>
                <w:lang w:val="en-GB"/>
              </w:rPr>
              <w:t xml:space="preserve"> </w:t>
            </w:r>
            <w:r w:rsidR="00B813F0">
              <w:rPr>
                <w:rFonts w:cs="Arial"/>
                <w:sz w:val="18"/>
                <w:szCs w:val="18"/>
                <w:vertAlign w:val="superscript"/>
                <w:lang w:val="en-GB"/>
              </w:rPr>
              <w:t>e</w:t>
            </w:r>
            <w:r w:rsidRPr="004A7E84">
              <w:rPr>
                <w:rFonts w:cs="Arial"/>
                <w:sz w:val="18"/>
                <w:szCs w:val="18"/>
                <w:lang w:val="en-GB"/>
              </w:rPr>
              <w:t xml:space="preserve"> </w:t>
            </w:r>
            <w:r w:rsidRPr="004A7E84">
              <w:rPr>
                <w:rFonts w:cs="Arial"/>
                <w:sz w:val="18"/>
                <w:szCs w:val="18"/>
                <w:lang w:val="en-GB"/>
              </w:rPr>
              <w:br/>
              <w:t>(0.76, 0.97)</w:t>
            </w:r>
          </w:p>
        </w:tc>
        <w:tc>
          <w:tcPr>
            <w:tcW w:w="63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45.7</w:t>
            </w:r>
          </w:p>
        </w:tc>
        <w:tc>
          <w:tcPr>
            <w:tcW w:w="595" w:type="pct"/>
            <w:vAlign w:val="center"/>
          </w:tcPr>
          <w:p w:rsidR="00542099" w:rsidRPr="004A7E84" w:rsidRDefault="00542099">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41.3</w:t>
            </w:r>
          </w:p>
        </w:tc>
        <w:tc>
          <w:tcPr>
            <w:tcW w:w="674" w:type="pct"/>
            <w:vAlign w:val="center"/>
          </w:tcPr>
          <w:p w:rsidR="00542099" w:rsidRPr="004A7E84" w:rsidRDefault="00542099"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-4.5</w:t>
            </w:r>
            <w:r w:rsidRPr="004A7E84">
              <w:rPr>
                <w:rFonts w:cs="Arial"/>
                <w:sz w:val="18"/>
                <w:szCs w:val="18"/>
                <w:vertAlign w:val="superscript"/>
                <w:lang w:val="en-GB"/>
              </w:rPr>
              <w:t xml:space="preserve"> </w:t>
            </w:r>
            <w:r w:rsidR="00B813F0">
              <w:rPr>
                <w:rFonts w:cs="Arial"/>
                <w:sz w:val="18"/>
                <w:szCs w:val="18"/>
                <w:vertAlign w:val="superscript"/>
                <w:lang w:val="en-GB"/>
              </w:rPr>
              <w:t>h</w:t>
            </w:r>
            <w:r w:rsidRPr="004A7E84">
              <w:rPr>
                <w:rFonts w:cs="Arial"/>
                <w:sz w:val="18"/>
                <w:szCs w:val="18"/>
                <w:lang w:val="en-GB"/>
              </w:rPr>
              <w:t xml:space="preserve"> </w:t>
            </w:r>
            <w:r w:rsidRPr="004A7E84">
              <w:rPr>
                <w:rFonts w:cs="Arial"/>
                <w:sz w:val="18"/>
                <w:szCs w:val="18"/>
                <w:lang w:val="en-GB"/>
              </w:rPr>
              <w:br/>
              <w:t>(-10.3, 1.</w:t>
            </w:r>
            <w:r w:rsidR="00F47C38">
              <w:rPr>
                <w:rFonts w:cs="Arial"/>
                <w:sz w:val="18"/>
                <w:szCs w:val="18"/>
                <w:lang w:val="en-GB"/>
              </w:rPr>
              <w:t>4</w:t>
            </w:r>
            <w:r w:rsidRPr="004A7E84">
              <w:rPr>
                <w:rFonts w:cs="Arial"/>
                <w:sz w:val="18"/>
                <w:szCs w:val="18"/>
                <w:lang w:val="en-GB"/>
              </w:rPr>
              <w:t>)</w:t>
            </w:r>
          </w:p>
        </w:tc>
        <w:tc>
          <w:tcPr>
            <w:tcW w:w="53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542099" w:rsidRPr="004A7E84" w:rsidTr="00D648A2">
        <w:trPr>
          <w:trHeight w:val="567"/>
        </w:trPr>
        <w:tc>
          <w:tcPr>
            <w:tcW w:w="64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B/VIC</w:t>
            </w:r>
          </w:p>
        </w:tc>
        <w:tc>
          <w:tcPr>
            <w:tcW w:w="636"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110.7</w:t>
            </w:r>
          </w:p>
        </w:tc>
        <w:tc>
          <w:tcPr>
            <w:tcW w:w="635" w:type="pct"/>
            <w:vAlign w:val="center"/>
          </w:tcPr>
          <w:p w:rsidR="00542099" w:rsidRPr="004A7E84" w:rsidRDefault="00542099" w:rsidP="00CB2AFA">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95.2</w:t>
            </w:r>
          </w:p>
        </w:tc>
        <w:tc>
          <w:tcPr>
            <w:tcW w:w="650"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0.86</w:t>
            </w:r>
            <w:r w:rsidRPr="004A7E84">
              <w:rPr>
                <w:rFonts w:cs="Arial"/>
                <w:sz w:val="18"/>
                <w:szCs w:val="18"/>
                <w:vertAlign w:val="superscript"/>
                <w:lang w:val="en-GB"/>
              </w:rPr>
              <w:t xml:space="preserve"> </w:t>
            </w:r>
            <w:r w:rsidR="00B813F0">
              <w:rPr>
                <w:rFonts w:cs="Arial"/>
                <w:sz w:val="18"/>
                <w:szCs w:val="18"/>
                <w:vertAlign w:val="superscript"/>
                <w:lang w:val="en-GB"/>
              </w:rPr>
              <w:t>f</w:t>
            </w:r>
            <w:r w:rsidRPr="004A7E84">
              <w:rPr>
                <w:rFonts w:cs="Arial"/>
                <w:sz w:val="18"/>
                <w:szCs w:val="18"/>
                <w:lang w:val="en-GB"/>
              </w:rPr>
              <w:t xml:space="preserve"> </w:t>
            </w:r>
            <w:r w:rsidRPr="004A7E84">
              <w:rPr>
                <w:rFonts w:cs="Arial"/>
                <w:sz w:val="18"/>
                <w:szCs w:val="18"/>
                <w:lang w:val="en-GB"/>
              </w:rPr>
              <w:br/>
              <w:t>(0.76, 0.98)</w:t>
            </w:r>
          </w:p>
        </w:tc>
        <w:tc>
          <w:tcPr>
            <w:tcW w:w="635"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57.6</w:t>
            </w:r>
          </w:p>
        </w:tc>
        <w:tc>
          <w:tcPr>
            <w:tcW w:w="595" w:type="pct"/>
            <w:vAlign w:val="center"/>
          </w:tcPr>
          <w:p w:rsidR="00542099" w:rsidRPr="004A7E84" w:rsidRDefault="00542099">
            <w:pPr>
              <w:keepNext/>
              <w:keepLines/>
              <w:autoSpaceDE w:val="0"/>
              <w:autoSpaceDN w:val="0"/>
              <w:adjustRightInd w:val="0"/>
              <w:spacing w:before="40" w:after="40" w:line="240" w:lineRule="auto"/>
              <w:jc w:val="center"/>
              <w:rPr>
                <w:rFonts w:cs="Arial"/>
                <w:sz w:val="18"/>
                <w:szCs w:val="18"/>
                <w:vertAlign w:val="superscript"/>
                <w:lang w:val="en-GB"/>
              </w:rPr>
            </w:pPr>
            <w:r w:rsidRPr="004A7E84">
              <w:rPr>
                <w:rFonts w:cs="Arial"/>
                <w:sz w:val="18"/>
                <w:szCs w:val="18"/>
                <w:lang w:val="en-GB"/>
              </w:rPr>
              <w:t>53.0</w:t>
            </w:r>
          </w:p>
        </w:tc>
        <w:tc>
          <w:tcPr>
            <w:tcW w:w="67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-4.6</w:t>
            </w:r>
            <w:r w:rsidRPr="004A7E84">
              <w:rPr>
                <w:rFonts w:cs="Arial"/>
                <w:sz w:val="18"/>
                <w:szCs w:val="18"/>
                <w:vertAlign w:val="superscript"/>
                <w:lang w:val="en-GB"/>
              </w:rPr>
              <w:t xml:space="preserve"> </w:t>
            </w:r>
            <w:r w:rsidR="00B813F0">
              <w:rPr>
                <w:rFonts w:cs="Arial"/>
                <w:sz w:val="18"/>
                <w:szCs w:val="18"/>
                <w:vertAlign w:val="superscript"/>
                <w:lang w:val="en-GB"/>
              </w:rPr>
              <w:t>i</w:t>
            </w:r>
            <w:r w:rsidRPr="004A7E84">
              <w:rPr>
                <w:rFonts w:cs="Arial"/>
                <w:sz w:val="18"/>
                <w:szCs w:val="18"/>
                <w:lang w:val="en-GB"/>
              </w:rPr>
              <w:t xml:space="preserve"> </w:t>
            </w:r>
            <w:r w:rsidRPr="004A7E84">
              <w:rPr>
                <w:rFonts w:cs="Arial"/>
                <w:sz w:val="18"/>
                <w:szCs w:val="18"/>
                <w:lang w:val="en-GB"/>
              </w:rPr>
              <w:br/>
              <w:t>(-10.5, 1.2)</w:t>
            </w:r>
          </w:p>
        </w:tc>
        <w:tc>
          <w:tcPr>
            <w:tcW w:w="534" w:type="pct"/>
            <w:vAlign w:val="center"/>
          </w:tcPr>
          <w:p w:rsidR="00542099" w:rsidRPr="004A7E84" w:rsidRDefault="00542099"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CB2AFA" w:rsidRPr="004A7E84" w:rsidTr="00D648A2">
        <w:trPr>
          <w:trHeight w:val="567"/>
        </w:trPr>
        <w:tc>
          <w:tcPr>
            <w:tcW w:w="640" w:type="pct"/>
            <w:vAlign w:val="center"/>
          </w:tcPr>
          <w:p w:rsidR="00CB2AFA" w:rsidRPr="007C4389" w:rsidRDefault="00CB2AFA" w:rsidP="004A7E84">
            <w:pPr>
              <w:keepNext/>
              <w:keepLines/>
              <w:autoSpaceDE w:val="0"/>
              <w:autoSpaceDN w:val="0"/>
              <w:adjustRightInd w:val="0"/>
              <w:spacing w:before="40" w:after="40" w:line="240" w:lineRule="auto"/>
              <w:jc w:val="center"/>
              <w:rPr>
                <w:rFonts w:cs="Arial"/>
                <w:b/>
                <w:sz w:val="18"/>
                <w:szCs w:val="18"/>
                <w:lang w:val="en-GB"/>
              </w:rPr>
            </w:pPr>
            <w:r w:rsidRPr="007C4389">
              <w:rPr>
                <w:rFonts w:cs="Arial"/>
                <w:b/>
                <w:sz w:val="18"/>
                <w:szCs w:val="18"/>
                <w:lang w:val="en-GB"/>
              </w:rPr>
              <w:t>≥ 65 years</w:t>
            </w:r>
          </w:p>
        </w:tc>
        <w:tc>
          <w:tcPr>
            <w:tcW w:w="4360" w:type="pct"/>
            <w:gridSpan w:val="7"/>
            <w:vAlign w:val="center"/>
          </w:tcPr>
          <w:p w:rsidR="00CB2AFA" w:rsidRPr="004A7E84" w:rsidRDefault="00887C04" w:rsidP="004072E0">
            <w:pPr>
              <w:keepNext/>
              <w:keepLines/>
              <w:autoSpaceDE w:val="0"/>
              <w:autoSpaceDN w:val="0"/>
              <w:adjustRightInd w:val="0"/>
              <w:spacing w:before="40" w:after="40" w:line="240" w:lineRule="auto"/>
              <w:jc w:val="center"/>
              <w:rPr>
                <w:rFonts w:cs="Arial"/>
                <w:sz w:val="18"/>
                <w:szCs w:val="18"/>
                <w:lang w:val="en-GB"/>
              </w:rPr>
            </w:pPr>
            <w:r>
              <w:rPr>
                <w:b/>
                <w:sz w:val="18"/>
                <w:szCs w:val="18"/>
              </w:rPr>
              <w:t>Afluria</w:t>
            </w:r>
            <w:r w:rsidR="00CB2AFA" w:rsidRPr="00A9312A">
              <w:rPr>
                <w:b/>
                <w:sz w:val="18"/>
                <w:szCs w:val="18"/>
              </w:rPr>
              <w:t xml:space="preserve"> </w:t>
            </w:r>
            <w:r w:rsidR="00E43ADC">
              <w:rPr>
                <w:b/>
                <w:sz w:val="18"/>
                <w:szCs w:val="18"/>
              </w:rPr>
              <w:t>Quad</w:t>
            </w:r>
            <w:r w:rsidR="004072E0">
              <w:rPr>
                <w:rFonts w:cs="Arial"/>
                <w:b/>
                <w:sz w:val="18"/>
                <w:szCs w:val="18"/>
              </w:rPr>
              <w:t>™</w:t>
            </w:r>
            <w:r w:rsidR="00E43ADC">
              <w:rPr>
                <w:b/>
                <w:sz w:val="18"/>
                <w:szCs w:val="18"/>
              </w:rPr>
              <w:t xml:space="preserve"> </w:t>
            </w:r>
            <w:r w:rsidR="00DC4CEE">
              <w:rPr>
                <w:b/>
                <w:sz w:val="18"/>
                <w:szCs w:val="18"/>
              </w:rPr>
              <w:t xml:space="preserve">vaccine </w:t>
            </w:r>
            <w:r w:rsidR="00CB2AFA" w:rsidRPr="00A9312A">
              <w:rPr>
                <w:b/>
                <w:sz w:val="18"/>
                <w:szCs w:val="18"/>
              </w:rPr>
              <w:t>N=856, Pooled TIV N=859, TIV-1 N=430, TIV-2 N=429</w:t>
            </w:r>
          </w:p>
        </w:tc>
      </w:tr>
      <w:tr w:rsidR="00CB2AFA" w:rsidRPr="004A7E84" w:rsidTr="00D648A2">
        <w:trPr>
          <w:trHeight w:val="567"/>
        </w:trPr>
        <w:tc>
          <w:tcPr>
            <w:tcW w:w="640" w:type="pct"/>
            <w:vAlign w:val="center"/>
          </w:tcPr>
          <w:p w:rsidR="00CB2AFA"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A/H1N1</w:t>
            </w:r>
          </w:p>
        </w:tc>
        <w:tc>
          <w:tcPr>
            <w:tcW w:w="636"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211.4</w:t>
            </w:r>
          </w:p>
        </w:tc>
        <w:tc>
          <w:tcPr>
            <w:tcW w:w="63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199.8</w:t>
            </w:r>
          </w:p>
        </w:tc>
        <w:tc>
          <w:tcPr>
            <w:tcW w:w="650"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0.95</w:t>
            </w:r>
            <w:r>
              <w:rPr>
                <w:rFonts w:cs="Arial"/>
                <w:sz w:val="18"/>
                <w:szCs w:val="18"/>
                <w:vertAlign w:val="superscript"/>
                <w:lang w:val="en-GB"/>
              </w:rPr>
              <w:t xml:space="preserve"> </w:t>
            </w:r>
            <w:r w:rsidR="00B813F0">
              <w:rPr>
                <w:rFonts w:cs="Arial"/>
                <w:sz w:val="18"/>
                <w:szCs w:val="18"/>
                <w:vertAlign w:val="superscript"/>
                <w:lang w:val="en-GB"/>
              </w:rPr>
              <w:t>d</w:t>
            </w:r>
            <w:r w:rsidRPr="004A7E84">
              <w:rPr>
                <w:rFonts w:cs="Arial"/>
                <w:sz w:val="18"/>
                <w:szCs w:val="18"/>
                <w:lang w:val="en-GB"/>
              </w:rPr>
              <w:t xml:space="preserve"> </w:t>
            </w:r>
            <w:r w:rsidRPr="004A7E84">
              <w:rPr>
                <w:rFonts w:cs="Arial"/>
                <w:sz w:val="18"/>
                <w:szCs w:val="18"/>
                <w:lang w:val="en-GB"/>
              </w:rPr>
              <w:br/>
              <w:t>(0.88, 1.02)</w:t>
            </w:r>
          </w:p>
        </w:tc>
        <w:tc>
          <w:tcPr>
            <w:tcW w:w="635"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26.6</w:t>
            </w:r>
          </w:p>
        </w:tc>
        <w:tc>
          <w:tcPr>
            <w:tcW w:w="59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26.4</w:t>
            </w:r>
          </w:p>
        </w:tc>
        <w:tc>
          <w:tcPr>
            <w:tcW w:w="674" w:type="pct"/>
            <w:vAlign w:val="center"/>
          </w:tcPr>
          <w:p w:rsidR="00CB2AFA" w:rsidRPr="004A7E84" w:rsidRDefault="00CB2AFA"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-0.2</w:t>
            </w:r>
            <w:r w:rsidR="00464578">
              <w:rPr>
                <w:rFonts w:cs="Arial"/>
                <w:sz w:val="18"/>
                <w:szCs w:val="18"/>
                <w:vertAlign w:val="superscript"/>
                <w:lang w:val="en-GB"/>
              </w:rPr>
              <w:t xml:space="preserve"> </w:t>
            </w:r>
            <w:r w:rsidR="00B813F0">
              <w:rPr>
                <w:rFonts w:cs="Arial"/>
                <w:sz w:val="18"/>
                <w:szCs w:val="18"/>
                <w:vertAlign w:val="superscript"/>
                <w:lang w:val="en-GB"/>
              </w:rPr>
              <w:t>g</w:t>
            </w:r>
            <w:r w:rsidRPr="004A7E84">
              <w:rPr>
                <w:rFonts w:cs="Arial"/>
                <w:sz w:val="18"/>
                <w:szCs w:val="18"/>
                <w:lang w:val="en-GB"/>
              </w:rPr>
              <w:t xml:space="preserve"> </w:t>
            </w:r>
            <w:r w:rsidRPr="004A7E84">
              <w:rPr>
                <w:rFonts w:cs="Arial"/>
                <w:sz w:val="18"/>
                <w:szCs w:val="18"/>
                <w:lang w:val="en-GB"/>
              </w:rPr>
              <w:br/>
              <w:t>(-</w:t>
            </w:r>
            <w:r w:rsidR="00F47C38">
              <w:rPr>
                <w:rFonts w:cs="Arial"/>
                <w:sz w:val="18"/>
                <w:szCs w:val="18"/>
                <w:lang w:val="en-GB"/>
              </w:rPr>
              <w:t>5.0</w:t>
            </w:r>
            <w:r w:rsidRPr="004A7E84">
              <w:rPr>
                <w:rFonts w:cs="Arial"/>
                <w:sz w:val="18"/>
                <w:szCs w:val="18"/>
                <w:lang w:val="en-GB"/>
              </w:rPr>
              <w:t>, 4.</w:t>
            </w:r>
            <w:r w:rsidR="00F47C38">
              <w:rPr>
                <w:rFonts w:cs="Arial"/>
                <w:sz w:val="18"/>
                <w:szCs w:val="18"/>
                <w:lang w:val="en-GB"/>
              </w:rPr>
              <w:t>5</w:t>
            </w:r>
            <w:r w:rsidRPr="004A7E84">
              <w:rPr>
                <w:rFonts w:cs="Arial"/>
                <w:sz w:val="18"/>
                <w:szCs w:val="18"/>
                <w:lang w:val="en-GB"/>
              </w:rPr>
              <w:t>)</w:t>
            </w:r>
          </w:p>
        </w:tc>
        <w:tc>
          <w:tcPr>
            <w:tcW w:w="534"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CB2AFA" w:rsidRPr="004A7E84" w:rsidTr="00D648A2">
        <w:trPr>
          <w:trHeight w:val="567"/>
        </w:trPr>
        <w:tc>
          <w:tcPr>
            <w:tcW w:w="640" w:type="pct"/>
            <w:vAlign w:val="center"/>
          </w:tcPr>
          <w:p w:rsidR="00CB2AFA"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A/H3N2</w:t>
            </w:r>
          </w:p>
        </w:tc>
        <w:tc>
          <w:tcPr>
            <w:tcW w:w="636"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419.5</w:t>
            </w:r>
          </w:p>
        </w:tc>
        <w:tc>
          <w:tcPr>
            <w:tcW w:w="63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400.0</w:t>
            </w:r>
          </w:p>
        </w:tc>
        <w:tc>
          <w:tcPr>
            <w:tcW w:w="650"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0.95</w:t>
            </w:r>
            <w:r>
              <w:rPr>
                <w:rFonts w:cs="Arial"/>
                <w:sz w:val="18"/>
                <w:szCs w:val="18"/>
                <w:vertAlign w:val="superscript"/>
                <w:lang w:val="en-GB"/>
              </w:rPr>
              <w:t xml:space="preserve"> </w:t>
            </w:r>
            <w:r w:rsidR="00B813F0">
              <w:rPr>
                <w:rFonts w:cs="Arial"/>
                <w:sz w:val="18"/>
                <w:szCs w:val="18"/>
                <w:vertAlign w:val="superscript"/>
                <w:lang w:val="en-GB"/>
              </w:rPr>
              <w:t>d</w:t>
            </w:r>
            <w:r w:rsidRPr="004A7E84">
              <w:rPr>
                <w:rFonts w:cs="Arial"/>
                <w:sz w:val="18"/>
                <w:szCs w:val="18"/>
                <w:lang w:val="en-GB"/>
              </w:rPr>
              <w:t xml:space="preserve"> </w:t>
            </w:r>
            <w:r w:rsidRPr="004A7E84">
              <w:rPr>
                <w:rFonts w:cs="Arial"/>
                <w:sz w:val="18"/>
                <w:szCs w:val="18"/>
                <w:lang w:val="en-GB"/>
              </w:rPr>
              <w:br/>
              <w:t>(0.89, 1.02)</w:t>
            </w:r>
          </w:p>
        </w:tc>
        <w:tc>
          <w:tcPr>
            <w:tcW w:w="635"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25.9</w:t>
            </w:r>
          </w:p>
        </w:tc>
        <w:tc>
          <w:tcPr>
            <w:tcW w:w="59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27.0</w:t>
            </w:r>
          </w:p>
        </w:tc>
        <w:tc>
          <w:tcPr>
            <w:tcW w:w="674" w:type="pct"/>
            <w:vAlign w:val="center"/>
          </w:tcPr>
          <w:p w:rsidR="00CB2AFA" w:rsidRPr="004A7E84" w:rsidRDefault="00CB2AFA"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1.1</w:t>
            </w:r>
            <w:r w:rsidR="00464578">
              <w:rPr>
                <w:rFonts w:cs="Arial"/>
                <w:sz w:val="18"/>
                <w:szCs w:val="18"/>
                <w:vertAlign w:val="superscript"/>
                <w:lang w:val="en-GB"/>
              </w:rPr>
              <w:t xml:space="preserve"> </w:t>
            </w:r>
            <w:r w:rsidR="00B813F0">
              <w:rPr>
                <w:rFonts w:cs="Arial"/>
                <w:sz w:val="18"/>
                <w:szCs w:val="18"/>
                <w:vertAlign w:val="superscript"/>
                <w:lang w:val="en-GB"/>
              </w:rPr>
              <w:t>g</w:t>
            </w:r>
            <w:r w:rsidRPr="004A7E84">
              <w:rPr>
                <w:rFonts w:cs="Arial"/>
                <w:sz w:val="18"/>
                <w:szCs w:val="18"/>
                <w:lang w:val="en-GB"/>
              </w:rPr>
              <w:t xml:space="preserve"> </w:t>
            </w:r>
            <w:r w:rsidRPr="004A7E84">
              <w:rPr>
                <w:rFonts w:cs="Arial"/>
                <w:sz w:val="18"/>
                <w:szCs w:val="18"/>
                <w:lang w:val="en-GB"/>
              </w:rPr>
              <w:br/>
              <w:t>(-3.</w:t>
            </w:r>
            <w:r w:rsidR="00F47C38">
              <w:rPr>
                <w:rFonts w:cs="Arial"/>
                <w:sz w:val="18"/>
                <w:szCs w:val="18"/>
                <w:lang w:val="en-GB"/>
              </w:rPr>
              <w:t>7</w:t>
            </w:r>
            <w:r w:rsidRPr="004A7E84">
              <w:rPr>
                <w:rFonts w:cs="Arial"/>
                <w:sz w:val="18"/>
                <w:szCs w:val="18"/>
                <w:lang w:val="en-GB"/>
              </w:rPr>
              <w:t>, 5.</w:t>
            </w:r>
            <w:r w:rsidR="00F47C38">
              <w:rPr>
                <w:rFonts w:cs="Arial"/>
                <w:sz w:val="18"/>
                <w:szCs w:val="18"/>
                <w:lang w:val="en-GB"/>
              </w:rPr>
              <w:t>8</w:t>
            </w:r>
            <w:r w:rsidRPr="004A7E84">
              <w:rPr>
                <w:rFonts w:cs="Arial"/>
                <w:sz w:val="18"/>
                <w:szCs w:val="18"/>
                <w:lang w:val="en-GB"/>
              </w:rPr>
              <w:t>)</w:t>
            </w:r>
          </w:p>
        </w:tc>
        <w:tc>
          <w:tcPr>
            <w:tcW w:w="534"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CB2AFA" w:rsidRPr="004A7E84" w:rsidTr="00D648A2">
        <w:trPr>
          <w:trHeight w:val="567"/>
        </w:trPr>
        <w:tc>
          <w:tcPr>
            <w:tcW w:w="640" w:type="pct"/>
            <w:vAlign w:val="center"/>
          </w:tcPr>
          <w:p w:rsidR="00CB2AFA"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B/YAM</w:t>
            </w:r>
          </w:p>
        </w:tc>
        <w:tc>
          <w:tcPr>
            <w:tcW w:w="636"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43.3</w:t>
            </w:r>
          </w:p>
        </w:tc>
        <w:tc>
          <w:tcPr>
            <w:tcW w:w="63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39.1</w:t>
            </w:r>
          </w:p>
        </w:tc>
        <w:tc>
          <w:tcPr>
            <w:tcW w:w="650"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0.90</w:t>
            </w:r>
            <w:r>
              <w:rPr>
                <w:rFonts w:cs="Arial"/>
                <w:sz w:val="18"/>
                <w:szCs w:val="18"/>
                <w:vertAlign w:val="superscript"/>
                <w:lang w:val="en-GB"/>
              </w:rPr>
              <w:t xml:space="preserve"> </w:t>
            </w:r>
            <w:r w:rsidR="00B813F0">
              <w:rPr>
                <w:rFonts w:cs="Arial"/>
                <w:sz w:val="18"/>
                <w:szCs w:val="18"/>
                <w:vertAlign w:val="superscript"/>
                <w:lang w:val="en-GB"/>
              </w:rPr>
              <w:t>e</w:t>
            </w:r>
            <w:r w:rsidRPr="004A7E84">
              <w:rPr>
                <w:rFonts w:cs="Arial"/>
                <w:sz w:val="18"/>
                <w:szCs w:val="18"/>
                <w:lang w:val="en-GB"/>
              </w:rPr>
              <w:br/>
              <w:t>(0.84, 0.97)</w:t>
            </w:r>
          </w:p>
        </w:tc>
        <w:tc>
          <w:tcPr>
            <w:tcW w:w="635"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16.6</w:t>
            </w:r>
          </w:p>
        </w:tc>
        <w:tc>
          <w:tcPr>
            <w:tcW w:w="59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14.4</w:t>
            </w:r>
          </w:p>
        </w:tc>
        <w:tc>
          <w:tcPr>
            <w:tcW w:w="674" w:type="pct"/>
            <w:vAlign w:val="center"/>
          </w:tcPr>
          <w:p w:rsidR="00CB2AFA" w:rsidRPr="004A7E84" w:rsidRDefault="00CB2AFA"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-2.2</w:t>
            </w:r>
            <w:r w:rsidR="00464578">
              <w:rPr>
                <w:rFonts w:cs="Arial"/>
                <w:sz w:val="18"/>
                <w:szCs w:val="18"/>
                <w:vertAlign w:val="superscript"/>
                <w:lang w:val="en-GB"/>
              </w:rPr>
              <w:t xml:space="preserve"> </w:t>
            </w:r>
            <w:r w:rsidR="00B813F0">
              <w:rPr>
                <w:rFonts w:cs="Arial"/>
                <w:sz w:val="18"/>
                <w:szCs w:val="18"/>
                <w:vertAlign w:val="superscript"/>
                <w:lang w:val="en-GB"/>
              </w:rPr>
              <w:t>h</w:t>
            </w:r>
            <w:r w:rsidRPr="004A7E84">
              <w:rPr>
                <w:rFonts w:cs="Arial"/>
                <w:sz w:val="18"/>
                <w:szCs w:val="18"/>
                <w:lang w:val="en-GB"/>
              </w:rPr>
              <w:t xml:space="preserve"> </w:t>
            </w:r>
            <w:r w:rsidRPr="004A7E84">
              <w:rPr>
                <w:rFonts w:cs="Arial"/>
                <w:sz w:val="18"/>
                <w:szCs w:val="18"/>
                <w:lang w:val="en-GB"/>
              </w:rPr>
              <w:br/>
              <w:t>(-</w:t>
            </w:r>
            <w:r w:rsidR="00F47C38">
              <w:rPr>
                <w:rFonts w:cs="Arial"/>
                <w:sz w:val="18"/>
                <w:szCs w:val="18"/>
                <w:lang w:val="en-GB"/>
              </w:rPr>
              <w:t>8.0</w:t>
            </w:r>
            <w:r w:rsidRPr="004A7E84">
              <w:rPr>
                <w:rFonts w:cs="Arial"/>
                <w:sz w:val="18"/>
                <w:szCs w:val="18"/>
                <w:lang w:val="en-GB"/>
              </w:rPr>
              <w:t xml:space="preserve">, </w:t>
            </w:r>
            <w:r w:rsidR="00F47C38">
              <w:rPr>
                <w:rFonts w:cs="Arial"/>
                <w:sz w:val="18"/>
                <w:szCs w:val="18"/>
                <w:lang w:val="en-GB"/>
              </w:rPr>
              <w:t>3.6</w:t>
            </w:r>
            <w:r w:rsidRPr="004A7E84">
              <w:rPr>
                <w:rFonts w:cs="Arial"/>
                <w:sz w:val="18"/>
                <w:szCs w:val="18"/>
                <w:lang w:val="en-GB"/>
              </w:rPr>
              <w:t>)</w:t>
            </w:r>
          </w:p>
        </w:tc>
        <w:tc>
          <w:tcPr>
            <w:tcW w:w="534"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r w:rsidR="00CB2AFA" w:rsidRPr="004A7E84" w:rsidTr="00D648A2">
        <w:trPr>
          <w:trHeight w:val="567"/>
        </w:trPr>
        <w:tc>
          <w:tcPr>
            <w:tcW w:w="640" w:type="pct"/>
            <w:vAlign w:val="center"/>
          </w:tcPr>
          <w:p w:rsidR="00CB2AFA"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B/VIC</w:t>
            </w:r>
          </w:p>
        </w:tc>
        <w:tc>
          <w:tcPr>
            <w:tcW w:w="636"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66.1</w:t>
            </w:r>
          </w:p>
        </w:tc>
        <w:tc>
          <w:tcPr>
            <w:tcW w:w="63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68.4</w:t>
            </w:r>
          </w:p>
        </w:tc>
        <w:tc>
          <w:tcPr>
            <w:tcW w:w="650"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1.03</w:t>
            </w:r>
            <w:r w:rsidRPr="004A7E84">
              <w:rPr>
                <w:rFonts w:cs="Arial"/>
                <w:sz w:val="18"/>
                <w:szCs w:val="18"/>
                <w:vertAlign w:val="superscript"/>
                <w:lang w:val="en-GB"/>
              </w:rPr>
              <w:t xml:space="preserve"> </w:t>
            </w:r>
            <w:r w:rsidR="00B813F0">
              <w:rPr>
                <w:rFonts w:cs="Arial"/>
                <w:sz w:val="18"/>
                <w:szCs w:val="18"/>
                <w:vertAlign w:val="superscript"/>
                <w:lang w:val="en-GB"/>
              </w:rPr>
              <w:t>f</w:t>
            </w:r>
            <w:r w:rsidRPr="004A7E84">
              <w:rPr>
                <w:rFonts w:cs="Arial"/>
                <w:sz w:val="18"/>
                <w:szCs w:val="18"/>
                <w:lang w:val="en-GB"/>
              </w:rPr>
              <w:t xml:space="preserve"> </w:t>
            </w:r>
            <w:r w:rsidRPr="004A7E84">
              <w:rPr>
                <w:rFonts w:cs="Arial"/>
                <w:sz w:val="18"/>
                <w:szCs w:val="18"/>
                <w:lang w:val="en-GB"/>
              </w:rPr>
              <w:br/>
              <w:t>(0.94, 1.14)</w:t>
            </w:r>
          </w:p>
        </w:tc>
        <w:tc>
          <w:tcPr>
            <w:tcW w:w="635"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23.5</w:t>
            </w:r>
          </w:p>
        </w:tc>
        <w:tc>
          <w:tcPr>
            <w:tcW w:w="595" w:type="pct"/>
            <w:vAlign w:val="center"/>
          </w:tcPr>
          <w:p w:rsidR="00CB2AFA" w:rsidRPr="004A7E84" w:rsidRDefault="00CB2AFA">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24.7</w:t>
            </w:r>
          </w:p>
        </w:tc>
        <w:tc>
          <w:tcPr>
            <w:tcW w:w="674" w:type="pct"/>
            <w:vAlign w:val="center"/>
          </w:tcPr>
          <w:p w:rsidR="00CB2AFA" w:rsidRPr="004A7E84" w:rsidRDefault="00CB2AFA" w:rsidP="00F47C38">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1.2</w:t>
            </w:r>
            <w:r w:rsidR="00464578">
              <w:rPr>
                <w:rFonts w:cs="Arial"/>
                <w:sz w:val="18"/>
                <w:szCs w:val="18"/>
                <w:vertAlign w:val="superscript"/>
                <w:lang w:val="en-GB"/>
              </w:rPr>
              <w:t xml:space="preserve"> </w:t>
            </w:r>
            <w:r w:rsidR="00B813F0">
              <w:rPr>
                <w:rFonts w:cs="Arial"/>
                <w:sz w:val="18"/>
                <w:szCs w:val="18"/>
                <w:vertAlign w:val="superscript"/>
                <w:lang w:val="en-GB"/>
              </w:rPr>
              <w:t>i</w:t>
            </w:r>
            <w:r w:rsidRPr="004A7E84">
              <w:rPr>
                <w:rFonts w:cs="Arial"/>
                <w:sz w:val="18"/>
                <w:szCs w:val="18"/>
                <w:lang w:val="en-GB"/>
              </w:rPr>
              <w:t xml:space="preserve"> </w:t>
            </w:r>
            <w:r w:rsidRPr="004A7E84">
              <w:rPr>
                <w:rFonts w:cs="Arial"/>
                <w:sz w:val="18"/>
                <w:szCs w:val="18"/>
                <w:lang w:val="en-GB"/>
              </w:rPr>
              <w:br/>
              <w:t>(-</w:t>
            </w:r>
            <w:r w:rsidR="00F47C38">
              <w:rPr>
                <w:rFonts w:cs="Arial"/>
                <w:sz w:val="18"/>
                <w:szCs w:val="18"/>
                <w:lang w:val="en-GB"/>
              </w:rPr>
              <w:t>4.6</w:t>
            </w:r>
            <w:r w:rsidRPr="004A7E84">
              <w:rPr>
                <w:rFonts w:cs="Arial"/>
                <w:sz w:val="18"/>
                <w:szCs w:val="18"/>
                <w:lang w:val="en-GB"/>
              </w:rPr>
              <w:t xml:space="preserve">, </w:t>
            </w:r>
            <w:r w:rsidR="00F47C38">
              <w:rPr>
                <w:rFonts w:cs="Arial"/>
                <w:sz w:val="18"/>
                <w:szCs w:val="18"/>
                <w:lang w:val="en-GB"/>
              </w:rPr>
              <w:t>7.0</w:t>
            </w:r>
            <w:r w:rsidRPr="004A7E84">
              <w:rPr>
                <w:rFonts w:cs="Arial"/>
                <w:sz w:val="18"/>
                <w:szCs w:val="18"/>
                <w:lang w:val="en-GB"/>
              </w:rPr>
              <w:t>)</w:t>
            </w:r>
          </w:p>
        </w:tc>
        <w:tc>
          <w:tcPr>
            <w:tcW w:w="534" w:type="pct"/>
            <w:vAlign w:val="center"/>
          </w:tcPr>
          <w:p w:rsidR="00CB2AFA" w:rsidRPr="004A7E84" w:rsidRDefault="00CB2AFA" w:rsidP="004A7E84">
            <w:pPr>
              <w:keepNext/>
              <w:keepLines/>
              <w:autoSpaceDE w:val="0"/>
              <w:autoSpaceDN w:val="0"/>
              <w:adjustRightInd w:val="0"/>
              <w:spacing w:before="40" w:after="40" w:line="240" w:lineRule="auto"/>
              <w:jc w:val="center"/>
              <w:rPr>
                <w:rFonts w:cs="Arial"/>
                <w:sz w:val="18"/>
                <w:szCs w:val="18"/>
                <w:lang w:val="en-GB"/>
              </w:rPr>
            </w:pPr>
            <w:r w:rsidRPr="004A7E84">
              <w:rPr>
                <w:rFonts w:cs="Arial"/>
                <w:sz w:val="18"/>
                <w:szCs w:val="18"/>
                <w:lang w:val="en-GB"/>
              </w:rPr>
              <w:t>Yes</w:t>
            </w:r>
          </w:p>
        </w:tc>
      </w:tr>
    </w:tbl>
    <w:p w:rsidR="00542099" w:rsidRPr="004A7E84" w:rsidRDefault="00542099" w:rsidP="00EB0210">
      <w:pPr>
        <w:keepNext/>
        <w:keepLines/>
        <w:autoSpaceDE w:val="0"/>
        <w:autoSpaceDN w:val="0"/>
        <w:adjustRightInd w:val="0"/>
        <w:spacing w:before="120" w:after="40" w:line="240" w:lineRule="auto"/>
        <w:ind w:left="142" w:right="-46" w:hanging="142"/>
        <w:rPr>
          <w:rFonts w:cs="Arial"/>
          <w:sz w:val="16"/>
          <w:szCs w:val="18"/>
        </w:rPr>
      </w:pPr>
      <w:r w:rsidRPr="004A7E84">
        <w:rPr>
          <w:rFonts w:cs="Arial"/>
          <w:sz w:val="16"/>
          <w:szCs w:val="18"/>
        </w:rPr>
        <w:t>Abbreviations: CI, confidence interval; GMT, geometric mean titer.</w:t>
      </w:r>
    </w:p>
    <w:p w:rsidR="00B813F0" w:rsidRDefault="00CB2AFA" w:rsidP="00EB0210">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a</w:t>
      </w:r>
      <w:proofErr w:type="gramEnd"/>
      <w:r w:rsidR="00542099" w:rsidRPr="004A7E84">
        <w:rPr>
          <w:rFonts w:cs="Arial"/>
          <w:sz w:val="16"/>
          <w:szCs w:val="18"/>
        </w:rPr>
        <w:t xml:space="preserve"> </w:t>
      </w:r>
      <w:r w:rsidR="00B813F0">
        <w:rPr>
          <w:rFonts w:cs="Arial"/>
          <w:sz w:val="16"/>
          <w:szCs w:val="18"/>
        </w:rPr>
        <w:t>GMT results were mode</w:t>
      </w:r>
      <w:r w:rsidR="00913D27">
        <w:rPr>
          <w:rFonts w:cs="Arial"/>
          <w:sz w:val="16"/>
          <w:szCs w:val="18"/>
        </w:rPr>
        <w:t>l</w:t>
      </w:r>
      <w:r w:rsidR="00B813F0">
        <w:rPr>
          <w:rFonts w:cs="Arial"/>
          <w:sz w:val="16"/>
          <w:szCs w:val="18"/>
        </w:rPr>
        <w:t>led on a multi-variable adjusted a</w:t>
      </w:r>
      <w:r w:rsidR="00B813F0" w:rsidRPr="00A26A6F">
        <w:rPr>
          <w:rFonts w:cs="Arial"/>
          <w:sz w:val="16"/>
          <w:szCs w:val="18"/>
        </w:rPr>
        <w:t xml:space="preserve">nalysis </w:t>
      </w:r>
      <w:r w:rsidR="00B813F0">
        <w:rPr>
          <w:rFonts w:cs="Arial"/>
          <w:sz w:val="16"/>
          <w:szCs w:val="18"/>
        </w:rPr>
        <w:t>including gender, vaccination history, pre-vaccination HI tite</w:t>
      </w:r>
      <w:r w:rsidR="00D21B69">
        <w:rPr>
          <w:rFonts w:cs="Arial"/>
          <w:sz w:val="16"/>
          <w:szCs w:val="18"/>
        </w:rPr>
        <w:t>r</w:t>
      </w:r>
      <w:r w:rsidR="00B813F0">
        <w:rPr>
          <w:rFonts w:cs="Arial"/>
          <w:sz w:val="16"/>
          <w:szCs w:val="18"/>
        </w:rPr>
        <w:t>s and other factors.</w:t>
      </w:r>
    </w:p>
    <w:p w:rsidR="00542099" w:rsidRPr="004A7E84" w:rsidRDefault="00B813F0" w:rsidP="00EB0210">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b</w:t>
      </w:r>
      <w:proofErr w:type="gramEnd"/>
      <w:r w:rsidRPr="004A7E84">
        <w:rPr>
          <w:rFonts w:cs="Arial"/>
          <w:sz w:val="16"/>
          <w:szCs w:val="18"/>
        </w:rPr>
        <w:t xml:space="preserve"> </w:t>
      </w:r>
      <w:r w:rsidR="00542099" w:rsidRPr="004A7E84">
        <w:rPr>
          <w:rFonts w:cs="Arial"/>
          <w:sz w:val="16"/>
          <w:szCs w:val="18"/>
        </w:rPr>
        <w:t xml:space="preserve">Seroconversion rate is defined as a 4-fold increase in post-vaccination HI antibody titer from pre-vaccination titer </w:t>
      </w:r>
      <w:r w:rsidR="00542099" w:rsidRPr="004A7E84">
        <w:rPr>
          <w:rFonts w:cs="Arial"/>
          <w:bCs/>
          <w:sz w:val="16"/>
          <w:szCs w:val="24"/>
          <w:lang w:val="en-GB"/>
        </w:rPr>
        <w:t xml:space="preserve">≥ </w:t>
      </w:r>
      <w:r w:rsidR="00542099" w:rsidRPr="004A7E84">
        <w:rPr>
          <w:rFonts w:cs="Arial"/>
          <w:sz w:val="16"/>
          <w:szCs w:val="18"/>
        </w:rPr>
        <w:t xml:space="preserve">1:10 or an increase in titer from &lt; 1:10 to </w:t>
      </w:r>
      <w:r w:rsidR="00542099" w:rsidRPr="004A7E84">
        <w:rPr>
          <w:rFonts w:cs="Arial"/>
          <w:sz w:val="16"/>
          <w:szCs w:val="24"/>
          <w:lang w:val="en-GB"/>
        </w:rPr>
        <w:t>≥ 1:40.</w:t>
      </w:r>
    </w:p>
    <w:p w:rsidR="00542099" w:rsidRPr="004A7E84" w:rsidRDefault="00B813F0" w:rsidP="00EB0210">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c</w:t>
      </w:r>
      <w:r w:rsidDel="00B813F0">
        <w:rPr>
          <w:rFonts w:cs="Arial"/>
          <w:sz w:val="16"/>
          <w:szCs w:val="18"/>
          <w:vertAlign w:val="superscript"/>
        </w:rPr>
        <w:t xml:space="preserve"> </w:t>
      </w:r>
      <w:r>
        <w:rPr>
          <w:rFonts w:cs="Arial"/>
          <w:sz w:val="16"/>
          <w:szCs w:val="18"/>
        </w:rPr>
        <w:t xml:space="preserve"> </w:t>
      </w:r>
      <w:r w:rsidR="00542099" w:rsidRPr="004A7E84">
        <w:rPr>
          <w:rFonts w:cs="Arial"/>
          <w:sz w:val="16"/>
          <w:szCs w:val="18"/>
        </w:rPr>
        <w:t>Non</w:t>
      </w:r>
      <w:proofErr w:type="gramEnd"/>
      <w:r w:rsidR="00542099" w:rsidRPr="004A7E84">
        <w:rPr>
          <w:rFonts w:cs="Arial"/>
          <w:sz w:val="16"/>
          <w:szCs w:val="18"/>
        </w:rPr>
        <w:t>-inferiority (NI) criteria for the GMT ratio: upper bound of 2-sided 95% CI on the ratio of Pooled TIV or TIV-1 (B Yamagata) or TIV-2 (B Victoria)/</w:t>
      </w:r>
      <w:r w:rsidR="00542099" w:rsidRPr="004A7E84">
        <w:rPr>
          <w:rFonts w:cs="Arial"/>
          <w:sz w:val="18"/>
        </w:rPr>
        <w:t xml:space="preserve"> </w:t>
      </w:r>
      <w:r w:rsidR="00887C04">
        <w:rPr>
          <w:rFonts w:cs="Arial"/>
          <w:sz w:val="16"/>
          <w:szCs w:val="18"/>
        </w:rPr>
        <w:t>Afluria</w:t>
      </w:r>
      <w:r w:rsidR="00DC4CEE">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r w:rsidR="00542099" w:rsidRPr="004A7E84">
        <w:rPr>
          <w:rFonts w:cs="Arial"/>
          <w:sz w:val="16"/>
          <w:szCs w:val="18"/>
        </w:rPr>
        <w:t xml:space="preserve">. GMT should not exceed 1.5.  NI criteria for the seroconversion rate (SCR) difference: upper bound of 2-sided 95% CI on the difference between SCR Pooled TIV </w:t>
      </w:r>
      <w:proofErr w:type="gramStart"/>
      <w:r w:rsidR="00542099" w:rsidRPr="004A7E84">
        <w:rPr>
          <w:rFonts w:cs="Arial"/>
          <w:sz w:val="16"/>
          <w:szCs w:val="18"/>
        </w:rPr>
        <w:t>or</w:t>
      </w:r>
      <w:proofErr w:type="gramEnd"/>
      <w:r w:rsidR="00542099" w:rsidRPr="004A7E84">
        <w:rPr>
          <w:rFonts w:cs="Arial"/>
          <w:sz w:val="16"/>
          <w:szCs w:val="18"/>
        </w:rPr>
        <w:t xml:space="preserve"> TIV-1 (B Yamagata) or TIV-2 (B Victoria) </w:t>
      </w:r>
      <w:r w:rsidR="00E0466E">
        <w:rPr>
          <w:rFonts w:cs="Arial"/>
          <w:sz w:val="16"/>
          <w:szCs w:val="18"/>
        </w:rPr>
        <w:t>minus</w:t>
      </w:r>
      <w:r w:rsidR="00E0466E" w:rsidRPr="004A7E84">
        <w:rPr>
          <w:rFonts w:cs="Arial"/>
          <w:sz w:val="16"/>
          <w:szCs w:val="18"/>
        </w:rPr>
        <w:t xml:space="preserve"> </w:t>
      </w:r>
      <w:r w:rsidR="00887C04">
        <w:rPr>
          <w:rFonts w:cs="Arial"/>
          <w:sz w:val="16"/>
          <w:szCs w:val="18"/>
        </w:rPr>
        <w:t>Afluria</w:t>
      </w:r>
      <w:r w:rsidR="00464578"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 xml:space="preserve">vaccine </w:t>
      </w:r>
      <w:r w:rsidR="00542099" w:rsidRPr="004A7E84">
        <w:rPr>
          <w:rFonts w:cs="Arial"/>
          <w:sz w:val="16"/>
          <w:szCs w:val="18"/>
        </w:rPr>
        <w:t xml:space="preserve">should not exceed 10%. </w:t>
      </w:r>
    </w:p>
    <w:p w:rsidR="00542099" w:rsidRPr="004A7E84"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d</w:t>
      </w:r>
      <w:r w:rsidDel="00B813F0">
        <w:rPr>
          <w:rFonts w:cs="Arial"/>
          <w:sz w:val="16"/>
          <w:szCs w:val="18"/>
          <w:vertAlign w:val="superscript"/>
        </w:rPr>
        <w:t xml:space="preserve"> </w:t>
      </w:r>
      <w:r>
        <w:rPr>
          <w:rFonts w:cs="Arial"/>
          <w:sz w:val="16"/>
          <w:szCs w:val="18"/>
        </w:rPr>
        <w:t xml:space="preserve"> </w:t>
      </w:r>
      <w:r w:rsidR="00464578">
        <w:rPr>
          <w:rFonts w:cs="Arial"/>
          <w:sz w:val="16"/>
          <w:szCs w:val="18"/>
        </w:rPr>
        <w:t>P</w:t>
      </w:r>
      <w:r w:rsidR="00542099" w:rsidRPr="004A7E84">
        <w:rPr>
          <w:rFonts w:cs="Arial"/>
          <w:sz w:val="16"/>
          <w:szCs w:val="18"/>
        </w:rPr>
        <w:t>ooled</w:t>
      </w:r>
      <w:proofErr w:type="gramEnd"/>
      <w:r w:rsidR="00542099" w:rsidRPr="004A7E84">
        <w:rPr>
          <w:rFonts w:cs="Arial"/>
          <w:sz w:val="16"/>
          <w:szCs w:val="18"/>
        </w:rPr>
        <w:t xml:space="preserve"> TIV/</w:t>
      </w:r>
      <w:r w:rsidR="00887C04">
        <w:rPr>
          <w:rFonts w:cs="Arial"/>
          <w:sz w:val="16"/>
          <w:szCs w:val="18"/>
        </w:rPr>
        <w:t>Afluria</w:t>
      </w:r>
      <w:r w:rsidR="00542099"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p>
    <w:p w:rsidR="00542099" w:rsidRPr="004A7E84"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e</w:t>
      </w:r>
      <w:r w:rsidDel="00B813F0">
        <w:rPr>
          <w:rFonts w:cs="Arial"/>
          <w:sz w:val="16"/>
          <w:szCs w:val="18"/>
          <w:vertAlign w:val="superscript"/>
        </w:rPr>
        <w:t xml:space="preserve"> </w:t>
      </w:r>
      <w:r>
        <w:rPr>
          <w:rFonts w:cs="Arial"/>
          <w:sz w:val="16"/>
          <w:szCs w:val="18"/>
        </w:rPr>
        <w:t xml:space="preserve"> </w:t>
      </w:r>
      <w:r w:rsidR="00542099" w:rsidRPr="004A7E84">
        <w:rPr>
          <w:rFonts w:cs="Arial"/>
          <w:sz w:val="16"/>
          <w:szCs w:val="18"/>
        </w:rPr>
        <w:t>TIV</w:t>
      </w:r>
      <w:proofErr w:type="gramEnd"/>
      <w:r w:rsidR="00542099" w:rsidRPr="004A7E84">
        <w:rPr>
          <w:rFonts w:cs="Arial"/>
          <w:sz w:val="16"/>
          <w:szCs w:val="18"/>
        </w:rPr>
        <w:t>-1 (B Yamagata)/</w:t>
      </w:r>
      <w:r w:rsidR="00887C04">
        <w:rPr>
          <w:rFonts w:cs="Arial"/>
          <w:sz w:val="16"/>
          <w:szCs w:val="18"/>
        </w:rPr>
        <w:t>Afluria</w:t>
      </w:r>
      <w:r w:rsidR="00542099" w:rsidRPr="004A7E84">
        <w:rPr>
          <w:rFonts w:cs="Arial"/>
          <w:sz w:val="16"/>
          <w:szCs w:val="18"/>
        </w:rPr>
        <w:t xml:space="preserve"> </w:t>
      </w:r>
      <w:proofErr w:type="spellStart"/>
      <w:r w:rsidR="00E43ADC">
        <w:rPr>
          <w:rFonts w:cs="Arial"/>
          <w:sz w:val="16"/>
          <w:szCs w:val="18"/>
        </w:rPr>
        <w:t>Quad</w:t>
      </w:r>
      <w:r w:rsidR="004072E0">
        <w:rPr>
          <w:rFonts w:cs="Arial"/>
          <w:sz w:val="16"/>
          <w:szCs w:val="18"/>
        </w:rPr>
        <w:t>™</w:t>
      </w:r>
      <w:r w:rsidR="00DC4CEE">
        <w:rPr>
          <w:rFonts w:cs="Arial"/>
          <w:sz w:val="16"/>
          <w:szCs w:val="18"/>
        </w:rPr>
        <w:t>vaccine</w:t>
      </w:r>
      <w:proofErr w:type="spellEnd"/>
    </w:p>
    <w:p w:rsidR="00542099" w:rsidRPr="004A7E84"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f</w:t>
      </w:r>
      <w:r w:rsidDel="00B813F0">
        <w:rPr>
          <w:rFonts w:cs="Arial"/>
          <w:sz w:val="16"/>
          <w:szCs w:val="18"/>
          <w:vertAlign w:val="superscript"/>
        </w:rPr>
        <w:t xml:space="preserve"> </w:t>
      </w:r>
      <w:r>
        <w:rPr>
          <w:rFonts w:cs="Arial"/>
          <w:sz w:val="16"/>
          <w:szCs w:val="18"/>
        </w:rPr>
        <w:t xml:space="preserve"> </w:t>
      </w:r>
      <w:r w:rsidR="00542099" w:rsidRPr="004A7E84">
        <w:rPr>
          <w:rFonts w:cs="Arial"/>
          <w:sz w:val="16"/>
          <w:szCs w:val="18"/>
        </w:rPr>
        <w:t>TIV</w:t>
      </w:r>
      <w:proofErr w:type="gramEnd"/>
      <w:r w:rsidR="00542099" w:rsidRPr="004A7E84">
        <w:rPr>
          <w:rFonts w:cs="Arial"/>
          <w:sz w:val="16"/>
          <w:szCs w:val="18"/>
        </w:rPr>
        <w:t>-2 (B Victoria)/</w:t>
      </w:r>
      <w:r w:rsidR="00887C04">
        <w:rPr>
          <w:rFonts w:cs="Arial"/>
          <w:sz w:val="16"/>
          <w:szCs w:val="18"/>
        </w:rPr>
        <w:t>Afluria</w:t>
      </w:r>
      <w:r w:rsidR="00542099"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p>
    <w:p w:rsidR="00542099" w:rsidRPr="004A7E84"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g</w:t>
      </w:r>
      <w:r w:rsidDel="00B813F0">
        <w:rPr>
          <w:rFonts w:cs="Arial"/>
          <w:sz w:val="16"/>
          <w:szCs w:val="18"/>
          <w:vertAlign w:val="superscript"/>
        </w:rPr>
        <w:t xml:space="preserve"> </w:t>
      </w:r>
      <w:r>
        <w:rPr>
          <w:rFonts w:cs="Arial"/>
          <w:sz w:val="16"/>
          <w:szCs w:val="18"/>
        </w:rPr>
        <w:t xml:space="preserve"> </w:t>
      </w:r>
      <w:r w:rsidR="00464578">
        <w:rPr>
          <w:rFonts w:cs="Arial"/>
          <w:sz w:val="16"/>
          <w:szCs w:val="18"/>
        </w:rPr>
        <w:t>Pooled</w:t>
      </w:r>
      <w:proofErr w:type="gramEnd"/>
      <w:r w:rsidR="00464578">
        <w:rPr>
          <w:rFonts w:cs="Arial"/>
          <w:sz w:val="16"/>
          <w:szCs w:val="18"/>
        </w:rPr>
        <w:t xml:space="preserve"> </w:t>
      </w:r>
      <w:r w:rsidR="00542099" w:rsidRPr="004A7E84">
        <w:rPr>
          <w:rFonts w:cs="Arial"/>
          <w:sz w:val="16"/>
          <w:szCs w:val="18"/>
        </w:rPr>
        <w:t xml:space="preserve">TIV - </w:t>
      </w:r>
      <w:r w:rsidR="00887C04">
        <w:rPr>
          <w:rFonts w:cs="Arial"/>
          <w:sz w:val="16"/>
          <w:szCs w:val="18"/>
        </w:rPr>
        <w:t>Afluria</w:t>
      </w:r>
      <w:r w:rsidR="00542099"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p>
    <w:p w:rsidR="00542099" w:rsidRPr="004A7E84"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h</w:t>
      </w:r>
      <w:r w:rsidDel="00B813F0">
        <w:rPr>
          <w:rFonts w:cs="Arial"/>
          <w:sz w:val="16"/>
          <w:szCs w:val="18"/>
          <w:vertAlign w:val="superscript"/>
        </w:rPr>
        <w:t xml:space="preserve"> </w:t>
      </w:r>
      <w:r>
        <w:rPr>
          <w:rFonts w:cs="Arial"/>
          <w:sz w:val="16"/>
          <w:szCs w:val="18"/>
        </w:rPr>
        <w:t xml:space="preserve"> </w:t>
      </w:r>
      <w:r w:rsidR="00542099" w:rsidRPr="004A7E84">
        <w:rPr>
          <w:rFonts w:cs="Arial"/>
          <w:sz w:val="16"/>
          <w:szCs w:val="18"/>
        </w:rPr>
        <w:t>TIV</w:t>
      </w:r>
      <w:proofErr w:type="gramEnd"/>
      <w:r w:rsidR="00542099" w:rsidRPr="004A7E84">
        <w:rPr>
          <w:rFonts w:cs="Arial"/>
          <w:sz w:val="16"/>
          <w:szCs w:val="18"/>
        </w:rPr>
        <w:t xml:space="preserve">-1 (B Yamagata) - </w:t>
      </w:r>
      <w:r w:rsidR="00887C04">
        <w:rPr>
          <w:rFonts w:cs="Arial"/>
          <w:sz w:val="16"/>
          <w:szCs w:val="18"/>
        </w:rPr>
        <w:t>Afluria</w:t>
      </w:r>
      <w:r w:rsidR="00542099"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p>
    <w:p w:rsidR="00542099" w:rsidRDefault="00B813F0" w:rsidP="00EB0210">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i</w:t>
      </w:r>
      <w:r>
        <w:rPr>
          <w:rFonts w:cs="Arial"/>
          <w:sz w:val="16"/>
          <w:szCs w:val="18"/>
        </w:rPr>
        <w:t xml:space="preserve"> </w:t>
      </w:r>
      <w:r w:rsidDel="00B813F0">
        <w:rPr>
          <w:rFonts w:cs="Arial"/>
          <w:sz w:val="16"/>
          <w:szCs w:val="18"/>
          <w:vertAlign w:val="superscript"/>
        </w:rPr>
        <w:t xml:space="preserve"> </w:t>
      </w:r>
      <w:r w:rsidR="00542099" w:rsidRPr="004A7E84">
        <w:rPr>
          <w:rFonts w:cs="Arial"/>
          <w:sz w:val="16"/>
          <w:szCs w:val="18"/>
        </w:rPr>
        <w:t>TIV</w:t>
      </w:r>
      <w:proofErr w:type="gramEnd"/>
      <w:r w:rsidR="00542099" w:rsidRPr="004A7E84">
        <w:rPr>
          <w:rFonts w:cs="Arial"/>
          <w:sz w:val="16"/>
          <w:szCs w:val="18"/>
        </w:rPr>
        <w:t xml:space="preserve">-2 (B Victoria) - </w:t>
      </w:r>
      <w:r w:rsidR="00887C04">
        <w:rPr>
          <w:rFonts w:cs="Arial"/>
          <w:sz w:val="16"/>
          <w:szCs w:val="18"/>
        </w:rPr>
        <w:t>Afluria</w:t>
      </w:r>
      <w:r w:rsidR="00542099" w:rsidRPr="004A7E84">
        <w:rPr>
          <w:rFonts w:cs="Arial"/>
          <w:sz w:val="16"/>
          <w:szCs w:val="18"/>
        </w:rPr>
        <w:t xml:space="preserve"> </w:t>
      </w:r>
      <w:r w:rsidR="00E43ADC">
        <w:rPr>
          <w:rFonts w:cs="Arial"/>
          <w:sz w:val="16"/>
          <w:szCs w:val="18"/>
        </w:rPr>
        <w:t>Quad</w:t>
      </w:r>
      <w:r w:rsidR="004072E0">
        <w:rPr>
          <w:rFonts w:cs="Arial"/>
          <w:sz w:val="16"/>
          <w:szCs w:val="18"/>
        </w:rPr>
        <w:t>™</w:t>
      </w:r>
      <w:r w:rsidR="00E43ADC">
        <w:rPr>
          <w:rFonts w:cs="Arial"/>
          <w:sz w:val="16"/>
          <w:szCs w:val="18"/>
        </w:rPr>
        <w:t xml:space="preserve"> </w:t>
      </w:r>
      <w:r w:rsidR="00DC4CEE">
        <w:rPr>
          <w:rFonts w:cs="Arial"/>
          <w:sz w:val="16"/>
          <w:szCs w:val="18"/>
        </w:rPr>
        <w:t>vaccine</w:t>
      </w:r>
    </w:p>
    <w:p w:rsidR="00BB054F" w:rsidRDefault="00BB054F">
      <w:pPr>
        <w:widowControl/>
        <w:spacing w:line="240" w:lineRule="auto"/>
        <w:jc w:val="left"/>
        <w:rPr>
          <w:rFonts w:ascii="Times New Roman Bold" w:hAnsi="Times New Roman Bold"/>
          <w:b/>
          <w:bCs/>
          <w:sz w:val="24"/>
        </w:rPr>
      </w:pPr>
      <w:r>
        <w:rPr>
          <w:rFonts w:ascii="Times New Roman Bold" w:hAnsi="Times New Roman Bold"/>
          <w:b/>
          <w:bCs/>
          <w:sz w:val="24"/>
        </w:rPr>
        <w:br w:type="page"/>
      </w:r>
    </w:p>
    <w:p w:rsidR="00650714" w:rsidRDefault="00650714" w:rsidP="000961FF">
      <w:pPr>
        <w:pStyle w:val="Heading1"/>
      </w:pPr>
      <w:r>
        <w:lastRenderedPageBreak/>
        <w:t>INDICATIONS</w:t>
      </w:r>
    </w:p>
    <w:p w:rsidR="00F8484E" w:rsidRPr="00976D03" w:rsidRDefault="00B177EF" w:rsidP="000961FF">
      <w:r w:rsidRPr="00B177EF">
        <w:t>For the prevention of influenza caused by Influenza Virus, Types A and B</w:t>
      </w:r>
      <w:r w:rsidR="003F6877">
        <w:t xml:space="preserve"> contained in the vaccine</w:t>
      </w:r>
      <w:r>
        <w:t>.</w:t>
      </w:r>
      <w:r w:rsidR="00F8484E" w:rsidRPr="00282FE1">
        <w:t xml:space="preserve"> </w:t>
      </w:r>
      <w:r w:rsidR="00EA0E34">
        <w:t>T</w:t>
      </w:r>
      <w:r w:rsidR="00EA0E34" w:rsidRPr="00976D03">
        <w:t xml:space="preserve">he </w:t>
      </w:r>
      <w:r w:rsidR="00F8484E" w:rsidRPr="00976D03">
        <w:t xml:space="preserve">vaccine is indicated for use only in persons aged </w:t>
      </w:r>
      <w:r w:rsidR="004035A2">
        <w:t>18</w:t>
      </w:r>
      <w:r w:rsidR="00F8484E" w:rsidRPr="00976D03">
        <w:t xml:space="preserve"> years and over. </w:t>
      </w:r>
    </w:p>
    <w:p w:rsidR="00F8484E" w:rsidRPr="00976D03" w:rsidRDefault="00F8484E" w:rsidP="000961FF">
      <w:r w:rsidRPr="00976D03">
        <w:t xml:space="preserve">See Precautions and Dosage and Administration. </w:t>
      </w:r>
    </w:p>
    <w:p w:rsidR="00F03BAC" w:rsidRDefault="00F03BAC" w:rsidP="000961FF">
      <w:pPr>
        <w:rPr>
          <w:lang w:val="en-AU"/>
        </w:rPr>
      </w:pPr>
    </w:p>
    <w:p w:rsidR="00F03BAC" w:rsidRDefault="00F03BAC" w:rsidP="000961FF">
      <w:pPr>
        <w:rPr>
          <w:lang w:val="en-AU"/>
        </w:rPr>
      </w:pPr>
      <w:r>
        <w:rPr>
          <w:lang w:val="en-AU"/>
        </w:rPr>
        <w:t xml:space="preserve">For full details </w:t>
      </w:r>
      <w:r w:rsidR="007112F8">
        <w:rPr>
          <w:lang w:val="en-AU"/>
        </w:rPr>
        <w:t xml:space="preserve">regarding </w:t>
      </w:r>
      <w:r>
        <w:rPr>
          <w:lang w:val="en-AU"/>
        </w:rPr>
        <w:t>recommendations for influenza vaccination, please refer to the relevant national immunisation guidelines.</w:t>
      </w:r>
    </w:p>
    <w:p w:rsidR="00B32B4D" w:rsidRDefault="00B32B4D" w:rsidP="000961FF">
      <w:pPr>
        <w:rPr>
          <w:lang w:val="en-AU"/>
        </w:rPr>
      </w:pPr>
    </w:p>
    <w:p w:rsidR="00F54CB2" w:rsidRPr="00B81ECB" w:rsidRDefault="00650714" w:rsidP="000961FF">
      <w:pPr>
        <w:pStyle w:val="Heading1"/>
      </w:pPr>
      <w:r>
        <w:t>CONTRAINDICATIONS</w:t>
      </w:r>
    </w:p>
    <w:p w:rsidR="00BA4AEC" w:rsidRDefault="00887C04" w:rsidP="000961FF">
      <w:pPr>
        <w:rPr>
          <w:lang w:val="en-AU"/>
        </w:rPr>
      </w:pPr>
      <w:r>
        <w:t>Afluria</w:t>
      </w:r>
      <w:r w:rsidR="00BA4AEC">
        <w:t xml:space="preserve"> </w:t>
      </w:r>
      <w:r w:rsidR="00E43ADC">
        <w:t>Quad</w:t>
      </w:r>
      <w:r w:rsidR="00496B46">
        <w:rPr>
          <w:rFonts w:cs="Arial"/>
        </w:rPr>
        <w:t>™</w:t>
      </w:r>
      <w:r w:rsidR="00E43ADC">
        <w:t xml:space="preserve"> </w:t>
      </w:r>
      <w:r w:rsidR="00DC4CEE">
        <w:t xml:space="preserve">vaccine </w:t>
      </w:r>
      <w:r w:rsidR="00BA4AEC">
        <w:t xml:space="preserve">is contraindicated in </w:t>
      </w:r>
      <w:r w:rsidR="00BA4AEC" w:rsidRPr="000859AE">
        <w:t xml:space="preserve">children &lt; 18 years </w:t>
      </w:r>
      <w:r w:rsidR="00BA4AEC">
        <w:t xml:space="preserve">because the </w:t>
      </w:r>
      <w:r w:rsidR="00BA4AEC" w:rsidRPr="000859AE">
        <w:t xml:space="preserve">safety and efficacy </w:t>
      </w:r>
      <w:r w:rsidR="00BA4AEC">
        <w:t xml:space="preserve">in this age group </w:t>
      </w:r>
      <w:r w:rsidR="00BA4AEC" w:rsidRPr="000859AE">
        <w:t>has not been established.</w:t>
      </w:r>
    </w:p>
    <w:p w:rsidR="005811ED" w:rsidRPr="005811ED"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iCs/>
          <w:color w:val="000000"/>
          <w:lang w:val="en-AU"/>
        </w:rPr>
        <w:t>Afluria</w:t>
      </w:r>
      <w:r w:rsidR="00464578" w:rsidRPr="003941F9">
        <w:rPr>
          <w:iCs/>
          <w:color w:val="000000"/>
          <w:lang w:val="en-AU"/>
        </w:rPr>
        <w:t xml:space="preserve"> </w:t>
      </w:r>
      <w:r w:rsidR="00E43ADC">
        <w:rPr>
          <w:iCs/>
          <w:color w:val="000000"/>
          <w:lang w:val="en-AU"/>
        </w:rPr>
        <w:t>Quad</w:t>
      </w:r>
      <w:r w:rsidR="00496B46">
        <w:rPr>
          <w:rFonts w:cs="Arial"/>
          <w:iCs/>
          <w:color w:val="000000"/>
          <w:lang w:val="en-AU"/>
        </w:rPr>
        <w:t>™</w:t>
      </w:r>
      <w:r w:rsidR="00E43ADC">
        <w:rPr>
          <w:iCs/>
          <w:color w:val="000000"/>
          <w:lang w:val="en-AU"/>
        </w:rPr>
        <w:t xml:space="preserve"> </w:t>
      </w:r>
      <w:r w:rsidR="00DC4CEE">
        <w:rPr>
          <w:iCs/>
          <w:color w:val="000000"/>
          <w:lang w:val="en-AU"/>
        </w:rPr>
        <w:t xml:space="preserve">vaccine </w:t>
      </w:r>
      <w:r w:rsidR="00733B8B" w:rsidRPr="003941F9">
        <w:rPr>
          <w:iCs/>
          <w:color w:val="000000"/>
          <w:lang w:val="en-AU"/>
        </w:rPr>
        <w:t xml:space="preserve">is contraindicated in individuals with history of </w:t>
      </w:r>
      <w:r w:rsidR="00035019">
        <w:rPr>
          <w:iCs/>
          <w:color w:val="000000"/>
          <w:lang w:val="en-AU"/>
        </w:rPr>
        <w:t>h</w:t>
      </w:r>
      <w:r w:rsidR="00035019" w:rsidRPr="00035019">
        <w:rPr>
          <w:iCs/>
          <w:color w:val="000000"/>
          <w:lang w:val="en-AU"/>
        </w:rPr>
        <w:t>ypersensitivity to egg protein or any of the constituents or trace residues of this vaccine</w:t>
      </w:r>
      <w:r w:rsidR="00035019">
        <w:rPr>
          <w:iCs/>
          <w:color w:val="000000"/>
          <w:lang w:val="en-AU"/>
        </w:rPr>
        <w:t>.</w:t>
      </w:r>
      <w:r w:rsidR="00035019" w:rsidRPr="00035019" w:rsidDel="006C7ED8">
        <w:rPr>
          <w:iCs/>
          <w:color w:val="000000"/>
          <w:lang w:val="en-AU"/>
        </w:rPr>
        <w:t xml:space="preserve"> </w:t>
      </w:r>
    </w:p>
    <w:p w:rsidR="00650714" w:rsidRDefault="00035019" w:rsidP="000961FF">
      <w:pPr>
        <w:rPr>
          <w:lang w:val="en-AU"/>
        </w:rPr>
      </w:pPr>
      <w:r w:rsidRPr="00035019">
        <w:rPr>
          <w:lang w:val="en-AU"/>
        </w:rPr>
        <w:t xml:space="preserve">Immunization should generally </w:t>
      </w:r>
      <w:r w:rsidR="009B2702">
        <w:rPr>
          <w:lang w:val="en-AU"/>
        </w:rPr>
        <w:t xml:space="preserve">be </w:t>
      </w:r>
      <w:r w:rsidRPr="00035019">
        <w:rPr>
          <w:lang w:val="en-AU"/>
        </w:rPr>
        <w:t>postponed in individuals having a febrile illness or acute infection</w:t>
      </w:r>
      <w:r w:rsidR="00916728">
        <w:rPr>
          <w:lang w:val="en-AU"/>
        </w:rPr>
        <w:t xml:space="preserve">. </w:t>
      </w:r>
    </w:p>
    <w:p w:rsidR="00485377" w:rsidRDefault="00485377" w:rsidP="000961FF">
      <w:pPr>
        <w:rPr>
          <w:lang w:val="en-AU"/>
        </w:rPr>
      </w:pPr>
    </w:p>
    <w:p w:rsidR="00650714" w:rsidRDefault="00650714" w:rsidP="000961FF">
      <w:pPr>
        <w:pStyle w:val="Heading1"/>
      </w:pPr>
      <w:r>
        <w:t>PRECAUTIONS</w:t>
      </w:r>
    </w:p>
    <w:p w:rsidR="003E64F6" w:rsidRDefault="003E64F6" w:rsidP="00315B63">
      <w:pPr>
        <w:pStyle w:val="BodyText"/>
        <w:spacing w:line="360" w:lineRule="auto"/>
      </w:pPr>
      <w:r w:rsidRPr="000859AE">
        <w:t xml:space="preserve">The safety and efficacy of </w:t>
      </w:r>
      <w:r w:rsidR="00887C04">
        <w:t>Afluria</w:t>
      </w:r>
      <w:r>
        <w:t xml:space="preserve"> </w:t>
      </w:r>
      <w:r w:rsidR="00E43ADC">
        <w:t>Quad</w:t>
      </w:r>
      <w:r w:rsidR="00496B46">
        <w:rPr>
          <w:rFonts w:cs="Arial"/>
        </w:rPr>
        <w:t>™</w:t>
      </w:r>
      <w:r w:rsidR="00E43ADC">
        <w:t xml:space="preserve"> </w:t>
      </w:r>
      <w:r w:rsidR="00DC4CEE">
        <w:t xml:space="preserve">vaccine </w:t>
      </w:r>
      <w:r w:rsidRPr="000859AE">
        <w:t>in children &lt; 18 years has not been established in clinical trials.</w:t>
      </w:r>
    </w:p>
    <w:p w:rsidR="00CC227C" w:rsidRPr="00AD28DA" w:rsidRDefault="00CC227C" w:rsidP="00CC227C">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rsidRPr="00AD28DA">
        <w:t xml:space="preserve">Administration of </w:t>
      </w:r>
      <w:r>
        <w:t>the</w:t>
      </w:r>
      <w:r w:rsidRPr="00AD28DA">
        <w:t xml:space="preserve"> 2010 </w:t>
      </w:r>
      <w:proofErr w:type="spellStart"/>
      <w:r>
        <w:rPr>
          <w:lang w:val="en-AU"/>
        </w:rPr>
        <w:t>Fluvax</w:t>
      </w:r>
      <w:proofErr w:type="spellEnd"/>
      <w:r w:rsidRPr="00E00A61">
        <w:rPr>
          <w:rFonts w:cs="Arial"/>
          <w:vertAlign w:val="superscript"/>
        </w:rPr>
        <w:sym w:font="Symbol" w:char="F0D2"/>
      </w:r>
      <w:r>
        <w:rPr>
          <w:lang w:val="en-AU"/>
        </w:rPr>
        <w:t xml:space="preserve"> TIV </w:t>
      </w:r>
      <w:r w:rsidRPr="00AD28DA">
        <w:t xml:space="preserve">was associated with increased rates of fever and febrile </w:t>
      </w:r>
      <w:r w:rsidR="00F2216A">
        <w:t>convulsions</w:t>
      </w:r>
      <w:r w:rsidRPr="00AD28DA">
        <w:t>, predominantly in children below the age of 5 years as compared to previous years</w:t>
      </w:r>
      <w:r w:rsidRPr="00AD28DA">
        <w:rPr>
          <w:bCs/>
        </w:rPr>
        <w:t>.</w:t>
      </w:r>
    </w:p>
    <w:p w:rsidR="003E64F6" w:rsidRDefault="003E64F6" w:rsidP="00315B63">
      <w:pPr>
        <w:pStyle w:val="BodyText"/>
        <w:spacing w:line="360" w:lineRule="auto"/>
      </w:pPr>
    </w:p>
    <w:p w:rsidR="00650714" w:rsidRDefault="00650714" w:rsidP="00315B63">
      <w:pPr>
        <w:pStyle w:val="BodyText"/>
        <w:spacing w:line="360" w:lineRule="auto"/>
      </w:pPr>
      <w:r>
        <w:t xml:space="preserve">As with other injectable vaccines, appropriate medical treatment and supervision should always be available </w:t>
      </w:r>
      <w:r w:rsidR="00E2499D">
        <w:t>to manage the rare event of</w:t>
      </w:r>
      <w:r>
        <w:t xml:space="preserve"> </w:t>
      </w:r>
      <w:r w:rsidR="00E2499D">
        <w:t xml:space="preserve">an </w:t>
      </w:r>
      <w:r>
        <w:t>anaphylactic reaction</w:t>
      </w:r>
      <w:r w:rsidR="00733B8B">
        <w:t xml:space="preserve"> following administration of the vaccine.</w:t>
      </w:r>
      <w:r w:rsidR="00733B8B" w:rsidRPr="00EB6055">
        <w:t xml:space="preserve"> </w:t>
      </w:r>
      <w:r w:rsidR="00BA4AEC">
        <w:t xml:space="preserve">Adrenaline should always be ready for immediate use whenever any injection is given. </w:t>
      </w:r>
    </w:p>
    <w:p w:rsidR="00F54CB2" w:rsidRDefault="00F54CB2" w:rsidP="00A02F2B">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240" w:lineRule="auto"/>
        <w:rPr>
          <w:strike/>
          <w:lang w:val="en-AU"/>
        </w:rPr>
      </w:pPr>
    </w:p>
    <w:p w:rsidR="00F241FB" w:rsidRDefault="00F241FB"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 xml:space="preserve">In immunocompromised patients the antibody response may be lower. </w:t>
      </w:r>
    </w:p>
    <w:p w:rsidR="00D426AF" w:rsidRDefault="00D426AF" w:rsidP="00535453"/>
    <w:p w:rsidR="00310004" w:rsidRPr="00310004" w:rsidRDefault="00BA4AEC" w:rsidP="00310004">
      <w:pPr>
        <w:rPr>
          <w:lang w:val="en-GB"/>
        </w:rPr>
      </w:pPr>
      <w:r>
        <w:t xml:space="preserve">If Guillain-Barré syndrome has occurred within 6 weeks of previous influenza vaccination, the decision to give </w:t>
      </w:r>
      <w:r w:rsidR="00887C04">
        <w:t>Afluria</w:t>
      </w:r>
      <w:r>
        <w:t xml:space="preserve"> </w:t>
      </w:r>
      <w:r w:rsidR="00E43ADC">
        <w:t>Quad</w:t>
      </w:r>
      <w:r w:rsidR="00496B46">
        <w:rPr>
          <w:rFonts w:cs="Arial"/>
        </w:rPr>
        <w:t>™</w:t>
      </w:r>
      <w:r w:rsidR="00E43ADC">
        <w:t xml:space="preserve"> </w:t>
      </w:r>
      <w:r>
        <w:t xml:space="preserve">vaccine should be based on careful consideration of the potential benefits and risks. </w:t>
      </w:r>
    </w:p>
    <w:p w:rsidR="00310004" w:rsidRDefault="00310004" w:rsidP="00535453"/>
    <w:p w:rsidR="00B35FED" w:rsidRPr="002E0A15" w:rsidRDefault="00B35FED" w:rsidP="000961FF">
      <w:pPr>
        <w:pStyle w:val="Heading2"/>
        <w:rPr>
          <w:caps/>
        </w:rPr>
      </w:pPr>
      <w:r w:rsidRPr="002E0A15">
        <w:t>Effects on Fertility</w:t>
      </w:r>
    </w:p>
    <w:p w:rsidR="00B641E9" w:rsidRDefault="00887C04" w:rsidP="003F687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B641E9">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00E0466E" w:rsidRPr="00E0466E">
        <w:rPr>
          <w:lang w:val="en-AU"/>
        </w:rPr>
        <w:t xml:space="preserve">has not been evaluated for possible effect on fertility. </w:t>
      </w:r>
    </w:p>
    <w:p w:rsidR="00B20E02" w:rsidRDefault="00B20E02" w:rsidP="00D648A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240" w:lineRule="auto"/>
        <w:rPr>
          <w:lang w:val="en-AU"/>
        </w:rPr>
      </w:pPr>
    </w:p>
    <w:p w:rsidR="00B641E9" w:rsidRDefault="00B641E9" w:rsidP="003F687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 xml:space="preserve">A reproductive study of female rats vaccinated with </w:t>
      </w:r>
      <w:proofErr w:type="spellStart"/>
      <w:r>
        <w:rPr>
          <w:lang w:val="en-AU"/>
        </w:rPr>
        <w:t>Fluvax</w:t>
      </w:r>
      <w:proofErr w:type="spellEnd"/>
      <w:r w:rsidR="00485377" w:rsidRPr="00E00A61">
        <w:rPr>
          <w:rFonts w:cs="Arial"/>
          <w:vertAlign w:val="superscript"/>
        </w:rPr>
        <w:sym w:font="Symbol" w:char="F0D2"/>
      </w:r>
      <w:r>
        <w:rPr>
          <w:lang w:val="en-AU"/>
        </w:rPr>
        <w:t xml:space="preserve"> TIV revealed no impairment of fertility. </w:t>
      </w:r>
    </w:p>
    <w:p w:rsidR="00485377" w:rsidRPr="00A05567" w:rsidRDefault="00485377" w:rsidP="003F687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F54CB2" w:rsidRPr="00535453" w:rsidRDefault="004C048E" w:rsidP="000961FF">
      <w:pPr>
        <w:pStyle w:val="Heading2"/>
        <w:rPr>
          <w:caps/>
        </w:rPr>
      </w:pPr>
      <w:r w:rsidRPr="00535453">
        <w:t>Use in Pregna</w:t>
      </w:r>
      <w:r w:rsidR="007E7C31" w:rsidRPr="00535453">
        <w:t>n</w:t>
      </w:r>
      <w:r w:rsidRPr="00535453">
        <w:t>cy</w:t>
      </w:r>
      <w:r w:rsidR="005C5A81" w:rsidRPr="00535453">
        <w:t xml:space="preserve">: </w:t>
      </w:r>
      <w:r w:rsidR="00650714" w:rsidRPr="00535453">
        <w:t>Category B2</w:t>
      </w:r>
    </w:p>
    <w:p w:rsidR="00733B8B" w:rsidRDefault="00733B8B" w:rsidP="00733B8B">
      <w:pPr>
        <w:widowControl/>
        <w:jc w:val="left"/>
        <w:rPr>
          <w:lang w:val="en-AU"/>
        </w:rPr>
      </w:pPr>
      <w:r w:rsidRPr="00605B8F">
        <w:rPr>
          <w:lang w:val="en-AU"/>
        </w:rPr>
        <w:t xml:space="preserve">The safety and effectiveness of </w:t>
      </w:r>
      <w:r w:rsidR="00887C04">
        <w:rPr>
          <w:lang w:val="en-AU"/>
        </w:rPr>
        <w:t>Afluria</w:t>
      </w:r>
      <w:r w:rsidR="00464578" w:rsidRPr="00605B8F">
        <w:rPr>
          <w:lang w:val="en-AU"/>
        </w:rPr>
        <w:t xml:space="preserve"> </w:t>
      </w:r>
      <w:r w:rsidR="00504C71">
        <w:rPr>
          <w:lang w:val="en-AU"/>
        </w:rPr>
        <w:t>Quad</w:t>
      </w:r>
      <w:r w:rsidR="00496B46">
        <w:rPr>
          <w:rFonts w:cs="Arial"/>
          <w:lang w:val="en-AU"/>
        </w:rPr>
        <w:t>™</w:t>
      </w:r>
      <w:r w:rsidR="00DC4CEE">
        <w:rPr>
          <w:lang w:val="en-AU"/>
        </w:rPr>
        <w:t xml:space="preserve"> vaccine </w:t>
      </w:r>
      <w:r w:rsidRPr="00605B8F">
        <w:rPr>
          <w:lang w:val="en-AU"/>
        </w:rPr>
        <w:t>has not be</w:t>
      </w:r>
      <w:r w:rsidR="00916728">
        <w:rPr>
          <w:lang w:val="en-AU"/>
        </w:rPr>
        <w:t>en</w:t>
      </w:r>
      <w:r w:rsidRPr="00605B8F">
        <w:rPr>
          <w:lang w:val="en-AU"/>
        </w:rPr>
        <w:t xml:space="preserve"> established in pregnant women. Therefore, careful consideration should be made regarding the benefits and risks prior to administration of </w:t>
      </w:r>
      <w:r w:rsidR="00887C04">
        <w:rPr>
          <w:lang w:val="en-AU"/>
        </w:rPr>
        <w:t>Afluria</w:t>
      </w:r>
      <w:r w:rsidR="00464578" w:rsidRPr="00605B8F">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Pr="00605B8F">
        <w:rPr>
          <w:lang w:val="en-AU"/>
        </w:rPr>
        <w:t>to women who are pregnant, or plan to become pregnant.</w:t>
      </w:r>
    </w:p>
    <w:p w:rsidR="00B20E02" w:rsidRDefault="00B20E02" w:rsidP="00D648A2">
      <w:pPr>
        <w:widowControl/>
        <w:spacing w:line="240" w:lineRule="auto"/>
        <w:jc w:val="left"/>
        <w:rPr>
          <w:lang w:val="en-AU"/>
        </w:rPr>
      </w:pPr>
    </w:p>
    <w:p w:rsidR="00A05567" w:rsidRDefault="00D017A6" w:rsidP="00A0556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D017A6">
        <w:rPr>
          <w:lang w:val="en-AU"/>
        </w:rPr>
        <w:t xml:space="preserve">No embryofetal development study has been conducted with </w:t>
      </w:r>
      <w:r w:rsidR="00887C04">
        <w:rPr>
          <w:lang w:val="en-AU"/>
        </w:rPr>
        <w:t>Afluria</w:t>
      </w:r>
      <w:r w:rsidR="00DC4CEE">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vaccine</w:t>
      </w:r>
      <w:r w:rsidRPr="00D017A6">
        <w:rPr>
          <w:lang w:val="en-AU"/>
        </w:rPr>
        <w:t>.</w:t>
      </w:r>
      <w:r>
        <w:rPr>
          <w:lang w:val="en-AU"/>
        </w:rPr>
        <w:t xml:space="preserve">  </w:t>
      </w:r>
      <w:r w:rsidR="00A05567" w:rsidRPr="00A05567">
        <w:rPr>
          <w:lang w:val="en-AU"/>
        </w:rPr>
        <w:t xml:space="preserve">An animal reproduction study has been conducted with </w:t>
      </w:r>
      <w:proofErr w:type="spellStart"/>
      <w:r w:rsidR="000859AE">
        <w:rPr>
          <w:lang w:val="en-AU"/>
        </w:rPr>
        <w:t>Fluvax</w:t>
      </w:r>
      <w:proofErr w:type="spellEnd"/>
      <w:r w:rsidR="00485377" w:rsidRPr="00E00A61">
        <w:rPr>
          <w:rFonts w:cs="Arial"/>
          <w:vertAlign w:val="superscript"/>
        </w:rPr>
        <w:sym w:font="Symbol" w:char="F0D2"/>
      </w:r>
      <w:r w:rsidR="00485377">
        <w:rPr>
          <w:lang w:val="en-AU"/>
        </w:rPr>
        <w:t xml:space="preserve"> </w:t>
      </w:r>
      <w:r w:rsidR="000859AE">
        <w:rPr>
          <w:lang w:val="en-AU"/>
        </w:rPr>
        <w:t>TIV.</w:t>
      </w:r>
      <w:r w:rsidR="00A05567" w:rsidRPr="00A05567">
        <w:rPr>
          <w:lang w:val="en-AU"/>
        </w:rPr>
        <w:t xml:space="preserve"> This study did not demonstrate any maternal or developmental toxicity.</w:t>
      </w:r>
    </w:p>
    <w:p w:rsidR="00485377" w:rsidRPr="00A05567" w:rsidRDefault="00485377" w:rsidP="00A0556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761F8A" w:rsidRPr="00535453" w:rsidRDefault="00761F8A" w:rsidP="000961FF">
      <w:pPr>
        <w:pStyle w:val="Heading2"/>
      </w:pPr>
      <w:r w:rsidRPr="00535453">
        <w:t xml:space="preserve">Use in Lactation </w:t>
      </w:r>
    </w:p>
    <w:p w:rsidR="00B35FED" w:rsidRDefault="000859AE"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0859AE">
        <w:rPr>
          <w:lang w:val="en-AU"/>
        </w:rPr>
        <w:t xml:space="preserve">The safety and effectiveness of </w:t>
      </w:r>
      <w:r w:rsidR="00887C04">
        <w:rPr>
          <w:lang w:val="en-AU"/>
        </w:rPr>
        <w:t>Afluria</w:t>
      </w:r>
      <w:r w:rsidR="00485377">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Pr="000859AE">
        <w:rPr>
          <w:lang w:val="en-AU"/>
        </w:rPr>
        <w:t>has not been established in nursing mothers.</w:t>
      </w:r>
    </w:p>
    <w:p w:rsidR="00485377" w:rsidRDefault="00485377"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B35FED" w:rsidRPr="002E0A15" w:rsidRDefault="00B35FED" w:rsidP="000961FF">
      <w:pPr>
        <w:pStyle w:val="Heading2"/>
      </w:pPr>
      <w:r w:rsidRPr="002E0A15">
        <w:t xml:space="preserve">Paediatric </w:t>
      </w:r>
      <w:r w:rsidRPr="00B35FED">
        <w:t>Use</w:t>
      </w:r>
    </w:p>
    <w:p w:rsidR="00B5351E"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85377">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00F115AF">
        <w:rPr>
          <w:lang w:val="en-AU"/>
        </w:rPr>
        <w:t xml:space="preserve">was not administered </w:t>
      </w:r>
      <w:r w:rsidR="000859AE" w:rsidRPr="000859AE">
        <w:rPr>
          <w:lang w:val="en-AU"/>
        </w:rPr>
        <w:t xml:space="preserve">in children &lt; 18 years </w:t>
      </w:r>
      <w:r w:rsidR="00F115AF">
        <w:rPr>
          <w:lang w:val="en-AU"/>
        </w:rPr>
        <w:t xml:space="preserve">of age in </w:t>
      </w:r>
      <w:r w:rsidR="00F115AF">
        <w:t>QIV-01</w:t>
      </w:r>
      <w:r w:rsidR="000859AE" w:rsidRPr="000859AE">
        <w:rPr>
          <w:lang w:val="en-AU"/>
        </w:rPr>
        <w:t xml:space="preserve">. </w:t>
      </w:r>
    </w:p>
    <w:p w:rsidR="00485377" w:rsidRDefault="00485377"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B35FED" w:rsidRPr="002E0A15" w:rsidRDefault="00B35FED" w:rsidP="000961FF">
      <w:pPr>
        <w:pStyle w:val="Heading2"/>
      </w:pPr>
      <w:r w:rsidRPr="002E0A15">
        <w:t xml:space="preserve">Use </w:t>
      </w:r>
      <w:r w:rsidRPr="00B35FED">
        <w:t>in the Elderly</w:t>
      </w:r>
    </w:p>
    <w:p w:rsidR="00B35FED" w:rsidRDefault="00B5351E"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The s</w:t>
      </w:r>
      <w:r w:rsidRPr="00B5351E">
        <w:rPr>
          <w:lang w:val="en-AU"/>
        </w:rPr>
        <w:t xml:space="preserve">afety and immunogenicity of </w:t>
      </w:r>
      <w:r w:rsidR="00887C04">
        <w:rPr>
          <w:lang w:val="en-AU"/>
        </w:rPr>
        <w:t>Afluria</w:t>
      </w:r>
      <w:r w:rsidR="00464578">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Pr="00B5351E">
        <w:rPr>
          <w:lang w:val="en-AU"/>
        </w:rPr>
        <w:t xml:space="preserve">was evaluated in </w:t>
      </w:r>
      <w:proofErr w:type="gramStart"/>
      <w:r w:rsidRPr="00B5351E">
        <w:rPr>
          <w:lang w:val="en-AU"/>
        </w:rPr>
        <w:t>adults</w:t>
      </w:r>
      <w:proofErr w:type="gramEnd"/>
      <w:r w:rsidRPr="00B5351E">
        <w:rPr>
          <w:lang w:val="en-AU"/>
        </w:rPr>
        <w:t xml:space="preserve"> </w:t>
      </w:r>
      <w:r w:rsidR="00535453" w:rsidRPr="00B5351E">
        <w:rPr>
          <w:lang w:val="en-AU"/>
        </w:rPr>
        <w:t xml:space="preserve">≥ </w:t>
      </w:r>
      <w:r w:rsidRPr="00B5351E">
        <w:rPr>
          <w:lang w:val="en-AU"/>
        </w:rPr>
        <w:t>65 years</w:t>
      </w:r>
      <w:r w:rsidR="00BF12B4">
        <w:rPr>
          <w:lang w:val="en-AU"/>
        </w:rPr>
        <w:t xml:space="preserve"> in QIV-01</w:t>
      </w:r>
      <w:r w:rsidRPr="00B5351E">
        <w:rPr>
          <w:lang w:val="en-AU"/>
        </w:rPr>
        <w:t xml:space="preserve"> (See </w:t>
      </w:r>
      <w:r w:rsidR="001A7C75" w:rsidRPr="00D648A2">
        <w:rPr>
          <w:b/>
          <w:lang w:val="en-AU"/>
        </w:rPr>
        <w:t>ADVERSE EFFECTS</w:t>
      </w:r>
      <w:r w:rsidR="001658F4">
        <w:rPr>
          <w:lang w:val="en-AU"/>
        </w:rPr>
        <w:t xml:space="preserve"> and </w:t>
      </w:r>
      <w:r w:rsidRPr="002E0A15">
        <w:rPr>
          <w:b/>
          <w:lang w:val="en-AU"/>
        </w:rPr>
        <w:t>CLINICAL TRIALS</w:t>
      </w:r>
      <w:r w:rsidRPr="00B5351E">
        <w:rPr>
          <w:lang w:val="en-AU"/>
        </w:rPr>
        <w:t xml:space="preserve">). </w:t>
      </w:r>
      <w:r w:rsidR="007F4474">
        <w:rPr>
          <w:lang w:val="en-AU"/>
        </w:rPr>
        <w:t>There were 541 enrolled subjects</w:t>
      </w:r>
      <w:r w:rsidR="003917F9">
        <w:rPr>
          <w:lang w:val="en-AU"/>
        </w:rPr>
        <w:t xml:space="preserve"> </w:t>
      </w:r>
      <w:r w:rsidR="00E0466E">
        <w:rPr>
          <w:lang w:val="en-AU"/>
        </w:rPr>
        <w:t xml:space="preserve">aged </w:t>
      </w:r>
      <w:r w:rsidR="003917F9">
        <w:rPr>
          <w:lang w:val="en-GB"/>
        </w:rPr>
        <w:t>65 to &lt; 75</w:t>
      </w:r>
      <w:r w:rsidR="003917F9" w:rsidRPr="004A7E84">
        <w:rPr>
          <w:lang w:val="en-GB"/>
        </w:rPr>
        <w:t xml:space="preserve"> years and </w:t>
      </w:r>
      <w:r w:rsidR="000E17A4">
        <w:rPr>
          <w:lang w:val="en-GB"/>
        </w:rPr>
        <w:t xml:space="preserve">329 enrolled subjects </w:t>
      </w:r>
      <w:r w:rsidR="003917F9" w:rsidRPr="004A7E84">
        <w:rPr>
          <w:rFonts w:cs="Arial"/>
          <w:lang w:val="en-GB"/>
        </w:rPr>
        <w:t>≥</w:t>
      </w:r>
      <w:r w:rsidR="003917F9">
        <w:rPr>
          <w:rFonts w:cs="Arial"/>
          <w:lang w:val="en-GB"/>
        </w:rPr>
        <w:t xml:space="preserve"> </w:t>
      </w:r>
      <w:r w:rsidR="003917F9">
        <w:rPr>
          <w:lang w:val="en-GB"/>
        </w:rPr>
        <w:t>7</w:t>
      </w:r>
      <w:r w:rsidR="003917F9" w:rsidRPr="004A7E84">
        <w:rPr>
          <w:lang w:val="en-GB"/>
        </w:rPr>
        <w:t>5 years</w:t>
      </w:r>
      <w:r w:rsidR="000E17A4">
        <w:rPr>
          <w:lang w:val="en-GB"/>
        </w:rPr>
        <w:t>.</w:t>
      </w:r>
      <w:r w:rsidR="007F4474">
        <w:rPr>
          <w:lang w:val="en-AU"/>
        </w:rPr>
        <w:t xml:space="preserve"> </w:t>
      </w:r>
      <w:r w:rsidRPr="00B5351E">
        <w:rPr>
          <w:lang w:val="en-AU"/>
        </w:rPr>
        <w:t xml:space="preserve">Antibody responses to </w:t>
      </w:r>
      <w:r w:rsidR="00887C04">
        <w:rPr>
          <w:lang w:val="en-AU"/>
        </w:rPr>
        <w:t>Afluria</w:t>
      </w:r>
      <w:r w:rsidR="00464578">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007F7F48">
        <w:rPr>
          <w:lang w:val="en-AU"/>
        </w:rPr>
        <w:t xml:space="preserve">were non-inferior to </w:t>
      </w:r>
      <w:r w:rsidR="007F7F48" w:rsidRPr="004A7E84">
        <w:t xml:space="preserve">comparator </w:t>
      </w:r>
      <w:r w:rsidR="007F7F48" w:rsidRPr="00983A43">
        <w:t>trivalent influenza (TIV-1 and TIV-2)</w:t>
      </w:r>
      <w:r w:rsidR="007F7F48">
        <w:t xml:space="preserve"> </w:t>
      </w:r>
      <w:r w:rsidR="00E0466E">
        <w:t xml:space="preserve">responses </w:t>
      </w:r>
      <w:r w:rsidRPr="00B5351E">
        <w:rPr>
          <w:lang w:val="en-AU"/>
        </w:rPr>
        <w:t xml:space="preserve">in </w:t>
      </w:r>
      <w:proofErr w:type="gramStart"/>
      <w:r w:rsidR="00535453">
        <w:rPr>
          <w:lang w:val="en-AU"/>
        </w:rPr>
        <w:t>adults</w:t>
      </w:r>
      <w:proofErr w:type="gramEnd"/>
      <w:r w:rsidRPr="00B5351E">
        <w:rPr>
          <w:lang w:val="en-AU"/>
        </w:rPr>
        <w:t xml:space="preserve"> ≥ 65 years of age</w:t>
      </w:r>
      <w:r w:rsidR="001B00ED">
        <w:rPr>
          <w:lang w:val="en-AU"/>
        </w:rPr>
        <w:t>, and lower than in younger adults</w:t>
      </w:r>
      <w:r w:rsidR="003D1D40">
        <w:rPr>
          <w:lang w:val="en-AU"/>
        </w:rPr>
        <w:t>.</w:t>
      </w:r>
      <w:r w:rsidR="004C466E">
        <w:rPr>
          <w:lang w:val="en-AU"/>
        </w:rPr>
        <w:t xml:space="preserve"> </w:t>
      </w:r>
    </w:p>
    <w:p w:rsidR="00B5351E" w:rsidRDefault="00B5351E"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B35FED" w:rsidRPr="002E0A15" w:rsidRDefault="00B35FED" w:rsidP="000961FF">
      <w:pPr>
        <w:pStyle w:val="Heading2"/>
      </w:pPr>
      <w:r w:rsidRPr="002E0A15">
        <w:t>Genotoxicity</w:t>
      </w:r>
    </w:p>
    <w:p w:rsidR="00B35FED"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64578">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00B5351E" w:rsidRPr="00B5351E">
        <w:rPr>
          <w:lang w:val="en-AU"/>
        </w:rPr>
        <w:t>has not been evaluated for genotoxic potential.</w:t>
      </w:r>
    </w:p>
    <w:p w:rsidR="00B5351E" w:rsidRDefault="00B5351E"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374027" w:rsidRPr="002E0A15" w:rsidRDefault="00374027" w:rsidP="000961FF">
      <w:pPr>
        <w:pStyle w:val="Heading2"/>
      </w:pPr>
      <w:r w:rsidRPr="002E0A15">
        <w:t>Carcinogenicity</w:t>
      </w:r>
    </w:p>
    <w:p w:rsidR="00B35FED"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64578">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00B5351E" w:rsidRPr="00B5351E">
        <w:rPr>
          <w:lang w:val="en-AU"/>
        </w:rPr>
        <w:t>has not been evaluated for carcinogenic potential.</w:t>
      </w:r>
    </w:p>
    <w:p w:rsidR="00B20E02" w:rsidRDefault="00B20E0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b/>
          <w:lang w:val="en-AU"/>
        </w:rPr>
      </w:pPr>
    </w:p>
    <w:p w:rsidR="00374027" w:rsidRPr="002E0A15" w:rsidRDefault="00374027" w:rsidP="000961FF">
      <w:pPr>
        <w:pStyle w:val="Heading2"/>
      </w:pPr>
      <w:r w:rsidRPr="002E0A15">
        <w:t xml:space="preserve">Effect </w:t>
      </w:r>
      <w:r w:rsidR="00B35FED" w:rsidRPr="00B35FED">
        <w:t>on Laboratory Tests</w:t>
      </w:r>
    </w:p>
    <w:p w:rsidR="00AD578F" w:rsidRPr="00AD578F" w:rsidRDefault="00AD578F" w:rsidP="00AD578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AD578F">
        <w:rPr>
          <w:lang w:val="en-AU"/>
        </w:rPr>
        <w:t xml:space="preserve">Interference of </w:t>
      </w:r>
      <w:r w:rsidR="00887C04">
        <w:rPr>
          <w:lang w:val="en-AU"/>
        </w:rPr>
        <w:t>Afluria</w:t>
      </w:r>
      <w:r w:rsidR="00464578">
        <w:rPr>
          <w:lang w:val="en-AU"/>
        </w:rPr>
        <w:t xml:space="preserve"> </w:t>
      </w:r>
      <w:r w:rsidR="00E43ADC">
        <w:rPr>
          <w:lang w:val="en-AU"/>
        </w:rPr>
        <w:t>Quad</w:t>
      </w:r>
      <w:r w:rsidR="00496B46">
        <w:rPr>
          <w:rFonts w:cs="Arial"/>
          <w:lang w:val="en-AU"/>
        </w:rPr>
        <w:t>™</w:t>
      </w:r>
      <w:r w:rsidR="00E43ADC">
        <w:rPr>
          <w:lang w:val="en-AU"/>
        </w:rPr>
        <w:t xml:space="preserve"> </w:t>
      </w:r>
      <w:r w:rsidR="00DC4CEE">
        <w:rPr>
          <w:lang w:val="en-AU"/>
        </w:rPr>
        <w:t xml:space="preserve">vaccine </w:t>
      </w:r>
      <w:r w:rsidRPr="00AD578F">
        <w:rPr>
          <w:lang w:val="en-AU"/>
        </w:rPr>
        <w:t>with laboratory and/or diagnostic tests has not been studied.</w:t>
      </w:r>
    </w:p>
    <w:p w:rsidR="00AD578F" w:rsidRDefault="00AD578F"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50714" w:rsidRDefault="00634685" w:rsidP="000961FF">
      <w:pPr>
        <w:pStyle w:val="Heading1"/>
      </w:pPr>
      <w:r>
        <w:t>INTERACTIONS WITH OTHER MEDICINES</w:t>
      </w:r>
    </w:p>
    <w:p w:rsidR="00F8484E" w:rsidRDefault="00EC5963" w:rsidP="000961FF">
      <w:pPr>
        <w:rPr>
          <w:lang w:val="en-AU"/>
        </w:rPr>
      </w:pPr>
      <w:r w:rsidRPr="00EC5963">
        <w:rPr>
          <w:lang w:val="en-AU"/>
        </w:rPr>
        <w:t>No interaction studies have been performed on interaction between</w:t>
      </w:r>
      <w:r>
        <w:rPr>
          <w:lang w:val="en-AU"/>
        </w:rPr>
        <w:t xml:space="preserve"> </w:t>
      </w:r>
      <w:r w:rsidRPr="00EC5963">
        <w:rPr>
          <w:lang w:val="en-AU"/>
        </w:rPr>
        <w:t>influenza vaccines in general and other vaccines or medications</w:t>
      </w:r>
      <w:r>
        <w:rPr>
          <w:lang w:val="en-AU"/>
        </w:rPr>
        <w:t>.</w:t>
      </w:r>
    </w:p>
    <w:p w:rsidR="00C12772" w:rsidRDefault="00C12772" w:rsidP="000961FF">
      <w:pPr>
        <w:rPr>
          <w:lang w:val="en-AU"/>
        </w:rPr>
      </w:pPr>
    </w:p>
    <w:p w:rsidR="00650714" w:rsidRDefault="00650714" w:rsidP="000961FF">
      <w:pPr>
        <w:pStyle w:val="Heading1"/>
      </w:pPr>
      <w:r w:rsidRPr="00486EEF">
        <w:t xml:space="preserve">ADVERSE </w:t>
      </w:r>
      <w:r w:rsidR="00FA6938" w:rsidRPr="00486EEF">
        <w:t>EFFECTS</w:t>
      </w:r>
    </w:p>
    <w:p w:rsidR="0042390E" w:rsidRDefault="0042390E" w:rsidP="000961FF">
      <w:pPr>
        <w:rPr>
          <w:lang w:val="en-AU"/>
        </w:rPr>
      </w:pPr>
    </w:p>
    <w:p w:rsidR="0042390E" w:rsidRDefault="0042390E" w:rsidP="000961FF">
      <w:pPr>
        <w:pStyle w:val="Heading2"/>
      </w:pPr>
      <w:r>
        <w:t xml:space="preserve">Clinical trials: </w:t>
      </w:r>
    </w:p>
    <w:p w:rsidR="00205619" w:rsidRPr="005E45FC" w:rsidRDefault="00205619" w:rsidP="000961FF">
      <w:pPr>
        <w:rPr>
          <w:lang w:val="en-AU"/>
        </w:rPr>
      </w:pPr>
      <w:r w:rsidRPr="005E45FC">
        <w:rPr>
          <w:lang w:val="en-AU"/>
        </w:rPr>
        <w:t>Because clinical studies are conducted under widely varying conditions, adverse reaction rates observed in the clinical studies of a vaccine cannot be directly compared to rates in the clinical studies of another vaccine and may not reflect the rates of events observed in clinical practice.</w:t>
      </w:r>
    </w:p>
    <w:p w:rsidR="00205619" w:rsidRDefault="00205619" w:rsidP="000961FF">
      <w:pPr>
        <w:rPr>
          <w:lang w:val="en-AU"/>
        </w:rPr>
      </w:pPr>
    </w:p>
    <w:p w:rsidR="00A72C5E" w:rsidRDefault="00A72C5E" w:rsidP="00A72C5E">
      <w:pPr>
        <w:autoSpaceDE w:val="0"/>
        <w:autoSpaceDN w:val="0"/>
        <w:rPr>
          <w:color w:val="000000"/>
        </w:rPr>
      </w:pPr>
      <w:r w:rsidRPr="00A72C5E">
        <w:rPr>
          <w:color w:val="000000"/>
        </w:rPr>
        <w:t>In adults 18</w:t>
      </w:r>
      <w:r w:rsidR="00874059">
        <w:rPr>
          <w:color w:val="000000"/>
        </w:rPr>
        <w:t xml:space="preserve"> to &lt;65</w:t>
      </w:r>
      <w:r w:rsidRPr="00A72C5E">
        <w:rPr>
          <w:color w:val="000000"/>
        </w:rPr>
        <w:t xml:space="preserve"> years, the most common</w:t>
      </w:r>
      <w:r w:rsidR="00874059">
        <w:rPr>
          <w:color w:val="000000"/>
        </w:rPr>
        <w:t>ly reported</w:t>
      </w:r>
      <w:r w:rsidRPr="00A72C5E">
        <w:rPr>
          <w:color w:val="000000"/>
        </w:rPr>
        <w:t xml:space="preserve"> injection-site adverse reaction observed in clinical </w:t>
      </w:r>
      <w:r w:rsidRPr="00A72C5E">
        <w:rPr>
          <w:color w:val="000000"/>
        </w:rPr>
        <w:lastRenderedPageBreak/>
        <w:t xml:space="preserve">studies with </w:t>
      </w:r>
      <w:r w:rsidR="00887C04">
        <w:rPr>
          <w:color w:val="000000"/>
        </w:rPr>
        <w:t>Afluria</w:t>
      </w:r>
      <w:r w:rsidR="00464578">
        <w:rPr>
          <w:color w:val="000000"/>
        </w:rPr>
        <w:t xml:space="preserve"> </w:t>
      </w:r>
      <w:r w:rsidR="00E43ADC">
        <w:rPr>
          <w:color w:val="000000"/>
        </w:rPr>
        <w:t>Quad</w:t>
      </w:r>
      <w:r w:rsidR="00496B46">
        <w:rPr>
          <w:rFonts w:cs="Arial"/>
          <w:color w:val="000000"/>
        </w:rPr>
        <w:t>™</w:t>
      </w:r>
      <w:r w:rsidR="00E43ADC">
        <w:rPr>
          <w:color w:val="000000"/>
        </w:rPr>
        <w:t xml:space="preserve"> </w:t>
      </w:r>
      <w:r w:rsidR="00DC4CEE">
        <w:rPr>
          <w:color w:val="000000"/>
        </w:rPr>
        <w:t xml:space="preserve">vaccine </w:t>
      </w:r>
      <w:r w:rsidRPr="00A72C5E">
        <w:rPr>
          <w:color w:val="000000"/>
        </w:rPr>
        <w:t>was pain (≥</w:t>
      </w:r>
      <w:r w:rsidR="00874059">
        <w:rPr>
          <w:color w:val="000000"/>
        </w:rPr>
        <w:t>4</w:t>
      </w:r>
      <w:r w:rsidRPr="00A72C5E">
        <w:rPr>
          <w:color w:val="000000"/>
        </w:rPr>
        <w:t>0%).  The most common systemic adverse events observed were myalgia and headache (≥</w:t>
      </w:r>
      <w:r w:rsidR="00874059">
        <w:rPr>
          <w:color w:val="000000"/>
        </w:rPr>
        <w:t>2</w:t>
      </w:r>
      <w:r w:rsidRPr="00A72C5E">
        <w:rPr>
          <w:color w:val="000000"/>
        </w:rPr>
        <w:t>0%).</w:t>
      </w:r>
      <w:r>
        <w:rPr>
          <w:color w:val="000000"/>
        </w:rPr>
        <w:t xml:space="preserve"> </w:t>
      </w:r>
      <w:r w:rsidR="00874059" w:rsidRPr="00874059">
        <w:rPr>
          <w:color w:val="000000"/>
        </w:rPr>
        <w:t xml:space="preserve">In </w:t>
      </w:r>
      <w:proofErr w:type="gramStart"/>
      <w:r w:rsidR="00874059" w:rsidRPr="00874059">
        <w:rPr>
          <w:color w:val="000000"/>
        </w:rPr>
        <w:t>adults</w:t>
      </w:r>
      <w:proofErr w:type="gramEnd"/>
      <w:r w:rsidR="00874059" w:rsidRPr="00874059">
        <w:rPr>
          <w:color w:val="000000"/>
        </w:rPr>
        <w:t xml:space="preserve"> </w:t>
      </w:r>
      <w:r w:rsidR="00874059">
        <w:rPr>
          <w:rFonts w:cs="Arial"/>
          <w:color w:val="000000"/>
        </w:rPr>
        <w:t>≥</w:t>
      </w:r>
      <w:r w:rsidR="00874059">
        <w:rPr>
          <w:color w:val="000000"/>
        </w:rPr>
        <w:t xml:space="preserve"> </w:t>
      </w:r>
      <w:r w:rsidR="00874059" w:rsidRPr="00874059">
        <w:rPr>
          <w:color w:val="000000"/>
        </w:rPr>
        <w:t xml:space="preserve">65 years of age, the most commonly reported injection-site adverse reaction observed in clinical studies with </w:t>
      </w:r>
      <w:r w:rsidR="00887C04">
        <w:rPr>
          <w:color w:val="000000"/>
        </w:rPr>
        <w:t>Afluria</w:t>
      </w:r>
      <w:r w:rsidR="00874059">
        <w:rPr>
          <w:color w:val="000000"/>
        </w:rPr>
        <w:t xml:space="preserve"> </w:t>
      </w:r>
      <w:r w:rsidR="00E43ADC">
        <w:rPr>
          <w:color w:val="000000"/>
        </w:rPr>
        <w:t>Quad</w:t>
      </w:r>
      <w:r w:rsidR="00496B46">
        <w:rPr>
          <w:rFonts w:cs="Arial"/>
          <w:color w:val="000000"/>
        </w:rPr>
        <w:t>™</w:t>
      </w:r>
      <w:r w:rsidR="00E43ADC">
        <w:rPr>
          <w:color w:val="000000"/>
        </w:rPr>
        <w:t xml:space="preserve"> </w:t>
      </w:r>
      <w:r w:rsidR="00DC4CEE">
        <w:rPr>
          <w:color w:val="000000"/>
        </w:rPr>
        <w:t xml:space="preserve">vaccine </w:t>
      </w:r>
      <w:r w:rsidR="00874059" w:rsidRPr="00874059">
        <w:rPr>
          <w:color w:val="000000"/>
        </w:rPr>
        <w:t>was pain (≥20%).  The most common systemic adverse event observed w</w:t>
      </w:r>
      <w:r w:rsidR="00874059">
        <w:rPr>
          <w:color w:val="000000"/>
        </w:rPr>
        <w:t>a</w:t>
      </w:r>
      <w:r w:rsidR="00874059" w:rsidRPr="00874059">
        <w:rPr>
          <w:color w:val="000000"/>
        </w:rPr>
        <w:t>s myalgia (≥10%).</w:t>
      </w:r>
      <w:r w:rsidR="00816334">
        <w:rPr>
          <w:color w:val="000000"/>
        </w:rPr>
        <w:t xml:space="preserve"> </w:t>
      </w:r>
      <w:r w:rsidRPr="00A72C5E">
        <w:rPr>
          <w:color w:val="000000"/>
        </w:rPr>
        <w:t xml:space="preserve"> </w:t>
      </w:r>
      <w:r w:rsidR="00816334">
        <w:rPr>
          <w:color w:val="000000"/>
        </w:rPr>
        <w:t xml:space="preserve">A small number </w:t>
      </w:r>
      <w:r w:rsidR="002E0B17">
        <w:rPr>
          <w:color w:val="000000"/>
        </w:rPr>
        <w:t xml:space="preserve">of </w:t>
      </w:r>
      <w:r w:rsidR="005A63FE" w:rsidRPr="00874059">
        <w:rPr>
          <w:color w:val="000000"/>
        </w:rPr>
        <w:t xml:space="preserve">adults </w:t>
      </w:r>
      <w:r w:rsidR="005A63FE">
        <w:rPr>
          <w:rFonts w:cs="Arial"/>
          <w:color w:val="000000"/>
        </w:rPr>
        <w:t>≥</w:t>
      </w:r>
      <w:r w:rsidR="005A63FE">
        <w:rPr>
          <w:color w:val="000000"/>
        </w:rPr>
        <w:t xml:space="preserve"> </w:t>
      </w:r>
      <w:r w:rsidR="005A63FE" w:rsidRPr="00874059">
        <w:rPr>
          <w:color w:val="000000"/>
        </w:rPr>
        <w:t xml:space="preserve">65 years of </w:t>
      </w:r>
      <w:r w:rsidR="00816334" w:rsidRPr="00874059">
        <w:rPr>
          <w:color w:val="000000"/>
        </w:rPr>
        <w:t>age</w:t>
      </w:r>
      <w:r w:rsidR="002E0B17">
        <w:rPr>
          <w:color w:val="000000"/>
        </w:rPr>
        <w:t xml:space="preserve"> (n=4) </w:t>
      </w:r>
      <w:r w:rsidR="00816334">
        <w:rPr>
          <w:color w:val="000000"/>
        </w:rPr>
        <w:t xml:space="preserve"> </w:t>
      </w:r>
      <w:r w:rsidR="005A63FE">
        <w:rPr>
          <w:color w:val="000000"/>
        </w:rPr>
        <w:t xml:space="preserve">experienced severe injection site swelling. </w:t>
      </w:r>
    </w:p>
    <w:p w:rsidR="00A72C5E" w:rsidRPr="00A72C5E" w:rsidRDefault="00A72C5E" w:rsidP="00A72C5E">
      <w:pPr>
        <w:autoSpaceDE w:val="0"/>
        <w:autoSpaceDN w:val="0"/>
        <w:rPr>
          <w:color w:val="000000"/>
        </w:rPr>
      </w:pPr>
    </w:p>
    <w:p w:rsidR="00A72C5E" w:rsidRPr="0042390E" w:rsidRDefault="00A72C5E" w:rsidP="000961FF">
      <w:pPr>
        <w:pStyle w:val="Heading2"/>
      </w:pPr>
      <w:bookmarkStart w:id="6" w:name="_6.1_Clinical_Trials"/>
      <w:bookmarkStart w:id="7" w:name="_6.2_Safety_Experience"/>
      <w:bookmarkEnd w:id="6"/>
      <w:bookmarkEnd w:id="7"/>
      <w:r w:rsidRPr="0042390E">
        <w:t>Adult studies</w:t>
      </w:r>
      <w:r w:rsidR="00A05FAF">
        <w:t>:</w:t>
      </w:r>
    </w:p>
    <w:p w:rsidR="00A72C5E" w:rsidRDefault="00BE5AE7" w:rsidP="00A72C5E">
      <w:pPr>
        <w:autoSpaceDE w:val="0"/>
        <w:autoSpaceDN w:val="0"/>
        <w:rPr>
          <w:color w:val="000000"/>
        </w:rPr>
      </w:pPr>
      <w:r>
        <w:t>QIV-01 (NCT02214225, see http://clinicaltrials.gov)</w:t>
      </w:r>
      <w:r w:rsidR="00A72C5E" w:rsidRPr="00A72C5E">
        <w:rPr>
          <w:color w:val="000000"/>
        </w:rPr>
        <w:t xml:space="preserve"> was a </w:t>
      </w:r>
      <w:proofErr w:type="spellStart"/>
      <w:r w:rsidR="00EA0E34" w:rsidRPr="00A72C5E">
        <w:rPr>
          <w:color w:val="000000"/>
        </w:rPr>
        <w:t>randomi</w:t>
      </w:r>
      <w:r w:rsidR="00EA0E34">
        <w:rPr>
          <w:color w:val="000000"/>
        </w:rPr>
        <w:t>s</w:t>
      </w:r>
      <w:r w:rsidR="00EA0E34" w:rsidRPr="00A72C5E">
        <w:rPr>
          <w:color w:val="000000"/>
        </w:rPr>
        <w:t>ed</w:t>
      </w:r>
      <w:proofErr w:type="spellEnd"/>
      <w:r w:rsidR="00A72C5E" w:rsidRPr="00A72C5E">
        <w:rPr>
          <w:color w:val="000000"/>
        </w:rPr>
        <w:t>, double-blind, active-controlled trial conducted in the US in 3449 subjects age</w:t>
      </w:r>
      <w:r w:rsidR="00863A65">
        <w:rPr>
          <w:color w:val="000000"/>
        </w:rPr>
        <w:t>d</w:t>
      </w:r>
      <w:r w:rsidR="00A72C5E" w:rsidRPr="00A72C5E">
        <w:rPr>
          <w:color w:val="000000"/>
        </w:rPr>
        <w:t xml:space="preserve"> </w:t>
      </w:r>
      <w:r w:rsidR="00B7497F">
        <w:rPr>
          <w:rFonts w:cs="Arial"/>
          <w:color w:val="000000"/>
        </w:rPr>
        <w:t>≥</w:t>
      </w:r>
      <w:r w:rsidR="00863A65">
        <w:rPr>
          <w:color w:val="000000"/>
        </w:rPr>
        <w:t xml:space="preserve"> </w:t>
      </w:r>
      <w:r w:rsidR="00A72C5E" w:rsidRPr="00A72C5E">
        <w:rPr>
          <w:color w:val="000000"/>
        </w:rPr>
        <w:t xml:space="preserve">18 years.  Subjects </w:t>
      </w:r>
      <w:r w:rsidR="007F7F48">
        <w:rPr>
          <w:color w:val="000000"/>
        </w:rPr>
        <w:t xml:space="preserve">in the safety population </w:t>
      </w:r>
      <w:r w:rsidR="00A72C5E" w:rsidRPr="00A72C5E">
        <w:rPr>
          <w:color w:val="000000"/>
        </w:rPr>
        <w:t xml:space="preserve">received one dose of either </w:t>
      </w:r>
      <w:r w:rsidR="00887C04">
        <w:rPr>
          <w:color w:val="000000"/>
        </w:rPr>
        <w:t>Afluria</w:t>
      </w:r>
      <w:r w:rsidR="00464578">
        <w:rPr>
          <w:color w:val="000000"/>
        </w:rPr>
        <w:t xml:space="preserve"> </w:t>
      </w:r>
      <w:r w:rsidR="00504C71">
        <w:rPr>
          <w:color w:val="000000"/>
        </w:rPr>
        <w:t>Quad</w:t>
      </w:r>
      <w:r w:rsidR="00496B46">
        <w:rPr>
          <w:rFonts w:cs="Arial"/>
          <w:color w:val="000000"/>
        </w:rPr>
        <w:t>™</w:t>
      </w:r>
      <w:r w:rsidR="00504C71">
        <w:rPr>
          <w:color w:val="000000"/>
        </w:rPr>
        <w:t xml:space="preserve"> </w:t>
      </w:r>
      <w:r w:rsidR="00DC4CEE">
        <w:rPr>
          <w:color w:val="000000"/>
        </w:rPr>
        <w:t xml:space="preserve">vaccine </w:t>
      </w:r>
      <w:r w:rsidR="00A72C5E" w:rsidRPr="00A72C5E">
        <w:rPr>
          <w:color w:val="000000"/>
        </w:rPr>
        <w:t xml:space="preserve">(N=1721) or one of two formulations of comparator trivalent influenza vaccine (TIV-1 N=864 or TIV-2 N=864) each containing an influenza type B virus that corresponded to one of the two B viruses in </w:t>
      </w:r>
      <w:r w:rsidR="00887C04">
        <w:rPr>
          <w:color w:val="000000"/>
        </w:rPr>
        <w:t>Afluria</w:t>
      </w:r>
      <w:r w:rsidR="00464578">
        <w:rPr>
          <w:color w:val="000000"/>
        </w:rPr>
        <w:t xml:space="preserve"> </w:t>
      </w:r>
      <w:r w:rsidR="00504C71">
        <w:rPr>
          <w:color w:val="000000"/>
        </w:rPr>
        <w:t>Quad</w:t>
      </w:r>
      <w:r w:rsidR="00496B46">
        <w:rPr>
          <w:rFonts w:cs="Arial"/>
          <w:color w:val="000000"/>
        </w:rPr>
        <w:t>™</w:t>
      </w:r>
      <w:r w:rsidR="00504C71">
        <w:rPr>
          <w:color w:val="000000"/>
        </w:rPr>
        <w:t xml:space="preserve"> </w:t>
      </w:r>
      <w:r w:rsidR="00DC4CEE">
        <w:rPr>
          <w:color w:val="000000"/>
        </w:rPr>
        <w:t xml:space="preserve">vaccine </w:t>
      </w:r>
      <w:r w:rsidR="00A72C5E" w:rsidRPr="00A72C5E">
        <w:rPr>
          <w:color w:val="000000"/>
        </w:rPr>
        <w:t xml:space="preserve">(a type B virus of the Victoria lineage or a type B virus of the Yamagata lineage).  </w:t>
      </w:r>
    </w:p>
    <w:p w:rsidR="00D21B69" w:rsidRPr="00A72C5E" w:rsidRDefault="00D21B69" w:rsidP="00A72C5E">
      <w:pPr>
        <w:autoSpaceDE w:val="0"/>
        <w:autoSpaceDN w:val="0"/>
        <w:rPr>
          <w:color w:val="000000"/>
        </w:rPr>
      </w:pPr>
    </w:p>
    <w:p w:rsidR="00A72C5E" w:rsidRDefault="00A72C5E" w:rsidP="00A72C5E">
      <w:pPr>
        <w:autoSpaceDE w:val="0"/>
        <w:autoSpaceDN w:val="0"/>
        <w:rPr>
          <w:color w:val="000000"/>
        </w:rPr>
      </w:pPr>
      <w:r w:rsidRPr="00A72C5E">
        <w:rPr>
          <w:color w:val="000000"/>
        </w:rPr>
        <w:t>Local (injection-site) adverse reactions and systemic adverse events were solicited for 7 days post</w:t>
      </w:r>
      <w:r w:rsidR="00610795">
        <w:rPr>
          <w:color w:val="000000"/>
        </w:rPr>
        <w:t>-</w:t>
      </w:r>
      <w:r w:rsidRPr="00A72C5E">
        <w:rPr>
          <w:color w:val="000000"/>
        </w:rPr>
        <w:t xml:space="preserve">vaccination (Table </w:t>
      </w:r>
      <w:r w:rsidR="004F0C89">
        <w:rPr>
          <w:color w:val="000000"/>
        </w:rPr>
        <w:t>2</w:t>
      </w:r>
      <w:r w:rsidRPr="00A72C5E">
        <w:rPr>
          <w:color w:val="000000"/>
        </w:rPr>
        <w:t>).  Unsolicited adverse events were collected for 28 days post</w:t>
      </w:r>
      <w:r w:rsidR="00610795">
        <w:rPr>
          <w:color w:val="000000"/>
        </w:rPr>
        <w:t>-</w:t>
      </w:r>
      <w:r w:rsidRPr="00A72C5E">
        <w:rPr>
          <w:color w:val="000000"/>
        </w:rPr>
        <w:t xml:space="preserve">vaccination. </w:t>
      </w:r>
      <w:r w:rsidR="00792CDB">
        <w:rPr>
          <w:color w:val="000000"/>
        </w:rPr>
        <w:t>Serious adverse events were collected for 180 days post</w:t>
      </w:r>
      <w:r w:rsidR="00610795">
        <w:rPr>
          <w:color w:val="000000"/>
        </w:rPr>
        <w:t>-</w:t>
      </w:r>
      <w:r w:rsidR="00792CDB">
        <w:rPr>
          <w:color w:val="000000"/>
        </w:rPr>
        <w:t>vaccination.</w:t>
      </w:r>
      <w:r w:rsidRPr="00A72C5E">
        <w:rPr>
          <w:color w:val="000000"/>
        </w:rPr>
        <w:t xml:space="preserve"> All adverse events are presented regardless of any treatment causality assigned by study investigators.</w:t>
      </w:r>
    </w:p>
    <w:p w:rsidR="004F0C89" w:rsidRDefault="004F0C89" w:rsidP="00EB0210">
      <w:pPr>
        <w:autoSpaceDE w:val="0"/>
        <w:autoSpaceDN w:val="0"/>
        <w:rPr>
          <w:b/>
          <w:bCs/>
          <w:color w:val="000000"/>
        </w:rPr>
      </w:pPr>
    </w:p>
    <w:p w:rsidR="00B20E02" w:rsidRDefault="00A72C5E" w:rsidP="00D648A2">
      <w:pPr>
        <w:keepNext/>
        <w:keepLines/>
        <w:autoSpaceDE w:val="0"/>
        <w:autoSpaceDN w:val="0"/>
        <w:ind w:left="992" w:hanging="992"/>
        <w:rPr>
          <w:color w:val="000000"/>
        </w:rPr>
      </w:pPr>
      <w:r w:rsidRPr="00A72C5E">
        <w:rPr>
          <w:b/>
          <w:bCs/>
          <w:color w:val="000000"/>
        </w:rPr>
        <w:lastRenderedPageBreak/>
        <w:t xml:space="preserve">Table </w:t>
      </w:r>
      <w:r w:rsidR="005C19F8">
        <w:rPr>
          <w:b/>
          <w:bCs/>
          <w:color w:val="000000"/>
        </w:rPr>
        <w:t>2</w:t>
      </w:r>
      <w:r w:rsidRPr="00A72C5E">
        <w:rPr>
          <w:b/>
          <w:bCs/>
          <w:color w:val="000000"/>
        </w:rPr>
        <w:t>:</w:t>
      </w:r>
      <w:r w:rsidRPr="00A72C5E">
        <w:rPr>
          <w:b/>
          <w:bCs/>
          <w:color w:val="000000"/>
        </w:rPr>
        <w:tab/>
      </w:r>
      <w:r w:rsidR="00CF091E">
        <w:rPr>
          <w:b/>
          <w:bCs/>
          <w:color w:val="000000"/>
        </w:rPr>
        <w:t xml:space="preserve">QIV-01: </w:t>
      </w:r>
      <w:r w:rsidRPr="00A72C5E">
        <w:rPr>
          <w:b/>
          <w:bCs/>
          <w:color w:val="000000"/>
        </w:rPr>
        <w:t xml:space="preserve">Proportion of Subjects </w:t>
      </w:r>
      <w:r>
        <w:rPr>
          <w:b/>
          <w:bCs/>
          <w:color w:val="000000"/>
        </w:rPr>
        <w:t xml:space="preserve">per </w:t>
      </w:r>
      <w:r w:rsidRPr="00A72C5E">
        <w:rPr>
          <w:b/>
          <w:bCs/>
          <w:color w:val="000000"/>
        </w:rPr>
        <w:t>Age</w:t>
      </w:r>
      <w:r>
        <w:rPr>
          <w:b/>
          <w:bCs/>
          <w:color w:val="000000"/>
        </w:rPr>
        <w:t xml:space="preserve"> Cohort</w:t>
      </w:r>
      <w:r w:rsidRPr="00A72C5E">
        <w:rPr>
          <w:b/>
          <w:bCs/>
          <w:color w:val="000000"/>
        </w:rPr>
        <w:t xml:space="preserve"> with Any Solicited Local Adverse Reactions or Systemic Adverse Events within 7 Days after Administration of </w:t>
      </w:r>
      <w:r w:rsidR="00887C04">
        <w:rPr>
          <w:b/>
          <w:bCs/>
          <w:color w:val="000000"/>
        </w:rPr>
        <w:t>Afluria</w:t>
      </w:r>
      <w:r w:rsidR="004F0C89">
        <w:rPr>
          <w:b/>
          <w:bCs/>
          <w:color w:val="000000"/>
        </w:rPr>
        <w:t xml:space="preserve"> </w:t>
      </w:r>
      <w:r w:rsidR="00504C71">
        <w:rPr>
          <w:b/>
          <w:bCs/>
          <w:color w:val="000000"/>
        </w:rPr>
        <w:t>Quad</w:t>
      </w:r>
      <w:r w:rsidR="00496B46">
        <w:rPr>
          <w:rFonts w:cs="Arial"/>
          <w:b/>
          <w:bCs/>
          <w:color w:val="000000"/>
        </w:rPr>
        <w:t>™</w:t>
      </w:r>
      <w:r w:rsidR="00504C71">
        <w:rPr>
          <w:b/>
          <w:bCs/>
          <w:color w:val="000000"/>
        </w:rPr>
        <w:t xml:space="preserve"> </w:t>
      </w:r>
      <w:r w:rsidR="00DC4CEE">
        <w:rPr>
          <w:b/>
          <w:bCs/>
          <w:color w:val="000000"/>
        </w:rPr>
        <w:t xml:space="preserve">vaccine </w:t>
      </w:r>
      <w:r w:rsidRPr="00A72C5E">
        <w:rPr>
          <w:b/>
          <w:bCs/>
          <w:color w:val="000000"/>
        </w:rPr>
        <w:t>or Trivalent Influenza vaccine</w:t>
      </w:r>
      <w:r>
        <w:rPr>
          <w:b/>
          <w:bCs/>
          <w:color w:val="000000"/>
        </w:rPr>
        <w:t xml:space="preserve"> </w:t>
      </w:r>
      <w:r w:rsidRPr="00A72C5E">
        <w:rPr>
          <w:b/>
          <w:bCs/>
          <w:color w:val="000000"/>
          <w:lang w:val="en-AU"/>
        </w:rPr>
        <w:t>(TIV-1 or TIV-2)</w:t>
      </w:r>
      <w:r w:rsidRPr="00A72C5E">
        <w:rPr>
          <w:b/>
          <w:bCs/>
          <w:color w:val="000000"/>
        </w:rPr>
        <w:t>, Irrespective of Causality</w:t>
      </w:r>
      <w:r w:rsidR="00CB2D35">
        <w:rPr>
          <w:b/>
          <w:bCs/>
          <w:color w:val="000000"/>
        </w:rPr>
        <w:t xml:space="preserve"> (Safety population)</w:t>
      </w:r>
    </w:p>
    <w:tbl>
      <w:tblPr>
        <w:tblStyle w:val="TableGrid2"/>
        <w:tblW w:w="9747" w:type="dxa"/>
        <w:tblInd w:w="142" w:type="dxa"/>
        <w:shd w:val="clear" w:color="auto" w:fill="FFFFFF" w:themeFill="background1"/>
        <w:tblLayout w:type="fixed"/>
        <w:tblLook w:val="04A0" w:firstRow="1" w:lastRow="0" w:firstColumn="1" w:lastColumn="0" w:noHBand="0" w:noVBand="1"/>
      </w:tblPr>
      <w:tblGrid>
        <w:gridCol w:w="2091"/>
        <w:gridCol w:w="637"/>
        <w:gridCol w:w="638"/>
        <w:gridCol w:w="638"/>
        <w:gridCol w:w="638"/>
        <w:gridCol w:w="638"/>
        <w:gridCol w:w="638"/>
        <w:gridCol w:w="638"/>
        <w:gridCol w:w="639"/>
        <w:gridCol w:w="638"/>
        <w:gridCol w:w="638"/>
        <w:gridCol w:w="638"/>
        <w:gridCol w:w="638"/>
      </w:tblGrid>
      <w:tr w:rsidR="00377492" w:rsidRPr="00A72C5E" w:rsidTr="001021CC">
        <w:tc>
          <w:tcPr>
            <w:tcW w:w="2092" w:type="dxa"/>
            <w:vMerge w:val="restart"/>
            <w:shd w:val="clear" w:color="auto" w:fill="FFFFFF" w:themeFill="background1"/>
          </w:tcPr>
          <w:p w:rsidR="00377492" w:rsidRPr="005569C2" w:rsidRDefault="00377492" w:rsidP="00A72C5E">
            <w:pPr>
              <w:keepNext/>
              <w:widowControl/>
              <w:spacing w:before="40" w:after="40" w:line="240" w:lineRule="auto"/>
              <w:rPr>
                <w:rFonts w:cs="Arial"/>
                <w:b/>
                <w:snapToGrid/>
                <w:sz w:val="18"/>
                <w:szCs w:val="18"/>
                <w:lang w:eastAsia="en-AU"/>
              </w:rPr>
            </w:pPr>
          </w:p>
        </w:tc>
        <w:tc>
          <w:tcPr>
            <w:tcW w:w="7655" w:type="dxa"/>
            <w:gridSpan w:val="12"/>
            <w:shd w:val="clear" w:color="auto" w:fill="FFFFFF" w:themeFill="background1"/>
          </w:tcPr>
          <w:p w:rsidR="00377492" w:rsidRPr="005569C2" w:rsidRDefault="00377492" w:rsidP="005C19F8">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Percentage (%)</w:t>
            </w:r>
            <w:r>
              <w:rPr>
                <w:rFonts w:cs="Arial"/>
                <w:b/>
                <w:snapToGrid/>
                <w:sz w:val="18"/>
                <w:szCs w:val="18"/>
                <w:lang w:eastAsia="en-AU"/>
              </w:rPr>
              <w:t xml:space="preserve"> </w:t>
            </w:r>
            <w:r w:rsidRPr="005569C2">
              <w:rPr>
                <w:rFonts w:cs="Arial"/>
                <w:b/>
                <w:snapToGrid/>
                <w:sz w:val="18"/>
                <w:szCs w:val="18"/>
                <w:vertAlign w:val="superscript"/>
                <w:lang w:eastAsia="en-AU"/>
              </w:rPr>
              <w:t>a</w:t>
            </w:r>
            <w:r w:rsidRPr="005569C2">
              <w:rPr>
                <w:rFonts w:cs="Arial"/>
                <w:b/>
                <w:snapToGrid/>
                <w:sz w:val="18"/>
                <w:szCs w:val="18"/>
                <w:lang w:eastAsia="en-AU"/>
              </w:rPr>
              <w:t xml:space="preserve"> of Subjects in each Age Cohort Reporting an Event</w:t>
            </w:r>
          </w:p>
        </w:tc>
      </w:tr>
      <w:tr w:rsidR="00377492" w:rsidRPr="00A72C5E" w:rsidTr="001021CC">
        <w:tc>
          <w:tcPr>
            <w:tcW w:w="2092" w:type="dxa"/>
            <w:vMerge/>
            <w:shd w:val="clear" w:color="auto" w:fill="FFFFFF" w:themeFill="background1"/>
          </w:tcPr>
          <w:p w:rsidR="00377492" w:rsidRPr="004A7E84" w:rsidRDefault="00377492" w:rsidP="00A72C5E">
            <w:pPr>
              <w:keepNext/>
              <w:widowControl/>
              <w:spacing w:before="40" w:after="40" w:line="240" w:lineRule="auto"/>
              <w:rPr>
                <w:rFonts w:cs="Arial"/>
                <w:b/>
                <w:snapToGrid/>
                <w:sz w:val="18"/>
                <w:szCs w:val="18"/>
                <w:lang w:eastAsia="en-AU"/>
              </w:rPr>
            </w:pPr>
          </w:p>
        </w:tc>
        <w:tc>
          <w:tcPr>
            <w:tcW w:w="3827" w:type="dxa"/>
            <w:gridSpan w:val="6"/>
            <w:shd w:val="clear" w:color="auto" w:fill="FFFFFF" w:themeFill="background1"/>
          </w:tcPr>
          <w:p w:rsidR="00377492" w:rsidRPr="005569C2" w:rsidRDefault="00377492" w:rsidP="005E08C3">
            <w:pPr>
              <w:keepNext/>
              <w:widowControl/>
              <w:spacing w:before="40" w:after="40" w:line="240" w:lineRule="auto"/>
              <w:jc w:val="center"/>
              <w:rPr>
                <w:rFonts w:cs="Arial"/>
                <w:b/>
                <w:snapToGrid/>
                <w:sz w:val="18"/>
                <w:szCs w:val="18"/>
                <w:lang w:eastAsia="en-AU"/>
              </w:rPr>
            </w:pPr>
            <w:r w:rsidRPr="004A7E84">
              <w:rPr>
                <w:rFonts w:cs="Arial"/>
                <w:b/>
                <w:snapToGrid/>
                <w:sz w:val="18"/>
                <w:szCs w:val="18"/>
                <w:lang w:eastAsia="en-AU"/>
              </w:rPr>
              <w:t xml:space="preserve">Subjects 18 </w:t>
            </w:r>
            <w:r>
              <w:rPr>
                <w:rFonts w:cs="Arial"/>
                <w:b/>
                <w:snapToGrid/>
                <w:sz w:val="18"/>
                <w:szCs w:val="18"/>
                <w:lang w:eastAsia="en-AU"/>
              </w:rPr>
              <w:t>to &lt; 65</w:t>
            </w:r>
            <w:r w:rsidRPr="005569C2">
              <w:rPr>
                <w:rFonts w:cs="Arial"/>
                <w:b/>
                <w:snapToGrid/>
                <w:sz w:val="18"/>
                <w:szCs w:val="18"/>
                <w:lang w:eastAsia="en-AU"/>
              </w:rPr>
              <w:t xml:space="preserve"> years</w:t>
            </w:r>
          </w:p>
        </w:tc>
        <w:tc>
          <w:tcPr>
            <w:tcW w:w="3828" w:type="dxa"/>
            <w:gridSpan w:val="6"/>
            <w:shd w:val="clear" w:color="auto" w:fill="FFFFFF" w:themeFill="background1"/>
          </w:tcPr>
          <w:p w:rsidR="00377492" w:rsidRPr="005569C2" w:rsidRDefault="00377492" w:rsidP="00A72C5E">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Subjects ≥ 65 years</w:t>
            </w:r>
          </w:p>
        </w:tc>
      </w:tr>
      <w:tr w:rsidR="00377492" w:rsidRPr="00A72C5E" w:rsidTr="001021CC">
        <w:trPr>
          <w:trHeight w:val="413"/>
        </w:trPr>
        <w:tc>
          <w:tcPr>
            <w:tcW w:w="2092" w:type="dxa"/>
            <w:vMerge/>
            <w:shd w:val="clear" w:color="auto" w:fill="FFFFFF" w:themeFill="background1"/>
          </w:tcPr>
          <w:p w:rsidR="00377492" w:rsidRPr="004A7E84" w:rsidRDefault="00377492" w:rsidP="00A72C5E">
            <w:pPr>
              <w:keepNext/>
              <w:widowControl/>
              <w:spacing w:before="40" w:after="40" w:line="240" w:lineRule="auto"/>
              <w:rPr>
                <w:rFonts w:cs="Arial"/>
                <w:b/>
                <w:snapToGrid/>
                <w:sz w:val="18"/>
                <w:szCs w:val="18"/>
                <w:lang w:eastAsia="en-AU"/>
              </w:rPr>
            </w:pPr>
          </w:p>
        </w:tc>
        <w:tc>
          <w:tcPr>
            <w:tcW w:w="1275" w:type="dxa"/>
            <w:gridSpan w:val="2"/>
            <w:shd w:val="clear" w:color="auto" w:fill="FFFFFF" w:themeFill="background1"/>
            <w:vAlign w:val="center"/>
          </w:tcPr>
          <w:p w:rsidR="00377492" w:rsidRPr="005569C2" w:rsidRDefault="00377492" w:rsidP="00854061">
            <w:pPr>
              <w:keepNext/>
              <w:widowControl/>
              <w:spacing w:before="40" w:after="40" w:line="240" w:lineRule="auto"/>
              <w:jc w:val="center"/>
              <w:rPr>
                <w:rFonts w:cs="Arial"/>
                <w:b/>
                <w:snapToGrid/>
                <w:sz w:val="18"/>
                <w:szCs w:val="18"/>
                <w:lang w:eastAsia="en-AU"/>
              </w:rPr>
            </w:pPr>
            <w:r>
              <w:rPr>
                <w:rFonts w:cs="Arial"/>
                <w:b/>
                <w:snapToGrid/>
                <w:sz w:val="18"/>
                <w:szCs w:val="18"/>
                <w:lang w:eastAsia="en-AU"/>
              </w:rPr>
              <w:t>Afluria Quad</w:t>
            </w:r>
            <w:r w:rsidR="00496B46">
              <w:rPr>
                <w:rFonts w:cs="Arial"/>
                <w:b/>
                <w:snapToGrid/>
                <w:sz w:val="18"/>
                <w:szCs w:val="18"/>
                <w:lang w:eastAsia="en-AU"/>
              </w:rPr>
              <w:t>™</w:t>
            </w:r>
            <w:r>
              <w:rPr>
                <w:rFonts w:cs="Arial"/>
                <w:b/>
                <w:snapToGrid/>
                <w:sz w:val="18"/>
                <w:szCs w:val="18"/>
                <w:lang w:eastAsia="en-AU"/>
              </w:rPr>
              <w:t xml:space="preserve"> vaccine </w:t>
            </w:r>
          </w:p>
          <w:p w:rsidR="00377492" w:rsidRPr="009555D5" w:rsidRDefault="00377492" w:rsidP="005C19F8">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N=854</w:t>
            </w:r>
            <w:r>
              <w:rPr>
                <w:rFonts w:cs="Arial"/>
                <w:b/>
                <w:snapToGrid/>
                <w:sz w:val="18"/>
                <w:szCs w:val="18"/>
                <w:lang w:eastAsia="en-AU"/>
              </w:rPr>
              <w:t xml:space="preserve"> </w:t>
            </w:r>
            <w:r w:rsidRPr="005569C2">
              <w:rPr>
                <w:rFonts w:cs="Arial"/>
                <w:b/>
                <w:snapToGrid/>
                <w:sz w:val="18"/>
                <w:szCs w:val="18"/>
                <w:vertAlign w:val="superscript"/>
                <w:lang w:eastAsia="en-AU"/>
              </w:rPr>
              <w:t>b</w:t>
            </w:r>
          </w:p>
        </w:tc>
        <w:tc>
          <w:tcPr>
            <w:tcW w:w="1276" w:type="dxa"/>
            <w:gridSpan w:val="2"/>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sidRPr="005569C2">
              <w:rPr>
                <w:rFonts w:cs="Arial"/>
                <w:b/>
                <w:snapToGrid/>
                <w:sz w:val="18"/>
                <w:szCs w:val="18"/>
              </w:rPr>
              <w:t>TIV-1</w:t>
            </w:r>
          </w:p>
          <w:p w:rsidR="00377492" w:rsidRPr="005569C2" w:rsidRDefault="00377492">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N=428</w:t>
            </w:r>
            <w:r>
              <w:rPr>
                <w:rFonts w:cs="Arial"/>
                <w:b/>
                <w:snapToGrid/>
                <w:sz w:val="18"/>
                <w:szCs w:val="18"/>
                <w:lang w:eastAsia="en-AU"/>
              </w:rPr>
              <w:t xml:space="preserve"> </w:t>
            </w:r>
            <w:r w:rsidRPr="005569C2">
              <w:rPr>
                <w:rFonts w:cs="Arial"/>
                <w:b/>
                <w:snapToGrid/>
                <w:sz w:val="18"/>
                <w:szCs w:val="18"/>
                <w:vertAlign w:val="superscript"/>
                <w:lang w:eastAsia="en-AU"/>
              </w:rPr>
              <w:t>b</w:t>
            </w:r>
          </w:p>
        </w:tc>
        <w:tc>
          <w:tcPr>
            <w:tcW w:w="1276" w:type="dxa"/>
            <w:gridSpan w:val="2"/>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sidRPr="005569C2">
              <w:rPr>
                <w:rFonts w:cs="Arial"/>
                <w:b/>
                <w:snapToGrid/>
                <w:sz w:val="18"/>
                <w:szCs w:val="18"/>
              </w:rPr>
              <w:t>TIV-2</w:t>
            </w:r>
          </w:p>
          <w:p w:rsidR="00377492" w:rsidRPr="005569C2" w:rsidRDefault="00377492">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N=430</w:t>
            </w:r>
            <w:r>
              <w:rPr>
                <w:rFonts w:cs="Arial"/>
                <w:b/>
                <w:snapToGrid/>
                <w:sz w:val="18"/>
                <w:szCs w:val="18"/>
                <w:lang w:eastAsia="en-AU"/>
              </w:rPr>
              <w:t xml:space="preserve"> </w:t>
            </w:r>
            <w:r w:rsidRPr="005569C2">
              <w:rPr>
                <w:rFonts w:cs="Arial"/>
                <w:b/>
                <w:snapToGrid/>
                <w:sz w:val="18"/>
                <w:szCs w:val="18"/>
                <w:vertAlign w:val="superscript"/>
                <w:lang w:eastAsia="en-AU"/>
              </w:rPr>
              <w:t>b</w:t>
            </w:r>
          </w:p>
        </w:tc>
        <w:tc>
          <w:tcPr>
            <w:tcW w:w="1276" w:type="dxa"/>
            <w:gridSpan w:val="2"/>
            <w:shd w:val="clear" w:color="auto" w:fill="FFFFFF" w:themeFill="background1"/>
            <w:vAlign w:val="center"/>
          </w:tcPr>
          <w:p w:rsidR="00377492" w:rsidRPr="005569C2" w:rsidRDefault="00377492">
            <w:pPr>
              <w:keepNext/>
              <w:widowControl/>
              <w:spacing w:before="40" w:after="40" w:line="240" w:lineRule="auto"/>
              <w:jc w:val="center"/>
              <w:rPr>
                <w:rFonts w:cs="Arial"/>
                <w:b/>
                <w:snapToGrid/>
                <w:sz w:val="18"/>
                <w:szCs w:val="18"/>
                <w:lang w:eastAsia="en-AU"/>
              </w:rPr>
            </w:pPr>
            <w:r>
              <w:rPr>
                <w:rFonts w:cs="Arial"/>
                <w:b/>
                <w:snapToGrid/>
                <w:sz w:val="18"/>
                <w:szCs w:val="18"/>
                <w:lang w:eastAsia="en-AU"/>
              </w:rPr>
              <w:t>Afluria Quad</w:t>
            </w:r>
            <w:r w:rsidR="00496B46">
              <w:rPr>
                <w:rFonts w:cs="Arial"/>
                <w:b/>
                <w:snapToGrid/>
                <w:sz w:val="18"/>
                <w:szCs w:val="18"/>
                <w:lang w:eastAsia="en-AU"/>
              </w:rPr>
              <w:t>™</w:t>
            </w:r>
            <w:r>
              <w:rPr>
                <w:rFonts w:cs="Arial"/>
                <w:b/>
                <w:snapToGrid/>
                <w:sz w:val="18"/>
                <w:szCs w:val="18"/>
                <w:lang w:eastAsia="en-AU"/>
              </w:rPr>
              <w:t xml:space="preserve"> vaccine </w:t>
            </w:r>
          </w:p>
          <w:p w:rsidR="00377492" w:rsidRPr="005569C2" w:rsidRDefault="00377492">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N=867</w:t>
            </w:r>
            <w:r>
              <w:rPr>
                <w:rFonts w:cs="Arial"/>
                <w:b/>
                <w:snapToGrid/>
                <w:sz w:val="18"/>
                <w:szCs w:val="18"/>
                <w:lang w:eastAsia="en-AU"/>
              </w:rPr>
              <w:t xml:space="preserve"> </w:t>
            </w:r>
            <w:r w:rsidRPr="005569C2">
              <w:rPr>
                <w:rFonts w:cs="Arial"/>
                <w:b/>
                <w:snapToGrid/>
                <w:sz w:val="18"/>
                <w:szCs w:val="18"/>
                <w:vertAlign w:val="superscript"/>
                <w:lang w:eastAsia="en-AU"/>
              </w:rPr>
              <w:t>b</w:t>
            </w:r>
          </w:p>
        </w:tc>
        <w:tc>
          <w:tcPr>
            <w:tcW w:w="1276" w:type="dxa"/>
            <w:gridSpan w:val="2"/>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sidRPr="005569C2">
              <w:rPr>
                <w:rFonts w:cs="Arial"/>
                <w:b/>
                <w:snapToGrid/>
                <w:sz w:val="18"/>
                <w:szCs w:val="18"/>
              </w:rPr>
              <w:t>TIV-1</w:t>
            </w:r>
          </w:p>
          <w:p w:rsidR="00377492" w:rsidRPr="005569C2" w:rsidRDefault="00377492">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N=436</w:t>
            </w:r>
            <w:r>
              <w:rPr>
                <w:rFonts w:cs="Arial"/>
                <w:b/>
                <w:snapToGrid/>
                <w:sz w:val="18"/>
                <w:szCs w:val="18"/>
                <w:lang w:eastAsia="en-AU"/>
              </w:rPr>
              <w:t xml:space="preserve"> </w:t>
            </w:r>
            <w:r w:rsidRPr="005569C2">
              <w:rPr>
                <w:rFonts w:cs="Arial"/>
                <w:b/>
                <w:snapToGrid/>
                <w:sz w:val="18"/>
                <w:szCs w:val="18"/>
                <w:vertAlign w:val="superscript"/>
                <w:lang w:eastAsia="en-AU"/>
              </w:rPr>
              <w:t>b</w:t>
            </w:r>
          </w:p>
        </w:tc>
        <w:tc>
          <w:tcPr>
            <w:tcW w:w="1276" w:type="dxa"/>
            <w:gridSpan w:val="2"/>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sidRPr="005569C2">
              <w:rPr>
                <w:rFonts w:cs="Arial"/>
                <w:b/>
                <w:snapToGrid/>
                <w:sz w:val="18"/>
                <w:szCs w:val="18"/>
              </w:rPr>
              <w:t>TIV-2</w:t>
            </w:r>
          </w:p>
          <w:p w:rsidR="00377492" w:rsidRPr="005569C2" w:rsidRDefault="00377492">
            <w:pPr>
              <w:keepNext/>
              <w:widowControl/>
              <w:spacing w:before="40" w:after="40" w:line="240" w:lineRule="auto"/>
              <w:jc w:val="center"/>
              <w:rPr>
                <w:rFonts w:cs="Arial"/>
                <w:b/>
                <w:snapToGrid/>
                <w:sz w:val="18"/>
                <w:szCs w:val="18"/>
                <w:lang w:eastAsia="en-AU"/>
              </w:rPr>
            </w:pPr>
            <w:r w:rsidRPr="005569C2">
              <w:rPr>
                <w:rFonts w:cs="Arial"/>
                <w:b/>
                <w:snapToGrid/>
                <w:sz w:val="18"/>
                <w:szCs w:val="18"/>
                <w:lang w:eastAsia="en-AU"/>
              </w:rPr>
              <w:t>N=434</w:t>
            </w:r>
            <w:r>
              <w:rPr>
                <w:rFonts w:cs="Arial"/>
                <w:b/>
                <w:snapToGrid/>
                <w:sz w:val="18"/>
                <w:szCs w:val="18"/>
                <w:lang w:eastAsia="en-AU"/>
              </w:rPr>
              <w:t xml:space="preserve"> </w:t>
            </w:r>
            <w:r w:rsidRPr="005569C2">
              <w:rPr>
                <w:rFonts w:cs="Arial"/>
                <w:b/>
                <w:snapToGrid/>
                <w:sz w:val="18"/>
                <w:szCs w:val="18"/>
                <w:vertAlign w:val="superscript"/>
                <w:lang w:eastAsia="en-AU"/>
              </w:rPr>
              <w:t>b</w:t>
            </w:r>
          </w:p>
        </w:tc>
      </w:tr>
      <w:tr w:rsidR="00377492" w:rsidRPr="00A72C5E" w:rsidTr="001021CC">
        <w:trPr>
          <w:trHeight w:val="413"/>
        </w:trPr>
        <w:tc>
          <w:tcPr>
            <w:tcW w:w="2092" w:type="dxa"/>
            <w:vMerge/>
            <w:shd w:val="clear" w:color="auto" w:fill="FFFFFF" w:themeFill="background1"/>
          </w:tcPr>
          <w:p w:rsidR="00377492" w:rsidRPr="004A7E84" w:rsidRDefault="00377492" w:rsidP="00A72C5E">
            <w:pPr>
              <w:keepNext/>
              <w:widowControl/>
              <w:spacing w:before="40" w:after="40" w:line="240" w:lineRule="auto"/>
              <w:rPr>
                <w:rFonts w:cs="Arial"/>
                <w:b/>
                <w:snapToGrid/>
                <w:sz w:val="18"/>
                <w:szCs w:val="18"/>
                <w:lang w:eastAsia="en-AU"/>
              </w:rPr>
            </w:pPr>
          </w:p>
        </w:tc>
        <w:tc>
          <w:tcPr>
            <w:tcW w:w="637" w:type="dxa"/>
            <w:shd w:val="clear" w:color="auto" w:fill="FFFFFF" w:themeFill="background1"/>
            <w:vAlign w:val="center"/>
          </w:tcPr>
          <w:p w:rsidR="00377492" w:rsidRDefault="00377492" w:rsidP="00854061">
            <w:pPr>
              <w:keepNext/>
              <w:widowControl/>
              <w:spacing w:before="40" w:after="40" w:line="240" w:lineRule="auto"/>
              <w:jc w:val="center"/>
              <w:rPr>
                <w:rFonts w:cs="Arial"/>
                <w:b/>
                <w:snapToGrid/>
                <w:sz w:val="18"/>
                <w:szCs w:val="18"/>
                <w:lang w:eastAsia="en-AU"/>
              </w:rPr>
            </w:pPr>
            <w:r>
              <w:rPr>
                <w:rFonts w:cs="Arial"/>
                <w:b/>
                <w:snapToGrid/>
                <w:sz w:val="18"/>
                <w:szCs w:val="18"/>
                <w:lang w:eastAsia="en-AU"/>
              </w:rPr>
              <w:t>Any</w:t>
            </w:r>
          </w:p>
        </w:tc>
        <w:tc>
          <w:tcPr>
            <w:tcW w:w="638" w:type="dxa"/>
            <w:shd w:val="clear" w:color="auto" w:fill="FFFFFF" w:themeFill="background1"/>
            <w:vAlign w:val="center"/>
          </w:tcPr>
          <w:p w:rsidR="00377492" w:rsidRDefault="00377492" w:rsidP="00854061">
            <w:pPr>
              <w:keepNext/>
              <w:widowControl/>
              <w:spacing w:before="40" w:after="40" w:line="240" w:lineRule="auto"/>
              <w:jc w:val="center"/>
              <w:rPr>
                <w:rFonts w:cs="Arial"/>
                <w:b/>
                <w:snapToGrid/>
                <w:sz w:val="18"/>
                <w:szCs w:val="18"/>
                <w:lang w:eastAsia="en-AU"/>
              </w:rPr>
            </w:pPr>
            <w:r>
              <w:rPr>
                <w:rFonts w:cs="Arial"/>
                <w:b/>
                <w:snapToGrid/>
                <w:sz w:val="18"/>
                <w:szCs w:val="18"/>
                <w:lang w:eastAsia="en-AU"/>
              </w:rPr>
              <w:t>Gr 3</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 xml:space="preserve">Any </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Gr 3</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Any</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Gr 3</w:t>
            </w:r>
          </w:p>
        </w:tc>
        <w:tc>
          <w:tcPr>
            <w:tcW w:w="637" w:type="dxa"/>
            <w:shd w:val="clear" w:color="auto" w:fill="FFFFFF" w:themeFill="background1"/>
            <w:vAlign w:val="center"/>
          </w:tcPr>
          <w:p w:rsidR="00377492" w:rsidRDefault="00377492">
            <w:pPr>
              <w:keepNext/>
              <w:widowControl/>
              <w:spacing w:before="40" w:after="40" w:line="240" w:lineRule="auto"/>
              <w:jc w:val="center"/>
              <w:rPr>
                <w:rFonts w:cs="Arial"/>
                <w:b/>
                <w:snapToGrid/>
                <w:sz w:val="18"/>
                <w:szCs w:val="18"/>
                <w:lang w:eastAsia="en-AU"/>
              </w:rPr>
            </w:pPr>
            <w:r>
              <w:rPr>
                <w:rFonts w:cs="Arial"/>
                <w:b/>
                <w:snapToGrid/>
                <w:sz w:val="18"/>
                <w:szCs w:val="18"/>
                <w:lang w:eastAsia="en-AU"/>
              </w:rPr>
              <w:t>Any</w:t>
            </w:r>
          </w:p>
        </w:tc>
        <w:tc>
          <w:tcPr>
            <w:tcW w:w="639" w:type="dxa"/>
            <w:shd w:val="clear" w:color="auto" w:fill="FFFFFF" w:themeFill="background1"/>
            <w:vAlign w:val="center"/>
          </w:tcPr>
          <w:p w:rsidR="00377492" w:rsidRDefault="00377492">
            <w:pPr>
              <w:keepNext/>
              <w:widowControl/>
              <w:spacing w:before="40" w:after="40" w:line="240" w:lineRule="auto"/>
              <w:jc w:val="center"/>
              <w:rPr>
                <w:rFonts w:cs="Arial"/>
                <w:b/>
                <w:snapToGrid/>
                <w:sz w:val="18"/>
                <w:szCs w:val="18"/>
                <w:lang w:eastAsia="en-AU"/>
              </w:rPr>
            </w:pPr>
            <w:r>
              <w:rPr>
                <w:rFonts w:cs="Arial"/>
                <w:b/>
                <w:snapToGrid/>
                <w:sz w:val="18"/>
                <w:szCs w:val="18"/>
                <w:lang w:eastAsia="en-AU"/>
              </w:rPr>
              <w:t>Gr 3</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Any</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Gr 3</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Any</w:t>
            </w:r>
          </w:p>
        </w:tc>
        <w:tc>
          <w:tcPr>
            <w:tcW w:w="638" w:type="dxa"/>
            <w:shd w:val="clear" w:color="auto" w:fill="FFFFFF" w:themeFill="background1"/>
            <w:vAlign w:val="center"/>
          </w:tcPr>
          <w:p w:rsidR="00377492" w:rsidRPr="005569C2" w:rsidRDefault="00377492">
            <w:pPr>
              <w:keepNext/>
              <w:keepLines/>
              <w:widowControl/>
              <w:spacing w:before="40" w:after="40" w:line="240" w:lineRule="auto"/>
              <w:jc w:val="center"/>
              <w:rPr>
                <w:rFonts w:cs="Arial"/>
                <w:b/>
                <w:snapToGrid/>
                <w:sz w:val="18"/>
                <w:szCs w:val="18"/>
              </w:rPr>
            </w:pPr>
            <w:r>
              <w:rPr>
                <w:rFonts w:cs="Arial"/>
                <w:b/>
                <w:snapToGrid/>
                <w:sz w:val="18"/>
                <w:szCs w:val="18"/>
              </w:rPr>
              <w:t>Gr 3</w:t>
            </w:r>
          </w:p>
        </w:tc>
      </w:tr>
      <w:tr w:rsidR="00A72C5E" w:rsidRPr="00A72C5E" w:rsidTr="00377492">
        <w:tc>
          <w:tcPr>
            <w:tcW w:w="9747" w:type="dxa"/>
            <w:gridSpan w:val="13"/>
            <w:shd w:val="clear" w:color="auto" w:fill="FFFFFF" w:themeFill="background1"/>
          </w:tcPr>
          <w:p w:rsidR="00A72C5E" w:rsidRPr="006D31CC" w:rsidRDefault="00A72C5E" w:rsidP="00A72C5E">
            <w:pPr>
              <w:keepNext/>
              <w:widowControl/>
              <w:spacing w:before="40" w:after="40" w:line="240" w:lineRule="auto"/>
              <w:jc w:val="left"/>
              <w:rPr>
                <w:rFonts w:cs="Arial"/>
                <w:b/>
                <w:snapToGrid/>
                <w:sz w:val="18"/>
                <w:szCs w:val="18"/>
                <w:vertAlign w:val="superscript"/>
                <w:lang w:eastAsia="en-AU"/>
              </w:rPr>
            </w:pPr>
            <w:r w:rsidRPr="005569C2">
              <w:rPr>
                <w:rFonts w:cs="Arial"/>
                <w:b/>
                <w:snapToGrid/>
                <w:sz w:val="18"/>
                <w:szCs w:val="18"/>
                <w:lang w:eastAsia="en-AU"/>
              </w:rPr>
              <w:t xml:space="preserve">Local Adverse </w:t>
            </w:r>
            <w:proofErr w:type="spellStart"/>
            <w:r w:rsidRPr="005569C2">
              <w:rPr>
                <w:rFonts w:cs="Arial"/>
                <w:b/>
                <w:snapToGrid/>
                <w:sz w:val="18"/>
                <w:szCs w:val="18"/>
                <w:lang w:eastAsia="en-AU"/>
              </w:rPr>
              <w:t>Reactions</w:t>
            </w:r>
            <w:r w:rsidR="00D35A3C">
              <w:rPr>
                <w:rFonts w:cs="Arial"/>
                <w:b/>
                <w:snapToGrid/>
                <w:sz w:val="18"/>
                <w:szCs w:val="18"/>
                <w:vertAlign w:val="superscript"/>
                <w:lang w:eastAsia="en-AU"/>
              </w:rPr>
              <w:t>c</w:t>
            </w:r>
            <w:proofErr w:type="spellEnd"/>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rPr>
                <w:rFonts w:cs="Arial"/>
                <w:snapToGrid/>
                <w:sz w:val="18"/>
                <w:szCs w:val="18"/>
                <w:lang w:eastAsia="en-AU"/>
              </w:rPr>
            </w:pPr>
            <w:r w:rsidRPr="005569C2">
              <w:rPr>
                <w:rFonts w:cs="Arial"/>
                <w:snapToGrid/>
                <w:sz w:val="18"/>
                <w:szCs w:val="18"/>
                <w:lang w:eastAsia="en-AU"/>
              </w:rPr>
              <w:t>Pain</w:t>
            </w:r>
          </w:p>
        </w:tc>
        <w:tc>
          <w:tcPr>
            <w:tcW w:w="637" w:type="dxa"/>
            <w:shd w:val="clear" w:color="auto" w:fill="FFFFFF" w:themeFill="background1"/>
          </w:tcPr>
          <w:p w:rsidR="00377492" w:rsidRPr="00FE0977" w:rsidRDefault="00377492" w:rsidP="009555D5">
            <w:pPr>
              <w:keepNext/>
              <w:widowControl/>
              <w:spacing w:before="40" w:after="40" w:line="240" w:lineRule="auto"/>
              <w:jc w:val="center"/>
              <w:rPr>
                <w:rFonts w:cs="Arial"/>
                <w:snapToGrid/>
                <w:sz w:val="18"/>
                <w:szCs w:val="18"/>
                <w:lang w:eastAsia="en-AU"/>
              </w:rPr>
            </w:pPr>
            <w:r w:rsidRPr="00FE0977">
              <w:rPr>
                <w:color w:val="000000"/>
                <w:sz w:val="18"/>
                <w:szCs w:val="18"/>
              </w:rPr>
              <w:t>47.9</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color w:val="000000"/>
                <w:sz w:val="18"/>
                <w:szCs w:val="18"/>
              </w:rPr>
              <w:t>43.7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1.4</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color w:val="000000"/>
                <w:sz w:val="18"/>
                <w:szCs w:val="18"/>
              </w:rPr>
              <w:t>50.7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1.2</w:t>
            </w:r>
          </w:p>
        </w:tc>
        <w:tc>
          <w:tcPr>
            <w:tcW w:w="637"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color w:val="000000"/>
                <w:sz w:val="18"/>
                <w:szCs w:val="18"/>
              </w:rPr>
              <w:t>24.6</w:t>
            </w:r>
          </w:p>
        </w:tc>
        <w:tc>
          <w:tcPr>
            <w:tcW w:w="639"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0.1</w:t>
            </w:r>
          </w:p>
        </w:tc>
        <w:tc>
          <w:tcPr>
            <w:tcW w:w="638" w:type="dxa"/>
            <w:shd w:val="clear" w:color="auto" w:fill="FFFFFF" w:themeFill="background1"/>
          </w:tcPr>
          <w:p w:rsidR="00377492" w:rsidRPr="00FE0977" w:rsidRDefault="00377492" w:rsidP="00377492">
            <w:pPr>
              <w:keepNext/>
              <w:widowControl/>
              <w:spacing w:before="40" w:after="40" w:line="240" w:lineRule="auto"/>
              <w:jc w:val="center"/>
              <w:rPr>
                <w:rFonts w:cs="Arial"/>
                <w:snapToGrid/>
                <w:sz w:val="18"/>
                <w:szCs w:val="18"/>
                <w:lang w:eastAsia="en-AU"/>
              </w:rPr>
            </w:pPr>
            <w:r w:rsidRPr="00FE0977">
              <w:rPr>
                <w:color w:val="000000"/>
                <w:sz w:val="18"/>
                <w:szCs w:val="18"/>
              </w:rPr>
              <w:t>22. 7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377492">
            <w:pPr>
              <w:keepNext/>
              <w:widowControl/>
              <w:spacing w:before="40" w:after="40" w:line="240" w:lineRule="auto"/>
              <w:jc w:val="center"/>
              <w:rPr>
                <w:rFonts w:cs="Arial"/>
                <w:snapToGrid/>
                <w:sz w:val="18"/>
                <w:szCs w:val="18"/>
                <w:lang w:eastAsia="en-AU"/>
              </w:rPr>
            </w:pPr>
            <w:r w:rsidRPr="00FE0977">
              <w:rPr>
                <w:color w:val="000000"/>
                <w:sz w:val="18"/>
                <w:szCs w:val="18"/>
              </w:rPr>
              <w:t>21.0</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r>
      <w:tr w:rsidR="00377492" w:rsidRPr="00A72C5E" w:rsidTr="001021CC">
        <w:tc>
          <w:tcPr>
            <w:tcW w:w="2092" w:type="dxa"/>
            <w:shd w:val="clear" w:color="auto" w:fill="FFFFFF" w:themeFill="background1"/>
          </w:tcPr>
          <w:p w:rsidR="00377492" w:rsidRPr="005569C2" w:rsidRDefault="00377492" w:rsidP="005A63FE">
            <w:pPr>
              <w:keepNext/>
              <w:widowControl/>
              <w:spacing w:before="40" w:after="40" w:line="240" w:lineRule="auto"/>
              <w:rPr>
                <w:rFonts w:cs="Arial"/>
                <w:snapToGrid/>
                <w:sz w:val="18"/>
                <w:szCs w:val="18"/>
                <w:lang w:eastAsia="en-AU"/>
              </w:rPr>
            </w:pPr>
            <w:r w:rsidRPr="005569C2">
              <w:rPr>
                <w:rFonts w:cs="Arial"/>
                <w:snapToGrid/>
                <w:sz w:val="18"/>
                <w:szCs w:val="18"/>
                <w:lang w:eastAsia="en-AU"/>
              </w:rPr>
              <w:t>Swelling/Lump</w:t>
            </w:r>
          </w:p>
        </w:tc>
        <w:tc>
          <w:tcPr>
            <w:tcW w:w="637"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3.7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0.1</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color w:val="000000"/>
                <w:sz w:val="18"/>
                <w:szCs w:val="18"/>
              </w:rPr>
              <w:t>2.3</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color w:val="000000"/>
                <w:sz w:val="18"/>
                <w:szCs w:val="18"/>
              </w:rPr>
              <w:t>3.5</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c>
          <w:tcPr>
            <w:tcW w:w="637"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color w:val="000000"/>
                <w:sz w:val="18"/>
                <w:szCs w:val="18"/>
              </w:rPr>
              <w:t>3.2</w:t>
            </w:r>
          </w:p>
        </w:tc>
        <w:tc>
          <w:tcPr>
            <w:tcW w:w="639"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color w:val="000000"/>
                <w:sz w:val="18"/>
                <w:szCs w:val="18"/>
              </w:rPr>
              <w:t>1.8</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color w:val="000000"/>
                <w:sz w:val="18"/>
                <w:szCs w:val="18"/>
              </w:rPr>
              <w:t>1.6</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rPr>
                <w:rFonts w:cs="Arial"/>
                <w:snapToGrid/>
                <w:sz w:val="18"/>
                <w:szCs w:val="18"/>
                <w:lang w:eastAsia="en-AU"/>
              </w:rPr>
            </w:pPr>
            <w:r w:rsidRPr="005569C2">
              <w:rPr>
                <w:rFonts w:cs="Arial"/>
                <w:snapToGrid/>
                <w:sz w:val="18"/>
                <w:szCs w:val="18"/>
                <w:lang w:eastAsia="en-AU"/>
              </w:rPr>
              <w:t>Redness</w:t>
            </w:r>
          </w:p>
        </w:tc>
        <w:tc>
          <w:tcPr>
            <w:tcW w:w="637"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2.9</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843404">
              <w:rPr>
                <w:sz w:val="18"/>
                <w:szCs w:val="18"/>
              </w:rPr>
              <w:t>2.8</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843404">
              <w:rPr>
                <w:sz w:val="18"/>
                <w:szCs w:val="18"/>
              </w:rPr>
              <w:t>2.8</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7"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843404">
              <w:rPr>
                <w:sz w:val="18"/>
                <w:szCs w:val="18"/>
              </w:rPr>
              <w:t>4.2</w:t>
            </w:r>
          </w:p>
        </w:tc>
        <w:tc>
          <w:tcPr>
            <w:tcW w:w="639"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0.3</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843404">
              <w:rPr>
                <w:sz w:val="18"/>
                <w:szCs w:val="18"/>
              </w:rPr>
              <w:t>2.1</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843404">
              <w:rPr>
                <w:sz w:val="18"/>
                <w:szCs w:val="18"/>
              </w:rPr>
              <w:t>2.5</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0.2</w:t>
            </w:r>
          </w:p>
        </w:tc>
      </w:tr>
      <w:tr w:rsidR="00A72C5E" w:rsidRPr="00A72C5E" w:rsidTr="00377492">
        <w:tc>
          <w:tcPr>
            <w:tcW w:w="9747" w:type="dxa"/>
            <w:gridSpan w:val="13"/>
            <w:shd w:val="clear" w:color="auto" w:fill="FFFFFF" w:themeFill="background1"/>
          </w:tcPr>
          <w:p w:rsidR="00A72C5E" w:rsidRPr="006D31CC" w:rsidRDefault="00A72C5E" w:rsidP="00A72C5E">
            <w:pPr>
              <w:keepNext/>
              <w:widowControl/>
              <w:spacing w:before="40" w:after="40" w:line="240" w:lineRule="auto"/>
              <w:jc w:val="left"/>
              <w:rPr>
                <w:rFonts w:cs="Arial"/>
                <w:b/>
                <w:snapToGrid/>
                <w:sz w:val="18"/>
                <w:szCs w:val="18"/>
                <w:vertAlign w:val="superscript"/>
                <w:lang w:eastAsia="en-AU"/>
              </w:rPr>
            </w:pPr>
            <w:r w:rsidRPr="005569C2">
              <w:rPr>
                <w:rFonts w:cs="Arial"/>
                <w:b/>
                <w:snapToGrid/>
                <w:sz w:val="18"/>
                <w:szCs w:val="18"/>
                <w:lang w:eastAsia="en-AU"/>
              </w:rPr>
              <w:t xml:space="preserve">Systemic Adverse </w:t>
            </w:r>
            <w:proofErr w:type="spellStart"/>
            <w:r w:rsidRPr="005569C2">
              <w:rPr>
                <w:rFonts w:cs="Arial"/>
                <w:b/>
                <w:snapToGrid/>
                <w:sz w:val="18"/>
                <w:szCs w:val="18"/>
                <w:lang w:eastAsia="en-AU"/>
              </w:rPr>
              <w:t>Events</w:t>
            </w:r>
            <w:r w:rsidR="00D35A3C">
              <w:rPr>
                <w:rFonts w:cs="Arial"/>
                <w:b/>
                <w:snapToGrid/>
                <w:sz w:val="18"/>
                <w:szCs w:val="18"/>
                <w:vertAlign w:val="superscript"/>
                <w:lang w:eastAsia="en-AU"/>
              </w:rPr>
              <w:t>d</w:t>
            </w:r>
            <w:proofErr w:type="spellEnd"/>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jc w:val="left"/>
              <w:rPr>
                <w:rFonts w:cs="Arial"/>
                <w:snapToGrid/>
                <w:sz w:val="18"/>
                <w:szCs w:val="18"/>
              </w:rPr>
            </w:pPr>
            <w:r w:rsidRPr="005569C2">
              <w:rPr>
                <w:rFonts w:cs="Arial"/>
                <w:snapToGrid/>
                <w:sz w:val="18"/>
                <w:szCs w:val="18"/>
              </w:rPr>
              <w:t>Myalgia (muscle ache)</w:t>
            </w:r>
          </w:p>
        </w:tc>
        <w:tc>
          <w:tcPr>
            <w:tcW w:w="637" w:type="dxa"/>
            <w:shd w:val="clear" w:color="auto" w:fill="FFFFFF" w:themeFill="background1"/>
          </w:tcPr>
          <w:p w:rsidR="00377492" w:rsidRPr="009B2702" w:rsidRDefault="00377492" w:rsidP="009555D5">
            <w:pPr>
              <w:keepNext/>
              <w:widowControl/>
              <w:spacing w:before="40" w:after="40" w:line="240" w:lineRule="auto"/>
              <w:jc w:val="center"/>
              <w:rPr>
                <w:rFonts w:cs="Arial"/>
                <w:snapToGrid/>
                <w:sz w:val="18"/>
                <w:szCs w:val="18"/>
                <w:lang w:eastAsia="en-AU"/>
              </w:rPr>
            </w:pPr>
            <w:r w:rsidRPr="00FE0977">
              <w:rPr>
                <w:sz w:val="18"/>
                <w:szCs w:val="18"/>
              </w:rPr>
              <w:t>25.5</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1.9</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color w:val="000000"/>
                <w:sz w:val="18"/>
                <w:szCs w:val="18"/>
              </w:rPr>
              <w:t>23.4</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1.4</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sz w:val="18"/>
                <w:szCs w:val="18"/>
              </w:rPr>
              <w:t>24.2</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Pr>
                <w:rFonts w:cs="Arial"/>
                <w:snapToGrid/>
                <w:sz w:val="18"/>
                <w:szCs w:val="18"/>
                <w:lang w:eastAsia="en-AU"/>
              </w:rPr>
              <w:t>1.2</w:t>
            </w:r>
          </w:p>
        </w:tc>
        <w:tc>
          <w:tcPr>
            <w:tcW w:w="638" w:type="dxa"/>
            <w:shd w:val="clear" w:color="auto" w:fill="FFFFFF" w:themeFill="background1"/>
          </w:tcPr>
          <w:p w:rsidR="00377492" w:rsidRPr="009B2702" w:rsidRDefault="00377492" w:rsidP="00D074B2">
            <w:pPr>
              <w:keepNext/>
              <w:widowControl/>
              <w:spacing w:before="40" w:after="40" w:line="240" w:lineRule="auto"/>
              <w:jc w:val="center"/>
              <w:rPr>
                <w:rFonts w:cs="Arial"/>
                <w:snapToGrid/>
                <w:sz w:val="18"/>
                <w:szCs w:val="18"/>
                <w:lang w:eastAsia="en-AU"/>
              </w:rPr>
            </w:pPr>
            <w:r w:rsidRPr="00843404">
              <w:rPr>
                <w:sz w:val="18"/>
                <w:szCs w:val="18"/>
              </w:rPr>
              <w:t>12.7</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0.3</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14.0</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12.2</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jc w:val="left"/>
              <w:rPr>
                <w:rFonts w:cs="Arial"/>
                <w:snapToGrid/>
                <w:sz w:val="18"/>
                <w:szCs w:val="18"/>
              </w:rPr>
            </w:pPr>
            <w:r w:rsidRPr="005569C2">
              <w:rPr>
                <w:rFonts w:cs="Arial"/>
                <w:snapToGrid/>
                <w:sz w:val="18"/>
                <w:szCs w:val="18"/>
              </w:rPr>
              <w:t>Headache</w:t>
            </w:r>
          </w:p>
        </w:tc>
        <w:tc>
          <w:tcPr>
            <w:tcW w:w="637" w:type="dxa"/>
            <w:shd w:val="clear" w:color="auto" w:fill="FFFFFF" w:themeFill="background1"/>
          </w:tcPr>
          <w:p w:rsidR="00377492" w:rsidRPr="009B2702" w:rsidRDefault="00377492" w:rsidP="009555D5">
            <w:pPr>
              <w:keepNext/>
              <w:widowControl/>
              <w:spacing w:before="40" w:after="40" w:line="240" w:lineRule="auto"/>
              <w:jc w:val="center"/>
              <w:rPr>
                <w:rFonts w:cs="Arial"/>
                <w:snapToGrid/>
                <w:sz w:val="18"/>
                <w:szCs w:val="18"/>
                <w:lang w:eastAsia="en-AU"/>
              </w:rPr>
            </w:pPr>
            <w:r w:rsidRPr="00FE0977">
              <w:rPr>
                <w:sz w:val="18"/>
                <w:szCs w:val="18"/>
              </w:rPr>
              <w:t>21.7</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1.7</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sz w:val="18"/>
                <w:szCs w:val="18"/>
              </w:rPr>
              <w:t>15.2</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0.9</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color w:val="000000"/>
                <w:sz w:val="18"/>
                <w:szCs w:val="18"/>
              </w:rPr>
              <w:t>19.1</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1.2</w:t>
            </w:r>
          </w:p>
        </w:tc>
        <w:tc>
          <w:tcPr>
            <w:tcW w:w="638" w:type="dxa"/>
            <w:shd w:val="clear" w:color="auto" w:fill="FFFFFF" w:themeFill="background1"/>
          </w:tcPr>
          <w:p w:rsidR="00377492" w:rsidRPr="009B2702" w:rsidRDefault="00377492" w:rsidP="00D074B2">
            <w:pPr>
              <w:keepNext/>
              <w:widowControl/>
              <w:spacing w:before="40" w:after="40" w:line="240" w:lineRule="auto"/>
              <w:jc w:val="center"/>
              <w:rPr>
                <w:rFonts w:cs="Arial"/>
                <w:snapToGrid/>
                <w:sz w:val="18"/>
                <w:szCs w:val="18"/>
                <w:lang w:eastAsia="en-AU"/>
              </w:rPr>
            </w:pPr>
            <w:r w:rsidRPr="00843404">
              <w:rPr>
                <w:sz w:val="18"/>
                <w:szCs w:val="18"/>
              </w:rPr>
              <w:t>8.4</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7.</w:t>
            </w:r>
            <w:r w:rsidRPr="00FE0977">
              <w:rPr>
                <w:sz w:val="18"/>
                <w:szCs w:val="18"/>
              </w:rPr>
              <w:t xml:space="preserve"> </w:t>
            </w:r>
            <w:r w:rsidRPr="00843404">
              <w:rPr>
                <w:sz w:val="18"/>
                <w:szCs w:val="18"/>
              </w:rPr>
              <w:t>1</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7.8</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jc w:val="left"/>
              <w:rPr>
                <w:rFonts w:cs="Arial"/>
                <w:snapToGrid/>
                <w:sz w:val="18"/>
                <w:szCs w:val="18"/>
              </w:rPr>
            </w:pPr>
            <w:r w:rsidRPr="005569C2">
              <w:rPr>
                <w:rFonts w:cs="Arial"/>
                <w:snapToGrid/>
                <w:sz w:val="18"/>
                <w:szCs w:val="18"/>
              </w:rPr>
              <w:t>Malaise</w:t>
            </w:r>
          </w:p>
        </w:tc>
        <w:tc>
          <w:tcPr>
            <w:tcW w:w="637" w:type="dxa"/>
            <w:shd w:val="clear" w:color="auto" w:fill="FFFFFF" w:themeFill="background1"/>
          </w:tcPr>
          <w:p w:rsidR="00377492" w:rsidRPr="009B2702" w:rsidRDefault="00377492" w:rsidP="009555D5">
            <w:pPr>
              <w:keepNext/>
              <w:widowControl/>
              <w:spacing w:before="40" w:after="40" w:line="240" w:lineRule="auto"/>
              <w:jc w:val="center"/>
              <w:rPr>
                <w:rFonts w:cs="Arial"/>
                <w:snapToGrid/>
                <w:sz w:val="18"/>
                <w:szCs w:val="18"/>
                <w:lang w:eastAsia="en-AU"/>
              </w:rPr>
            </w:pPr>
            <w:r w:rsidRPr="00FE0977">
              <w:rPr>
                <w:sz w:val="18"/>
                <w:szCs w:val="18"/>
              </w:rPr>
              <w:t>8.9</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color w:val="000000"/>
                <w:sz w:val="18"/>
                <w:szCs w:val="18"/>
              </w:rPr>
              <w:t>9.1</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sz w:val="18"/>
                <w:szCs w:val="18"/>
              </w:rPr>
              <w:t>9.3</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c>
          <w:tcPr>
            <w:tcW w:w="638" w:type="dxa"/>
            <w:shd w:val="clear" w:color="auto" w:fill="FFFFFF" w:themeFill="background1"/>
          </w:tcPr>
          <w:p w:rsidR="00377492" w:rsidRPr="009B2702" w:rsidRDefault="00377492" w:rsidP="00D074B2">
            <w:pPr>
              <w:keepNext/>
              <w:widowControl/>
              <w:spacing w:before="40" w:after="40" w:line="240" w:lineRule="auto"/>
              <w:jc w:val="center"/>
              <w:rPr>
                <w:rFonts w:cs="Arial"/>
                <w:snapToGrid/>
                <w:sz w:val="18"/>
                <w:szCs w:val="18"/>
                <w:lang w:eastAsia="en-AU"/>
              </w:rPr>
            </w:pPr>
            <w:r w:rsidRPr="00843404">
              <w:rPr>
                <w:sz w:val="18"/>
                <w:szCs w:val="18"/>
              </w:rPr>
              <w:t>4.4</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5.0</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5.1</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r>
      <w:tr w:rsidR="00377492" w:rsidRPr="00A72C5E" w:rsidTr="001021CC">
        <w:tc>
          <w:tcPr>
            <w:tcW w:w="2092" w:type="dxa"/>
            <w:shd w:val="clear" w:color="auto" w:fill="FFFFFF" w:themeFill="background1"/>
          </w:tcPr>
          <w:p w:rsidR="00377492" w:rsidRPr="005569C2" w:rsidRDefault="00377492" w:rsidP="005A63FE">
            <w:pPr>
              <w:keepNext/>
              <w:widowControl/>
              <w:spacing w:before="40" w:after="40" w:line="240" w:lineRule="auto"/>
              <w:jc w:val="left"/>
              <w:rPr>
                <w:rFonts w:cs="Arial"/>
                <w:snapToGrid/>
                <w:sz w:val="18"/>
                <w:szCs w:val="18"/>
              </w:rPr>
            </w:pPr>
            <w:r w:rsidRPr="005569C2">
              <w:rPr>
                <w:rFonts w:cs="Arial"/>
                <w:snapToGrid/>
                <w:sz w:val="18"/>
                <w:szCs w:val="18"/>
              </w:rPr>
              <w:t>Nausea</w:t>
            </w:r>
          </w:p>
        </w:tc>
        <w:tc>
          <w:tcPr>
            <w:tcW w:w="637"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rPr>
            </w:pPr>
            <w:r w:rsidRPr="00FE0977">
              <w:rPr>
                <w:sz w:val="18"/>
                <w:szCs w:val="18"/>
              </w:rPr>
              <w:t>6.9</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rPr>
            </w:pPr>
            <w:r>
              <w:rPr>
                <w:rFonts w:cs="Arial"/>
                <w:snapToGrid/>
                <w:sz w:val="18"/>
                <w:szCs w:val="18"/>
              </w:rPr>
              <w:t>0.6</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sz w:val="18"/>
                <w:szCs w:val="18"/>
              </w:rPr>
              <w:t>7.7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sidRPr="00FE0977">
              <w:rPr>
                <w:sz w:val="18"/>
                <w:szCs w:val="18"/>
              </w:rPr>
              <w:t>6.3</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1.2</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sidRPr="00843404">
              <w:rPr>
                <w:sz w:val="18"/>
                <w:szCs w:val="18"/>
              </w:rPr>
              <w:t>1.6</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sidRPr="00843404">
              <w:rPr>
                <w:sz w:val="18"/>
                <w:szCs w:val="18"/>
              </w:rPr>
              <w:t>1.8</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sidRPr="00843404">
              <w:rPr>
                <w:sz w:val="18"/>
                <w:szCs w:val="18"/>
              </w:rPr>
              <w:t>2.1</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r>
      <w:tr w:rsidR="00377492" w:rsidRPr="00A72C5E" w:rsidTr="001021CC">
        <w:tc>
          <w:tcPr>
            <w:tcW w:w="2092" w:type="dxa"/>
            <w:shd w:val="clear" w:color="auto" w:fill="FFFFFF" w:themeFill="background1"/>
          </w:tcPr>
          <w:p w:rsidR="00377492" w:rsidRPr="005569C2" w:rsidRDefault="00377492" w:rsidP="005569C2">
            <w:pPr>
              <w:keepNext/>
              <w:widowControl/>
              <w:spacing w:before="40" w:after="40" w:line="240" w:lineRule="auto"/>
              <w:jc w:val="left"/>
              <w:rPr>
                <w:rFonts w:cs="Arial"/>
                <w:snapToGrid/>
                <w:sz w:val="18"/>
                <w:szCs w:val="18"/>
              </w:rPr>
            </w:pPr>
            <w:r w:rsidRPr="005569C2">
              <w:rPr>
                <w:rFonts w:cs="Arial"/>
                <w:snapToGrid/>
                <w:sz w:val="18"/>
                <w:szCs w:val="18"/>
              </w:rPr>
              <w:t>Chills</w:t>
            </w:r>
          </w:p>
        </w:tc>
        <w:tc>
          <w:tcPr>
            <w:tcW w:w="637" w:type="dxa"/>
            <w:shd w:val="clear" w:color="auto" w:fill="FFFFFF" w:themeFill="background1"/>
          </w:tcPr>
          <w:p w:rsidR="00377492" w:rsidRPr="009B2702" w:rsidRDefault="00377492" w:rsidP="009555D5">
            <w:pPr>
              <w:keepNext/>
              <w:widowControl/>
              <w:spacing w:before="40" w:after="40" w:line="240" w:lineRule="auto"/>
              <w:jc w:val="center"/>
              <w:rPr>
                <w:rFonts w:cs="Arial"/>
                <w:snapToGrid/>
                <w:sz w:val="18"/>
                <w:szCs w:val="18"/>
              </w:rPr>
            </w:pPr>
            <w:r w:rsidRPr="00FE0977">
              <w:rPr>
                <w:sz w:val="18"/>
                <w:szCs w:val="18"/>
              </w:rPr>
              <w:t>4.8</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rPr>
            </w:pPr>
            <w:r>
              <w:rPr>
                <w:rFonts w:cs="Arial"/>
                <w:snapToGrid/>
                <w:sz w:val="18"/>
                <w:szCs w:val="18"/>
              </w:rPr>
              <w:t>0.6</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sz w:val="18"/>
                <w:szCs w:val="18"/>
              </w:rPr>
              <w:t>4.4</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sz w:val="18"/>
                <w:szCs w:val="18"/>
              </w:rPr>
              <w:t>4.7</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c>
          <w:tcPr>
            <w:tcW w:w="638" w:type="dxa"/>
            <w:shd w:val="clear" w:color="auto" w:fill="FFFFFF" w:themeFill="background1"/>
          </w:tcPr>
          <w:p w:rsidR="00377492" w:rsidRPr="009B2702" w:rsidRDefault="00377492" w:rsidP="00D074B2">
            <w:pPr>
              <w:keepNext/>
              <w:widowControl/>
              <w:spacing w:before="40" w:after="40" w:line="240" w:lineRule="auto"/>
              <w:jc w:val="center"/>
              <w:rPr>
                <w:rFonts w:cs="Arial"/>
                <w:snapToGrid/>
                <w:sz w:val="18"/>
                <w:szCs w:val="18"/>
                <w:lang w:eastAsia="en-AU"/>
              </w:rPr>
            </w:pPr>
            <w:r w:rsidRPr="00843404">
              <w:rPr>
                <w:sz w:val="18"/>
                <w:szCs w:val="18"/>
              </w:rPr>
              <w:t>2.0</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2.1</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0.5</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1.4</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jc w:val="left"/>
              <w:rPr>
                <w:rFonts w:cs="Arial"/>
                <w:snapToGrid/>
                <w:sz w:val="18"/>
                <w:szCs w:val="18"/>
              </w:rPr>
            </w:pPr>
            <w:r w:rsidRPr="005569C2">
              <w:rPr>
                <w:rFonts w:cs="Arial"/>
                <w:snapToGrid/>
                <w:sz w:val="18"/>
                <w:szCs w:val="18"/>
              </w:rPr>
              <w:t>Vomiting</w:t>
            </w:r>
          </w:p>
        </w:tc>
        <w:tc>
          <w:tcPr>
            <w:tcW w:w="637"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rPr>
            </w:pPr>
            <w:r>
              <w:rPr>
                <w:rFonts w:cs="Arial"/>
                <w:snapToGrid/>
                <w:sz w:val="18"/>
                <w:szCs w:val="18"/>
              </w:rPr>
              <w:t>1.5</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rPr>
            </w:pPr>
            <w:r>
              <w:rPr>
                <w:rFonts w:cs="Arial"/>
                <w:snapToGrid/>
                <w:sz w:val="18"/>
                <w:szCs w:val="18"/>
              </w:rPr>
              <w:t>0.4</w:t>
            </w:r>
          </w:p>
        </w:tc>
        <w:tc>
          <w:tcPr>
            <w:tcW w:w="638" w:type="dxa"/>
            <w:shd w:val="clear" w:color="auto" w:fill="FFFFFF" w:themeFill="background1"/>
          </w:tcPr>
          <w:p w:rsidR="00377492" w:rsidRPr="00FE0977" w:rsidRDefault="00377492" w:rsidP="00A43791">
            <w:pPr>
              <w:keepNext/>
              <w:widowControl/>
              <w:spacing w:before="40" w:after="40" w:line="240" w:lineRule="auto"/>
              <w:jc w:val="center"/>
              <w:rPr>
                <w:rFonts w:cs="Arial"/>
                <w:snapToGrid/>
                <w:sz w:val="18"/>
                <w:szCs w:val="18"/>
                <w:lang w:eastAsia="en-AU"/>
              </w:rPr>
            </w:pPr>
            <w:r w:rsidRPr="00FE0977">
              <w:rPr>
                <w:sz w:val="18"/>
                <w:szCs w:val="18"/>
              </w:rPr>
              <w:t>0.9</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sz w:val="18"/>
                <w:szCs w:val="18"/>
              </w:rPr>
              <w:t>2.3</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0.7</w:t>
            </w:r>
          </w:p>
        </w:tc>
        <w:tc>
          <w:tcPr>
            <w:tcW w:w="638" w:type="dxa"/>
            <w:shd w:val="clear" w:color="auto" w:fill="FFFFFF" w:themeFill="background1"/>
          </w:tcPr>
          <w:p w:rsidR="00377492" w:rsidRPr="00FE0977" w:rsidRDefault="00377492" w:rsidP="00D074B2">
            <w:pPr>
              <w:keepNext/>
              <w:widowControl/>
              <w:spacing w:before="40" w:after="40" w:line="240" w:lineRule="auto"/>
              <w:jc w:val="center"/>
              <w:rPr>
                <w:rFonts w:cs="Arial"/>
                <w:snapToGrid/>
                <w:sz w:val="18"/>
                <w:szCs w:val="18"/>
                <w:lang w:eastAsia="en-AU"/>
              </w:rPr>
            </w:pPr>
            <w:r w:rsidRPr="00FE0977">
              <w:rPr>
                <w:sz w:val="18"/>
                <w:szCs w:val="18"/>
              </w:rPr>
              <w:t>0.5</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0.1</w:t>
            </w:r>
          </w:p>
        </w:tc>
        <w:tc>
          <w:tcPr>
            <w:tcW w:w="638" w:type="dxa"/>
            <w:shd w:val="clear" w:color="auto" w:fill="FFFFFF" w:themeFill="background1"/>
          </w:tcPr>
          <w:p w:rsidR="00377492" w:rsidRPr="00FE0977" w:rsidRDefault="00377492" w:rsidP="00377492">
            <w:pPr>
              <w:keepNext/>
              <w:widowControl/>
              <w:spacing w:before="40" w:after="40" w:line="240" w:lineRule="auto"/>
              <w:jc w:val="center"/>
              <w:rPr>
                <w:rFonts w:cs="Arial"/>
                <w:snapToGrid/>
                <w:sz w:val="18"/>
                <w:szCs w:val="18"/>
                <w:lang w:eastAsia="en-AU"/>
              </w:rPr>
            </w:pPr>
            <w:r w:rsidRPr="00FE0977">
              <w:rPr>
                <w:color w:val="000000"/>
                <w:sz w:val="18"/>
                <w:szCs w:val="18"/>
              </w:rPr>
              <w:t>0</w:t>
            </w:r>
          </w:p>
        </w:tc>
        <w:tc>
          <w:tcPr>
            <w:tcW w:w="638" w:type="dxa"/>
            <w:shd w:val="clear" w:color="auto" w:fill="FFFFFF" w:themeFill="background1"/>
          </w:tcPr>
          <w:p w:rsidR="00377492" w:rsidRPr="00FE0977"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377492">
            <w:pPr>
              <w:keepNext/>
              <w:widowControl/>
              <w:spacing w:before="40" w:after="40" w:line="240" w:lineRule="auto"/>
              <w:jc w:val="center"/>
              <w:rPr>
                <w:rFonts w:cs="Arial"/>
                <w:snapToGrid/>
                <w:sz w:val="18"/>
                <w:szCs w:val="18"/>
                <w:lang w:eastAsia="en-AU"/>
              </w:rPr>
            </w:pPr>
            <w:r w:rsidRPr="00843404">
              <w:rPr>
                <w:sz w:val="18"/>
                <w:szCs w:val="18"/>
              </w:rPr>
              <w:t>0.7</w:t>
            </w:r>
          </w:p>
        </w:tc>
        <w:tc>
          <w:tcPr>
            <w:tcW w:w="638" w:type="dxa"/>
            <w:shd w:val="clear" w:color="auto" w:fill="FFFFFF" w:themeFill="background1"/>
          </w:tcPr>
          <w:p w:rsidR="00377492" w:rsidRPr="009B2702" w:rsidRDefault="00377492" w:rsidP="00854061">
            <w:pPr>
              <w:keepNext/>
              <w:spacing w:before="40" w:after="40" w:line="240" w:lineRule="auto"/>
              <w:jc w:val="center"/>
              <w:rPr>
                <w:rFonts w:cs="Arial"/>
                <w:snapToGrid/>
                <w:sz w:val="18"/>
                <w:szCs w:val="18"/>
                <w:lang w:eastAsia="en-AU"/>
              </w:rPr>
            </w:pPr>
            <w:r>
              <w:rPr>
                <w:rFonts w:cs="Arial"/>
                <w:snapToGrid/>
                <w:sz w:val="18"/>
                <w:szCs w:val="18"/>
                <w:lang w:eastAsia="en-AU"/>
              </w:rPr>
              <w:t>0.2</w:t>
            </w:r>
          </w:p>
        </w:tc>
      </w:tr>
      <w:tr w:rsidR="00377492" w:rsidRPr="00A72C5E" w:rsidTr="001021CC">
        <w:tc>
          <w:tcPr>
            <w:tcW w:w="2092" w:type="dxa"/>
            <w:shd w:val="clear" w:color="auto" w:fill="FFFFFF" w:themeFill="background1"/>
          </w:tcPr>
          <w:p w:rsidR="00377492" w:rsidRPr="005569C2" w:rsidRDefault="00377492" w:rsidP="00A72C5E">
            <w:pPr>
              <w:keepNext/>
              <w:widowControl/>
              <w:spacing w:before="40" w:after="40" w:line="240" w:lineRule="auto"/>
              <w:jc w:val="left"/>
              <w:rPr>
                <w:rFonts w:cs="Arial"/>
                <w:snapToGrid/>
                <w:sz w:val="18"/>
                <w:szCs w:val="18"/>
              </w:rPr>
            </w:pPr>
            <w:r w:rsidRPr="005569C2">
              <w:rPr>
                <w:rFonts w:cs="Arial"/>
                <w:snapToGrid/>
                <w:sz w:val="18"/>
                <w:szCs w:val="18"/>
              </w:rPr>
              <w:t>Fever</w:t>
            </w:r>
          </w:p>
        </w:tc>
        <w:tc>
          <w:tcPr>
            <w:tcW w:w="637"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rPr>
            </w:pPr>
            <w:r>
              <w:rPr>
                <w:rFonts w:cs="Arial"/>
                <w:snapToGrid/>
                <w:sz w:val="18"/>
                <w:szCs w:val="18"/>
              </w:rPr>
              <w:t>1.1</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rPr>
            </w:pPr>
            <w:r>
              <w:rPr>
                <w:rFonts w:cs="Arial"/>
                <w:snapToGrid/>
                <w:sz w:val="18"/>
                <w:szCs w:val="18"/>
              </w:rPr>
              <w:t>0.4</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FE0977">
              <w:rPr>
                <w:sz w:val="18"/>
                <w:szCs w:val="18"/>
              </w:rPr>
              <w:t>0.9</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sidRPr="00FE0977">
              <w:rPr>
                <w:color w:val="000000"/>
                <w:sz w:val="18"/>
                <w:szCs w:val="18"/>
              </w:rPr>
              <w:t>0.5</w:t>
            </w:r>
          </w:p>
        </w:tc>
        <w:tc>
          <w:tcPr>
            <w:tcW w:w="638" w:type="dxa"/>
            <w:shd w:val="clear" w:color="auto" w:fill="FFFFFF" w:themeFill="background1"/>
          </w:tcPr>
          <w:p w:rsidR="00377492" w:rsidRPr="00FE0977"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lang w:eastAsia="en-AU"/>
              </w:rPr>
            </w:pPr>
            <w:r w:rsidRPr="00843404">
              <w:rPr>
                <w:sz w:val="18"/>
                <w:szCs w:val="18"/>
              </w:rPr>
              <w:t>0.2</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D074B2">
            <w:pPr>
              <w:keepNext/>
              <w:spacing w:before="40" w:after="40" w:line="240" w:lineRule="auto"/>
              <w:jc w:val="center"/>
              <w:rPr>
                <w:rFonts w:cs="Arial"/>
                <w:snapToGrid/>
                <w:sz w:val="18"/>
                <w:szCs w:val="18"/>
                <w:lang w:eastAsia="en-AU"/>
              </w:rPr>
            </w:pPr>
            <w:r w:rsidRPr="00843404">
              <w:rPr>
                <w:sz w:val="18"/>
                <w:szCs w:val="18"/>
              </w:rPr>
              <w:t>0.9</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lang w:eastAsia="en-AU"/>
              </w:rPr>
            </w:pPr>
            <w:r w:rsidRPr="00843404">
              <w:rPr>
                <w:sz w:val="18"/>
                <w:szCs w:val="18"/>
              </w:rPr>
              <w:t>0.5</w:t>
            </w:r>
          </w:p>
        </w:tc>
        <w:tc>
          <w:tcPr>
            <w:tcW w:w="638" w:type="dxa"/>
            <w:shd w:val="clear" w:color="auto" w:fill="FFFFFF" w:themeFill="background1"/>
          </w:tcPr>
          <w:p w:rsidR="00377492" w:rsidRPr="009B2702" w:rsidRDefault="00377492" w:rsidP="00854061">
            <w:pPr>
              <w:keepNext/>
              <w:widowControl/>
              <w:spacing w:before="40" w:after="40" w:line="240" w:lineRule="auto"/>
              <w:jc w:val="center"/>
              <w:rPr>
                <w:rFonts w:cs="Arial"/>
                <w:snapToGrid/>
                <w:sz w:val="18"/>
                <w:szCs w:val="18"/>
                <w:lang w:eastAsia="en-AU"/>
              </w:rPr>
            </w:pPr>
            <w:r>
              <w:rPr>
                <w:rFonts w:cs="Arial"/>
                <w:snapToGrid/>
                <w:sz w:val="18"/>
                <w:szCs w:val="18"/>
                <w:lang w:eastAsia="en-AU"/>
              </w:rPr>
              <w:t>0.2</w:t>
            </w:r>
          </w:p>
        </w:tc>
      </w:tr>
    </w:tbl>
    <w:p w:rsidR="00A72C5E" w:rsidRPr="007C4389" w:rsidRDefault="00A72C5E" w:rsidP="007C4389">
      <w:pPr>
        <w:keepNext/>
        <w:widowControl/>
        <w:autoSpaceDE w:val="0"/>
        <w:autoSpaceDN w:val="0"/>
        <w:adjustRightInd w:val="0"/>
        <w:spacing w:before="120" w:after="40" w:line="240" w:lineRule="auto"/>
        <w:ind w:left="142" w:hanging="142"/>
        <w:jc w:val="left"/>
        <w:rPr>
          <w:rFonts w:eastAsia="Calibri" w:cs="Arial"/>
          <w:snapToGrid/>
          <w:sz w:val="16"/>
          <w:szCs w:val="16"/>
          <w:lang w:val="en-AU"/>
        </w:rPr>
      </w:pPr>
      <w:proofErr w:type="gramStart"/>
      <w:r w:rsidRPr="007C4389">
        <w:rPr>
          <w:rFonts w:eastAsia="Calibri" w:cs="Arial"/>
          <w:snapToGrid/>
          <w:sz w:val="16"/>
          <w:szCs w:val="16"/>
          <w:vertAlign w:val="superscript"/>
          <w:lang w:val="en-AU"/>
        </w:rPr>
        <w:t>a</w:t>
      </w:r>
      <w:proofErr w:type="gramEnd"/>
      <w:r w:rsidRPr="007C4389">
        <w:rPr>
          <w:rFonts w:eastAsia="Calibri" w:cs="Arial"/>
          <w:snapToGrid/>
          <w:sz w:val="16"/>
          <w:szCs w:val="16"/>
          <w:lang w:val="en-AU"/>
        </w:rPr>
        <w:t xml:space="preserve"> Proportion of subjects reporting each solicited local adverse reaction or systemic adverse event by study vaccine group</w:t>
      </w:r>
      <w:r w:rsidR="00A1562E" w:rsidRPr="007C4389">
        <w:rPr>
          <w:rFonts w:eastAsia="Calibri" w:cs="Arial"/>
          <w:snapToGrid/>
          <w:sz w:val="16"/>
          <w:szCs w:val="16"/>
          <w:lang w:val="en-AU"/>
        </w:rPr>
        <w:t>,</w:t>
      </w:r>
      <w:r w:rsidRPr="007C4389">
        <w:rPr>
          <w:rFonts w:eastAsia="Calibri" w:cs="Arial"/>
          <w:snapToGrid/>
          <w:sz w:val="16"/>
          <w:szCs w:val="16"/>
          <w:lang w:val="en-AU"/>
        </w:rPr>
        <w:t xml:space="preserve"> based on the number of subjects contributing any follow up safety information for at least one data value of an individual sign/symptom.</w:t>
      </w:r>
    </w:p>
    <w:p w:rsidR="00A72C5E" w:rsidRDefault="00A72C5E" w:rsidP="00EB0210">
      <w:pPr>
        <w:widowControl/>
        <w:autoSpaceDE w:val="0"/>
        <w:autoSpaceDN w:val="0"/>
        <w:adjustRightInd w:val="0"/>
        <w:spacing w:after="40" w:line="240" w:lineRule="auto"/>
        <w:jc w:val="left"/>
        <w:rPr>
          <w:rFonts w:eastAsia="Calibri" w:cs="Arial"/>
          <w:snapToGrid/>
          <w:sz w:val="16"/>
          <w:szCs w:val="16"/>
          <w:lang w:val="en-AU"/>
        </w:rPr>
      </w:pPr>
      <w:proofErr w:type="gramStart"/>
      <w:r w:rsidRPr="007C4389">
        <w:rPr>
          <w:rFonts w:eastAsia="Calibri" w:cs="Arial"/>
          <w:snapToGrid/>
          <w:sz w:val="16"/>
          <w:szCs w:val="16"/>
          <w:vertAlign w:val="superscript"/>
          <w:lang w:val="en-AU"/>
        </w:rPr>
        <w:t>b</w:t>
      </w:r>
      <w:proofErr w:type="gramEnd"/>
      <w:r w:rsidRPr="007C4389">
        <w:rPr>
          <w:rFonts w:eastAsia="Calibri" w:cs="Arial"/>
          <w:snapToGrid/>
          <w:sz w:val="16"/>
          <w:szCs w:val="16"/>
          <w:lang w:val="en-AU"/>
        </w:rPr>
        <w:t xml:space="preserve"> N = number of subjects in the Safety Population Subgroup for each study vaccine group. </w:t>
      </w:r>
    </w:p>
    <w:p w:rsidR="00D35A3C" w:rsidRDefault="00D35A3C" w:rsidP="00EB0210">
      <w:pPr>
        <w:widowControl/>
        <w:autoSpaceDE w:val="0"/>
        <w:autoSpaceDN w:val="0"/>
        <w:adjustRightInd w:val="0"/>
        <w:spacing w:after="40" w:line="240" w:lineRule="auto"/>
        <w:jc w:val="left"/>
        <w:rPr>
          <w:rFonts w:eastAsia="Calibri" w:cs="Arial"/>
          <w:snapToGrid/>
          <w:sz w:val="16"/>
          <w:szCs w:val="16"/>
          <w:lang w:val="en-AU"/>
        </w:rPr>
      </w:pPr>
      <w:proofErr w:type="gramStart"/>
      <w:r>
        <w:rPr>
          <w:rFonts w:eastAsia="Calibri" w:cs="Arial"/>
          <w:snapToGrid/>
          <w:sz w:val="16"/>
          <w:szCs w:val="16"/>
          <w:vertAlign w:val="superscript"/>
          <w:lang w:val="en-AU"/>
        </w:rPr>
        <w:t>c</w:t>
      </w:r>
      <w:proofErr w:type="gramEnd"/>
      <w:r>
        <w:rPr>
          <w:rFonts w:eastAsia="Calibri" w:cs="Arial"/>
          <w:snapToGrid/>
          <w:sz w:val="16"/>
          <w:szCs w:val="16"/>
          <w:vertAlign w:val="superscript"/>
          <w:lang w:val="en-AU"/>
        </w:rPr>
        <w:t xml:space="preserve"> </w:t>
      </w:r>
      <w:r>
        <w:rPr>
          <w:rFonts w:eastAsia="Calibri" w:cs="Arial"/>
          <w:snapToGrid/>
          <w:sz w:val="16"/>
          <w:szCs w:val="16"/>
          <w:lang w:val="en-AU"/>
        </w:rPr>
        <w:t>Local adverse reactions: Grade 3 pain is that which prevents daily activity; Swelling/L</w:t>
      </w:r>
      <w:r w:rsidR="00AE59DC">
        <w:rPr>
          <w:rFonts w:eastAsia="Calibri" w:cs="Arial"/>
          <w:snapToGrid/>
          <w:sz w:val="16"/>
          <w:szCs w:val="16"/>
          <w:lang w:val="en-AU"/>
        </w:rPr>
        <w:t>u</w:t>
      </w:r>
      <w:r>
        <w:rPr>
          <w:rFonts w:eastAsia="Calibri" w:cs="Arial"/>
          <w:snapToGrid/>
          <w:sz w:val="16"/>
          <w:szCs w:val="16"/>
          <w:lang w:val="en-AU"/>
        </w:rPr>
        <w:t>mp and redness: any = ≥ 20</w:t>
      </w:r>
      <w:r w:rsidR="0026149C">
        <w:rPr>
          <w:rFonts w:eastAsia="Calibri" w:cs="Arial"/>
          <w:snapToGrid/>
          <w:sz w:val="16"/>
          <w:szCs w:val="16"/>
          <w:lang w:val="en-AU"/>
        </w:rPr>
        <w:t xml:space="preserve"> </w:t>
      </w:r>
      <w:r>
        <w:rPr>
          <w:rFonts w:eastAsia="Calibri" w:cs="Arial"/>
          <w:snapToGrid/>
          <w:sz w:val="16"/>
          <w:szCs w:val="16"/>
          <w:lang w:val="en-AU"/>
        </w:rPr>
        <w:t>mm diameter</w:t>
      </w:r>
      <w:r w:rsidR="0026149C">
        <w:rPr>
          <w:rFonts w:eastAsia="Calibri" w:cs="Arial"/>
          <w:snapToGrid/>
          <w:sz w:val="16"/>
          <w:szCs w:val="16"/>
          <w:lang w:val="en-AU"/>
        </w:rPr>
        <w:t>, Grade 3 = ≥100 mm diameter</w:t>
      </w:r>
    </w:p>
    <w:p w:rsidR="00D35A3C" w:rsidRPr="00D35A3C" w:rsidRDefault="00D35A3C" w:rsidP="00EB0210">
      <w:pPr>
        <w:widowControl/>
        <w:autoSpaceDE w:val="0"/>
        <w:autoSpaceDN w:val="0"/>
        <w:adjustRightInd w:val="0"/>
        <w:spacing w:after="40" w:line="240" w:lineRule="auto"/>
        <w:jc w:val="left"/>
        <w:rPr>
          <w:rFonts w:eastAsia="Calibri" w:cs="Arial"/>
          <w:snapToGrid/>
          <w:sz w:val="16"/>
          <w:szCs w:val="16"/>
          <w:lang w:val="en-AU"/>
        </w:rPr>
      </w:pPr>
      <w:proofErr w:type="gramStart"/>
      <w:r>
        <w:rPr>
          <w:rFonts w:eastAsia="Calibri" w:cs="Arial"/>
          <w:snapToGrid/>
          <w:sz w:val="16"/>
          <w:szCs w:val="16"/>
          <w:vertAlign w:val="superscript"/>
          <w:lang w:val="en-AU"/>
        </w:rPr>
        <w:t>d</w:t>
      </w:r>
      <w:proofErr w:type="gramEnd"/>
      <w:r>
        <w:rPr>
          <w:rFonts w:eastAsia="Calibri" w:cs="Arial"/>
          <w:snapToGrid/>
          <w:sz w:val="16"/>
          <w:szCs w:val="16"/>
          <w:vertAlign w:val="superscript"/>
          <w:lang w:val="en-AU"/>
        </w:rPr>
        <w:t xml:space="preserve"> </w:t>
      </w:r>
      <w:r>
        <w:rPr>
          <w:rFonts w:eastAsia="Calibri" w:cs="Arial"/>
          <w:snapToGrid/>
          <w:sz w:val="16"/>
          <w:szCs w:val="16"/>
          <w:lang w:val="en-AU"/>
        </w:rPr>
        <w:t xml:space="preserve">Systemic adverse events: Fever: any = ≥ </w:t>
      </w:r>
      <w:r w:rsidR="0026149C">
        <w:rPr>
          <w:rFonts w:eastAsia="Calibri" w:cs="Arial"/>
          <w:snapToGrid/>
          <w:sz w:val="16"/>
          <w:szCs w:val="16"/>
          <w:lang w:val="en-AU"/>
        </w:rPr>
        <w:t>38.0°C, Grade 3 = ≥ 39.0°C; Grade 3 for all other adverse events is that which prevents daily activity.</w:t>
      </w:r>
    </w:p>
    <w:p w:rsidR="006D31CC" w:rsidRDefault="006D31CC" w:rsidP="005569C2">
      <w:pPr>
        <w:spacing w:before="240"/>
        <w:ind w:right="-23"/>
      </w:pPr>
    </w:p>
    <w:p w:rsidR="00224EF1" w:rsidRPr="00983A43" w:rsidRDefault="00224EF1" w:rsidP="005569C2">
      <w:pPr>
        <w:spacing w:before="240"/>
        <w:ind w:right="-23"/>
      </w:pPr>
      <w:r w:rsidRPr="00983A43">
        <w:t xml:space="preserve">In adults </w:t>
      </w:r>
      <w:r w:rsidR="00FB3867" w:rsidRPr="00A72C5E">
        <w:rPr>
          <w:color w:val="000000"/>
        </w:rPr>
        <w:t xml:space="preserve">18 </w:t>
      </w:r>
      <w:r w:rsidR="00FB3867">
        <w:rPr>
          <w:color w:val="000000"/>
        </w:rPr>
        <w:t xml:space="preserve">to &lt; </w:t>
      </w:r>
      <w:r w:rsidR="00FB3867" w:rsidRPr="00A72C5E">
        <w:rPr>
          <w:color w:val="000000"/>
        </w:rPr>
        <w:t>6</w:t>
      </w:r>
      <w:r w:rsidR="00FB3867">
        <w:rPr>
          <w:color w:val="000000"/>
        </w:rPr>
        <w:t>5</w:t>
      </w:r>
      <w:r w:rsidR="00FB3867" w:rsidRPr="00A72C5E">
        <w:rPr>
          <w:color w:val="000000"/>
        </w:rPr>
        <w:t xml:space="preserve"> </w:t>
      </w:r>
      <w:r w:rsidR="009B2702">
        <w:rPr>
          <w:color w:val="000000"/>
        </w:rPr>
        <w:t xml:space="preserve">years </w:t>
      </w:r>
      <w:r w:rsidR="00874059" w:rsidRPr="009F4EF8">
        <w:t>who received</w:t>
      </w:r>
      <w:r w:rsidR="00874059">
        <w:t xml:space="preserve"> </w:t>
      </w:r>
      <w:r w:rsidR="00887C04">
        <w:t>Afluria</w:t>
      </w:r>
      <w:r w:rsidR="00DC4CEE">
        <w:t xml:space="preserve"> </w:t>
      </w:r>
      <w:r w:rsidR="00504C71">
        <w:t>Quad</w:t>
      </w:r>
      <w:r w:rsidR="00496B46">
        <w:rPr>
          <w:rFonts w:cs="Arial"/>
        </w:rPr>
        <w:t>™</w:t>
      </w:r>
      <w:r w:rsidR="00504C71">
        <w:t xml:space="preserve"> </w:t>
      </w:r>
      <w:r w:rsidR="00DC4CEE">
        <w:t>vaccine</w:t>
      </w:r>
      <w:r w:rsidR="00874059">
        <w:t>,</w:t>
      </w:r>
      <w:r w:rsidR="00874059" w:rsidRPr="009F4EF8">
        <w:t xml:space="preserve"> </w:t>
      </w:r>
      <w:r w:rsidR="00874059" w:rsidRPr="00874059">
        <w:t xml:space="preserve">commonly reported unsolicited adverse events were headache (5.3%), oropharyngeal pain (2.5%), back pain (1.9%), </w:t>
      </w:r>
      <w:proofErr w:type="spellStart"/>
      <w:r w:rsidR="00874059" w:rsidRPr="00874059">
        <w:t>diarrhoea</w:t>
      </w:r>
      <w:proofErr w:type="spellEnd"/>
      <w:r w:rsidR="00874059" w:rsidRPr="00874059">
        <w:t xml:space="preserve"> (1.6%), cough (1.3%) and nausea (1.1%)</w:t>
      </w:r>
      <w:r w:rsidR="00E0227F">
        <w:t xml:space="preserve">.  In </w:t>
      </w:r>
      <w:proofErr w:type="gramStart"/>
      <w:r w:rsidR="00E0227F" w:rsidRPr="00983A43">
        <w:t>adults</w:t>
      </w:r>
      <w:proofErr w:type="gramEnd"/>
      <w:r w:rsidR="00E0227F" w:rsidRPr="00983A43">
        <w:t xml:space="preserve"> </w:t>
      </w:r>
      <w:r w:rsidR="00FB3867">
        <w:rPr>
          <w:rFonts w:cs="Arial"/>
          <w:color w:val="000000"/>
        </w:rPr>
        <w:t>≥</w:t>
      </w:r>
      <w:r w:rsidR="00FB3867">
        <w:rPr>
          <w:color w:val="000000"/>
        </w:rPr>
        <w:t xml:space="preserve"> </w:t>
      </w:r>
      <w:r w:rsidR="00FB3867" w:rsidRPr="00A72C5E">
        <w:rPr>
          <w:color w:val="000000"/>
        </w:rPr>
        <w:t>65 years</w:t>
      </w:r>
      <w:r w:rsidR="00874059">
        <w:rPr>
          <w:color w:val="000000"/>
        </w:rPr>
        <w:t xml:space="preserve"> </w:t>
      </w:r>
      <w:r w:rsidR="00874059" w:rsidRPr="009F4EF8">
        <w:t>who received</w:t>
      </w:r>
      <w:r w:rsidR="00874059">
        <w:t xml:space="preserve"> </w:t>
      </w:r>
      <w:r w:rsidR="00887C04">
        <w:t>Afluria</w:t>
      </w:r>
      <w:r w:rsidR="00504C71">
        <w:rPr>
          <w:lang w:val="en-AU"/>
        </w:rPr>
        <w:t xml:space="preserve"> Quad</w:t>
      </w:r>
      <w:r w:rsidR="00496B46">
        <w:rPr>
          <w:rFonts w:cs="Arial"/>
          <w:lang w:val="en-AU"/>
        </w:rPr>
        <w:t>™</w:t>
      </w:r>
      <w:r w:rsidR="00504C71">
        <w:rPr>
          <w:lang w:val="en-AU"/>
        </w:rPr>
        <w:t xml:space="preserve"> </w:t>
      </w:r>
      <w:r w:rsidR="00DC4CEE">
        <w:t>vaccine</w:t>
      </w:r>
      <w:r w:rsidR="00874059">
        <w:t>,</w:t>
      </w:r>
      <w:r w:rsidR="00874059" w:rsidRPr="009F4EF8">
        <w:t xml:space="preserve"> </w:t>
      </w:r>
      <w:r w:rsidR="00874059" w:rsidRPr="00874059">
        <w:t>commonly reported unsolicited adverse events were</w:t>
      </w:r>
      <w:r w:rsidR="00FB3867" w:rsidRPr="00A72C5E">
        <w:rPr>
          <w:color w:val="000000"/>
        </w:rPr>
        <w:t xml:space="preserve"> </w:t>
      </w:r>
      <w:r w:rsidR="00874059" w:rsidRPr="000E28D9">
        <w:t xml:space="preserve">headache (2.3%), </w:t>
      </w:r>
      <w:proofErr w:type="spellStart"/>
      <w:r w:rsidR="00874059" w:rsidRPr="000E28D9">
        <w:t>rhinorrhoea</w:t>
      </w:r>
      <w:proofErr w:type="spellEnd"/>
      <w:r w:rsidR="00874059" w:rsidRPr="000E28D9">
        <w:t xml:space="preserve"> (1.3%), oropharyngeal pain (1.2%) and back pain (1.2%)</w:t>
      </w:r>
      <w:r w:rsidRPr="00983A43">
        <w:t>.</w:t>
      </w:r>
    </w:p>
    <w:p w:rsidR="00205619" w:rsidRDefault="00205619" w:rsidP="000961FF"/>
    <w:p w:rsidR="00CB3809" w:rsidRPr="00B81ECB" w:rsidRDefault="00CB3809" w:rsidP="000961FF">
      <w:pPr>
        <w:pStyle w:val="Heading2"/>
      </w:pPr>
      <w:r w:rsidRPr="00B81ECB">
        <w:t>Post-marketing surveillance:</w:t>
      </w:r>
    </w:p>
    <w:p w:rsidR="000859AE" w:rsidRPr="000859AE" w:rsidRDefault="000859AE" w:rsidP="000859AE">
      <w:pPr>
        <w:rPr>
          <w:lang w:val="en-AU"/>
        </w:rPr>
      </w:pPr>
      <w:r w:rsidRPr="000859AE">
        <w:rPr>
          <w:lang w:val="en-AU"/>
        </w:rPr>
        <w:t xml:space="preserve">There are no post-marketing data available for </w:t>
      </w:r>
      <w:r w:rsidR="00887C04">
        <w:rPr>
          <w:lang w:val="en-AU"/>
        </w:rPr>
        <w:t>Afluria</w:t>
      </w:r>
      <w:r w:rsidR="00DC4CEE">
        <w:rPr>
          <w:lang w:val="en-AU"/>
        </w:rPr>
        <w:t xml:space="preserve"> </w:t>
      </w:r>
      <w:r w:rsidR="00504C71">
        <w:rPr>
          <w:lang w:val="en-AU"/>
        </w:rPr>
        <w:t>Quad</w:t>
      </w:r>
      <w:r w:rsidR="00496B46">
        <w:rPr>
          <w:rFonts w:cs="Arial"/>
          <w:lang w:val="en-AU"/>
        </w:rPr>
        <w:t>™</w:t>
      </w:r>
      <w:r w:rsidR="00504C71">
        <w:rPr>
          <w:lang w:val="en-AU"/>
        </w:rPr>
        <w:t xml:space="preserve"> </w:t>
      </w:r>
      <w:r w:rsidR="00DC4CEE">
        <w:rPr>
          <w:lang w:val="en-AU"/>
        </w:rPr>
        <w:t>vaccine</w:t>
      </w:r>
      <w:r w:rsidRPr="000859AE">
        <w:rPr>
          <w:lang w:val="en-AU"/>
        </w:rPr>
        <w:t>.</w:t>
      </w:r>
    </w:p>
    <w:p w:rsidR="000859AE" w:rsidRPr="000859AE" w:rsidRDefault="000859AE" w:rsidP="000859AE">
      <w:pPr>
        <w:rPr>
          <w:lang w:val="en-AU"/>
        </w:rPr>
      </w:pPr>
    </w:p>
    <w:p w:rsidR="002920D5" w:rsidRDefault="000859AE" w:rsidP="000859AE">
      <w:pPr>
        <w:rPr>
          <w:lang w:val="en-AU"/>
        </w:rPr>
      </w:pPr>
      <w:r w:rsidRPr="000859AE">
        <w:rPr>
          <w:lang w:val="en-AU"/>
        </w:rPr>
        <w:t xml:space="preserve">As the </w:t>
      </w:r>
      <w:r w:rsidR="00887C04">
        <w:t>Afluria</w:t>
      </w:r>
      <w:r w:rsidR="00A05FAF">
        <w:t xml:space="preserve"> </w:t>
      </w:r>
      <w:r w:rsidR="00504C71">
        <w:t>Quad</w:t>
      </w:r>
      <w:r w:rsidR="00496B46">
        <w:rPr>
          <w:rFonts w:cs="Arial"/>
        </w:rPr>
        <w:t>™</w:t>
      </w:r>
      <w:r w:rsidR="00504C71">
        <w:t xml:space="preserve"> </w:t>
      </w:r>
      <w:r w:rsidR="00DC4CEE">
        <w:t xml:space="preserve">vaccine </w:t>
      </w:r>
      <w:r w:rsidRPr="000859AE">
        <w:rPr>
          <w:lang w:val="en-AU"/>
        </w:rPr>
        <w:t>formulation is consistent with the currently licensed vaccine (</w:t>
      </w:r>
      <w:proofErr w:type="spellStart"/>
      <w:r>
        <w:rPr>
          <w:lang w:val="en-AU"/>
        </w:rPr>
        <w:t>Fluvax</w:t>
      </w:r>
      <w:proofErr w:type="spellEnd"/>
      <w:r w:rsidR="007B7473" w:rsidRPr="00E00A61">
        <w:rPr>
          <w:vertAlign w:val="superscript"/>
          <w:lang w:val="en-AU"/>
        </w:rPr>
        <w:sym w:font="Symbol" w:char="F0D2"/>
      </w:r>
      <w:r>
        <w:rPr>
          <w:lang w:val="en-AU"/>
        </w:rPr>
        <w:t xml:space="preserve"> </w:t>
      </w:r>
      <w:r w:rsidRPr="000859AE">
        <w:rPr>
          <w:lang w:val="en-AU"/>
        </w:rPr>
        <w:t xml:space="preserve">TIV), with the exception of an additional B influenza </w:t>
      </w:r>
      <w:proofErr w:type="gramStart"/>
      <w:r w:rsidRPr="000859AE">
        <w:rPr>
          <w:lang w:val="en-AU"/>
        </w:rPr>
        <w:t>strain,</w:t>
      </w:r>
      <w:proofErr w:type="gramEnd"/>
      <w:r w:rsidRPr="000859AE">
        <w:rPr>
          <w:lang w:val="en-AU"/>
        </w:rPr>
        <w:t xml:space="preserve"> it is assumed that the adverse events experienced after administration of </w:t>
      </w:r>
      <w:proofErr w:type="spellStart"/>
      <w:r w:rsidR="00A05FAF">
        <w:rPr>
          <w:lang w:val="en-AU"/>
        </w:rPr>
        <w:t>Fluvax</w:t>
      </w:r>
      <w:proofErr w:type="spellEnd"/>
      <w:r w:rsidR="00A05FAF" w:rsidRPr="00E00A61">
        <w:rPr>
          <w:vertAlign w:val="superscript"/>
          <w:lang w:val="en-AU"/>
        </w:rPr>
        <w:sym w:font="Symbol" w:char="F0D2"/>
      </w:r>
      <w:r w:rsidR="00A05FAF">
        <w:rPr>
          <w:lang w:val="en-AU"/>
        </w:rPr>
        <w:t xml:space="preserve"> </w:t>
      </w:r>
      <w:r w:rsidR="00A05FAF" w:rsidRPr="000859AE">
        <w:rPr>
          <w:lang w:val="en-AU"/>
        </w:rPr>
        <w:t>TIV</w:t>
      </w:r>
      <w:r w:rsidR="00A05FAF" w:rsidRPr="000859AE" w:rsidDel="00A05FAF">
        <w:rPr>
          <w:lang w:val="en-AU"/>
        </w:rPr>
        <w:t xml:space="preserve"> </w:t>
      </w:r>
      <w:r w:rsidRPr="000859AE">
        <w:rPr>
          <w:lang w:val="en-AU"/>
        </w:rPr>
        <w:t xml:space="preserve">will generally be predictive of the adverse events experienced after </w:t>
      </w:r>
      <w:r w:rsidRPr="000859AE">
        <w:rPr>
          <w:lang w:val="en-AU"/>
        </w:rPr>
        <w:lastRenderedPageBreak/>
        <w:t xml:space="preserve">administration of </w:t>
      </w:r>
      <w:r w:rsidR="00887C04">
        <w:t>Afluria</w:t>
      </w:r>
      <w:r w:rsidR="00A05FAF">
        <w:t xml:space="preserve"> </w:t>
      </w:r>
      <w:r w:rsidR="00504C71">
        <w:t>Quad</w:t>
      </w:r>
      <w:r w:rsidR="00496B46">
        <w:rPr>
          <w:rFonts w:cs="Arial"/>
        </w:rPr>
        <w:t>™</w:t>
      </w:r>
      <w:r w:rsidR="00504C71">
        <w:t xml:space="preserve"> </w:t>
      </w:r>
      <w:r w:rsidR="00DC4CEE">
        <w:t xml:space="preserve">vaccine </w:t>
      </w:r>
      <w:r w:rsidRPr="000859AE">
        <w:rPr>
          <w:lang w:val="en-AU"/>
        </w:rPr>
        <w:t xml:space="preserve">during </w:t>
      </w:r>
      <w:proofErr w:type="spellStart"/>
      <w:r w:rsidRPr="000859AE">
        <w:rPr>
          <w:lang w:val="en-AU"/>
        </w:rPr>
        <w:t>postapproval</w:t>
      </w:r>
      <w:proofErr w:type="spellEnd"/>
      <w:r w:rsidRPr="000859AE">
        <w:rPr>
          <w:lang w:val="en-AU"/>
        </w:rPr>
        <w:t xml:space="preserve"> use.</w:t>
      </w:r>
    </w:p>
    <w:p w:rsidR="00CE6F75" w:rsidRDefault="00CE6F75" w:rsidP="000859AE">
      <w:pPr>
        <w:rPr>
          <w:lang w:val="en-AU"/>
        </w:rPr>
      </w:pPr>
    </w:p>
    <w:p w:rsidR="00CB3809" w:rsidRPr="00B81ECB" w:rsidRDefault="00CB3809" w:rsidP="00315B63">
      <w:pPr>
        <w:rPr>
          <w:i/>
          <w:lang w:val="en-AU"/>
        </w:rPr>
      </w:pPr>
      <w:r w:rsidRPr="00B81ECB">
        <w:rPr>
          <w:i/>
          <w:lang w:val="en-AU"/>
        </w:rPr>
        <w:t>Blood and Lymphatic System Disorders</w:t>
      </w:r>
    </w:p>
    <w:p w:rsidR="00CB3809" w:rsidRPr="00B81ECB" w:rsidRDefault="00205619" w:rsidP="00315B63">
      <w:pPr>
        <w:rPr>
          <w:lang w:val="en-AU"/>
        </w:rPr>
      </w:pPr>
      <w:proofErr w:type="gramStart"/>
      <w:r w:rsidRPr="00205619">
        <w:rPr>
          <w:lang w:val="en-AU"/>
        </w:rPr>
        <w:t>Thrombocytopenia</w:t>
      </w:r>
      <w:r w:rsidR="00CB3809" w:rsidRPr="00B81ECB">
        <w:rPr>
          <w:lang w:val="en-AU"/>
        </w:rPr>
        <w:t>.</w:t>
      </w:r>
      <w:proofErr w:type="gramEnd"/>
    </w:p>
    <w:p w:rsidR="00CB3809" w:rsidRPr="00B81ECB" w:rsidRDefault="00CB3809" w:rsidP="00205F69">
      <w:pPr>
        <w:rPr>
          <w:lang w:val="en-AU"/>
        </w:rPr>
      </w:pPr>
    </w:p>
    <w:p w:rsidR="00CB3809" w:rsidRPr="00B81ECB" w:rsidRDefault="00CB3809" w:rsidP="007C4389">
      <w:pPr>
        <w:keepNext/>
        <w:rPr>
          <w:i/>
          <w:lang w:val="en-AU"/>
        </w:rPr>
      </w:pPr>
      <w:r w:rsidRPr="00B81ECB">
        <w:rPr>
          <w:i/>
          <w:lang w:val="en-AU"/>
        </w:rPr>
        <w:t>Immune System Disorders</w:t>
      </w:r>
    </w:p>
    <w:p w:rsidR="00CB3809" w:rsidRPr="00B81ECB" w:rsidRDefault="00CB3809" w:rsidP="00315B63">
      <w:pPr>
        <w:rPr>
          <w:lang w:val="en-AU"/>
        </w:rPr>
      </w:pPr>
      <w:proofErr w:type="gramStart"/>
      <w:r w:rsidRPr="00B81ECB">
        <w:rPr>
          <w:lang w:val="en-AU"/>
        </w:rPr>
        <w:t xml:space="preserve">Allergic </w:t>
      </w:r>
      <w:r w:rsidR="003D1D40">
        <w:rPr>
          <w:lang w:val="en-AU"/>
        </w:rPr>
        <w:t xml:space="preserve">or immediate hypersensitivity </w:t>
      </w:r>
      <w:r w:rsidRPr="00B81ECB">
        <w:rPr>
          <w:lang w:val="en-AU"/>
        </w:rPr>
        <w:t>reactions including anaphylactic shock.</w:t>
      </w:r>
      <w:proofErr w:type="gramEnd"/>
    </w:p>
    <w:p w:rsidR="00CB3809" w:rsidRPr="00B81ECB" w:rsidRDefault="00CB3809" w:rsidP="00205F69">
      <w:pPr>
        <w:rPr>
          <w:lang w:val="en-AU"/>
        </w:rPr>
      </w:pPr>
    </w:p>
    <w:p w:rsidR="00CB3809" w:rsidRPr="00B81ECB" w:rsidRDefault="00CB3809" w:rsidP="00315B63">
      <w:pPr>
        <w:rPr>
          <w:i/>
          <w:lang w:val="en-AU"/>
        </w:rPr>
      </w:pPr>
      <w:r w:rsidRPr="00B81ECB">
        <w:rPr>
          <w:i/>
          <w:lang w:val="en-AU"/>
        </w:rPr>
        <w:t>Nervous System Disorders</w:t>
      </w:r>
    </w:p>
    <w:p w:rsidR="00CB3809" w:rsidRPr="00A24C88" w:rsidRDefault="00CB3809" w:rsidP="00315B63">
      <w:pPr>
        <w:rPr>
          <w:lang w:val="en-AU"/>
        </w:rPr>
      </w:pPr>
      <w:proofErr w:type="gramStart"/>
      <w:r w:rsidRPr="00B81ECB">
        <w:rPr>
          <w:lang w:val="en-AU"/>
        </w:rPr>
        <w:t>Neuralgia, paraesthesia and convulsions</w:t>
      </w:r>
      <w:r w:rsidR="00205619">
        <w:rPr>
          <w:lang w:val="en-AU"/>
        </w:rPr>
        <w:t xml:space="preserve">, </w:t>
      </w:r>
      <w:r w:rsidR="00652551" w:rsidRPr="00A24C88">
        <w:t xml:space="preserve">encephalomyelitis, </w:t>
      </w:r>
      <w:r w:rsidRPr="00A24C88">
        <w:rPr>
          <w:lang w:val="en-AU"/>
        </w:rPr>
        <w:t>neuritis or neuropathy</w:t>
      </w:r>
      <w:r w:rsidR="00112A64" w:rsidRPr="00A24C88">
        <w:rPr>
          <w:lang w:val="en-AU"/>
        </w:rPr>
        <w:t>,</w:t>
      </w:r>
      <w:r w:rsidR="00112A64" w:rsidRPr="00A24C88">
        <w:t xml:space="preserve"> </w:t>
      </w:r>
      <w:r w:rsidRPr="00A24C88">
        <w:rPr>
          <w:lang w:val="en-AU"/>
        </w:rPr>
        <w:t>and Guillain-Barr</w:t>
      </w:r>
      <w:r w:rsidRPr="00A24C88">
        <w:rPr>
          <w:rFonts w:cs="Arial"/>
          <w:lang w:val="en-AU"/>
        </w:rPr>
        <w:t>é</w:t>
      </w:r>
      <w:r w:rsidRPr="00A24C88">
        <w:rPr>
          <w:lang w:val="en-AU"/>
        </w:rPr>
        <w:t xml:space="preserve"> syndrome.</w:t>
      </w:r>
      <w:proofErr w:type="gramEnd"/>
      <w:r w:rsidRPr="00A24C88">
        <w:rPr>
          <w:lang w:val="en-AU"/>
        </w:rPr>
        <w:t xml:space="preserve"> </w:t>
      </w:r>
    </w:p>
    <w:p w:rsidR="007F0F3D" w:rsidRPr="00B81ECB" w:rsidRDefault="007F0F3D" w:rsidP="00205F69">
      <w:pPr>
        <w:rPr>
          <w:lang w:val="en-AU"/>
        </w:rPr>
      </w:pPr>
    </w:p>
    <w:p w:rsidR="00CB3809" w:rsidRPr="00B81ECB" w:rsidRDefault="00CB3809" w:rsidP="00315B63">
      <w:pPr>
        <w:rPr>
          <w:i/>
          <w:lang w:val="en-AU"/>
        </w:rPr>
      </w:pPr>
      <w:r w:rsidRPr="00B81ECB">
        <w:rPr>
          <w:i/>
          <w:lang w:val="en-AU"/>
        </w:rPr>
        <w:t>Vascular Disorders</w:t>
      </w:r>
    </w:p>
    <w:p w:rsidR="00CB3809" w:rsidRPr="00B81ECB" w:rsidRDefault="00CB3809" w:rsidP="00315B63">
      <w:pPr>
        <w:rPr>
          <w:lang w:val="en-AU"/>
        </w:rPr>
      </w:pPr>
      <w:proofErr w:type="gramStart"/>
      <w:r w:rsidRPr="00B81ECB">
        <w:rPr>
          <w:lang w:val="en-AU"/>
        </w:rPr>
        <w:t xml:space="preserve">Vasculitis </w:t>
      </w:r>
      <w:r w:rsidR="003D1D40">
        <w:rPr>
          <w:lang w:val="en-AU"/>
        </w:rPr>
        <w:t>which may be associated with</w:t>
      </w:r>
      <w:r w:rsidRPr="00B81ECB">
        <w:rPr>
          <w:lang w:val="en-AU"/>
        </w:rPr>
        <w:t xml:space="preserve"> transient renal involvement.</w:t>
      </w:r>
      <w:proofErr w:type="gramEnd"/>
    </w:p>
    <w:p w:rsidR="00CB3809" w:rsidRPr="00B81ECB" w:rsidRDefault="00CB3809" w:rsidP="00205F69">
      <w:pPr>
        <w:rPr>
          <w:lang w:val="en-AU"/>
        </w:rPr>
      </w:pPr>
    </w:p>
    <w:p w:rsidR="00CB3809" w:rsidRPr="00B81ECB" w:rsidRDefault="00CB3809" w:rsidP="00315B63">
      <w:pPr>
        <w:rPr>
          <w:i/>
          <w:lang w:val="en-AU"/>
        </w:rPr>
      </w:pPr>
      <w:r w:rsidRPr="00B81ECB">
        <w:rPr>
          <w:i/>
          <w:lang w:val="en-AU"/>
        </w:rPr>
        <w:t>Skin and Subcutaneous Tissue Disorders</w:t>
      </w:r>
    </w:p>
    <w:p w:rsidR="00CB3809" w:rsidRPr="00B81ECB" w:rsidRDefault="00CB3809" w:rsidP="00315B63">
      <w:pPr>
        <w:rPr>
          <w:lang w:val="en-AU"/>
        </w:rPr>
      </w:pPr>
      <w:proofErr w:type="gramStart"/>
      <w:r w:rsidRPr="00B81ECB">
        <w:rPr>
          <w:lang w:val="en-AU"/>
        </w:rPr>
        <w:t>Pruritus, urticaria and rash.</w:t>
      </w:r>
      <w:proofErr w:type="gramEnd"/>
    </w:p>
    <w:p w:rsidR="00526B7F" w:rsidRDefault="00526B7F" w:rsidP="00205F69">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DE47C7" w:rsidRDefault="00DE47C7" w:rsidP="00DE47C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i/>
          <w:lang w:val="en-AU"/>
        </w:rPr>
      </w:pPr>
      <w:r>
        <w:rPr>
          <w:i/>
          <w:lang w:val="en-AU"/>
        </w:rPr>
        <w:t>General Disorders and Administration Site Conditions</w:t>
      </w:r>
    </w:p>
    <w:p w:rsidR="00DD4E0C" w:rsidRDefault="00DE47C7" w:rsidP="00DE47C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8A1461">
        <w:rPr>
          <w:lang w:val="en-AU"/>
        </w:rPr>
        <w:t>Cellulitis</w:t>
      </w:r>
      <w:r w:rsidR="00DD4E0C">
        <w:rPr>
          <w:lang w:val="en-AU"/>
        </w:rPr>
        <w:t xml:space="preserve"> and</w:t>
      </w:r>
      <w:r w:rsidR="003D1D40">
        <w:rPr>
          <w:lang w:val="en-AU"/>
        </w:rPr>
        <w:t xml:space="preserve"> </w:t>
      </w:r>
      <w:r w:rsidRPr="008A1461">
        <w:rPr>
          <w:lang w:val="en-AU"/>
        </w:rPr>
        <w:t>large injection site swelling</w:t>
      </w:r>
    </w:p>
    <w:p w:rsidR="00DE47C7" w:rsidRPr="008A1461" w:rsidRDefault="00DD4E0C" w:rsidP="00DE47C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roofErr w:type="gramStart"/>
      <w:r>
        <w:rPr>
          <w:lang w:val="en-AU"/>
        </w:rPr>
        <w:t>I</w:t>
      </w:r>
      <w:r w:rsidR="003D1D40">
        <w:rPr>
          <w:lang w:val="en-AU"/>
        </w:rPr>
        <w:t>nfluenza-like illness</w:t>
      </w:r>
      <w:r w:rsidR="00DE47C7" w:rsidRPr="008A1461">
        <w:rPr>
          <w:lang w:val="en-AU"/>
        </w:rPr>
        <w:t>.</w:t>
      </w:r>
      <w:proofErr w:type="gramEnd"/>
      <w:r w:rsidR="00DE47C7" w:rsidRPr="008A1461">
        <w:rPr>
          <w:lang w:val="en-AU"/>
        </w:rPr>
        <w:t xml:space="preserve"> </w:t>
      </w:r>
    </w:p>
    <w:p w:rsidR="00DE47C7" w:rsidRDefault="00DE47C7" w:rsidP="00205F69">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0C1E6C" w:rsidRDefault="000C1E6C" w:rsidP="000961FF">
      <w:pPr>
        <w:pStyle w:val="Heading1"/>
      </w:pPr>
      <w:r>
        <w:t>DOSAGE AND ADMINISTRATION</w:t>
      </w:r>
    </w:p>
    <w:p w:rsidR="000C1E6C" w:rsidRPr="00B81ECB" w:rsidRDefault="006F2445"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B81ECB">
        <w:rPr>
          <w:lang w:val="en-AU"/>
        </w:rPr>
        <w:t xml:space="preserve">Immunisation should be undertaken in anticipation of seasonal outbreaks of influenza. </w:t>
      </w:r>
    </w:p>
    <w:p w:rsidR="00205F69" w:rsidRDefault="00205F69" w:rsidP="00205F69">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240" w:lineRule="auto"/>
        <w:rPr>
          <w:lang w:val="en-AU"/>
        </w:rPr>
      </w:pPr>
    </w:p>
    <w:p w:rsidR="000C1E6C" w:rsidRDefault="000C1E6C" w:rsidP="000961FF">
      <w:pPr>
        <w:pStyle w:val="Heading2"/>
      </w:pPr>
      <w:r w:rsidRPr="000C1E6C">
        <w:t>D</w:t>
      </w:r>
      <w:r w:rsidR="00C2092C">
        <w:t>osage:</w:t>
      </w:r>
    </w:p>
    <w:p w:rsidR="00F8484E" w:rsidRPr="00E6296A" w:rsidRDefault="00F8484E" w:rsidP="000961FF">
      <w:pPr>
        <w:rPr>
          <w:lang w:val="en-AU"/>
        </w:rPr>
      </w:pPr>
      <w:r w:rsidRPr="00E6296A">
        <w:rPr>
          <w:lang w:val="en-AU"/>
        </w:rPr>
        <w:t>See Indications and Precautions.</w:t>
      </w:r>
    </w:p>
    <w:tbl>
      <w:tblPr>
        <w:tblW w:w="0" w:type="auto"/>
        <w:tblLook w:val="01E0" w:firstRow="1" w:lastRow="1" w:firstColumn="1" w:lastColumn="1" w:noHBand="0" w:noVBand="0"/>
      </w:tblPr>
      <w:tblGrid>
        <w:gridCol w:w="4503"/>
        <w:gridCol w:w="1134"/>
      </w:tblGrid>
      <w:tr w:rsidR="00F8484E" w:rsidRPr="000E7CA9" w:rsidTr="00A4514D">
        <w:trPr>
          <w:trHeight w:val="357"/>
        </w:trPr>
        <w:tc>
          <w:tcPr>
            <w:tcW w:w="4503" w:type="dxa"/>
            <w:vAlign w:val="center"/>
          </w:tcPr>
          <w:p w:rsidR="00F8484E" w:rsidRPr="000E7CA9" w:rsidRDefault="00F8484E" w:rsidP="00557F5C">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napToGrid w:val="0"/>
              <w:spacing w:line="240" w:lineRule="auto"/>
              <w:jc w:val="left"/>
              <w:outlineLvl w:val="0"/>
              <w:rPr>
                <w:lang w:val="en-AU"/>
              </w:rPr>
            </w:pPr>
            <w:r w:rsidRPr="000E7CA9">
              <w:rPr>
                <w:lang w:val="en-AU"/>
              </w:rPr>
              <w:t xml:space="preserve">Adults from </w:t>
            </w:r>
            <w:r w:rsidR="00557F5C">
              <w:rPr>
                <w:lang w:val="en-AU"/>
              </w:rPr>
              <w:t>18</w:t>
            </w:r>
            <w:r>
              <w:rPr>
                <w:lang w:val="en-AU"/>
              </w:rPr>
              <w:t xml:space="preserve"> years</w:t>
            </w:r>
            <w:r w:rsidRPr="000E7CA9">
              <w:rPr>
                <w:lang w:val="en-AU"/>
              </w:rPr>
              <w:t>:</w:t>
            </w:r>
          </w:p>
        </w:tc>
        <w:tc>
          <w:tcPr>
            <w:tcW w:w="1134" w:type="dxa"/>
            <w:vAlign w:val="center"/>
          </w:tcPr>
          <w:p w:rsidR="00F8484E" w:rsidRPr="000E7CA9" w:rsidRDefault="00F8484E" w:rsidP="00A4514D">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napToGrid w:val="0"/>
              <w:spacing w:line="240" w:lineRule="auto"/>
              <w:jc w:val="left"/>
              <w:outlineLvl w:val="0"/>
              <w:rPr>
                <w:lang w:val="en-AU"/>
              </w:rPr>
            </w:pPr>
            <w:r w:rsidRPr="000E7CA9">
              <w:rPr>
                <w:lang w:val="en-AU"/>
              </w:rPr>
              <w:t>0.5 mL</w:t>
            </w:r>
          </w:p>
        </w:tc>
      </w:tr>
    </w:tbl>
    <w:p w:rsidR="001F4EB5" w:rsidRDefault="001F4EB5"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E95B82" w:rsidRPr="00B81ECB" w:rsidRDefault="00E95B82" w:rsidP="00E95B8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B81ECB">
        <w:rPr>
          <w:lang w:val="en-AU"/>
        </w:rPr>
        <w:t xml:space="preserve">To provide continuing protection, annual vaccination with vaccine containing the most recent strains is necessary. </w:t>
      </w:r>
    </w:p>
    <w:p w:rsidR="00DF426F" w:rsidRDefault="00DF426F"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iCs/>
          <w:u w:val="single"/>
          <w:lang w:val="en-AU"/>
        </w:rPr>
      </w:pPr>
    </w:p>
    <w:p w:rsidR="000C1E6C" w:rsidRDefault="00C2092C" w:rsidP="000961FF">
      <w:pPr>
        <w:pStyle w:val="Heading2"/>
      </w:pPr>
      <w:r>
        <w:t>Administration:</w:t>
      </w:r>
    </w:p>
    <w:p w:rsidR="00310004" w:rsidRDefault="00887C04" w:rsidP="000961FF">
      <w:pPr>
        <w:rPr>
          <w:lang w:val="de-CH"/>
        </w:rPr>
      </w:pPr>
      <w:r>
        <w:rPr>
          <w:lang w:val="en-AU"/>
        </w:rPr>
        <w:t>Afluria</w:t>
      </w:r>
      <w:r w:rsidR="00310004">
        <w:rPr>
          <w:lang w:val="en-AU"/>
        </w:rPr>
        <w:t xml:space="preserve"> </w:t>
      </w:r>
      <w:r w:rsidR="00504C71">
        <w:rPr>
          <w:lang w:val="en-AU"/>
        </w:rPr>
        <w:t>Quad</w:t>
      </w:r>
      <w:r w:rsidR="00496B46">
        <w:rPr>
          <w:rFonts w:cs="Arial"/>
          <w:lang w:val="en-AU"/>
        </w:rPr>
        <w:t>™</w:t>
      </w:r>
      <w:r w:rsidR="00504C71">
        <w:rPr>
          <w:lang w:val="en-AU"/>
        </w:rPr>
        <w:t xml:space="preserve"> </w:t>
      </w:r>
      <w:r w:rsidR="00310004">
        <w:rPr>
          <w:lang w:val="en-AU"/>
        </w:rPr>
        <w:t xml:space="preserve">vaccine </w:t>
      </w:r>
      <w:r w:rsidR="00310004" w:rsidRPr="00310004">
        <w:rPr>
          <w:lang w:val="de-CH"/>
        </w:rPr>
        <w:t xml:space="preserve">should </w:t>
      </w:r>
      <w:r w:rsidR="00310004">
        <w:rPr>
          <w:lang w:val="de-CH"/>
        </w:rPr>
        <w:t xml:space="preserve">be </w:t>
      </w:r>
      <w:r w:rsidR="00310004" w:rsidRPr="00310004">
        <w:rPr>
          <w:lang w:val="de-CH"/>
        </w:rPr>
        <w:t>administ</w:t>
      </w:r>
      <w:r w:rsidR="00310004">
        <w:rPr>
          <w:lang w:val="de-CH"/>
        </w:rPr>
        <w:t>ered</w:t>
      </w:r>
      <w:r w:rsidR="00310004" w:rsidRPr="00310004">
        <w:rPr>
          <w:lang w:val="de-CH"/>
        </w:rPr>
        <w:t xml:space="preserve"> by a health care practitioner in an appropriate setting with an appropriate post-vaccination observation period</w:t>
      </w:r>
      <w:r w:rsidR="00310004">
        <w:rPr>
          <w:lang w:val="de-CH"/>
        </w:rPr>
        <w:t>.</w:t>
      </w:r>
      <w:r w:rsidR="00310004" w:rsidRPr="00310004">
        <w:rPr>
          <w:lang w:val="de-CH"/>
        </w:rPr>
        <w:t xml:space="preserve"> </w:t>
      </w:r>
    </w:p>
    <w:p w:rsidR="00634685" w:rsidRPr="00906E51" w:rsidRDefault="005D3D11" w:rsidP="000961FF">
      <w:pPr>
        <w:rPr>
          <w:lang w:val="en-AU"/>
        </w:rPr>
      </w:pPr>
      <w:r w:rsidRPr="00906E51">
        <w:rPr>
          <w:lang w:val="de-CH"/>
        </w:rPr>
        <w:t>Shake before use. After shaking, the vaccine should appear as a homogenous suspension. The vaccine must be inspected visually prior to administration and should not be used if there is any variation of physical appearance.</w:t>
      </w:r>
    </w:p>
    <w:p w:rsidR="00634685" w:rsidRPr="00AE5C0E" w:rsidRDefault="00634685" w:rsidP="000961FF">
      <w:pPr>
        <w:rPr>
          <w:lang w:val="en-AU"/>
        </w:rPr>
      </w:pPr>
      <w:r w:rsidRPr="00AE5C0E">
        <w:rPr>
          <w:lang w:val="en-AU"/>
        </w:rPr>
        <w:t>See Description.</w:t>
      </w:r>
    </w:p>
    <w:p w:rsidR="002C0133" w:rsidRDefault="002C0133"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1D2EB2" w:rsidRDefault="001D2EB2"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u w:val="single"/>
          <w:lang w:val="en-AU"/>
        </w:rPr>
      </w:pPr>
      <w:r>
        <w:rPr>
          <w:lang w:val="en-AU"/>
        </w:rPr>
        <w:t xml:space="preserve">The vaccine should be administered by intramuscular or deep subcutaneous injection. </w:t>
      </w:r>
    </w:p>
    <w:p w:rsidR="000C1E6C" w:rsidRDefault="000C1E6C"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0C1E6C"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F0C89">
        <w:rPr>
          <w:lang w:val="en-AU"/>
        </w:rPr>
        <w:t xml:space="preserve"> </w:t>
      </w:r>
      <w:r w:rsidR="00504C71">
        <w:rPr>
          <w:lang w:val="en-AU"/>
        </w:rPr>
        <w:t>Quad</w:t>
      </w:r>
      <w:r w:rsidR="00496B46">
        <w:rPr>
          <w:rFonts w:cs="Arial"/>
          <w:lang w:val="en-AU"/>
        </w:rPr>
        <w:t>™</w:t>
      </w:r>
      <w:r w:rsidR="00504C71">
        <w:rPr>
          <w:lang w:val="en-AU"/>
        </w:rPr>
        <w:t xml:space="preserve"> </w:t>
      </w:r>
      <w:r w:rsidR="000C1E6C">
        <w:rPr>
          <w:lang w:val="en-AU"/>
        </w:rPr>
        <w:t>vaccine is presented as a single-use syringe and any remaining contents should be discarded.</w:t>
      </w:r>
    </w:p>
    <w:p w:rsidR="00DE47C7" w:rsidRDefault="00DE47C7"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b/>
          <w:lang w:val="en-AU"/>
        </w:rPr>
      </w:pPr>
    </w:p>
    <w:p w:rsidR="00DE47C7" w:rsidRDefault="00887C04" w:rsidP="00DE47C7">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F0C89">
        <w:rPr>
          <w:lang w:val="en-AU"/>
        </w:rPr>
        <w:t xml:space="preserve"> </w:t>
      </w:r>
      <w:r w:rsidR="00504C71">
        <w:rPr>
          <w:lang w:val="en-AU"/>
        </w:rPr>
        <w:t>Quad</w:t>
      </w:r>
      <w:r w:rsidR="00496B46">
        <w:rPr>
          <w:rFonts w:cs="Arial"/>
          <w:lang w:val="en-AU"/>
        </w:rPr>
        <w:t>™</w:t>
      </w:r>
      <w:r w:rsidR="00504C71">
        <w:rPr>
          <w:lang w:val="en-AU"/>
        </w:rPr>
        <w:t xml:space="preserve"> </w:t>
      </w:r>
      <w:r w:rsidR="00DE47C7">
        <w:rPr>
          <w:lang w:val="en-AU"/>
        </w:rPr>
        <w:t xml:space="preserve">vaccine can be administered concurrently with other </w:t>
      </w:r>
      <w:proofErr w:type="gramStart"/>
      <w:r w:rsidR="00DE47C7">
        <w:rPr>
          <w:lang w:val="en-AU"/>
        </w:rPr>
        <w:t>vaccines,</w:t>
      </w:r>
      <w:proofErr w:type="gramEnd"/>
      <w:r w:rsidR="00DE47C7">
        <w:rPr>
          <w:lang w:val="en-AU"/>
        </w:rPr>
        <w:t xml:space="preserve"> however separate syringes and a separate arm should be used. </w:t>
      </w:r>
    </w:p>
    <w:p w:rsidR="00DE47C7" w:rsidRDefault="00DE47C7"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b/>
          <w:lang w:val="en-AU"/>
        </w:rPr>
      </w:pPr>
    </w:p>
    <w:p w:rsidR="003B3CD8" w:rsidRDefault="003B3CD8" w:rsidP="000961FF">
      <w:pPr>
        <w:pStyle w:val="Heading1"/>
      </w:pPr>
      <w:r>
        <w:t>OVERDOSAGE</w:t>
      </w:r>
    </w:p>
    <w:p w:rsidR="0032299C" w:rsidRPr="0032299C" w:rsidRDefault="0032299C"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sidRPr="003B46EA">
        <w:rPr>
          <w:lang w:val="en-AU"/>
        </w:rPr>
        <w:t>There is no specific information on overdose of Influenza Vaccine</w:t>
      </w:r>
      <w:r w:rsidR="005A2C40" w:rsidRPr="005569C2">
        <w:rPr>
          <w:lang w:val="en-AU"/>
        </w:rPr>
        <w:t>s</w:t>
      </w:r>
      <w:r w:rsidRPr="005569C2">
        <w:rPr>
          <w:lang w:val="en-AU"/>
        </w:rPr>
        <w:t>.</w:t>
      </w:r>
    </w:p>
    <w:p w:rsidR="003B3CD8" w:rsidRDefault="00695272"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 xml:space="preserve">For </w:t>
      </w:r>
      <w:r w:rsidR="0032299C">
        <w:rPr>
          <w:lang w:val="en-AU"/>
        </w:rPr>
        <w:t xml:space="preserve">general </w:t>
      </w:r>
      <w:r>
        <w:rPr>
          <w:lang w:val="en-AU"/>
        </w:rPr>
        <w:t>advice on overdose management:</w:t>
      </w:r>
    </w:p>
    <w:p w:rsidR="00695272" w:rsidRDefault="00EB4CDE"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In</w:t>
      </w:r>
      <w:r w:rsidR="00695272">
        <w:rPr>
          <w:lang w:val="en-AU"/>
        </w:rPr>
        <w:t xml:space="preserve"> Australia, contact the Poisons Information Centre on 131 126.</w:t>
      </w:r>
    </w:p>
    <w:p w:rsidR="006014ED" w:rsidRDefault="006014ED" w:rsidP="007C4389">
      <w:pPr>
        <w:widowControl/>
        <w:jc w:val="left"/>
        <w:rPr>
          <w:b/>
          <w:lang w:val="en-AU"/>
        </w:rPr>
      </w:pPr>
    </w:p>
    <w:p w:rsidR="00650714" w:rsidRPr="00B81ECB" w:rsidRDefault="00DF426F" w:rsidP="000961FF">
      <w:pPr>
        <w:pStyle w:val="Heading1"/>
      </w:pPr>
      <w:r w:rsidRPr="00B81ECB">
        <w:t>PRESENTATION</w:t>
      </w:r>
      <w:r w:rsidR="00537718" w:rsidRPr="00B81ECB">
        <w:t xml:space="preserve"> AND STORAGE CONDITIONS</w:t>
      </w:r>
    </w:p>
    <w:p w:rsidR="00537718" w:rsidRPr="00B81ECB" w:rsidRDefault="00537718" w:rsidP="000961FF">
      <w:pPr>
        <w:pStyle w:val="Heading2"/>
      </w:pPr>
      <w:r w:rsidRPr="00B81ECB">
        <w:t>Presentation:</w:t>
      </w:r>
    </w:p>
    <w:p w:rsidR="00650714" w:rsidRDefault="00650714" w:rsidP="000961FF">
      <w:pPr>
        <w:rPr>
          <w:lang w:val="en-AU"/>
        </w:rPr>
      </w:pPr>
      <w:r>
        <w:rPr>
          <w:lang w:val="en-AU"/>
        </w:rPr>
        <w:t>Each disposable syringe contains a single 0.5 mL dose of vaccine.</w:t>
      </w:r>
    </w:p>
    <w:p w:rsidR="001F4EB5" w:rsidRDefault="001F4EB5" w:rsidP="000961FF">
      <w:pPr>
        <w:rPr>
          <w:lang w:val="en-AU"/>
        </w:rPr>
      </w:pPr>
    </w:p>
    <w:p w:rsidR="00650714" w:rsidRDefault="00650714" w:rsidP="000961FF">
      <w:pPr>
        <w:rPr>
          <w:lang w:val="en-AU"/>
        </w:rPr>
      </w:pPr>
      <w:r>
        <w:rPr>
          <w:lang w:val="en-AU"/>
        </w:rPr>
        <w:t xml:space="preserve">The </w:t>
      </w:r>
      <w:r w:rsidR="00887C04">
        <w:rPr>
          <w:lang w:val="en-AU"/>
        </w:rPr>
        <w:t>Afluria</w:t>
      </w:r>
      <w:r w:rsidR="004F0C89">
        <w:rPr>
          <w:vertAlign w:val="superscript"/>
          <w:lang w:val="en-AU"/>
        </w:rPr>
        <w:t xml:space="preserve"> </w:t>
      </w:r>
      <w:r w:rsidR="00504C71">
        <w:rPr>
          <w:lang w:val="en-AU"/>
        </w:rPr>
        <w:t>Quad</w:t>
      </w:r>
      <w:r w:rsidR="00496B46">
        <w:rPr>
          <w:rFonts w:cs="Arial"/>
          <w:lang w:val="en-AU"/>
        </w:rPr>
        <w:t>™</w:t>
      </w:r>
      <w:r w:rsidR="00504C71">
        <w:rPr>
          <w:lang w:val="en-AU"/>
        </w:rPr>
        <w:t xml:space="preserve"> </w:t>
      </w:r>
      <w:r>
        <w:rPr>
          <w:lang w:val="en-AU"/>
        </w:rPr>
        <w:t>vaccine</w:t>
      </w:r>
      <w:r w:rsidR="00634685">
        <w:rPr>
          <w:lang w:val="en-AU"/>
        </w:rPr>
        <w:t xml:space="preserve"> (AUST R</w:t>
      </w:r>
      <w:r w:rsidR="004A7E84">
        <w:rPr>
          <w:lang w:val="en-AU"/>
        </w:rPr>
        <w:t xml:space="preserve"> </w:t>
      </w:r>
      <w:r w:rsidR="00E73D2F">
        <w:rPr>
          <w:lang w:val="en-AU"/>
        </w:rPr>
        <w:t>262428</w:t>
      </w:r>
      <w:r w:rsidR="00634685">
        <w:rPr>
          <w:lang w:val="en-AU"/>
        </w:rPr>
        <w:t>)</w:t>
      </w:r>
      <w:r>
        <w:rPr>
          <w:lang w:val="en-AU"/>
        </w:rPr>
        <w:t xml:space="preserve"> syringe</w:t>
      </w:r>
      <w:r w:rsidR="00634685">
        <w:rPr>
          <w:lang w:val="en-AU"/>
        </w:rPr>
        <w:t xml:space="preserve"> (with fixed-needle)</w:t>
      </w:r>
      <w:r>
        <w:rPr>
          <w:lang w:val="en-AU"/>
        </w:rPr>
        <w:t xml:space="preserve"> is supplied encased within a clear film wrapper. The presence of the film wrapper</w:t>
      </w:r>
      <w:r w:rsidR="009B2005">
        <w:rPr>
          <w:lang w:val="en-AU"/>
        </w:rPr>
        <w:t xml:space="preserve"> </w:t>
      </w:r>
      <w:r>
        <w:rPr>
          <w:lang w:val="en-AU"/>
        </w:rPr>
        <w:t xml:space="preserve">provides assurance that the product has not been opened. Do not use if the </w:t>
      </w:r>
      <w:r w:rsidR="007B4C26">
        <w:rPr>
          <w:lang w:val="en-AU"/>
        </w:rPr>
        <w:t xml:space="preserve">clear </w:t>
      </w:r>
      <w:r>
        <w:rPr>
          <w:lang w:val="en-AU"/>
        </w:rPr>
        <w:t>film wrap</w:t>
      </w:r>
      <w:r w:rsidR="009B2005">
        <w:rPr>
          <w:lang w:val="en-AU"/>
        </w:rPr>
        <w:t xml:space="preserve">per </w:t>
      </w:r>
      <w:r>
        <w:rPr>
          <w:lang w:val="en-AU"/>
        </w:rPr>
        <w:t>is damaged or missing.</w:t>
      </w:r>
      <w:r w:rsidR="00AE5C0E">
        <w:rPr>
          <w:lang w:val="en-AU"/>
        </w:rPr>
        <w:t xml:space="preserve"> </w:t>
      </w: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537718" w:rsidRPr="00B81ECB" w:rsidRDefault="00537718" w:rsidP="000961FF">
      <w:pPr>
        <w:pStyle w:val="Heading2"/>
      </w:pPr>
      <w:r w:rsidRPr="00B81ECB">
        <w:t>Storage Conditions:</w:t>
      </w:r>
    </w:p>
    <w:p w:rsidR="00650714" w:rsidRDefault="00887C0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w:t>
      </w:r>
      <w:r w:rsidR="004F0C89">
        <w:rPr>
          <w:lang w:val="en-AU"/>
        </w:rPr>
        <w:t xml:space="preserve"> </w:t>
      </w:r>
      <w:r w:rsidR="00504C71">
        <w:rPr>
          <w:lang w:val="en-AU"/>
        </w:rPr>
        <w:t>Quad</w:t>
      </w:r>
      <w:r w:rsidR="00496B46">
        <w:rPr>
          <w:rFonts w:cs="Arial"/>
          <w:lang w:val="en-AU"/>
        </w:rPr>
        <w:t>™</w:t>
      </w:r>
      <w:r w:rsidR="00504C71">
        <w:rPr>
          <w:lang w:val="en-AU"/>
        </w:rPr>
        <w:t xml:space="preserve"> </w:t>
      </w:r>
      <w:r w:rsidR="00650714">
        <w:rPr>
          <w:lang w:val="en-AU"/>
        </w:rPr>
        <w:t>vaccine should be stored, protected from light, at 2ºC to 8ºC. IT MUST NOT BE FROZEN.</w:t>
      </w:r>
    </w:p>
    <w:p w:rsidR="00F22163" w:rsidRDefault="00F22163"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34685" w:rsidRPr="00634685" w:rsidRDefault="00634685" w:rsidP="000961FF">
      <w:pPr>
        <w:pStyle w:val="Heading1"/>
      </w:pPr>
      <w:r>
        <w:t>NAME AND ADDRESS OF THE SPONSOR</w:t>
      </w:r>
    </w:p>
    <w:p w:rsidR="00637BC2" w:rsidRDefault="00637BC2" w:rsidP="00637BC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proofErr w:type="spellStart"/>
      <w:r>
        <w:rPr>
          <w:lang w:val="en-AU"/>
        </w:rPr>
        <w:t>Seqirus</w:t>
      </w:r>
      <w:proofErr w:type="spellEnd"/>
      <w:r>
        <w:rPr>
          <w:lang w:val="en-AU"/>
        </w:rPr>
        <w:t xml:space="preserve"> Pty </w:t>
      </w:r>
      <w:proofErr w:type="gramStart"/>
      <w:r>
        <w:rPr>
          <w:lang w:val="en-AU"/>
        </w:rPr>
        <w:t xml:space="preserve">Ltd  </w:t>
      </w:r>
      <w:r w:rsidRPr="00082D57">
        <w:t>ABN</w:t>
      </w:r>
      <w:proofErr w:type="gramEnd"/>
      <w:r w:rsidRPr="00082D57">
        <w:t>: 26 160 735 035</w:t>
      </w:r>
    </w:p>
    <w:p w:rsidR="00637BC2" w:rsidRDefault="00637BC2" w:rsidP="00637BC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t>63 Poplar Road Parkville</w:t>
      </w:r>
    </w:p>
    <w:p w:rsidR="00637BC2" w:rsidRDefault="00637BC2" w:rsidP="00637BC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roofErr w:type="gramStart"/>
      <w:r>
        <w:t>VICTORIA  3052</w:t>
      </w:r>
      <w:proofErr w:type="gramEnd"/>
      <w:r>
        <w:t xml:space="preserve">  AUSTRALIA</w:t>
      </w:r>
    </w:p>
    <w:p w:rsidR="00650714" w:rsidRDefault="00650714"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34685" w:rsidRDefault="00634685" w:rsidP="000961FF">
      <w:pPr>
        <w:pStyle w:val="Heading1"/>
      </w:pPr>
      <w:r>
        <w:t>POISONS SCHEDULE OF THE MEDICINE</w:t>
      </w:r>
    </w:p>
    <w:p w:rsidR="00634685" w:rsidRDefault="00634685"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Prescription Only Medicine (S4)</w:t>
      </w:r>
    </w:p>
    <w:p w:rsidR="00634685" w:rsidRPr="00634685" w:rsidRDefault="00634685" w:rsidP="00315B63">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p>
    <w:p w:rsidR="00634685" w:rsidRPr="00526B7F" w:rsidRDefault="00B81ECB">
      <w:pPr>
        <w:pStyle w:val="Header"/>
        <w:tabs>
          <w:tab w:val="clear" w:pos="4153"/>
          <w:tab w:val="clear" w:pos="8306"/>
        </w:tabs>
        <w:rPr>
          <w:lang w:val="en-AU"/>
        </w:rPr>
      </w:pPr>
      <w:r w:rsidRPr="00526B7F">
        <w:rPr>
          <w:lang w:val="en-AU"/>
        </w:rPr>
        <w:t xml:space="preserve">Date of </w:t>
      </w:r>
      <w:r w:rsidR="00915255">
        <w:rPr>
          <w:lang w:val="en-AU"/>
        </w:rPr>
        <w:t>first inclusion in the ARTG</w:t>
      </w:r>
      <w:r w:rsidRPr="00526B7F">
        <w:rPr>
          <w:lang w:val="en-AU"/>
        </w:rPr>
        <w:t>:</w:t>
      </w:r>
      <w:r w:rsidR="00DA68CD" w:rsidRPr="00526B7F">
        <w:rPr>
          <w:lang w:val="en-AU"/>
        </w:rPr>
        <w:t xml:space="preserve"> </w:t>
      </w:r>
      <w:r w:rsidR="001D620B">
        <w:rPr>
          <w:lang w:val="en-AU"/>
        </w:rPr>
        <w:tab/>
      </w:r>
      <w:r w:rsidR="001D620B">
        <w:rPr>
          <w:lang w:val="en-AU"/>
        </w:rPr>
        <w:tab/>
      </w:r>
      <w:r w:rsidR="00985523">
        <w:rPr>
          <w:lang w:val="en-AU"/>
        </w:rPr>
        <w:t xml:space="preserve">22 </w:t>
      </w:r>
      <w:r w:rsidR="00E73D2F">
        <w:rPr>
          <w:lang w:val="en-AU"/>
        </w:rPr>
        <w:t>July 2016</w:t>
      </w:r>
      <w:r w:rsidR="009358C5">
        <w:rPr>
          <w:lang w:val="en-AU"/>
        </w:rPr>
        <w:t xml:space="preserve"> (AUST R </w:t>
      </w:r>
      <w:r w:rsidR="00E73D2F">
        <w:rPr>
          <w:lang w:val="en-AU"/>
        </w:rPr>
        <w:t>262428</w:t>
      </w:r>
      <w:r w:rsidR="009358C5">
        <w:rPr>
          <w:lang w:val="en-AU"/>
        </w:rPr>
        <w:t>)</w:t>
      </w:r>
    </w:p>
    <w:p w:rsidR="004222C1" w:rsidRDefault="004222C1" w:rsidP="00315B63">
      <w:pPr>
        <w:pStyle w:val="Header"/>
        <w:tabs>
          <w:tab w:val="clear" w:pos="4153"/>
          <w:tab w:val="clear" w:pos="8306"/>
        </w:tabs>
      </w:pPr>
    </w:p>
    <w:p w:rsidR="004222C1" w:rsidRPr="002C37C8" w:rsidRDefault="004222C1" w:rsidP="004222C1">
      <w:pPr>
        <w:pStyle w:val="Header"/>
        <w:tabs>
          <w:tab w:val="clear" w:pos="4153"/>
          <w:tab w:val="clear" w:pos="8306"/>
        </w:tabs>
        <w:rPr>
          <w:u w:val="single"/>
          <w:lang w:val="en-AU"/>
        </w:rPr>
      </w:pPr>
      <w:r w:rsidRPr="0056060C">
        <w:rPr>
          <w:color w:val="000000"/>
        </w:rPr>
        <w:t xml:space="preserve">Date of most recent amendment: </w:t>
      </w:r>
      <w:r w:rsidR="00E237B7">
        <w:rPr>
          <w:color w:val="000000"/>
        </w:rPr>
        <w:tab/>
      </w:r>
      <w:r w:rsidR="00E237B7">
        <w:rPr>
          <w:color w:val="000000"/>
        </w:rPr>
        <w:tab/>
      </w:r>
      <w:r w:rsidR="003835C1">
        <w:rPr>
          <w:color w:val="000000"/>
        </w:rPr>
        <w:t xml:space="preserve"> </w:t>
      </w:r>
      <w:r w:rsidR="002A6F2F">
        <w:rPr>
          <w:color w:val="000000"/>
        </w:rPr>
        <w:t>23 November 2016</w:t>
      </w:r>
    </w:p>
    <w:p w:rsidR="004222C1" w:rsidRDefault="004222C1" w:rsidP="00315B63">
      <w:pPr>
        <w:pStyle w:val="Header"/>
        <w:tabs>
          <w:tab w:val="clear" w:pos="4153"/>
          <w:tab w:val="clear" w:pos="8306"/>
        </w:tabs>
      </w:pPr>
    </w:p>
    <w:p w:rsidR="009628B5" w:rsidRPr="009628B5" w:rsidRDefault="00142C1E" w:rsidP="009628B5">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lang w:val="en-AU"/>
        </w:rPr>
      </w:pPr>
      <w:r>
        <w:rPr>
          <w:lang w:val="en-AU"/>
        </w:rPr>
        <w:t>Afluria Quad</w:t>
      </w:r>
      <w:r w:rsidR="00496B46">
        <w:rPr>
          <w:rFonts w:cs="Arial"/>
          <w:lang w:val="en-AU"/>
        </w:rPr>
        <w:t>™</w:t>
      </w:r>
      <w:r>
        <w:rPr>
          <w:rFonts w:cs="Arial"/>
          <w:lang w:val="en-AU"/>
        </w:rPr>
        <w:t xml:space="preserve"> and </w:t>
      </w:r>
      <w:proofErr w:type="spellStart"/>
      <w:r>
        <w:rPr>
          <w:rFonts w:cs="Arial"/>
          <w:lang w:val="en-AU"/>
        </w:rPr>
        <w:t>Fluvax</w:t>
      </w:r>
      <w:proofErr w:type="spellEnd"/>
      <w:r w:rsidRPr="00142C1E">
        <w:rPr>
          <w:rFonts w:cs="Arial"/>
          <w:vertAlign w:val="superscript"/>
          <w:lang w:val="en-AU"/>
        </w:rPr>
        <w:t>®</w:t>
      </w:r>
      <w:r>
        <w:rPr>
          <w:rFonts w:cs="Arial"/>
          <w:lang w:val="en-AU"/>
        </w:rPr>
        <w:t xml:space="preserve"> are </w:t>
      </w:r>
      <w:r w:rsidR="00880379">
        <w:rPr>
          <w:lang w:val="en-AU"/>
        </w:rPr>
        <w:t>Trademark</w:t>
      </w:r>
      <w:r>
        <w:rPr>
          <w:lang w:val="en-AU"/>
        </w:rPr>
        <w:t>s</w:t>
      </w:r>
      <w:r w:rsidR="00880379">
        <w:rPr>
          <w:lang w:val="en-AU"/>
        </w:rPr>
        <w:t xml:space="preserve"> of </w:t>
      </w:r>
      <w:proofErr w:type="spellStart"/>
      <w:r w:rsidR="00880379">
        <w:rPr>
          <w:lang w:val="en-AU"/>
        </w:rPr>
        <w:t>Seqirus</w:t>
      </w:r>
      <w:proofErr w:type="spellEnd"/>
      <w:r w:rsidR="00880379">
        <w:rPr>
          <w:lang w:val="en-AU"/>
        </w:rPr>
        <w:t xml:space="preserve"> UK Limited or its affiliates</w:t>
      </w:r>
    </w:p>
    <w:sectPr w:rsidR="009628B5" w:rsidRPr="009628B5" w:rsidSect="00744ABF">
      <w:headerReference w:type="default" r:id="rId9"/>
      <w:footerReference w:type="default" r:id="rId10"/>
      <w:endnotePr>
        <w:numFmt w:val="decimal"/>
      </w:endnotePr>
      <w:pgSz w:w="11906" w:h="16838" w:code="9"/>
      <w:pgMar w:top="851" w:right="991" w:bottom="567" w:left="1440" w:header="851"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EC" w:rsidRDefault="00063BEC">
      <w:r>
        <w:separator/>
      </w:r>
    </w:p>
  </w:endnote>
  <w:endnote w:type="continuationSeparator" w:id="0">
    <w:p w:rsidR="00063BEC" w:rsidRDefault="00063BEC">
      <w:r>
        <w:continuationSeparator/>
      </w:r>
    </w:p>
  </w:endnote>
  <w:endnote w:type="continuationNotice" w:id="1">
    <w:p w:rsidR="00063BEC" w:rsidRDefault="00063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15322906"/>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AA7FAB" w:rsidRPr="00D648A2" w:rsidRDefault="00AA7FAB" w:rsidP="001B249F">
            <w:pPr>
              <w:pStyle w:val="Footer"/>
              <w:pBdr>
                <w:top w:val="single" w:sz="4" w:space="1" w:color="auto"/>
              </w:pBdr>
              <w:jc w:val="right"/>
              <w:rPr>
                <w:sz w:val="18"/>
                <w:szCs w:val="18"/>
              </w:rPr>
            </w:pPr>
            <w:r w:rsidRPr="00D648A2">
              <w:rPr>
                <w:sz w:val="18"/>
                <w:szCs w:val="18"/>
              </w:rPr>
              <w:t xml:space="preserve">Page </w:t>
            </w:r>
            <w:r w:rsidRPr="00D648A2">
              <w:rPr>
                <w:bCs/>
                <w:sz w:val="18"/>
                <w:szCs w:val="18"/>
              </w:rPr>
              <w:fldChar w:fldCharType="begin"/>
            </w:r>
            <w:r w:rsidRPr="00D648A2">
              <w:rPr>
                <w:bCs/>
                <w:sz w:val="18"/>
                <w:szCs w:val="18"/>
              </w:rPr>
              <w:instrText xml:space="preserve"> PAGE </w:instrText>
            </w:r>
            <w:r w:rsidRPr="00D648A2">
              <w:rPr>
                <w:bCs/>
                <w:sz w:val="18"/>
                <w:szCs w:val="18"/>
              </w:rPr>
              <w:fldChar w:fldCharType="separate"/>
            </w:r>
            <w:r w:rsidR="009C7737">
              <w:rPr>
                <w:bCs/>
                <w:sz w:val="18"/>
                <w:szCs w:val="18"/>
              </w:rPr>
              <w:t>10</w:t>
            </w:r>
            <w:r w:rsidRPr="00D648A2">
              <w:rPr>
                <w:bCs/>
                <w:sz w:val="18"/>
                <w:szCs w:val="18"/>
              </w:rPr>
              <w:fldChar w:fldCharType="end"/>
            </w:r>
            <w:r w:rsidRPr="00D648A2">
              <w:rPr>
                <w:sz w:val="18"/>
                <w:szCs w:val="18"/>
              </w:rPr>
              <w:t xml:space="preserve"> of </w:t>
            </w:r>
            <w:r w:rsidRPr="00D648A2">
              <w:rPr>
                <w:bCs/>
                <w:sz w:val="18"/>
                <w:szCs w:val="18"/>
              </w:rPr>
              <w:fldChar w:fldCharType="begin"/>
            </w:r>
            <w:r w:rsidRPr="00D648A2">
              <w:rPr>
                <w:bCs/>
                <w:sz w:val="18"/>
                <w:szCs w:val="18"/>
              </w:rPr>
              <w:instrText xml:space="preserve"> NUMPAGES  </w:instrText>
            </w:r>
            <w:r w:rsidRPr="00D648A2">
              <w:rPr>
                <w:bCs/>
                <w:sz w:val="18"/>
                <w:szCs w:val="18"/>
              </w:rPr>
              <w:fldChar w:fldCharType="separate"/>
            </w:r>
            <w:r w:rsidR="009C7737">
              <w:rPr>
                <w:bCs/>
                <w:sz w:val="18"/>
                <w:szCs w:val="18"/>
              </w:rPr>
              <w:t>10</w:t>
            </w:r>
            <w:r w:rsidRPr="00D648A2">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EC" w:rsidRDefault="00063BEC">
      <w:r>
        <w:separator/>
      </w:r>
    </w:p>
  </w:footnote>
  <w:footnote w:type="continuationSeparator" w:id="0">
    <w:p w:rsidR="00063BEC" w:rsidRDefault="00063BEC">
      <w:r>
        <w:continuationSeparator/>
      </w:r>
    </w:p>
  </w:footnote>
  <w:footnote w:type="continuationNotice" w:id="1">
    <w:p w:rsidR="00063BEC" w:rsidRDefault="00063BE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C7737" w:rsidRPr="006C3A1E" w:rsidTr="00D435E1">
      <w:tc>
        <w:tcPr>
          <w:tcW w:w="8720" w:type="dxa"/>
          <w:shd w:val="clear" w:color="auto" w:fill="E4F2E0"/>
        </w:tcPr>
        <w:p w:rsidR="009C7737" w:rsidRPr="006C3A1E" w:rsidRDefault="009C7737" w:rsidP="00D435E1">
          <w:pPr>
            <w:spacing w:before="40" w:after="40"/>
            <w:rPr>
              <w:b/>
            </w:rPr>
          </w:pPr>
          <w:r w:rsidRPr="006C3A1E">
            <w:rPr>
              <w:b/>
            </w:rPr>
            <w:t xml:space="preserve">AusPAR - </w:t>
          </w:r>
          <w:r w:rsidRPr="00FC3560">
            <w:rPr>
              <w:b/>
            </w:rPr>
            <w:t xml:space="preserve">Afluria Quad inactivated </w:t>
          </w:r>
          <w:proofErr w:type="spellStart"/>
          <w:r w:rsidRPr="00FC3560">
            <w:rPr>
              <w:b/>
            </w:rPr>
            <w:t>quadrivalent</w:t>
          </w:r>
          <w:proofErr w:type="spellEnd"/>
          <w:r w:rsidRPr="00FC3560">
            <w:rPr>
              <w:b/>
            </w:rPr>
            <w:t xml:space="preserve"> influenza vaccine </w:t>
          </w:r>
          <w:proofErr w:type="spellStart"/>
          <w:r w:rsidRPr="00FC3560">
            <w:rPr>
              <w:b/>
            </w:rPr>
            <w:t>Seqirus</w:t>
          </w:r>
          <w:proofErr w:type="spellEnd"/>
          <w:r w:rsidRPr="00FC3560">
            <w:rPr>
              <w:b/>
            </w:rPr>
            <w:t xml:space="preserve"> Pty Ltd PM-2015-02796-1-2</w:t>
          </w:r>
          <w:r>
            <w:rPr>
              <w:b/>
            </w:rPr>
            <w:t xml:space="preserve"> </w:t>
          </w:r>
          <w:r w:rsidRPr="00FC3560">
            <w:rPr>
              <w:b/>
            </w:rPr>
            <w:t>Final 20 July 2017</w:t>
          </w:r>
        </w:p>
      </w:tc>
    </w:tr>
  </w:tbl>
  <w:p w:rsidR="009C7737" w:rsidRDefault="009C7737">
    <w:pPr>
      <w:tabs>
        <w:tab w:val="right" w:pos="9356"/>
      </w:tabs>
      <w:spacing w:line="240" w:lineRule="auto"/>
      <w:rPr>
        <w:sz w:val="18"/>
        <w:lang w:val="en-AU"/>
      </w:rPr>
    </w:pPr>
  </w:p>
  <w:p w:rsidR="00AA7FAB" w:rsidRDefault="00AA7FAB">
    <w:pPr>
      <w:tabs>
        <w:tab w:val="right" w:pos="9356"/>
      </w:tabs>
      <w:spacing w:line="240" w:lineRule="auto"/>
      <w:rPr>
        <w:sz w:val="18"/>
        <w:lang w:val="en-AU"/>
      </w:rPr>
    </w:pPr>
    <w:r>
      <w:rPr>
        <w:sz w:val="18"/>
        <w:lang w:val="en-AU"/>
      </w:rPr>
      <w:t>Afluria</w:t>
    </w:r>
    <w:r>
      <w:rPr>
        <w:sz w:val="18"/>
        <w:vertAlign w:val="superscript"/>
        <w:lang w:val="en-AU"/>
      </w:rPr>
      <w:t xml:space="preserve"> </w:t>
    </w:r>
    <w:r>
      <w:rPr>
        <w:sz w:val="18"/>
        <w:lang w:val="en-AU"/>
      </w:rPr>
      <w:t>Quad</w:t>
    </w:r>
    <w:r>
      <w:rPr>
        <w:rFonts w:cs="Arial"/>
        <w:sz w:val="18"/>
        <w:lang w:val="en-AU"/>
      </w:rPr>
      <w:t>™</w:t>
    </w:r>
    <w:r>
      <w:rPr>
        <w:sz w:val="18"/>
        <w:lang w:val="en-AU"/>
      </w:rPr>
      <w:t xml:space="preserve"> vaccine </w:t>
    </w:r>
    <w:r w:rsidR="001F2EBE">
      <w:rPr>
        <w:sz w:val="18"/>
        <w:lang w:val="en-AU"/>
      </w:rPr>
      <w:t xml:space="preserve">2017 </w:t>
    </w:r>
    <w:r>
      <w:rPr>
        <w:sz w:val="18"/>
        <w:lang w:val="en-AU"/>
      </w:rPr>
      <w:t>(AUST R 262428)</w:t>
    </w:r>
    <w:r>
      <w:rPr>
        <w:sz w:val="18"/>
        <w:lang w:val="en-AU"/>
      </w:rPr>
      <w:tab/>
      <w:t>Product Information</w:t>
    </w:r>
  </w:p>
  <w:p w:rsidR="00AA7FAB" w:rsidRPr="00F020A8" w:rsidRDefault="00AA7FAB">
    <w:pPr>
      <w:pStyle w:val="Header"/>
      <w:tabs>
        <w:tab w:val="clear" w:pos="4153"/>
        <w:tab w:val="clear" w:pos="8306"/>
        <w:tab w:val="right" w:pos="9332"/>
      </w:tabs>
      <w:spacing w:line="240" w:lineRule="auto"/>
      <w:rPr>
        <w:rFonts w:ascii="Times New Roman" w:hAnsi="Times New Roman"/>
        <w:sz w:val="18"/>
      </w:rPr>
    </w:pPr>
    <w:r>
      <w:rPr>
        <w:sz w:val="18"/>
      </w:rPr>
      <w:t>0.5 mL and 10 x 0.5 mL presentations</w:t>
    </w:r>
    <w:r>
      <w:rPr>
        <w:sz w:val="18"/>
      </w:rPr>
      <w:tab/>
    </w:r>
  </w:p>
  <w:p w:rsidR="00AA7FAB" w:rsidRDefault="00AA7FAB">
    <w:pPr>
      <w:pStyle w:val="Header"/>
      <w:tabs>
        <w:tab w:val="clear" w:pos="4153"/>
        <w:tab w:val="clear" w:pos="8306"/>
        <w:tab w:val="right" w:pos="9332"/>
      </w:tabs>
      <w:spacing w:line="240" w:lineRule="auto"/>
      <w:rPr>
        <w:rFonts w:ascii="CG Times" w:hAnsi="CG Times"/>
      </w:rPr>
    </w:pPr>
    <w:r>
      <w:rPr>
        <w:noProof/>
        <w:snapToGrid/>
        <w:lang w:val="en-AU" w:eastAsia="en-AU"/>
      </w:rPr>
      <mc:AlternateContent>
        <mc:Choice Requires="wps">
          <w:drawing>
            <wp:anchor distT="0" distB="0" distL="114300" distR="114300" simplePos="0" relativeHeight="251657728" behindDoc="1" locked="1" layoutInCell="0" allowOverlap="1" wp14:anchorId="5769E196" wp14:editId="14002890">
              <wp:simplePos x="0" y="0"/>
              <wp:positionH relativeFrom="page">
                <wp:posOffset>914400</wp:posOffset>
              </wp:positionH>
              <wp:positionV relativeFrom="paragraph">
                <wp:posOffset>13970</wp:posOffset>
              </wp:positionV>
              <wp:extent cx="5947410" cy="12065"/>
              <wp:effectExtent l="0" t="0" r="0"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in;margin-top:1.1pt;width:468.3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U3cgIAAPc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" o:allowincell="f" fillcolor="black" stroked="f" strokeweight="0">
              <w10:wrap anchorx="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65586"/>
    <w:lvl w:ilvl="0">
      <w:start w:val="1"/>
      <w:numFmt w:val="decimal"/>
      <w:lvlText w:val="%1."/>
      <w:lvlJc w:val="left"/>
      <w:pPr>
        <w:tabs>
          <w:tab w:val="num" w:pos="1492"/>
        </w:tabs>
        <w:ind w:left="1492" w:hanging="360"/>
      </w:pPr>
    </w:lvl>
  </w:abstractNum>
  <w:abstractNum w:abstractNumId="1">
    <w:nsid w:val="FFFFFF7D"/>
    <w:multiLevelType w:val="singleLevel"/>
    <w:tmpl w:val="E30A7FFC"/>
    <w:lvl w:ilvl="0">
      <w:start w:val="1"/>
      <w:numFmt w:val="decimal"/>
      <w:lvlText w:val="%1."/>
      <w:lvlJc w:val="left"/>
      <w:pPr>
        <w:tabs>
          <w:tab w:val="num" w:pos="1209"/>
        </w:tabs>
        <w:ind w:left="1209" w:hanging="360"/>
      </w:pPr>
    </w:lvl>
  </w:abstractNum>
  <w:abstractNum w:abstractNumId="2">
    <w:nsid w:val="FFFFFF7E"/>
    <w:multiLevelType w:val="singleLevel"/>
    <w:tmpl w:val="A4561D22"/>
    <w:lvl w:ilvl="0">
      <w:start w:val="1"/>
      <w:numFmt w:val="decimal"/>
      <w:lvlText w:val="%1."/>
      <w:lvlJc w:val="left"/>
      <w:pPr>
        <w:tabs>
          <w:tab w:val="num" w:pos="926"/>
        </w:tabs>
        <w:ind w:left="926" w:hanging="360"/>
      </w:pPr>
    </w:lvl>
  </w:abstractNum>
  <w:abstractNum w:abstractNumId="3">
    <w:nsid w:val="FFFFFF7F"/>
    <w:multiLevelType w:val="singleLevel"/>
    <w:tmpl w:val="30EAFD80"/>
    <w:lvl w:ilvl="0">
      <w:start w:val="1"/>
      <w:numFmt w:val="decimal"/>
      <w:lvlText w:val="%1."/>
      <w:lvlJc w:val="left"/>
      <w:pPr>
        <w:tabs>
          <w:tab w:val="num" w:pos="643"/>
        </w:tabs>
        <w:ind w:left="643" w:hanging="360"/>
      </w:pPr>
    </w:lvl>
  </w:abstractNum>
  <w:abstractNum w:abstractNumId="4">
    <w:nsid w:val="FFFFFF80"/>
    <w:multiLevelType w:val="singleLevel"/>
    <w:tmpl w:val="1ACAFA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6AEC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8600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4807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8C6634"/>
    <w:lvl w:ilvl="0">
      <w:start w:val="1"/>
      <w:numFmt w:val="decimal"/>
      <w:lvlText w:val="%1."/>
      <w:lvlJc w:val="left"/>
      <w:pPr>
        <w:tabs>
          <w:tab w:val="num" w:pos="360"/>
        </w:tabs>
        <w:ind w:left="360" w:hanging="360"/>
      </w:pPr>
    </w:lvl>
  </w:abstractNum>
  <w:abstractNum w:abstractNumId="9">
    <w:nsid w:val="FFFFFF89"/>
    <w:multiLevelType w:val="singleLevel"/>
    <w:tmpl w:val="6A7201D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BBF30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2C1322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32F75CF6"/>
    <w:multiLevelType w:val="hybridMultilevel"/>
    <w:tmpl w:val="1AFC7D3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1944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35663BFF"/>
    <w:multiLevelType w:val="hybridMultilevel"/>
    <w:tmpl w:val="3A86B8B4"/>
    <w:lvl w:ilvl="0" w:tplc="50CC0912">
      <w:start w:val="2"/>
      <w:numFmt w:val="bullet"/>
      <w:lvlText w:val=""/>
      <w:lvlJc w:val="left"/>
      <w:pPr>
        <w:tabs>
          <w:tab w:val="num" w:pos="393"/>
        </w:tabs>
        <w:ind w:left="393" w:hanging="360"/>
      </w:pPr>
      <w:rPr>
        <w:rFonts w:ascii="Symbol" w:eastAsia="Times New Roman" w:hAnsi="Symbol" w:cs="Times New Roman" w:hint="default"/>
      </w:rPr>
    </w:lvl>
    <w:lvl w:ilvl="1" w:tplc="04090003" w:tentative="1">
      <w:start w:val="1"/>
      <w:numFmt w:val="bullet"/>
      <w:lvlText w:val="o"/>
      <w:lvlJc w:val="left"/>
      <w:pPr>
        <w:tabs>
          <w:tab w:val="num" w:pos="1113"/>
        </w:tabs>
        <w:ind w:left="1113" w:hanging="360"/>
      </w:pPr>
      <w:rPr>
        <w:rFonts w:ascii="Courier New" w:hAnsi="Courier New" w:cs="Courier New" w:hint="default"/>
      </w:rPr>
    </w:lvl>
    <w:lvl w:ilvl="2" w:tplc="04090005" w:tentative="1">
      <w:start w:val="1"/>
      <w:numFmt w:val="bullet"/>
      <w:lvlText w:val=""/>
      <w:lvlJc w:val="left"/>
      <w:pPr>
        <w:tabs>
          <w:tab w:val="num" w:pos="1833"/>
        </w:tabs>
        <w:ind w:left="1833" w:hanging="360"/>
      </w:pPr>
      <w:rPr>
        <w:rFonts w:ascii="Wingdings" w:hAnsi="Wingdings" w:hint="default"/>
      </w:rPr>
    </w:lvl>
    <w:lvl w:ilvl="3" w:tplc="04090001" w:tentative="1">
      <w:start w:val="1"/>
      <w:numFmt w:val="bullet"/>
      <w:lvlText w:val=""/>
      <w:lvlJc w:val="left"/>
      <w:pPr>
        <w:tabs>
          <w:tab w:val="num" w:pos="2553"/>
        </w:tabs>
        <w:ind w:left="2553" w:hanging="360"/>
      </w:pPr>
      <w:rPr>
        <w:rFonts w:ascii="Symbol" w:hAnsi="Symbol" w:hint="default"/>
      </w:rPr>
    </w:lvl>
    <w:lvl w:ilvl="4" w:tplc="04090003" w:tentative="1">
      <w:start w:val="1"/>
      <w:numFmt w:val="bullet"/>
      <w:lvlText w:val="o"/>
      <w:lvlJc w:val="left"/>
      <w:pPr>
        <w:tabs>
          <w:tab w:val="num" w:pos="3273"/>
        </w:tabs>
        <w:ind w:left="3273" w:hanging="360"/>
      </w:pPr>
      <w:rPr>
        <w:rFonts w:ascii="Courier New" w:hAnsi="Courier New" w:cs="Courier New" w:hint="default"/>
      </w:rPr>
    </w:lvl>
    <w:lvl w:ilvl="5" w:tplc="04090005" w:tentative="1">
      <w:start w:val="1"/>
      <w:numFmt w:val="bullet"/>
      <w:lvlText w:val=""/>
      <w:lvlJc w:val="left"/>
      <w:pPr>
        <w:tabs>
          <w:tab w:val="num" w:pos="3993"/>
        </w:tabs>
        <w:ind w:left="3993" w:hanging="360"/>
      </w:pPr>
      <w:rPr>
        <w:rFonts w:ascii="Wingdings" w:hAnsi="Wingdings" w:hint="default"/>
      </w:rPr>
    </w:lvl>
    <w:lvl w:ilvl="6" w:tplc="04090001" w:tentative="1">
      <w:start w:val="1"/>
      <w:numFmt w:val="bullet"/>
      <w:lvlText w:val=""/>
      <w:lvlJc w:val="left"/>
      <w:pPr>
        <w:tabs>
          <w:tab w:val="num" w:pos="4713"/>
        </w:tabs>
        <w:ind w:left="4713" w:hanging="360"/>
      </w:pPr>
      <w:rPr>
        <w:rFonts w:ascii="Symbol" w:hAnsi="Symbol" w:hint="default"/>
      </w:rPr>
    </w:lvl>
    <w:lvl w:ilvl="7" w:tplc="04090003" w:tentative="1">
      <w:start w:val="1"/>
      <w:numFmt w:val="bullet"/>
      <w:lvlText w:val="o"/>
      <w:lvlJc w:val="left"/>
      <w:pPr>
        <w:tabs>
          <w:tab w:val="num" w:pos="5433"/>
        </w:tabs>
        <w:ind w:left="5433" w:hanging="360"/>
      </w:pPr>
      <w:rPr>
        <w:rFonts w:ascii="Courier New" w:hAnsi="Courier New" w:cs="Courier New" w:hint="default"/>
      </w:rPr>
    </w:lvl>
    <w:lvl w:ilvl="8" w:tplc="04090005" w:tentative="1">
      <w:start w:val="1"/>
      <w:numFmt w:val="bullet"/>
      <w:lvlText w:val=""/>
      <w:lvlJc w:val="left"/>
      <w:pPr>
        <w:tabs>
          <w:tab w:val="num" w:pos="6153"/>
        </w:tabs>
        <w:ind w:left="6153" w:hanging="360"/>
      </w:pPr>
      <w:rPr>
        <w:rFonts w:ascii="Wingdings" w:hAnsi="Wingdings" w:hint="default"/>
      </w:rPr>
    </w:lvl>
  </w:abstractNum>
  <w:abstractNum w:abstractNumId="16">
    <w:nsid w:val="3F1B2C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416A36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426A1330"/>
    <w:multiLevelType w:val="hybridMultilevel"/>
    <w:tmpl w:val="7D220A96"/>
    <w:lvl w:ilvl="0" w:tplc="8D8CAA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D8347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nsid w:val="5C1727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60B423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6A3A72B8"/>
    <w:multiLevelType w:val="hybridMultilevel"/>
    <w:tmpl w:val="C1149EA6"/>
    <w:lvl w:ilvl="0" w:tplc="0C090001">
      <w:start w:val="1"/>
      <w:numFmt w:val="bullet"/>
      <w:lvlText w:val=""/>
      <w:lvlJc w:val="left"/>
      <w:pPr>
        <w:tabs>
          <w:tab w:val="num" w:pos="1773"/>
        </w:tabs>
        <w:ind w:left="1773" w:hanging="360"/>
      </w:pPr>
      <w:rPr>
        <w:rFonts w:ascii="Symbol" w:hAnsi="Symbol" w:hint="default"/>
      </w:rPr>
    </w:lvl>
    <w:lvl w:ilvl="1" w:tplc="0C090003" w:tentative="1">
      <w:start w:val="1"/>
      <w:numFmt w:val="bullet"/>
      <w:lvlText w:val="o"/>
      <w:lvlJc w:val="left"/>
      <w:pPr>
        <w:tabs>
          <w:tab w:val="num" w:pos="2493"/>
        </w:tabs>
        <w:ind w:left="2493" w:hanging="360"/>
      </w:pPr>
      <w:rPr>
        <w:rFonts w:ascii="Courier New" w:hAnsi="Courier New" w:cs="Courier New" w:hint="default"/>
      </w:rPr>
    </w:lvl>
    <w:lvl w:ilvl="2" w:tplc="0C090005" w:tentative="1">
      <w:start w:val="1"/>
      <w:numFmt w:val="bullet"/>
      <w:lvlText w:val=""/>
      <w:lvlJc w:val="left"/>
      <w:pPr>
        <w:tabs>
          <w:tab w:val="num" w:pos="3213"/>
        </w:tabs>
        <w:ind w:left="3213" w:hanging="360"/>
      </w:pPr>
      <w:rPr>
        <w:rFonts w:ascii="Wingdings" w:hAnsi="Wingdings" w:hint="default"/>
      </w:rPr>
    </w:lvl>
    <w:lvl w:ilvl="3" w:tplc="0C090001" w:tentative="1">
      <w:start w:val="1"/>
      <w:numFmt w:val="bullet"/>
      <w:lvlText w:val=""/>
      <w:lvlJc w:val="left"/>
      <w:pPr>
        <w:tabs>
          <w:tab w:val="num" w:pos="3933"/>
        </w:tabs>
        <w:ind w:left="3933" w:hanging="360"/>
      </w:pPr>
      <w:rPr>
        <w:rFonts w:ascii="Symbol" w:hAnsi="Symbol" w:hint="default"/>
      </w:rPr>
    </w:lvl>
    <w:lvl w:ilvl="4" w:tplc="0C090003" w:tentative="1">
      <w:start w:val="1"/>
      <w:numFmt w:val="bullet"/>
      <w:lvlText w:val="o"/>
      <w:lvlJc w:val="left"/>
      <w:pPr>
        <w:tabs>
          <w:tab w:val="num" w:pos="4653"/>
        </w:tabs>
        <w:ind w:left="4653" w:hanging="360"/>
      </w:pPr>
      <w:rPr>
        <w:rFonts w:ascii="Courier New" w:hAnsi="Courier New" w:cs="Courier New" w:hint="default"/>
      </w:rPr>
    </w:lvl>
    <w:lvl w:ilvl="5" w:tplc="0C090005" w:tentative="1">
      <w:start w:val="1"/>
      <w:numFmt w:val="bullet"/>
      <w:lvlText w:val=""/>
      <w:lvlJc w:val="left"/>
      <w:pPr>
        <w:tabs>
          <w:tab w:val="num" w:pos="5373"/>
        </w:tabs>
        <w:ind w:left="5373" w:hanging="360"/>
      </w:pPr>
      <w:rPr>
        <w:rFonts w:ascii="Wingdings" w:hAnsi="Wingdings" w:hint="default"/>
      </w:rPr>
    </w:lvl>
    <w:lvl w:ilvl="6" w:tplc="0C090001" w:tentative="1">
      <w:start w:val="1"/>
      <w:numFmt w:val="bullet"/>
      <w:lvlText w:val=""/>
      <w:lvlJc w:val="left"/>
      <w:pPr>
        <w:tabs>
          <w:tab w:val="num" w:pos="6093"/>
        </w:tabs>
        <w:ind w:left="6093" w:hanging="360"/>
      </w:pPr>
      <w:rPr>
        <w:rFonts w:ascii="Symbol" w:hAnsi="Symbol" w:hint="default"/>
      </w:rPr>
    </w:lvl>
    <w:lvl w:ilvl="7" w:tplc="0C090003" w:tentative="1">
      <w:start w:val="1"/>
      <w:numFmt w:val="bullet"/>
      <w:lvlText w:val="o"/>
      <w:lvlJc w:val="left"/>
      <w:pPr>
        <w:tabs>
          <w:tab w:val="num" w:pos="6813"/>
        </w:tabs>
        <w:ind w:left="6813" w:hanging="360"/>
      </w:pPr>
      <w:rPr>
        <w:rFonts w:ascii="Courier New" w:hAnsi="Courier New" w:cs="Courier New" w:hint="default"/>
      </w:rPr>
    </w:lvl>
    <w:lvl w:ilvl="8" w:tplc="0C090005" w:tentative="1">
      <w:start w:val="1"/>
      <w:numFmt w:val="bullet"/>
      <w:lvlText w:val=""/>
      <w:lvlJc w:val="left"/>
      <w:pPr>
        <w:tabs>
          <w:tab w:val="num" w:pos="7533"/>
        </w:tabs>
        <w:ind w:left="7533" w:hanging="360"/>
      </w:pPr>
      <w:rPr>
        <w:rFonts w:ascii="Wingdings" w:hAnsi="Wingdings" w:hint="default"/>
      </w:rPr>
    </w:lvl>
  </w:abstractNum>
  <w:abstractNum w:abstractNumId="23">
    <w:nsid w:val="6D1F1152"/>
    <w:multiLevelType w:val="hybridMultilevel"/>
    <w:tmpl w:val="74FA36C8"/>
    <w:lvl w:ilvl="0" w:tplc="E87677DA">
      <w:numFmt w:val="bullet"/>
      <w:lvlText w:val="-"/>
      <w:lvlJc w:val="left"/>
      <w:pPr>
        <w:tabs>
          <w:tab w:val="num" w:pos="990"/>
        </w:tabs>
        <w:ind w:left="990" w:hanging="60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4">
    <w:nsid w:val="706532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1A9204C"/>
    <w:multiLevelType w:val="hybridMultilevel"/>
    <w:tmpl w:val="9720402A"/>
    <w:lvl w:ilvl="0" w:tplc="FF90ED22">
      <w:start w:val="1"/>
      <w:numFmt w:val="bullet"/>
      <w:lvlText w:val=""/>
      <w:lvlJc w:val="left"/>
      <w:pPr>
        <w:tabs>
          <w:tab w:val="num" w:pos="1170"/>
        </w:tabs>
        <w:ind w:left="1170" w:hanging="360"/>
      </w:pPr>
      <w:rPr>
        <w:rFonts w:ascii="Symbol" w:hAnsi="Symbol" w:hint="default"/>
        <w:strike w:val="0"/>
      </w:rPr>
    </w:lvl>
    <w:lvl w:ilvl="1" w:tplc="0C090003" w:tentative="1">
      <w:start w:val="1"/>
      <w:numFmt w:val="bullet"/>
      <w:lvlText w:val="o"/>
      <w:lvlJc w:val="left"/>
      <w:pPr>
        <w:tabs>
          <w:tab w:val="num" w:pos="1890"/>
        </w:tabs>
        <w:ind w:left="1890" w:hanging="360"/>
      </w:pPr>
      <w:rPr>
        <w:rFonts w:ascii="Courier New" w:hAnsi="Courier New" w:cs="Courier New" w:hint="default"/>
      </w:rPr>
    </w:lvl>
    <w:lvl w:ilvl="2" w:tplc="0C090005" w:tentative="1">
      <w:start w:val="1"/>
      <w:numFmt w:val="bullet"/>
      <w:lvlText w:val=""/>
      <w:lvlJc w:val="left"/>
      <w:pPr>
        <w:tabs>
          <w:tab w:val="num" w:pos="2610"/>
        </w:tabs>
        <w:ind w:left="2610" w:hanging="360"/>
      </w:pPr>
      <w:rPr>
        <w:rFonts w:ascii="Wingdings" w:hAnsi="Wingdings" w:hint="default"/>
      </w:rPr>
    </w:lvl>
    <w:lvl w:ilvl="3" w:tplc="0C090001" w:tentative="1">
      <w:start w:val="1"/>
      <w:numFmt w:val="bullet"/>
      <w:lvlText w:val=""/>
      <w:lvlJc w:val="left"/>
      <w:pPr>
        <w:tabs>
          <w:tab w:val="num" w:pos="3330"/>
        </w:tabs>
        <w:ind w:left="3330" w:hanging="360"/>
      </w:pPr>
      <w:rPr>
        <w:rFonts w:ascii="Symbol" w:hAnsi="Symbol" w:hint="default"/>
      </w:rPr>
    </w:lvl>
    <w:lvl w:ilvl="4" w:tplc="0C090003" w:tentative="1">
      <w:start w:val="1"/>
      <w:numFmt w:val="bullet"/>
      <w:lvlText w:val="o"/>
      <w:lvlJc w:val="left"/>
      <w:pPr>
        <w:tabs>
          <w:tab w:val="num" w:pos="4050"/>
        </w:tabs>
        <w:ind w:left="4050" w:hanging="360"/>
      </w:pPr>
      <w:rPr>
        <w:rFonts w:ascii="Courier New" w:hAnsi="Courier New" w:cs="Courier New" w:hint="default"/>
      </w:rPr>
    </w:lvl>
    <w:lvl w:ilvl="5" w:tplc="0C090005" w:tentative="1">
      <w:start w:val="1"/>
      <w:numFmt w:val="bullet"/>
      <w:lvlText w:val=""/>
      <w:lvlJc w:val="left"/>
      <w:pPr>
        <w:tabs>
          <w:tab w:val="num" w:pos="4770"/>
        </w:tabs>
        <w:ind w:left="4770" w:hanging="360"/>
      </w:pPr>
      <w:rPr>
        <w:rFonts w:ascii="Wingdings" w:hAnsi="Wingdings" w:hint="default"/>
      </w:rPr>
    </w:lvl>
    <w:lvl w:ilvl="6" w:tplc="0C090001" w:tentative="1">
      <w:start w:val="1"/>
      <w:numFmt w:val="bullet"/>
      <w:lvlText w:val=""/>
      <w:lvlJc w:val="left"/>
      <w:pPr>
        <w:tabs>
          <w:tab w:val="num" w:pos="5490"/>
        </w:tabs>
        <w:ind w:left="5490" w:hanging="360"/>
      </w:pPr>
      <w:rPr>
        <w:rFonts w:ascii="Symbol" w:hAnsi="Symbol" w:hint="default"/>
      </w:rPr>
    </w:lvl>
    <w:lvl w:ilvl="7" w:tplc="0C090003" w:tentative="1">
      <w:start w:val="1"/>
      <w:numFmt w:val="bullet"/>
      <w:lvlText w:val="o"/>
      <w:lvlJc w:val="left"/>
      <w:pPr>
        <w:tabs>
          <w:tab w:val="num" w:pos="6210"/>
        </w:tabs>
        <w:ind w:left="6210" w:hanging="360"/>
      </w:pPr>
      <w:rPr>
        <w:rFonts w:ascii="Courier New" w:hAnsi="Courier New" w:cs="Courier New" w:hint="default"/>
      </w:rPr>
    </w:lvl>
    <w:lvl w:ilvl="8" w:tplc="0C090005" w:tentative="1">
      <w:start w:val="1"/>
      <w:numFmt w:val="bullet"/>
      <w:lvlText w:val=""/>
      <w:lvlJc w:val="left"/>
      <w:pPr>
        <w:tabs>
          <w:tab w:val="num" w:pos="6930"/>
        </w:tabs>
        <w:ind w:left="6930" w:hanging="360"/>
      </w:pPr>
      <w:rPr>
        <w:rFonts w:ascii="Wingdings" w:hAnsi="Wingdings" w:hint="default"/>
      </w:rPr>
    </w:lvl>
  </w:abstractNum>
  <w:abstractNum w:abstractNumId="26">
    <w:nsid w:val="7E5F516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numFmt w:val="bullet"/>
        <w:lvlText w:val=""/>
        <w:legacy w:legacy="1" w:legacySpace="0" w:legacyIndent="270"/>
        <w:lvlJc w:val="left"/>
        <w:pPr>
          <w:ind w:left="270" w:hanging="270"/>
        </w:pPr>
        <w:rPr>
          <w:rFonts w:ascii="WP MathA" w:hAnsi="WP MathA" w:hint="default"/>
        </w:rPr>
      </w:lvl>
    </w:lvlOverride>
  </w:num>
  <w:num w:numId="2">
    <w:abstractNumId w:val="24"/>
  </w:num>
  <w:num w:numId="3">
    <w:abstractNumId w:val="14"/>
  </w:num>
  <w:num w:numId="4">
    <w:abstractNumId w:val="20"/>
  </w:num>
  <w:num w:numId="5">
    <w:abstractNumId w:val="17"/>
  </w:num>
  <w:num w:numId="6">
    <w:abstractNumId w:val="19"/>
  </w:num>
  <w:num w:numId="7">
    <w:abstractNumId w:val="21"/>
  </w:num>
  <w:num w:numId="8">
    <w:abstractNumId w:val="11"/>
  </w:num>
  <w:num w:numId="9">
    <w:abstractNumId w:val="26"/>
  </w:num>
  <w:num w:numId="10">
    <w:abstractNumId w:val="12"/>
  </w:num>
  <w:num w:numId="11">
    <w:abstractNumId w:val="16"/>
  </w:num>
  <w:num w:numId="12">
    <w:abstractNumId w:val="23"/>
  </w:num>
  <w:num w:numId="13">
    <w:abstractNumId w:val="22"/>
  </w:num>
  <w:num w:numId="14">
    <w:abstractNumId w:val="25"/>
  </w:num>
  <w:num w:numId="15">
    <w:abstractNumId w:val="19"/>
  </w:num>
  <w:num w:numId="16">
    <w:abstractNumId w:val="16"/>
  </w:num>
  <w:num w:numId="17">
    <w:abstractNumId w:val="11"/>
  </w:num>
  <w:num w:numId="18">
    <w:abstractNumId w:val="15"/>
  </w:num>
  <w:num w:numId="19">
    <w:abstractNumId w:val="13"/>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FC"/>
    <w:rsid w:val="00000993"/>
    <w:rsid w:val="00001E41"/>
    <w:rsid w:val="00002DDF"/>
    <w:rsid w:val="000115B6"/>
    <w:rsid w:val="00012CA3"/>
    <w:rsid w:val="000135F0"/>
    <w:rsid w:val="00013DA0"/>
    <w:rsid w:val="00017ACD"/>
    <w:rsid w:val="0002092A"/>
    <w:rsid w:val="00022892"/>
    <w:rsid w:val="00023789"/>
    <w:rsid w:val="0003157B"/>
    <w:rsid w:val="00035019"/>
    <w:rsid w:val="000372C3"/>
    <w:rsid w:val="000444B2"/>
    <w:rsid w:val="00053733"/>
    <w:rsid w:val="00054FBB"/>
    <w:rsid w:val="0005677F"/>
    <w:rsid w:val="000623ED"/>
    <w:rsid w:val="000626B8"/>
    <w:rsid w:val="00063BEC"/>
    <w:rsid w:val="00064EF3"/>
    <w:rsid w:val="000654BA"/>
    <w:rsid w:val="00065ED8"/>
    <w:rsid w:val="00070DB2"/>
    <w:rsid w:val="00072AD4"/>
    <w:rsid w:val="00074482"/>
    <w:rsid w:val="00077280"/>
    <w:rsid w:val="00082F96"/>
    <w:rsid w:val="00083DC3"/>
    <w:rsid w:val="000853E4"/>
    <w:rsid w:val="000859AE"/>
    <w:rsid w:val="000905A2"/>
    <w:rsid w:val="00092627"/>
    <w:rsid w:val="000961FF"/>
    <w:rsid w:val="000964B8"/>
    <w:rsid w:val="000974A3"/>
    <w:rsid w:val="000A3EBA"/>
    <w:rsid w:val="000A444B"/>
    <w:rsid w:val="000A454A"/>
    <w:rsid w:val="000A5CF5"/>
    <w:rsid w:val="000A660A"/>
    <w:rsid w:val="000A6C17"/>
    <w:rsid w:val="000A712A"/>
    <w:rsid w:val="000B0B43"/>
    <w:rsid w:val="000B165D"/>
    <w:rsid w:val="000B2815"/>
    <w:rsid w:val="000B367F"/>
    <w:rsid w:val="000B4131"/>
    <w:rsid w:val="000B53D1"/>
    <w:rsid w:val="000B7417"/>
    <w:rsid w:val="000C05A7"/>
    <w:rsid w:val="000C148F"/>
    <w:rsid w:val="000C1E6C"/>
    <w:rsid w:val="000C32B6"/>
    <w:rsid w:val="000C6477"/>
    <w:rsid w:val="000D1C1D"/>
    <w:rsid w:val="000D2BFC"/>
    <w:rsid w:val="000D3664"/>
    <w:rsid w:val="000D3CAE"/>
    <w:rsid w:val="000E0670"/>
    <w:rsid w:val="000E17A4"/>
    <w:rsid w:val="000E27BB"/>
    <w:rsid w:val="000E33E0"/>
    <w:rsid w:val="000E3CBC"/>
    <w:rsid w:val="000E78AF"/>
    <w:rsid w:val="000E7CA9"/>
    <w:rsid w:val="000E7F64"/>
    <w:rsid w:val="000F1C95"/>
    <w:rsid w:val="000F4544"/>
    <w:rsid w:val="001021CC"/>
    <w:rsid w:val="00107C8F"/>
    <w:rsid w:val="001103F4"/>
    <w:rsid w:val="00110DD6"/>
    <w:rsid w:val="001115D4"/>
    <w:rsid w:val="00112A64"/>
    <w:rsid w:val="0011503F"/>
    <w:rsid w:val="00117FC1"/>
    <w:rsid w:val="0012182D"/>
    <w:rsid w:val="00121979"/>
    <w:rsid w:val="00126AD9"/>
    <w:rsid w:val="00127673"/>
    <w:rsid w:val="00130107"/>
    <w:rsid w:val="0013214D"/>
    <w:rsid w:val="00133542"/>
    <w:rsid w:val="0013600D"/>
    <w:rsid w:val="001406F4"/>
    <w:rsid w:val="00140A91"/>
    <w:rsid w:val="001415F3"/>
    <w:rsid w:val="00142C1E"/>
    <w:rsid w:val="001456EA"/>
    <w:rsid w:val="001508E3"/>
    <w:rsid w:val="00151D24"/>
    <w:rsid w:val="0015349F"/>
    <w:rsid w:val="00154077"/>
    <w:rsid w:val="00156B97"/>
    <w:rsid w:val="00162FBA"/>
    <w:rsid w:val="00163C8B"/>
    <w:rsid w:val="001658F4"/>
    <w:rsid w:val="00166DD5"/>
    <w:rsid w:val="00172DA9"/>
    <w:rsid w:val="0017634C"/>
    <w:rsid w:val="00177C9F"/>
    <w:rsid w:val="00181FB0"/>
    <w:rsid w:val="00182164"/>
    <w:rsid w:val="00182489"/>
    <w:rsid w:val="001832FE"/>
    <w:rsid w:val="00183FC9"/>
    <w:rsid w:val="001847E4"/>
    <w:rsid w:val="0018502A"/>
    <w:rsid w:val="00187193"/>
    <w:rsid w:val="00187733"/>
    <w:rsid w:val="0019040E"/>
    <w:rsid w:val="0019404D"/>
    <w:rsid w:val="001966CB"/>
    <w:rsid w:val="001A7C75"/>
    <w:rsid w:val="001B00ED"/>
    <w:rsid w:val="001B090A"/>
    <w:rsid w:val="001B21F6"/>
    <w:rsid w:val="001B235F"/>
    <w:rsid w:val="001B249F"/>
    <w:rsid w:val="001B3388"/>
    <w:rsid w:val="001B3CF1"/>
    <w:rsid w:val="001B4E76"/>
    <w:rsid w:val="001C07DA"/>
    <w:rsid w:val="001C1E86"/>
    <w:rsid w:val="001C3128"/>
    <w:rsid w:val="001C3771"/>
    <w:rsid w:val="001C3BD2"/>
    <w:rsid w:val="001C41AC"/>
    <w:rsid w:val="001C431C"/>
    <w:rsid w:val="001C7058"/>
    <w:rsid w:val="001D0C7D"/>
    <w:rsid w:val="001D2C10"/>
    <w:rsid w:val="001D2EB2"/>
    <w:rsid w:val="001D5C48"/>
    <w:rsid w:val="001D620B"/>
    <w:rsid w:val="001E464B"/>
    <w:rsid w:val="001F2EBE"/>
    <w:rsid w:val="001F309B"/>
    <w:rsid w:val="001F4EB5"/>
    <w:rsid w:val="001F5E6F"/>
    <w:rsid w:val="001F75CF"/>
    <w:rsid w:val="00201584"/>
    <w:rsid w:val="00201E63"/>
    <w:rsid w:val="0020276A"/>
    <w:rsid w:val="0020337D"/>
    <w:rsid w:val="002033CD"/>
    <w:rsid w:val="00205619"/>
    <w:rsid w:val="00205F69"/>
    <w:rsid w:val="0020694B"/>
    <w:rsid w:val="00206B2B"/>
    <w:rsid w:val="002101DF"/>
    <w:rsid w:val="00210A57"/>
    <w:rsid w:val="00217B9E"/>
    <w:rsid w:val="00220E76"/>
    <w:rsid w:val="0022134A"/>
    <w:rsid w:val="002219CB"/>
    <w:rsid w:val="00224801"/>
    <w:rsid w:val="00224EF1"/>
    <w:rsid w:val="002252FB"/>
    <w:rsid w:val="00230DC9"/>
    <w:rsid w:val="002311AD"/>
    <w:rsid w:val="00234054"/>
    <w:rsid w:val="00235598"/>
    <w:rsid w:val="0023784E"/>
    <w:rsid w:val="0024100C"/>
    <w:rsid w:val="0024355E"/>
    <w:rsid w:val="00247BD0"/>
    <w:rsid w:val="00250BA2"/>
    <w:rsid w:val="00250E01"/>
    <w:rsid w:val="00251116"/>
    <w:rsid w:val="00251A9B"/>
    <w:rsid w:val="00260FC5"/>
    <w:rsid w:val="0026149C"/>
    <w:rsid w:val="00261BF2"/>
    <w:rsid w:val="00261F81"/>
    <w:rsid w:val="002621E5"/>
    <w:rsid w:val="00263F2E"/>
    <w:rsid w:val="0027138E"/>
    <w:rsid w:val="00272A33"/>
    <w:rsid w:val="00273117"/>
    <w:rsid w:val="00273663"/>
    <w:rsid w:val="00274D9A"/>
    <w:rsid w:val="00275810"/>
    <w:rsid w:val="002765CD"/>
    <w:rsid w:val="00276624"/>
    <w:rsid w:val="002778C7"/>
    <w:rsid w:val="002806CD"/>
    <w:rsid w:val="0028186A"/>
    <w:rsid w:val="00282FE1"/>
    <w:rsid w:val="00284DD1"/>
    <w:rsid w:val="00286A23"/>
    <w:rsid w:val="00286E12"/>
    <w:rsid w:val="00290CF1"/>
    <w:rsid w:val="002920D5"/>
    <w:rsid w:val="0029212F"/>
    <w:rsid w:val="002922A4"/>
    <w:rsid w:val="002A3B58"/>
    <w:rsid w:val="002A6132"/>
    <w:rsid w:val="002A6F2F"/>
    <w:rsid w:val="002B1CAE"/>
    <w:rsid w:val="002B39DD"/>
    <w:rsid w:val="002B465F"/>
    <w:rsid w:val="002B4675"/>
    <w:rsid w:val="002B54D3"/>
    <w:rsid w:val="002B6795"/>
    <w:rsid w:val="002B6F4D"/>
    <w:rsid w:val="002C0133"/>
    <w:rsid w:val="002C2D05"/>
    <w:rsid w:val="002C37C8"/>
    <w:rsid w:val="002C4770"/>
    <w:rsid w:val="002C4830"/>
    <w:rsid w:val="002C56FF"/>
    <w:rsid w:val="002C6709"/>
    <w:rsid w:val="002C72AD"/>
    <w:rsid w:val="002C786E"/>
    <w:rsid w:val="002D123A"/>
    <w:rsid w:val="002D1819"/>
    <w:rsid w:val="002D3EE8"/>
    <w:rsid w:val="002D6934"/>
    <w:rsid w:val="002E04F9"/>
    <w:rsid w:val="002E0A15"/>
    <w:rsid w:val="002E0B17"/>
    <w:rsid w:val="002E401E"/>
    <w:rsid w:val="002F0173"/>
    <w:rsid w:val="002F332E"/>
    <w:rsid w:val="00300D93"/>
    <w:rsid w:val="0030111A"/>
    <w:rsid w:val="00304053"/>
    <w:rsid w:val="003053DF"/>
    <w:rsid w:val="00305919"/>
    <w:rsid w:val="00305B2B"/>
    <w:rsid w:val="00305BDA"/>
    <w:rsid w:val="00310004"/>
    <w:rsid w:val="0031027B"/>
    <w:rsid w:val="00310C04"/>
    <w:rsid w:val="00310DD8"/>
    <w:rsid w:val="0031486D"/>
    <w:rsid w:val="00314B34"/>
    <w:rsid w:val="00315B63"/>
    <w:rsid w:val="003206CC"/>
    <w:rsid w:val="0032134C"/>
    <w:rsid w:val="0032299C"/>
    <w:rsid w:val="00324570"/>
    <w:rsid w:val="00324FA0"/>
    <w:rsid w:val="0032507C"/>
    <w:rsid w:val="00325FB9"/>
    <w:rsid w:val="00326338"/>
    <w:rsid w:val="0032685B"/>
    <w:rsid w:val="00327C14"/>
    <w:rsid w:val="003303A7"/>
    <w:rsid w:val="00330E28"/>
    <w:rsid w:val="0033133C"/>
    <w:rsid w:val="00331AB2"/>
    <w:rsid w:val="00332096"/>
    <w:rsid w:val="003360F7"/>
    <w:rsid w:val="00336968"/>
    <w:rsid w:val="00340CFA"/>
    <w:rsid w:val="003420FB"/>
    <w:rsid w:val="003446E1"/>
    <w:rsid w:val="00345369"/>
    <w:rsid w:val="00345B85"/>
    <w:rsid w:val="0035164D"/>
    <w:rsid w:val="00352F62"/>
    <w:rsid w:val="00353EBD"/>
    <w:rsid w:val="0035473B"/>
    <w:rsid w:val="0035575A"/>
    <w:rsid w:val="00363A5E"/>
    <w:rsid w:val="00365FB7"/>
    <w:rsid w:val="003718B5"/>
    <w:rsid w:val="003733E2"/>
    <w:rsid w:val="00374027"/>
    <w:rsid w:val="00377492"/>
    <w:rsid w:val="00377D09"/>
    <w:rsid w:val="003835C1"/>
    <w:rsid w:val="00383D85"/>
    <w:rsid w:val="00384164"/>
    <w:rsid w:val="003855BD"/>
    <w:rsid w:val="00385FE6"/>
    <w:rsid w:val="00387C7B"/>
    <w:rsid w:val="0039061F"/>
    <w:rsid w:val="0039068B"/>
    <w:rsid w:val="003906F9"/>
    <w:rsid w:val="00390B3E"/>
    <w:rsid w:val="003917F9"/>
    <w:rsid w:val="003929AE"/>
    <w:rsid w:val="003A1503"/>
    <w:rsid w:val="003A1725"/>
    <w:rsid w:val="003A21C0"/>
    <w:rsid w:val="003A6135"/>
    <w:rsid w:val="003B01A8"/>
    <w:rsid w:val="003B0327"/>
    <w:rsid w:val="003B0655"/>
    <w:rsid w:val="003B1CA0"/>
    <w:rsid w:val="003B2367"/>
    <w:rsid w:val="003B2BBF"/>
    <w:rsid w:val="003B3CD8"/>
    <w:rsid w:val="003B46EA"/>
    <w:rsid w:val="003C0005"/>
    <w:rsid w:val="003C1B32"/>
    <w:rsid w:val="003C5D4D"/>
    <w:rsid w:val="003D1D40"/>
    <w:rsid w:val="003D3489"/>
    <w:rsid w:val="003D40F7"/>
    <w:rsid w:val="003D6776"/>
    <w:rsid w:val="003D7710"/>
    <w:rsid w:val="003E3783"/>
    <w:rsid w:val="003E45B9"/>
    <w:rsid w:val="003E4686"/>
    <w:rsid w:val="003E4A8E"/>
    <w:rsid w:val="003E64F6"/>
    <w:rsid w:val="003E7497"/>
    <w:rsid w:val="003E7D66"/>
    <w:rsid w:val="003F2EE0"/>
    <w:rsid w:val="003F3172"/>
    <w:rsid w:val="003F5AD2"/>
    <w:rsid w:val="003F6877"/>
    <w:rsid w:val="00400DAA"/>
    <w:rsid w:val="004035A2"/>
    <w:rsid w:val="004038F8"/>
    <w:rsid w:val="004071ED"/>
    <w:rsid w:val="004072E0"/>
    <w:rsid w:val="00407B2B"/>
    <w:rsid w:val="00414BA4"/>
    <w:rsid w:val="0042045F"/>
    <w:rsid w:val="00420823"/>
    <w:rsid w:val="00421198"/>
    <w:rsid w:val="004222C1"/>
    <w:rsid w:val="00423759"/>
    <w:rsid w:val="0042390E"/>
    <w:rsid w:val="00423E66"/>
    <w:rsid w:val="00424BFF"/>
    <w:rsid w:val="00424EF5"/>
    <w:rsid w:val="00427EB5"/>
    <w:rsid w:val="004310FD"/>
    <w:rsid w:val="00431934"/>
    <w:rsid w:val="00434774"/>
    <w:rsid w:val="00434E0D"/>
    <w:rsid w:val="00436549"/>
    <w:rsid w:val="00454880"/>
    <w:rsid w:val="0045522C"/>
    <w:rsid w:val="004574F7"/>
    <w:rsid w:val="00460512"/>
    <w:rsid w:val="00461B6B"/>
    <w:rsid w:val="00462B07"/>
    <w:rsid w:val="00463559"/>
    <w:rsid w:val="00464578"/>
    <w:rsid w:val="00465CF4"/>
    <w:rsid w:val="00470134"/>
    <w:rsid w:val="0047136E"/>
    <w:rsid w:val="00472BED"/>
    <w:rsid w:val="00474E15"/>
    <w:rsid w:val="00474F7D"/>
    <w:rsid w:val="00480420"/>
    <w:rsid w:val="00481337"/>
    <w:rsid w:val="004818B5"/>
    <w:rsid w:val="004836C9"/>
    <w:rsid w:val="00485377"/>
    <w:rsid w:val="004867D3"/>
    <w:rsid w:val="00486DBE"/>
    <w:rsid w:val="00486EEF"/>
    <w:rsid w:val="00487B9A"/>
    <w:rsid w:val="00487E51"/>
    <w:rsid w:val="00491044"/>
    <w:rsid w:val="00491165"/>
    <w:rsid w:val="004915EC"/>
    <w:rsid w:val="00493C67"/>
    <w:rsid w:val="00494590"/>
    <w:rsid w:val="0049521A"/>
    <w:rsid w:val="0049619F"/>
    <w:rsid w:val="00496B46"/>
    <w:rsid w:val="004970CF"/>
    <w:rsid w:val="004A715B"/>
    <w:rsid w:val="004A7C33"/>
    <w:rsid w:val="004A7E84"/>
    <w:rsid w:val="004B0DF4"/>
    <w:rsid w:val="004B2100"/>
    <w:rsid w:val="004B4620"/>
    <w:rsid w:val="004C048E"/>
    <w:rsid w:val="004C26B9"/>
    <w:rsid w:val="004C2FF9"/>
    <w:rsid w:val="004C466E"/>
    <w:rsid w:val="004C5FC3"/>
    <w:rsid w:val="004C6083"/>
    <w:rsid w:val="004D1FAB"/>
    <w:rsid w:val="004D3AD8"/>
    <w:rsid w:val="004D42A1"/>
    <w:rsid w:val="004D4AE3"/>
    <w:rsid w:val="004D7EBF"/>
    <w:rsid w:val="004E0C72"/>
    <w:rsid w:val="004E1A11"/>
    <w:rsid w:val="004E38F1"/>
    <w:rsid w:val="004E3903"/>
    <w:rsid w:val="004E3B7F"/>
    <w:rsid w:val="004E5599"/>
    <w:rsid w:val="004E6054"/>
    <w:rsid w:val="004F016F"/>
    <w:rsid w:val="004F0C89"/>
    <w:rsid w:val="004F1513"/>
    <w:rsid w:val="004F2C01"/>
    <w:rsid w:val="004F2CCA"/>
    <w:rsid w:val="005026C5"/>
    <w:rsid w:val="00503304"/>
    <w:rsid w:val="00504C71"/>
    <w:rsid w:val="0050674F"/>
    <w:rsid w:val="005133B0"/>
    <w:rsid w:val="005140D8"/>
    <w:rsid w:val="00514340"/>
    <w:rsid w:val="005177A6"/>
    <w:rsid w:val="0052083F"/>
    <w:rsid w:val="0052193A"/>
    <w:rsid w:val="00524F27"/>
    <w:rsid w:val="00526B7F"/>
    <w:rsid w:val="00532B57"/>
    <w:rsid w:val="00535453"/>
    <w:rsid w:val="00535C93"/>
    <w:rsid w:val="00535EC9"/>
    <w:rsid w:val="00537718"/>
    <w:rsid w:val="00541A93"/>
    <w:rsid w:val="00542099"/>
    <w:rsid w:val="00544BB2"/>
    <w:rsid w:val="005464C1"/>
    <w:rsid w:val="00550EE6"/>
    <w:rsid w:val="00553D57"/>
    <w:rsid w:val="00553DB7"/>
    <w:rsid w:val="005541FD"/>
    <w:rsid w:val="0055494B"/>
    <w:rsid w:val="00555168"/>
    <w:rsid w:val="005568EC"/>
    <w:rsid w:val="005569C2"/>
    <w:rsid w:val="0055718A"/>
    <w:rsid w:val="00557F5C"/>
    <w:rsid w:val="0056060C"/>
    <w:rsid w:val="005609E2"/>
    <w:rsid w:val="00561F85"/>
    <w:rsid w:val="0056215D"/>
    <w:rsid w:val="00562343"/>
    <w:rsid w:val="005631AA"/>
    <w:rsid w:val="00563608"/>
    <w:rsid w:val="005701D9"/>
    <w:rsid w:val="00571647"/>
    <w:rsid w:val="0057230A"/>
    <w:rsid w:val="00577065"/>
    <w:rsid w:val="005811ED"/>
    <w:rsid w:val="00583E93"/>
    <w:rsid w:val="0058479A"/>
    <w:rsid w:val="00585736"/>
    <w:rsid w:val="005914F6"/>
    <w:rsid w:val="00592199"/>
    <w:rsid w:val="0059425F"/>
    <w:rsid w:val="00597567"/>
    <w:rsid w:val="005A2C40"/>
    <w:rsid w:val="005A4A5D"/>
    <w:rsid w:val="005A63FE"/>
    <w:rsid w:val="005A6478"/>
    <w:rsid w:val="005B0768"/>
    <w:rsid w:val="005B0C4E"/>
    <w:rsid w:val="005B0F04"/>
    <w:rsid w:val="005B1A39"/>
    <w:rsid w:val="005B212D"/>
    <w:rsid w:val="005B4809"/>
    <w:rsid w:val="005C19F8"/>
    <w:rsid w:val="005C5A81"/>
    <w:rsid w:val="005C675C"/>
    <w:rsid w:val="005C6F1B"/>
    <w:rsid w:val="005C735C"/>
    <w:rsid w:val="005D1DA4"/>
    <w:rsid w:val="005D3B74"/>
    <w:rsid w:val="005D3D11"/>
    <w:rsid w:val="005D525D"/>
    <w:rsid w:val="005D5EE2"/>
    <w:rsid w:val="005D723A"/>
    <w:rsid w:val="005E08C3"/>
    <w:rsid w:val="005E09FD"/>
    <w:rsid w:val="005E12BC"/>
    <w:rsid w:val="005E18CA"/>
    <w:rsid w:val="005E30C8"/>
    <w:rsid w:val="005E35FF"/>
    <w:rsid w:val="005E3D57"/>
    <w:rsid w:val="005F2D26"/>
    <w:rsid w:val="005F38C6"/>
    <w:rsid w:val="005F3B1B"/>
    <w:rsid w:val="005F49B1"/>
    <w:rsid w:val="005F5F5F"/>
    <w:rsid w:val="006014ED"/>
    <w:rsid w:val="0060457F"/>
    <w:rsid w:val="00606B15"/>
    <w:rsid w:val="006076DD"/>
    <w:rsid w:val="00607CFE"/>
    <w:rsid w:val="00610795"/>
    <w:rsid w:val="00611329"/>
    <w:rsid w:val="006157E6"/>
    <w:rsid w:val="00615D63"/>
    <w:rsid w:val="006161AC"/>
    <w:rsid w:val="00621F81"/>
    <w:rsid w:val="00624B8F"/>
    <w:rsid w:val="00630E38"/>
    <w:rsid w:val="00631278"/>
    <w:rsid w:val="00631C5F"/>
    <w:rsid w:val="00631F81"/>
    <w:rsid w:val="00634685"/>
    <w:rsid w:val="00637BC2"/>
    <w:rsid w:val="00640CE2"/>
    <w:rsid w:val="00641719"/>
    <w:rsid w:val="00641E11"/>
    <w:rsid w:val="00643DB1"/>
    <w:rsid w:val="00646AD3"/>
    <w:rsid w:val="00650714"/>
    <w:rsid w:val="0065157C"/>
    <w:rsid w:val="00652457"/>
    <w:rsid w:val="00652551"/>
    <w:rsid w:val="0065355F"/>
    <w:rsid w:val="0065663E"/>
    <w:rsid w:val="00661310"/>
    <w:rsid w:val="00661C71"/>
    <w:rsid w:val="00663AF9"/>
    <w:rsid w:val="00663F08"/>
    <w:rsid w:val="00665C37"/>
    <w:rsid w:val="006702B1"/>
    <w:rsid w:val="00672586"/>
    <w:rsid w:val="00672ED6"/>
    <w:rsid w:val="00673C6E"/>
    <w:rsid w:val="00673F8F"/>
    <w:rsid w:val="00676943"/>
    <w:rsid w:val="00677408"/>
    <w:rsid w:val="006779B6"/>
    <w:rsid w:val="00680A8F"/>
    <w:rsid w:val="00682981"/>
    <w:rsid w:val="00684066"/>
    <w:rsid w:val="00687A2A"/>
    <w:rsid w:val="00687A51"/>
    <w:rsid w:val="0069003E"/>
    <w:rsid w:val="00691E3E"/>
    <w:rsid w:val="00692080"/>
    <w:rsid w:val="00694671"/>
    <w:rsid w:val="006946D0"/>
    <w:rsid w:val="00695272"/>
    <w:rsid w:val="0069660D"/>
    <w:rsid w:val="006A0805"/>
    <w:rsid w:val="006A5EC2"/>
    <w:rsid w:val="006A6481"/>
    <w:rsid w:val="006A7FB0"/>
    <w:rsid w:val="006B1503"/>
    <w:rsid w:val="006B6556"/>
    <w:rsid w:val="006B7F0B"/>
    <w:rsid w:val="006C2991"/>
    <w:rsid w:val="006C5797"/>
    <w:rsid w:val="006C631B"/>
    <w:rsid w:val="006C7ED8"/>
    <w:rsid w:val="006D0F75"/>
    <w:rsid w:val="006D131B"/>
    <w:rsid w:val="006D1B5A"/>
    <w:rsid w:val="006D31CC"/>
    <w:rsid w:val="006D7754"/>
    <w:rsid w:val="006E05EE"/>
    <w:rsid w:val="006E1994"/>
    <w:rsid w:val="006E2221"/>
    <w:rsid w:val="006E276D"/>
    <w:rsid w:val="006E2C59"/>
    <w:rsid w:val="006F03FB"/>
    <w:rsid w:val="006F2445"/>
    <w:rsid w:val="006F3AA5"/>
    <w:rsid w:val="00701243"/>
    <w:rsid w:val="007026B3"/>
    <w:rsid w:val="00702FEC"/>
    <w:rsid w:val="0070300F"/>
    <w:rsid w:val="00704CC3"/>
    <w:rsid w:val="00705CF2"/>
    <w:rsid w:val="007112F8"/>
    <w:rsid w:val="007119BC"/>
    <w:rsid w:val="00711D47"/>
    <w:rsid w:val="007144FC"/>
    <w:rsid w:val="00717E14"/>
    <w:rsid w:val="00722162"/>
    <w:rsid w:val="00723BB6"/>
    <w:rsid w:val="007260C8"/>
    <w:rsid w:val="00732435"/>
    <w:rsid w:val="007337C8"/>
    <w:rsid w:val="00733B8B"/>
    <w:rsid w:val="00733BCE"/>
    <w:rsid w:val="0073585E"/>
    <w:rsid w:val="00737092"/>
    <w:rsid w:val="0073730F"/>
    <w:rsid w:val="0074396E"/>
    <w:rsid w:val="0074440B"/>
    <w:rsid w:val="00744ABF"/>
    <w:rsid w:val="00745F16"/>
    <w:rsid w:val="00751FE3"/>
    <w:rsid w:val="00754B39"/>
    <w:rsid w:val="0075575A"/>
    <w:rsid w:val="00761F8A"/>
    <w:rsid w:val="00762BFF"/>
    <w:rsid w:val="007660CC"/>
    <w:rsid w:val="007678E2"/>
    <w:rsid w:val="0077025C"/>
    <w:rsid w:val="00770540"/>
    <w:rsid w:val="007710CF"/>
    <w:rsid w:val="00772389"/>
    <w:rsid w:val="0077520A"/>
    <w:rsid w:val="00775724"/>
    <w:rsid w:val="007843FA"/>
    <w:rsid w:val="007866C4"/>
    <w:rsid w:val="00786EF0"/>
    <w:rsid w:val="00786EFC"/>
    <w:rsid w:val="0078792E"/>
    <w:rsid w:val="00792CDB"/>
    <w:rsid w:val="0079441C"/>
    <w:rsid w:val="00797740"/>
    <w:rsid w:val="007A12E0"/>
    <w:rsid w:val="007A23C7"/>
    <w:rsid w:val="007A32F4"/>
    <w:rsid w:val="007A4521"/>
    <w:rsid w:val="007A76B0"/>
    <w:rsid w:val="007A7FB7"/>
    <w:rsid w:val="007B0FB7"/>
    <w:rsid w:val="007B2F4D"/>
    <w:rsid w:val="007B4AE3"/>
    <w:rsid w:val="007B4C26"/>
    <w:rsid w:val="007B5DB3"/>
    <w:rsid w:val="007B7473"/>
    <w:rsid w:val="007C0B15"/>
    <w:rsid w:val="007C3681"/>
    <w:rsid w:val="007C4389"/>
    <w:rsid w:val="007C6403"/>
    <w:rsid w:val="007D26B2"/>
    <w:rsid w:val="007D39BA"/>
    <w:rsid w:val="007D3FC3"/>
    <w:rsid w:val="007E2C33"/>
    <w:rsid w:val="007E2F9B"/>
    <w:rsid w:val="007E345C"/>
    <w:rsid w:val="007E3B66"/>
    <w:rsid w:val="007E7C31"/>
    <w:rsid w:val="007F011B"/>
    <w:rsid w:val="007F08FA"/>
    <w:rsid w:val="007F0F3D"/>
    <w:rsid w:val="007F30CA"/>
    <w:rsid w:val="007F314A"/>
    <w:rsid w:val="007F400D"/>
    <w:rsid w:val="007F4474"/>
    <w:rsid w:val="007F4557"/>
    <w:rsid w:val="007F7085"/>
    <w:rsid w:val="007F7F48"/>
    <w:rsid w:val="00801133"/>
    <w:rsid w:val="00802129"/>
    <w:rsid w:val="00806348"/>
    <w:rsid w:val="00807253"/>
    <w:rsid w:val="008122C3"/>
    <w:rsid w:val="00815837"/>
    <w:rsid w:val="00816334"/>
    <w:rsid w:val="008179A9"/>
    <w:rsid w:val="008229BC"/>
    <w:rsid w:val="00823BEC"/>
    <w:rsid w:val="008242AE"/>
    <w:rsid w:val="00830F6D"/>
    <w:rsid w:val="008375C1"/>
    <w:rsid w:val="0084015E"/>
    <w:rsid w:val="0084041B"/>
    <w:rsid w:val="008404BB"/>
    <w:rsid w:val="008404EA"/>
    <w:rsid w:val="0084077A"/>
    <w:rsid w:val="00840FE8"/>
    <w:rsid w:val="00842336"/>
    <w:rsid w:val="00842A5B"/>
    <w:rsid w:val="00843404"/>
    <w:rsid w:val="00844CF7"/>
    <w:rsid w:val="00851515"/>
    <w:rsid w:val="00854061"/>
    <w:rsid w:val="00854DE2"/>
    <w:rsid w:val="008557E9"/>
    <w:rsid w:val="008577EB"/>
    <w:rsid w:val="00862CAF"/>
    <w:rsid w:val="008630D2"/>
    <w:rsid w:val="00863A65"/>
    <w:rsid w:val="00872ABF"/>
    <w:rsid w:val="008733EC"/>
    <w:rsid w:val="00873789"/>
    <w:rsid w:val="00874059"/>
    <w:rsid w:val="00875078"/>
    <w:rsid w:val="0087569D"/>
    <w:rsid w:val="00876050"/>
    <w:rsid w:val="00876EE0"/>
    <w:rsid w:val="00880379"/>
    <w:rsid w:val="0088123F"/>
    <w:rsid w:val="00885819"/>
    <w:rsid w:val="00887716"/>
    <w:rsid w:val="00887C04"/>
    <w:rsid w:val="008907FA"/>
    <w:rsid w:val="008923B3"/>
    <w:rsid w:val="00895F2A"/>
    <w:rsid w:val="008978FC"/>
    <w:rsid w:val="008A2839"/>
    <w:rsid w:val="008A7CC6"/>
    <w:rsid w:val="008B2FE2"/>
    <w:rsid w:val="008B3BE1"/>
    <w:rsid w:val="008B4A0A"/>
    <w:rsid w:val="008C0157"/>
    <w:rsid w:val="008C4917"/>
    <w:rsid w:val="008C6019"/>
    <w:rsid w:val="008C6127"/>
    <w:rsid w:val="008D0AAA"/>
    <w:rsid w:val="008D2F52"/>
    <w:rsid w:val="008D34F7"/>
    <w:rsid w:val="008D42C2"/>
    <w:rsid w:val="008D6D85"/>
    <w:rsid w:val="008E7DAE"/>
    <w:rsid w:val="008F23BC"/>
    <w:rsid w:val="008F40F8"/>
    <w:rsid w:val="008F5ED3"/>
    <w:rsid w:val="008F6C79"/>
    <w:rsid w:val="008F73B9"/>
    <w:rsid w:val="00900798"/>
    <w:rsid w:val="00903209"/>
    <w:rsid w:val="009041F1"/>
    <w:rsid w:val="00906373"/>
    <w:rsid w:val="00906E51"/>
    <w:rsid w:val="0091013F"/>
    <w:rsid w:val="009104F6"/>
    <w:rsid w:val="00913345"/>
    <w:rsid w:val="00913D27"/>
    <w:rsid w:val="00915255"/>
    <w:rsid w:val="00916553"/>
    <w:rsid w:val="00916728"/>
    <w:rsid w:val="00917E9B"/>
    <w:rsid w:val="00921481"/>
    <w:rsid w:val="00924C25"/>
    <w:rsid w:val="009251B8"/>
    <w:rsid w:val="0092731A"/>
    <w:rsid w:val="009321A7"/>
    <w:rsid w:val="00932B0B"/>
    <w:rsid w:val="009358C5"/>
    <w:rsid w:val="0094121A"/>
    <w:rsid w:val="00941E05"/>
    <w:rsid w:val="0094501C"/>
    <w:rsid w:val="00947138"/>
    <w:rsid w:val="009530D5"/>
    <w:rsid w:val="009551D7"/>
    <w:rsid w:val="009555D5"/>
    <w:rsid w:val="00960515"/>
    <w:rsid w:val="0096135F"/>
    <w:rsid w:val="009616D4"/>
    <w:rsid w:val="009628B5"/>
    <w:rsid w:val="00962932"/>
    <w:rsid w:val="00963CB5"/>
    <w:rsid w:val="00965E3A"/>
    <w:rsid w:val="0097207A"/>
    <w:rsid w:val="0097449F"/>
    <w:rsid w:val="00975680"/>
    <w:rsid w:val="00975F98"/>
    <w:rsid w:val="00976D03"/>
    <w:rsid w:val="0097710A"/>
    <w:rsid w:val="0098080A"/>
    <w:rsid w:val="00980E71"/>
    <w:rsid w:val="009819EB"/>
    <w:rsid w:val="00984A6D"/>
    <w:rsid w:val="00984B95"/>
    <w:rsid w:val="00985417"/>
    <w:rsid w:val="00985523"/>
    <w:rsid w:val="00985E38"/>
    <w:rsid w:val="00986FBA"/>
    <w:rsid w:val="00987618"/>
    <w:rsid w:val="00987C96"/>
    <w:rsid w:val="0099244D"/>
    <w:rsid w:val="00992493"/>
    <w:rsid w:val="00994500"/>
    <w:rsid w:val="00995CCD"/>
    <w:rsid w:val="00997CFA"/>
    <w:rsid w:val="009A06FE"/>
    <w:rsid w:val="009A0DE5"/>
    <w:rsid w:val="009A3D97"/>
    <w:rsid w:val="009A3E0D"/>
    <w:rsid w:val="009A66EF"/>
    <w:rsid w:val="009A68B6"/>
    <w:rsid w:val="009A6A6C"/>
    <w:rsid w:val="009B0BA3"/>
    <w:rsid w:val="009B2005"/>
    <w:rsid w:val="009B2702"/>
    <w:rsid w:val="009B2CDD"/>
    <w:rsid w:val="009B3760"/>
    <w:rsid w:val="009B40FF"/>
    <w:rsid w:val="009B6BF9"/>
    <w:rsid w:val="009B6C50"/>
    <w:rsid w:val="009B75C7"/>
    <w:rsid w:val="009B76AD"/>
    <w:rsid w:val="009B7861"/>
    <w:rsid w:val="009C0075"/>
    <w:rsid w:val="009C17C2"/>
    <w:rsid w:val="009C3316"/>
    <w:rsid w:val="009C5920"/>
    <w:rsid w:val="009C7737"/>
    <w:rsid w:val="009C78E2"/>
    <w:rsid w:val="009D3BE0"/>
    <w:rsid w:val="009D707E"/>
    <w:rsid w:val="009D7ECE"/>
    <w:rsid w:val="009E1FD4"/>
    <w:rsid w:val="009E46E7"/>
    <w:rsid w:val="009E65A1"/>
    <w:rsid w:val="009E6BF4"/>
    <w:rsid w:val="009F5371"/>
    <w:rsid w:val="00A00D42"/>
    <w:rsid w:val="00A021DA"/>
    <w:rsid w:val="00A02533"/>
    <w:rsid w:val="00A02775"/>
    <w:rsid w:val="00A02F2B"/>
    <w:rsid w:val="00A03DB9"/>
    <w:rsid w:val="00A041BB"/>
    <w:rsid w:val="00A04BDA"/>
    <w:rsid w:val="00A05567"/>
    <w:rsid w:val="00A05FAF"/>
    <w:rsid w:val="00A07046"/>
    <w:rsid w:val="00A079A4"/>
    <w:rsid w:val="00A13E4A"/>
    <w:rsid w:val="00A1562E"/>
    <w:rsid w:val="00A17050"/>
    <w:rsid w:val="00A219B0"/>
    <w:rsid w:val="00A22376"/>
    <w:rsid w:val="00A24C88"/>
    <w:rsid w:val="00A2644B"/>
    <w:rsid w:val="00A26874"/>
    <w:rsid w:val="00A26A6F"/>
    <w:rsid w:val="00A3052D"/>
    <w:rsid w:val="00A348C4"/>
    <w:rsid w:val="00A363BF"/>
    <w:rsid w:val="00A36FCA"/>
    <w:rsid w:val="00A42B34"/>
    <w:rsid w:val="00A43791"/>
    <w:rsid w:val="00A4514D"/>
    <w:rsid w:val="00A4555A"/>
    <w:rsid w:val="00A47778"/>
    <w:rsid w:val="00A50BA4"/>
    <w:rsid w:val="00A50DD3"/>
    <w:rsid w:val="00A51323"/>
    <w:rsid w:val="00A52634"/>
    <w:rsid w:val="00A55007"/>
    <w:rsid w:val="00A561F0"/>
    <w:rsid w:val="00A57CA4"/>
    <w:rsid w:val="00A621A2"/>
    <w:rsid w:val="00A67A3D"/>
    <w:rsid w:val="00A67FE7"/>
    <w:rsid w:val="00A72C5E"/>
    <w:rsid w:val="00A77636"/>
    <w:rsid w:val="00A7766D"/>
    <w:rsid w:val="00A80803"/>
    <w:rsid w:val="00A825C7"/>
    <w:rsid w:val="00A83161"/>
    <w:rsid w:val="00A84B59"/>
    <w:rsid w:val="00A8625C"/>
    <w:rsid w:val="00A86B97"/>
    <w:rsid w:val="00A9027D"/>
    <w:rsid w:val="00A92A7A"/>
    <w:rsid w:val="00AA0959"/>
    <w:rsid w:val="00AA233E"/>
    <w:rsid w:val="00AA46BE"/>
    <w:rsid w:val="00AA507F"/>
    <w:rsid w:val="00AA7FAB"/>
    <w:rsid w:val="00AB357B"/>
    <w:rsid w:val="00AB5FE9"/>
    <w:rsid w:val="00AC2108"/>
    <w:rsid w:val="00AC30C2"/>
    <w:rsid w:val="00AC3F27"/>
    <w:rsid w:val="00AC456E"/>
    <w:rsid w:val="00AC5E22"/>
    <w:rsid w:val="00AC6E73"/>
    <w:rsid w:val="00AD26DA"/>
    <w:rsid w:val="00AD28DA"/>
    <w:rsid w:val="00AD2DF4"/>
    <w:rsid w:val="00AD44DC"/>
    <w:rsid w:val="00AD578F"/>
    <w:rsid w:val="00AD5824"/>
    <w:rsid w:val="00AD71CE"/>
    <w:rsid w:val="00AE59DC"/>
    <w:rsid w:val="00AE5C0E"/>
    <w:rsid w:val="00AE60D7"/>
    <w:rsid w:val="00AE6EA2"/>
    <w:rsid w:val="00AE7000"/>
    <w:rsid w:val="00AE7826"/>
    <w:rsid w:val="00AE7ED9"/>
    <w:rsid w:val="00AF1069"/>
    <w:rsid w:val="00AF32E9"/>
    <w:rsid w:val="00AF3370"/>
    <w:rsid w:val="00AF35FC"/>
    <w:rsid w:val="00AF6479"/>
    <w:rsid w:val="00AF64E3"/>
    <w:rsid w:val="00B04175"/>
    <w:rsid w:val="00B070C3"/>
    <w:rsid w:val="00B11035"/>
    <w:rsid w:val="00B1133D"/>
    <w:rsid w:val="00B135E3"/>
    <w:rsid w:val="00B147E5"/>
    <w:rsid w:val="00B148F5"/>
    <w:rsid w:val="00B14AB2"/>
    <w:rsid w:val="00B17695"/>
    <w:rsid w:val="00B177EF"/>
    <w:rsid w:val="00B20BC0"/>
    <w:rsid w:val="00B20E02"/>
    <w:rsid w:val="00B24901"/>
    <w:rsid w:val="00B2710C"/>
    <w:rsid w:val="00B27A43"/>
    <w:rsid w:val="00B27A8A"/>
    <w:rsid w:val="00B27ACD"/>
    <w:rsid w:val="00B31D69"/>
    <w:rsid w:val="00B32681"/>
    <w:rsid w:val="00B32B4D"/>
    <w:rsid w:val="00B333D3"/>
    <w:rsid w:val="00B347C2"/>
    <w:rsid w:val="00B35FED"/>
    <w:rsid w:val="00B371D5"/>
    <w:rsid w:val="00B443EA"/>
    <w:rsid w:val="00B45CD8"/>
    <w:rsid w:val="00B47EF3"/>
    <w:rsid w:val="00B50679"/>
    <w:rsid w:val="00B5351E"/>
    <w:rsid w:val="00B54097"/>
    <w:rsid w:val="00B5622E"/>
    <w:rsid w:val="00B56BB5"/>
    <w:rsid w:val="00B56FE2"/>
    <w:rsid w:val="00B62987"/>
    <w:rsid w:val="00B641E9"/>
    <w:rsid w:val="00B6441C"/>
    <w:rsid w:val="00B7042C"/>
    <w:rsid w:val="00B71422"/>
    <w:rsid w:val="00B717AE"/>
    <w:rsid w:val="00B738A8"/>
    <w:rsid w:val="00B7497F"/>
    <w:rsid w:val="00B74FBC"/>
    <w:rsid w:val="00B77644"/>
    <w:rsid w:val="00B813F0"/>
    <w:rsid w:val="00B81ECB"/>
    <w:rsid w:val="00B82F53"/>
    <w:rsid w:val="00B83CEE"/>
    <w:rsid w:val="00B853ED"/>
    <w:rsid w:val="00B85FD2"/>
    <w:rsid w:val="00B86012"/>
    <w:rsid w:val="00B863D9"/>
    <w:rsid w:val="00B96071"/>
    <w:rsid w:val="00BA052C"/>
    <w:rsid w:val="00BA0678"/>
    <w:rsid w:val="00BA16FC"/>
    <w:rsid w:val="00BA49F8"/>
    <w:rsid w:val="00BA4AEC"/>
    <w:rsid w:val="00BA596A"/>
    <w:rsid w:val="00BA7410"/>
    <w:rsid w:val="00BB054F"/>
    <w:rsid w:val="00BB17FE"/>
    <w:rsid w:val="00BB21BA"/>
    <w:rsid w:val="00BB34EE"/>
    <w:rsid w:val="00BB4053"/>
    <w:rsid w:val="00BB4367"/>
    <w:rsid w:val="00BB50E7"/>
    <w:rsid w:val="00BB711E"/>
    <w:rsid w:val="00BB7D1C"/>
    <w:rsid w:val="00BC19EE"/>
    <w:rsid w:val="00BC46A0"/>
    <w:rsid w:val="00BC5389"/>
    <w:rsid w:val="00BC6094"/>
    <w:rsid w:val="00BD0339"/>
    <w:rsid w:val="00BD5AF4"/>
    <w:rsid w:val="00BD62A0"/>
    <w:rsid w:val="00BD6E6D"/>
    <w:rsid w:val="00BD7CB4"/>
    <w:rsid w:val="00BE123D"/>
    <w:rsid w:val="00BE2B7F"/>
    <w:rsid w:val="00BE3F6D"/>
    <w:rsid w:val="00BE4543"/>
    <w:rsid w:val="00BE4AFD"/>
    <w:rsid w:val="00BE4C37"/>
    <w:rsid w:val="00BE5225"/>
    <w:rsid w:val="00BE5AE7"/>
    <w:rsid w:val="00BE600E"/>
    <w:rsid w:val="00BE6603"/>
    <w:rsid w:val="00BE6774"/>
    <w:rsid w:val="00BF0678"/>
    <w:rsid w:val="00BF0D4C"/>
    <w:rsid w:val="00BF12B4"/>
    <w:rsid w:val="00BF2939"/>
    <w:rsid w:val="00BF347A"/>
    <w:rsid w:val="00BF3E7C"/>
    <w:rsid w:val="00C014A8"/>
    <w:rsid w:val="00C049C7"/>
    <w:rsid w:val="00C12772"/>
    <w:rsid w:val="00C140C7"/>
    <w:rsid w:val="00C17681"/>
    <w:rsid w:val="00C20084"/>
    <w:rsid w:val="00C2092C"/>
    <w:rsid w:val="00C2312C"/>
    <w:rsid w:val="00C25D84"/>
    <w:rsid w:val="00C34305"/>
    <w:rsid w:val="00C364B5"/>
    <w:rsid w:val="00C36754"/>
    <w:rsid w:val="00C40B89"/>
    <w:rsid w:val="00C417B7"/>
    <w:rsid w:val="00C42C8C"/>
    <w:rsid w:val="00C43DE1"/>
    <w:rsid w:val="00C44C66"/>
    <w:rsid w:val="00C46505"/>
    <w:rsid w:val="00C46AF2"/>
    <w:rsid w:val="00C50E2A"/>
    <w:rsid w:val="00C52895"/>
    <w:rsid w:val="00C543FF"/>
    <w:rsid w:val="00C5670E"/>
    <w:rsid w:val="00C5785D"/>
    <w:rsid w:val="00C61E35"/>
    <w:rsid w:val="00C626FC"/>
    <w:rsid w:val="00C62ABA"/>
    <w:rsid w:val="00C6370E"/>
    <w:rsid w:val="00C64B92"/>
    <w:rsid w:val="00C65CE7"/>
    <w:rsid w:val="00C677FC"/>
    <w:rsid w:val="00C71336"/>
    <w:rsid w:val="00C7507B"/>
    <w:rsid w:val="00C8264D"/>
    <w:rsid w:val="00C87044"/>
    <w:rsid w:val="00C87A9C"/>
    <w:rsid w:val="00C87DB7"/>
    <w:rsid w:val="00C917BB"/>
    <w:rsid w:val="00C91BE5"/>
    <w:rsid w:val="00C91F33"/>
    <w:rsid w:val="00C96E46"/>
    <w:rsid w:val="00CA4DD7"/>
    <w:rsid w:val="00CA7ECA"/>
    <w:rsid w:val="00CB2365"/>
    <w:rsid w:val="00CB2AFA"/>
    <w:rsid w:val="00CB2D35"/>
    <w:rsid w:val="00CB37DE"/>
    <w:rsid w:val="00CB3809"/>
    <w:rsid w:val="00CB5CBA"/>
    <w:rsid w:val="00CB6A7C"/>
    <w:rsid w:val="00CC0CF5"/>
    <w:rsid w:val="00CC1E52"/>
    <w:rsid w:val="00CC227C"/>
    <w:rsid w:val="00CC22EA"/>
    <w:rsid w:val="00CC4596"/>
    <w:rsid w:val="00CC489B"/>
    <w:rsid w:val="00CC50EE"/>
    <w:rsid w:val="00CC6700"/>
    <w:rsid w:val="00CC69E3"/>
    <w:rsid w:val="00CC78B9"/>
    <w:rsid w:val="00CD17C4"/>
    <w:rsid w:val="00CD1CDA"/>
    <w:rsid w:val="00CD28D4"/>
    <w:rsid w:val="00CD409E"/>
    <w:rsid w:val="00CE0D15"/>
    <w:rsid w:val="00CE1DC5"/>
    <w:rsid w:val="00CE1E99"/>
    <w:rsid w:val="00CE3B7E"/>
    <w:rsid w:val="00CE65B6"/>
    <w:rsid w:val="00CE6F75"/>
    <w:rsid w:val="00CE71F9"/>
    <w:rsid w:val="00CF02EF"/>
    <w:rsid w:val="00CF091E"/>
    <w:rsid w:val="00CF643D"/>
    <w:rsid w:val="00CF7CE1"/>
    <w:rsid w:val="00D009FA"/>
    <w:rsid w:val="00D01677"/>
    <w:rsid w:val="00D017A6"/>
    <w:rsid w:val="00D01C51"/>
    <w:rsid w:val="00D01D3E"/>
    <w:rsid w:val="00D01D74"/>
    <w:rsid w:val="00D04C81"/>
    <w:rsid w:val="00D074B2"/>
    <w:rsid w:val="00D12F9C"/>
    <w:rsid w:val="00D15464"/>
    <w:rsid w:val="00D1794A"/>
    <w:rsid w:val="00D20607"/>
    <w:rsid w:val="00D21B69"/>
    <w:rsid w:val="00D22BBF"/>
    <w:rsid w:val="00D22D67"/>
    <w:rsid w:val="00D2664E"/>
    <w:rsid w:val="00D31E2C"/>
    <w:rsid w:val="00D34DBB"/>
    <w:rsid w:val="00D35A3C"/>
    <w:rsid w:val="00D375A9"/>
    <w:rsid w:val="00D375BB"/>
    <w:rsid w:val="00D426AF"/>
    <w:rsid w:val="00D42F98"/>
    <w:rsid w:val="00D435D0"/>
    <w:rsid w:val="00D4377F"/>
    <w:rsid w:val="00D43F75"/>
    <w:rsid w:val="00D446BE"/>
    <w:rsid w:val="00D44C7F"/>
    <w:rsid w:val="00D44FDD"/>
    <w:rsid w:val="00D45494"/>
    <w:rsid w:val="00D46842"/>
    <w:rsid w:val="00D47B91"/>
    <w:rsid w:val="00D47ED9"/>
    <w:rsid w:val="00D508D9"/>
    <w:rsid w:val="00D5282B"/>
    <w:rsid w:val="00D54CA8"/>
    <w:rsid w:val="00D6037F"/>
    <w:rsid w:val="00D628D3"/>
    <w:rsid w:val="00D62F14"/>
    <w:rsid w:val="00D64445"/>
    <w:rsid w:val="00D648A2"/>
    <w:rsid w:val="00D66245"/>
    <w:rsid w:val="00D66D77"/>
    <w:rsid w:val="00D70CE0"/>
    <w:rsid w:val="00D768F1"/>
    <w:rsid w:val="00D771E4"/>
    <w:rsid w:val="00D811E1"/>
    <w:rsid w:val="00D879B6"/>
    <w:rsid w:val="00D913FB"/>
    <w:rsid w:val="00D929EB"/>
    <w:rsid w:val="00D95871"/>
    <w:rsid w:val="00D97592"/>
    <w:rsid w:val="00D97EBA"/>
    <w:rsid w:val="00DA3004"/>
    <w:rsid w:val="00DA3230"/>
    <w:rsid w:val="00DA4136"/>
    <w:rsid w:val="00DA518B"/>
    <w:rsid w:val="00DA68CD"/>
    <w:rsid w:val="00DB3A9D"/>
    <w:rsid w:val="00DC0C0E"/>
    <w:rsid w:val="00DC1371"/>
    <w:rsid w:val="00DC3930"/>
    <w:rsid w:val="00DC399E"/>
    <w:rsid w:val="00DC4CEE"/>
    <w:rsid w:val="00DC5BCD"/>
    <w:rsid w:val="00DD0799"/>
    <w:rsid w:val="00DD4E0C"/>
    <w:rsid w:val="00DD66B6"/>
    <w:rsid w:val="00DE01FD"/>
    <w:rsid w:val="00DE1D61"/>
    <w:rsid w:val="00DE2254"/>
    <w:rsid w:val="00DE2288"/>
    <w:rsid w:val="00DE31FB"/>
    <w:rsid w:val="00DE47C7"/>
    <w:rsid w:val="00DE5100"/>
    <w:rsid w:val="00DE5EB3"/>
    <w:rsid w:val="00DE7C66"/>
    <w:rsid w:val="00DF2E68"/>
    <w:rsid w:val="00DF335A"/>
    <w:rsid w:val="00DF426F"/>
    <w:rsid w:val="00DF4966"/>
    <w:rsid w:val="00E0227F"/>
    <w:rsid w:val="00E0466E"/>
    <w:rsid w:val="00E04B1D"/>
    <w:rsid w:val="00E06EC5"/>
    <w:rsid w:val="00E07661"/>
    <w:rsid w:val="00E11562"/>
    <w:rsid w:val="00E11EA3"/>
    <w:rsid w:val="00E13BB2"/>
    <w:rsid w:val="00E237B7"/>
    <w:rsid w:val="00E2499D"/>
    <w:rsid w:val="00E24E8F"/>
    <w:rsid w:val="00E26DB9"/>
    <w:rsid w:val="00E2790A"/>
    <w:rsid w:val="00E30BD6"/>
    <w:rsid w:val="00E31AD5"/>
    <w:rsid w:val="00E37192"/>
    <w:rsid w:val="00E403BB"/>
    <w:rsid w:val="00E43ADC"/>
    <w:rsid w:val="00E5459E"/>
    <w:rsid w:val="00E5548A"/>
    <w:rsid w:val="00E55CFD"/>
    <w:rsid w:val="00E567F2"/>
    <w:rsid w:val="00E601CA"/>
    <w:rsid w:val="00E601D6"/>
    <w:rsid w:val="00E61584"/>
    <w:rsid w:val="00E6296A"/>
    <w:rsid w:val="00E62C4E"/>
    <w:rsid w:val="00E634FF"/>
    <w:rsid w:val="00E63597"/>
    <w:rsid w:val="00E6360E"/>
    <w:rsid w:val="00E6395F"/>
    <w:rsid w:val="00E719FD"/>
    <w:rsid w:val="00E73D2F"/>
    <w:rsid w:val="00E7407B"/>
    <w:rsid w:val="00E77F75"/>
    <w:rsid w:val="00E8098B"/>
    <w:rsid w:val="00E82D5B"/>
    <w:rsid w:val="00E8682E"/>
    <w:rsid w:val="00E9191F"/>
    <w:rsid w:val="00E91DDC"/>
    <w:rsid w:val="00E92330"/>
    <w:rsid w:val="00E95284"/>
    <w:rsid w:val="00E95B82"/>
    <w:rsid w:val="00EA0E34"/>
    <w:rsid w:val="00EA316C"/>
    <w:rsid w:val="00EA44DC"/>
    <w:rsid w:val="00EA5290"/>
    <w:rsid w:val="00EA6FF0"/>
    <w:rsid w:val="00EA7012"/>
    <w:rsid w:val="00EA7082"/>
    <w:rsid w:val="00EA7E7D"/>
    <w:rsid w:val="00EB0210"/>
    <w:rsid w:val="00EB360D"/>
    <w:rsid w:val="00EB4CDE"/>
    <w:rsid w:val="00EB5832"/>
    <w:rsid w:val="00EB6422"/>
    <w:rsid w:val="00EB744A"/>
    <w:rsid w:val="00EC26A5"/>
    <w:rsid w:val="00EC4C2C"/>
    <w:rsid w:val="00EC5963"/>
    <w:rsid w:val="00EC6379"/>
    <w:rsid w:val="00EC6DFB"/>
    <w:rsid w:val="00ED04E0"/>
    <w:rsid w:val="00ED1097"/>
    <w:rsid w:val="00EE11BB"/>
    <w:rsid w:val="00EE304D"/>
    <w:rsid w:val="00EE546F"/>
    <w:rsid w:val="00EE5B95"/>
    <w:rsid w:val="00EF022C"/>
    <w:rsid w:val="00EF36FD"/>
    <w:rsid w:val="00EF3D6C"/>
    <w:rsid w:val="00EF4918"/>
    <w:rsid w:val="00EF5AAF"/>
    <w:rsid w:val="00F0010B"/>
    <w:rsid w:val="00F020A8"/>
    <w:rsid w:val="00F02197"/>
    <w:rsid w:val="00F02445"/>
    <w:rsid w:val="00F0299B"/>
    <w:rsid w:val="00F033F9"/>
    <w:rsid w:val="00F035AA"/>
    <w:rsid w:val="00F03BAC"/>
    <w:rsid w:val="00F03F6E"/>
    <w:rsid w:val="00F04800"/>
    <w:rsid w:val="00F05096"/>
    <w:rsid w:val="00F109DC"/>
    <w:rsid w:val="00F115AF"/>
    <w:rsid w:val="00F12C58"/>
    <w:rsid w:val="00F1683B"/>
    <w:rsid w:val="00F16C99"/>
    <w:rsid w:val="00F17054"/>
    <w:rsid w:val="00F22163"/>
    <w:rsid w:val="00F2216A"/>
    <w:rsid w:val="00F22A17"/>
    <w:rsid w:val="00F241FB"/>
    <w:rsid w:val="00F25AFD"/>
    <w:rsid w:val="00F2646B"/>
    <w:rsid w:val="00F26607"/>
    <w:rsid w:val="00F36803"/>
    <w:rsid w:val="00F3750E"/>
    <w:rsid w:val="00F41892"/>
    <w:rsid w:val="00F41D86"/>
    <w:rsid w:val="00F43C43"/>
    <w:rsid w:val="00F446DF"/>
    <w:rsid w:val="00F44D76"/>
    <w:rsid w:val="00F4522D"/>
    <w:rsid w:val="00F45470"/>
    <w:rsid w:val="00F45607"/>
    <w:rsid w:val="00F47C38"/>
    <w:rsid w:val="00F47D73"/>
    <w:rsid w:val="00F50147"/>
    <w:rsid w:val="00F51015"/>
    <w:rsid w:val="00F51667"/>
    <w:rsid w:val="00F5337F"/>
    <w:rsid w:val="00F54CB2"/>
    <w:rsid w:val="00F55A88"/>
    <w:rsid w:val="00F61F33"/>
    <w:rsid w:val="00F64885"/>
    <w:rsid w:val="00F65AE6"/>
    <w:rsid w:val="00F6730A"/>
    <w:rsid w:val="00F706C0"/>
    <w:rsid w:val="00F74F0F"/>
    <w:rsid w:val="00F75CF9"/>
    <w:rsid w:val="00F7625F"/>
    <w:rsid w:val="00F83B3F"/>
    <w:rsid w:val="00F8484E"/>
    <w:rsid w:val="00F84F56"/>
    <w:rsid w:val="00F9034B"/>
    <w:rsid w:val="00F9679C"/>
    <w:rsid w:val="00F97B50"/>
    <w:rsid w:val="00FA0B2E"/>
    <w:rsid w:val="00FA0DBD"/>
    <w:rsid w:val="00FA1C75"/>
    <w:rsid w:val="00FA1E1E"/>
    <w:rsid w:val="00FA458A"/>
    <w:rsid w:val="00FA612F"/>
    <w:rsid w:val="00FA6938"/>
    <w:rsid w:val="00FA6FA1"/>
    <w:rsid w:val="00FA7706"/>
    <w:rsid w:val="00FB3867"/>
    <w:rsid w:val="00FC136B"/>
    <w:rsid w:val="00FC139F"/>
    <w:rsid w:val="00FC33AF"/>
    <w:rsid w:val="00FC376F"/>
    <w:rsid w:val="00FC3A2F"/>
    <w:rsid w:val="00FC4BB0"/>
    <w:rsid w:val="00FC6462"/>
    <w:rsid w:val="00FC7194"/>
    <w:rsid w:val="00FD06EC"/>
    <w:rsid w:val="00FD0E2C"/>
    <w:rsid w:val="00FD1ED8"/>
    <w:rsid w:val="00FD292B"/>
    <w:rsid w:val="00FD2D5F"/>
    <w:rsid w:val="00FD504A"/>
    <w:rsid w:val="00FD5748"/>
    <w:rsid w:val="00FE05A8"/>
    <w:rsid w:val="00FE0977"/>
    <w:rsid w:val="00FE1B6E"/>
    <w:rsid w:val="00FE3515"/>
    <w:rsid w:val="00FE365B"/>
    <w:rsid w:val="00FE6BAC"/>
    <w:rsid w:val="00FE6EED"/>
    <w:rsid w:val="00FF1CCD"/>
    <w:rsid w:val="00FF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1FF"/>
    <w:pPr>
      <w:widowControl w:val="0"/>
      <w:spacing w:line="360" w:lineRule="auto"/>
      <w:jc w:val="both"/>
    </w:pPr>
    <w:rPr>
      <w:rFonts w:ascii="Arial" w:hAnsi="Arial"/>
      <w:snapToGrid w:val="0"/>
      <w:lang w:val="en-US" w:eastAsia="en-US"/>
    </w:rPr>
  </w:style>
  <w:style w:type="paragraph" w:styleId="Heading1">
    <w:name w:val="heading 1"/>
    <w:basedOn w:val="Heading4"/>
    <w:next w:val="Normal"/>
    <w:qFormat/>
    <w:rsid w:val="000961FF"/>
    <w:pPr>
      <w:spacing w:line="360" w:lineRule="auto"/>
      <w:outlineLvl w:val="0"/>
    </w:pPr>
  </w:style>
  <w:style w:type="paragraph" w:styleId="Heading2">
    <w:name w:val="heading 2"/>
    <w:basedOn w:val="Normal"/>
    <w:next w:val="Normal"/>
    <w:qFormat/>
    <w:rsid w:val="000961FF"/>
    <w:pPr>
      <w:outlineLvl w:val="1"/>
    </w:pPr>
    <w:rPr>
      <w:b/>
      <w:lang w:val="en-AU"/>
    </w:rPr>
  </w:style>
  <w:style w:type="paragraph" w:styleId="Heading3">
    <w:name w:val="heading 3"/>
    <w:basedOn w:val="Normal"/>
    <w:next w:val="Normal"/>
    <w:qFormat/>
    <w:rsid w:val="00F6730A"/>
    <w:pPr>
      <w:keepNext/>
      <w:spacing w:line="240" w:lineRule="auto"/>
      <w:outlineLvl w:val="2"/>
    </w:pPr>
    <w:rPr>
      <w:rFonts w:ascii="Times New Roman" w:hAnsi="Times New Roman"/>
      <w:sz w:val="18"/>
      <w:lang w:val="en-AU"/>
    </w:rPr>
  </w:style>
  <w:style w:type="paragraph" w:styleId="Heading4">
    <w:name w:val="heading 4"/>
    <w:basedOn w:val="Normal"/>
    <w:next w:val="Normal"/>
    <w:qFormat/>
    <w:rsid w:val="00F6730A"/>
    <w:pPr>
      <w:keepNext/>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outlineLvl w:val="3"/>
    </w:pPr>
    <w:rPr>
      <w:b/>
      <w:cap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730A"/>
  </w:style>
  <w:style w:type="paragraph" w:customStyle="1" w:styleId="a">
    <w:name w:val="_"/>
    <w:basedOn w:val="Normal"/>
    <w:rsid w:val="00F6730A"/>
    <w:pPr>
      <w:ind w:left="270" w:hanging="270"/>
    </w:pPr>
  </w:style>
  <w:style w:type="paragraph" w:styleId="Header">
    <w:name w:val="header"/>
    <w:basedOn w:val="Normal"/>
    <w:link w:val="HeaderChar"/>
    <w:rsid w:val="00F6730A"/>
    <w:pPr>
      <w:tabs>
        <w:tab w:val="center" w:pos="4153"/>
        <w:tab w:val="right" w:pos="8306"/>
      </w:tabs>
    </w:pPr>
  </w:style>
  <w:style w:type="paragraph" w:styleId="Footer">
    <w:name w:val="footer"/>
    <w:basedOn w:val="Normal"/>
    <w:link w:val="FooterChar"/>
    <w:uiPriority w:val="99"/>
    <w:rsid w:val="00F6730A"/>
    <w:pPr>
      <w:tabs>
        <w:tab w:val="center" w:pos="4153"/>
        <w:tab w:val="right" w:pos="8306"/>
      </w:tabs>
    </w:pPr>
  </w:style>
  <w:style w:type="paragraph" w:styleId="DocumentMap">
    <w:name w:val="Document Map"/>
    <w:basedOn w:val="Normal"/>
    <w:semiHidden/>
    <w:rsid w:val="00F6730A"/>
    <w:pPr>
      <w:shd w:val="clear" w:color="auto" w:fill="000080"/>
    </w:pPr>
    <w:rPr>
      <w:rFonts w:ascii="Tahoma" w:hAnsi="Tahoma"/>
    </w:rPr>
  </w:style>
  <w:style w:type="paragraph" w:styleId="BodyText">
    <w:name w:val="Body Text"/>
    <w:basedOn w:val="Normal"/>
    <w:link w:val="BodyTextChar"/>
    <w:rsid w:val="00F6730A"/>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pPr>
    <w:rPr>
      <w:lang w:val="en-AU"/>
    </w:rPr>
  </w:style>
  <w:style w:type="character" w:styleId="CommentReference">
    <w:name w:val="annotation reference"/>
    <w:basedOn w:val="DefaultParagraphFont"/>
    <w:uiPriority w:val="99"/>
    <w:rsid w:val="00F6730A"/>
    <w:rPr>
      <w:sz w:val="16"/>
    </w:rPr>
  </w:style>
  <w:style w:type="paragraph" w:styleId="CommentText">
    <w:name w:val="annotation text"/>
    <w:basedOn w:val="Normal"/>
    <w:link w:val="CommentTextChar"/>
    <w:uiPriority w:val="99"/>
    <w:rsid w:val="00F6730A"/>
  </w:style>
  <w:style w:type="paragraph" w:styleId="BodyText2">
    <w:name w:val="Body Text 2"/>
    <w:basedOn w:val="Normal"/>
    <w:rsid w:val="00F6730A"/>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pPr>
    <w:rPr>
      <w:u w:val="single"/>
      <w:lang w:val="en-AU"/>
    </w:rPr>
  </w:style>
  <w:style w:type="character" w:styleId="PageNumber">
    <w:name w:val="page number"/>
    <w:basedOn w:val="DefaultParagraphFont"/>
    <w:rsid w:val="00F6730A"/>
  </w:style>
  <w:style w:type="paragraph" w:styleId="BalloonText">
    <w:name w:val="Balloon Text"/>
    <w:basedOn w:val="Normal"/>
    <w:semiHidden/>
    <w:rsid w:val="00C626FC"/>
    <w:rPr>
      <w:rFonts w:ascii="Tahoma" w:hAnsi="Tahoma"/>
      <w:sz w:val="16"/>
      <w:szCs w:val="16"/>
    </w:rPr>
  </w:style>
  <w:style w:type="paragraph" w:styleId="CommentSubject">
    <w:name w:val="annotation subject"/>
    <w:basedOn w:val="CommentText"/>
    <w:next w:val="CommentText"/>
    <w:semiHidden/>
    <w:rsid w:val="005F38C6"/>
    <w:rPr>
      <w:b/>
      <w:bCs/>
    </w:rPr>
  </w:style>
  <w:style w:type="table" w:customStyle="1" w:styleId="TableGrid1">
    <w:name w:val="Table Grid1"/>
    <w:basedOn w:val="TableNormal"/>
    <w:next w:val="TableGrid"/>
    <w:rsid w:val="0013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0107"/>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222C1"/>
    <w:rPr>
      <w:rFonts w:ascii="Arial" w:hAnsi="Arial"/>
      <w:snapToGrid w:val="0"/>
      <w:lang w:val="en-US" w:eastAsia="en-US"/>
    </w:rPr>
  </w:style>
  <w:style w:type="character" w:customStyle="1" w:styleId="BodyTextChar">
    <w:name w:val="Body Text Char"/>
    <w:basedOn w:val="DefaultParagraphFont"/>
    <w:link w:val="BodyText"/>
    <w:rsid w:val="00F8484E"/>
    <w:rPr>
      <w:rFonts w:ascii="Arial" w:hAnsi="Arial"/>
      <w:snapToGrid w:val="0"/>
      <w:lang w:eastAsia="en-US"/>
    </w:rPr>
  </w:style>
  <w:style w:type="character" w:customStyle="1" w:styleId="CommentTextChar">
    <w:name w:val="Comment Text Char"/>
    <w:basedOn w:val="DefaultParagraphFont"/>
    <w:link w:val="CommentText"/>
    <w:uiPriority w:val="99"/>
    <w:rsid w:val="00DE47C7"/>
    <w:rPr>
      <w:rFonts w:ascii="Arial" w:hAnsi="Arial"/>
      <w:snapToGrid w:val="0"/>
      <w:lang w:val="en-US" w:eastAsia="en-US"/>
    </w:rPr>
  </w:style>
  <w:style w:type="character" w:customStyle="1" w:styleId="FooterChar">
    <w:name w:val="Footer Char"/>
    <w:basedOn w:val="DefaultParagraphFont"/>
    <w:link w:val="Footer"/>
    <w:uiPriority w:val="99"/>
    <w:rsid w:val="00205619"/>
    <w:rPr>
      <w:rFonts w:ascii="Arial" w:hAnsi="Arial"/>
      <w:snapToGrid w:val="0"/>
      <w:lang w:val="en-US" w:eastAsia="en-US"/>
    </w:rPr>
  </w:style>
  <w:style w:type="paragraph" w:styleId="Revision">
    <w:name w:val="Revision"/>
    <w:hidden/>
    <w:uiPriority w:val="99"/>
    <w:semiHidden/>
    <w:rsid w:val="00E31AD5"/>
    <w:rPr>
      <w:rFonts w:ascii="Arial" w:hAnsi="Arial"/>
      <w:snapToGrid w:val="0"/>
      <w:lang w:val="en-US" w:eastAsia="en-US"/>
    </w:rPr>
  </w:style>
  <w:style w:type="table" w:customStyle="1" w:styleId="TableGrid2">
    <w:name w:val="Table Grid2"/>
    <w:basedOn w:val="TableNormal"/>
    <w:next w:val="TableGrid"/>
    <w:uiPriority w:val="99"/>
    <w:rsid w:val="00A72C5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wcp_Caption,Légende_Legend,Legend_Légende"/>
    <w:next w:val="Normal"/>
    <w:qFormat/>
    <w:rsid w:val="00542099"/>
    <w:pPr>
      <w:keepNext/>
      <w:spacing w:before="120" w:after="120" w:line="280" w:lineRule="atLeast"/>
      <w:ind w:left="1440" w:hanging="1440"/>
    </w:pPr>
    <w:rPr>
      <w:b/>
      <w:bCs/>
      <w:sz w:val="22"/>
      <w:szCs w:val="24"/>
      <w:lang w:val="en-US" w:eastAsia="en-US"/>
    </w:rPr>
  </w:style>
  <w:style w:type="paragraph" w:styleId="ListParagraph">
    <w:name w:val="List Paragraph"/>
    <w:basedOn w:val="Normal"/>
    <w:uiPriority w:val="34"/>
    <w:qFormat/>
    <w:rsid w:val="009628B5"/>
    <w:pPr>
      <w:ind w:left="720"/>
      <w:contextualSpacing/>
    </w:pPr>
  </w:style>
  <w:style w:type="paragraph" w:styleId="Title">
    <w:name w:val="Title"/>
    <w:basedOn w:val="Normal"/>
    <w:next w:val="Normal"/>
    <w:link w:val="TitleChar"/>
    <w:qFormat/>
    <w:rsid w:val="000961FF"/>
    <w:pPr>
      <w:outlineLvl w:val="0"/>
    </w:pPr>
    <w:rPr>
      <w:rFonts w:cs="Arial"/>
      <w:b/>
      <w:sz w:val="48"/>
      <w:lang w:val="en-AU"/>
    </w:rPr>
  </w:style>
  <w:style w:type="character" w:customStyle="1" w:styleId="TitleChar">
    <w:name w:val="Title Char"/>
    <w:basedOn w:val="DefaultParagraphFont"/>
    <w:link w:val="Title"/>
    <w:rsid w:val="000961FF"/>
    <w:rPr>
      <w:rFonts w:ascii="Arial" w:hAnsi="Arial" w:cs="Arial"/>
      <w:b/>
      <w:snapToGrid w:val="0"/>
      <w:sz w:val="4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1FF"/>
    <w:pPr>
      <w:widowControl w:val="0"/>
      <w:spacing w:line="360" w:lineRule="auto"/>
      <w:jc w:val="both"/>
    </w:pPr>
    <w:rPr>
      <w:rFonts w:ascii="Arial" w:hAnsi="Arial"/>
      <w:snapToGrid w:val="0"/>
      <w:lang w:val="en-US" w:eastAsia="en-US"/>
    </w:rPr>
  </w:style>
  <w:style w:type="paragraph" w:styleId="Heading1">
    <w:name w:val="heading 1"/>
    <w:basedOn w:val="Heading4"/>
    <w:next w:val="Normal"/>
    <w:qFormat/>
    <w:rsid w:val="000961FF"/>
    <w:pPr>
      <w:spacing w:line="360" w:lineRule="auto"/>
      <w:outlineLvl w:val="0"/>
    </w:pPr>
  </w:style>
  <w:style w:type="paragraph" w:styleId="Heading2">
    <w:name w:val="heading 2"/>
    <w:basedOn w:val="Normal"/>
    <w:next w:val="Normal"/>
    <w:qFormat/>
    <w:rsid w:val="000961FF"/>
    <w:pPr>
      <w:outlineLvl w:val="1"/>
    </w:pPr>
    <w:rPr>
      <w:b/>
      <w:lang w:val="en-AU"/>
    </w:rPr>
  </w:style>
  <w:style w:type="paragraph" w:styleId="Heading3">
    <w:name w:val="heading 3"/>
    <w:basedOn w:val="Normal"/>
    <w:next w:val="Normal"/>
    <w:qFormat/>
    <w:rsid w:val="00F6730A"/>
    <w:pPr>
      <w:keepNext/>
      <w:spacing w:line="240" w:lineRule="auto"/>
      <w:outlineLvl w:val="2"/>
    </w:pPr>
    <w:rPr>
      <w:rFonts w:ascii="Times New Roman" w:hAnsi="Times New Roman"/>
      <w:sz w:val="18"/>
      <w:lang w:val="en-AU"/>
    </w:rPr>
  </w:style>
  <w:style w:type="paragraph" w:styleId="Heading4">
    <w:name w:val="heading 4"/>
    <w:basedOn w:val="Normal"/>
    <w:next w:val="Normal"/>
    <w:qFormat/>
    <w:rsid w:val="00F6730A"/>
    <w:pPr>
      <w:keepNext/>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outlineLvl w:val="3"/>
    </w:pPr>
    <w:rPr>
      <w:b/>
      <w:cap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730A"/>
  </w:style>
  <w:style w:type="paragraph" w:customStyle="1" w:styleId="a">
    <w:name w:val="_"/>
    <w:basedOn w:val="Normal"/>
    <w:rsid w:val="00F6730A"/>
    <w:pPr>
      <w:ind w:left="270" w:hanging="270"/>
    </w:pPr>
  </w:style>
  <w:style w:type="paragraph" w:styleId="Header">
    <w:name w:val="header"/>
    <w:basedOn w:val="Normal"/>
    <w:link w:val="HeaderChar"/>
    <w:rsid w:val="00F6730A"/>
    <w:pPr>
      <w:tabs>
        <w:tab w:val="center" w:pos="4153"/>
        <w:tab w:val="right" w:pos="8306"/>
      </w:tabs>
    </w:pPr>
  </w:style>
  <w:style w:type="paragraph" w:styleId="Footer">
    <w:name w:val="footer"/>
    <w:basedOn w:val="Normal"/>
    <w:link w:val="FooterChar"/>
    <w:uiPriority w:val="99"/>
    <w:rsid w:val="00F6730A"/>
    <w:pPr>
      <w:tabs>
        <w:tab w:val="center" w:pos="4153"/>
        <w:tab w:val="right" w:pos="8306"/>
      </w:tabs>
    </w:pPr>
  </w:style>
  <w:style w:type="paragraph" w:styleId="DocumentMap">
    <w:name w:val="Document Map"/>
    <w:basedOn w:val="Normal"/>
    <w:semiHidden/>
    <w:rsid w:val="00F6730A"/>
    <w:pPr>
      <w:shd w:val="clear" w:color="auto" w:fill="000080"/>
    </w:pPr>
    <w:rPr>
      <w:rFonts w:ascii="Tahoma" w:hAnsi="Tahoma"/>
    </w:rPr>
  </w:style>
  <w:style w:type="paragraph" w:styleId="BodyText">
    <w:name w:val="Body Text"/>
    <w:basedOn w:val="Normal"/>
    <w:link w:val="BodyTextChar"/>
    <w:rsid w:val="00F6730A"/>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pPr>
    <w:rPr>
      <w:lang w:val="en-AU"/>
    </w:rPr>
  </w:style>
  <w:style w:type="character" w:styleId="CommentReference">
    <w:name w:val="annotation reference"/>
    <w:basedOn w:val="DefaultParagraphFont"/>
    <w:uiPriority w:val="99"/>
    <w:rsid w:val="00F6730A"/>
    <w:rPr>
      <w:sz w:val="16"/>
    </w:rPr>
  </w:style>
  <w:style w:type="paragraph" w:styleId="CommentText">
    <w:name w:val="annotation text"/>
    <w:basedOn w:val="Normal"/>
    <w:link w:val="CommentTextChar"/>
    <w:uiPriority w:val="99"/>
    <w:rsid w:val="00F6730A"/>
  </w:style>
  <w:style w:type="paragraph" w:styleId="BodyText2">
    <w:name w:val="Body Text 2"/>
    <w:basedOn w:val="Normal"/>
    <w:rsid w:val="00F6730A"/>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spacing w:line="312" w:lineRule="auto"/>
    </w:pPr>
    <w:rPr>
      <w:u w:val="single"/>
      <w:lang w:val="en-AU"/>
    </w:rPr>
  </w:style>
  <w:style w:type="character" w:styleId="PageNumber">
    <w:name w:val="page number"/>
    <w:basedOn w:val="DefaultParagraphFont"/>
    <w:rsid w:val="00F6730A"/>
  </w:style>
  <w:style w:type="paragraph" w:styleId="BalloonText">
    <w:name w:val="Balloon Text"/>
    <w:basedOn w:val="Normal"/>
    <w:semiHidden/>
    <w:rsid w:val="00C626FC"/>
    <w:rPr>
      <w:rFonts w:ascii="Tahoma" w:hAnsi="Tahoma"/>
      <w:sz w:val="16"/>
      <w:szCs w:val="16"/>
    </w:rPr>
  </w:style>
  <w:style w:type="paragraph" w:styleId="CommentSubject">
    <w:name w:val="annotation subject"/>
    <w:basedOn w:val="CommentText"/>
    <w:next w:val="CommentText"/>
    <w:semiHidden/>
    <w:rsid w:val="005F38C6"/>
    <w:rPr>
      <w:b/>
      <w:bCs/>
    </w:rPr>
  </w:style>
  <w:style w:type="table" w:customStyle="1" w:styleId="TableGrid1">
    <w:name w:val="Table Grid1"/>
    <w:basedOn w:val="TableNormal"/>
    <w:next w:val="TableGrid"/>
    <w:rsid w:val="0013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0107"/>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222C1"/>
    <w:rPr>
      <w:rFonts w:ascii="Arial" w:hAnsi="Arial"/>
      <w:snapToGrid w:val="0"/>
      <w:lang w:val="en-US" w:eastAsia="en-US"/>
    </w:rPr>
  </w:style>
  <w:style w:type="character" w:customStyle="1" w:styleId="BodyTextChar">
    <w:name w:val="Body Text Char"/>
    <w:basedOn w:val="DefaultParagraphFont"/>
    <w:link w:val="BodyText"/>
    <w:rsid w:val="00F8484E"/>
    <w:rPr>
      <w:rFonts w:ascii="Arial" w:hAnsi="Arial"/>
      <w:snapToGrid w:val="0"/>
      <w:lang w:eastAsia="en-US"/>
    </w:rPr>
  </w:style>
  <w:style w:type="character" w:customStyle="1" w:styleId="CommentTextChar">
    <w:name w:val="Comment Text Char"/>
    <w:basedOn w:val="DefaultParagraphFont"/>
    <w:link w:val="CommentText"/>
    <w:uiPriority w:val="99"/>
    <w:rsid w:val="00DE47C7"/>
    <w:rPr>
      <w:rFonts w:ascii="Arial" w:hAnsi="Arial"/>
      <w:snapToGrid w:val="0"/>
      <w:lang w:val="en-US" w:eastAsia="en-US"/>
    </w:rPr>
  </w:style>
  <w:style w:type="character" w:customStyle="1" w:styleId="FooterChar">
    <w:name w:val="Footer Char"/>
    <w:basedOn w:val="DefaultParagraphFont"/>
    <w:link w:val="Footer"/>
    <w:uiPriority w:val="99"/>
    <w:rsid w:val="00205619"/>
    <w:rPr>
      <w:rFonts w:ascii="Arial" w:hAnsi="Arial"/>
      <w:snapToGrid w:val="0"/>
      <w:lang w:val="en-US" w:eastAsia="en-US"/>
    </w:rPr>
  </w:style>
  <w:style w:type="paragraph" w:styleId="Revision">
    <w:name w:val="Revision"/>
    <w:hidden/>
    <w:uiPriority w:val="99"/>
    <w:semiHidden/>
    <w:rsid w:val="00E31AD5"/>
    <w:rPr>
      <w:rFonts w:ascii="Arial" w:hAnsi="Arial"/>
      <w:snapToGrid w:val="0"/>
      <w:lang w:val="en-US" w:eastAsia="en-US"/>
    </w:rPr>
  </w:style>
  <w:style w:type="table" w:customStyle="1" w:styleId="TableGrid2">
    <w:name w:val="Table Grid2"/>
    <w:basedOn w:val="TableNormal"/>
    <w:next w:val="TableGrid"/>
    <w:uiPriority w:val="99"/>
    <w:rsid w:val="00A72C5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wcp_Caption,Légende_Legend,Legend_Légende"/>
    <w:next w:val="Normal"/>
    <w:qFormat/>
    <w:rsid w:val="00542099"/>
    <w:pPr>
      <w:keepNext/>
      <w:spacing w:before="120" w:after="120" w:line="280" w:lineRule="atLeast"/>
      <w:ind w:left="1440" w:hanging="1440"/>
    </w:pPr>
    <w:rPr>
      <w:b/>
      <w:bCs/>
      <w:sz w:val="22"/>
      <w:szCs w:val="24"/>
      <w:lang w:val="en-US" w:eastAsia="en-US"/>
    </w:rPr>
  </w:style>
  <w:style w:type="paragraph" w:styleId="ListParagraph">
    <w:name w:val="List Paragraph"/>
    <w:basedOn w:val="Normal"/>
    <w:uiPriority w:val="34"/>
    <w:qFormat/>
    <w:rsid w:val="009628B5"/>
    <w:pPr>
      <w:ind w:left="720"/>
      <w:contextualSpacing/>
    </w:pPr>
  </w:style>
  <w:style w:type="paragraph" w:styleId="Title">
    <w:name w:val="Title"/>
    <w:basedOn w:val="Normal"/>
    <w:next w:val="Normal"/>
    <w:link w:val="TitleChar"/>
    <w:qFormat/>
    <w:rsid w:val="000961FF"/>
    <w:pPr>
      <w:outlineLvl w:val="0"/>
    </w:pPr>
    <w:rPr>
      <w:rFonts w:cs="Arial"/>
      <w:b/>
      <w:sz w:val="48"/>
      <w:lang w:val="en-AU"/>
    </w:rPr>
  </w:style>
  <w:style w:type="character" w:customStyle="1" w:styleId="TitleChar">
    <w:name w:val="Title Char"/>
    <w:basedOn w:val="DefaultParagraphFont"/>
    <w:link w:val="Title"/>
    <w:rsid w:val="000961FF"/>
    <w:rPr>
      <w:rFonts w:ascii="Arial" w:hAnsi="Arial" w:cs="Arial"/>
      <w:b/>
      <w:snapToGrid w:val="0"/>
      <w:sz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078">
      <w:bodyDiv w:val="1"/>
      <w:marLeft w:val="0"/>
      <w:marRight w:val="0"/>
      <w:marTop w:val="0"/>
      <w:marBottom w:val="0"/>
      <w:divBdr>
        <w:top w:val="none" w:sz="0" w:space="0" w:color="auto"/>
        <w:left w:val="none" w:sz="0" w:space="0" w:color="auto"/>
        <w:bottom w:val="none" w:sz="0" w:space="0" w:color="auto"/>
        <w:right w:val="none" w:sz="0" w:space="0" w:color="auto"/>
      </w:divBdr>
    </w:div>
    <w:div w:id="146212267">
      <w:bodyDiv w:val="1"/>
      <w:marLeft w:val="0"/>
      <w:marRight w:val="0"/>
      <w:marTop w:val="0"/>
      <w:marBottom w:val="0"/>
      <w:divBdr>
        <w:top w:val="none" w:sz="0" w:space="0" w:color="auto"/>
        <w:left w:val="none" w:sz="0" w:space="0" w:color="auto"/>
        <w:bottom w:val="none" w:sz="0" w:space="0" w:color="auto"/>
        <w:right w:val="none" w:sz="0" w:space="0" w:color="auto"/>
      </w:divBdr>
    </w:div>
    <w:div w:id="279803233">
      <w:bodyDiv w:val="1"/>
      <w:marLeft w:val="0"/>
      <w:marRight w:val="0"/>
      <w:marTop w:val="0"/>
      <w:marBottom w:val="0"/>
      <w:divBdr>
        <w:top w:val="none" w:sz="0" w:space="0" w:color="auto"/>
        <w:left w:val="none" w:sz="0" w:space="0" w:color="auto"/>
        <w:bottom w:val="none" w:sz="0" w:space="0" w:color="auto"/>
        <w:right w:val="none" w:sz="0" w:space="0" w:color="auto"/>
      </w:divBdr>
    </w:div>
    <w:div w:id="427194874">
      <w:bodyDiv w:val="1"/>
      <w:marLeft w:val="0"/>
      <w:marRight w:val="0"/>
      <w:marTop w:val="0"/>
      <w:marBottom w:val="0"/>
      <w:divBdr>
        <w:top w:val="none" w:sz="0" w:space="0" w:color="auto"/>
        <w:left w:val="none" w:sz="0" w:space="0" w:color="auto"/>
        <w:bottom w:val="none" w:sz="0" w:space="0" w:color="auto"/>
        <w:right w:val="none" w:sz="0" w:space="0" w:color="auto"/>
      </w:divBdr>
    </w:div>
    <w:div w:id="464738665">
      <w:bodyDiv w:val="1"/>
      <w:marLeft w:val="0"/>
      <w:marRight w:val="0"/>
      <w:marTop w:val="0"/>
      <w:marBottom w:val="0"/>
      <w:divBdr>
        <w:top w:val="none" w:sz="0" w:space="0" w:color="auto"/>
        <w:left w:val="none" w:sz="0" w:space="0" w:color="auto"/>
        <w:bottom w:val="none" w:sz="0" w:space="0" w:color="auto"/>
        <w:right w:val="none" w:sz="0" w:space="0" w:color="auto"/>
      </w:divBdr>
    </w:div>
    <w:div w:id="608658812">
      <w:bodyDiv w:val="1"/>
      <w:marLeft w:val="0"/>
      <w:marRight w:val="0"/>
      <w:marTop w:val="0"/>
      <w:marBottom w:val="0"/>
      <w:divBdr>
        <w:top w:val="none" w:sz="0" w:space="0" w:color="auto"/>
        <w:left w:val="none" w:sz="0" w:space="0" w:color="auto"/>
        <w:bottom w:val="none" w:sz="0" w:space="0" w:color="auto"/>
        <w:right w:val="none" w:sz="0" w:space="0" w:color="auto"/>
      </w:divBdr>
    </w:div>
    <w:div w:id="691952420">
      <w:bodyDiv w:val="1"/>
      <w:marLeft w:val="0"/>
      <w:marRight w:val="0"/>
      <w:marTop w:val="0"/>
      <w:marBottom w:val="0"/>
      <w:divBdr>
        <w:top w:val="none" w:sz="0" w:space="0" w:color="auto"/>
        <w:left w:val="none" w:sz="0" w:space="0" w:color="auto"/>
        <w:bottom w:val="none" w:sz="0" w:space="0" w:color="auto"/>
        <w:right w:val="none" w:sz="0" w:space="0" w:color="auto"/>
      </w:divBdr>
    </w:div>
    <w:div w:id="698893363">
      <w:bodyDiv w:val="1"/>
      <w:marLeft w:val="0"/>
      <w:marRight w:val="0"/>
      <w:marTop w:val="0"/>
      <w:marBottom w:val="0"/>
      <w:divBdr>
        <w:top w:val="none" w:sz="0" w:space="0" w:color="auto"/>
        <w:left w:val="none" w:sz="0" w:space="0" w:color="auto"/>
        <w:bottom w:val="none" w:sz="0" w:space="0" w:color="auto"/>
        <w:right w:val="none" w:sz="0" w:space="0" w:color="auto"/>
      </w:divBdr>
    </w:div>
    <w:div w:id="924848377">
      <w:bodyDiv w:val="1"/>
      <w:marLeft w:val="0"/>
      <w:marRight w:val="0"/>
      <w:marTop w:val="0"/>
      <w:marBottom w:val="0"/>
      <w:divBdr>
        <w:top w:val="none" w:sz="0" w:space="0" w:color="auto"/>
        <w:left w:val="none" w:sz="0" w:space="0" w:color="auto"/>
        <w:bottom w:val="none" w:sz="0" w:space="0" w:color="auto"/>
        <w:right w:val="none" w:sz="0" w:space="0" w:color="auto"/>
      </w:divBdr>
    </w:div>
    <w:div w:id="1117532074">
      <w:bodyDiv w:val="1"/>
      <w:marLeft w:val="0"/>
      <w:marRight w:val="0"/>
      <w:marTop w:val="0"/>
      <w:marBottom w:val="0"/>
      <w:divBdr>
        <w:top w:val="none" w:sz="0" w:space="0" w:color="auto"/>
        <w:left w:val="none" w:sz="0" w:space="0" w:color="auto"/>
        <w:bottom w:val="none" w:sz="0" w:space="0" w:color="auto"/>
        <w:right w:val="none" w:sz="0" w:space="0" w:color="auto"/>
      </w:divBdr>
    </w:div>
    <w:div w:id="1198591494">
      <w:bodyDiv w:val="1"/>
      <w:marLeft w:val="0"/>
      <w:marRight w:val="0"/>
      <w:marTop w:val="0"/>
      <w:marBottom w:val="0"/>
      <w:divBdr>
        <w:top w:val="none" w:sz="0" w:space="0" w:color="auto"/>
        <w:left w:val="none" w:sz="0" w:space="0" w:color="auto"/>
        <w:bottom w:val="none" w:sz="0" w:space="0" w:color="auto"/>
        <w:right w:val="none" w:sz="0" w:space="0" w:color="auto"/>
      </w:divBdr>
    </w:div>
    <w:div w:id="1440299993">
      <w:bodyDiv w:val="1"/>
      <w:marLeft w:val="0"/>
      <w:marRight w:val="0"/>
      <w:marTop w:val="0"/>
      <w:marBottom w:val="0"/>
      <w:divBdr>
        <w:top w:val="none" w:sz="0" w:space="0" w:color="auto"/>
        <w:left w:val="none" w:sz="0" w:space="0" w:color="auto"/>
        <w:bottom w:val="none" w:sz="0" w:space="0" w:color="auto"/>
        <w:right w:val="none" w:sz="0" w:space="0" w:color="auto"/>
      </w:divBdr>
    </w:div>
    <w:div w:id="1974022410">
      <w:bodyDiv w:val="1"/>
      <w:marLeft w:val="0"/>
      <w:marRight w:val="0"/>
      <w:marTop w:val="0"/>
      <w:marBottom w:val="0"/>
      <w:divBdr>
        <w:top w:val="none" w:sz="0" w:space="0" w:color="auto"/>
        <w:left w:val="none" w:sz="0" w:space="0" w:color="auto"/>
        <w:bottom w:val="none" w:sz="0" w:space="0" w:color="auto"/>
        <w:right w:val="none" w:sz="0" w:space="0" w:color="auto"/>
      </w:divBdr>
    </w:div>
    <w:div w:id="2026204915">
      <w:bodyDiv w:val="1"/>
      <w:marLeft w:val="0"/>
      <w:marRight w:val="0"/>
      <w:marTop w:val="0"/>
      <w:marBottom w:val="0"/>
      <w:divBdr>
        <w:top w:val="none" w:sz="0" w:space="0" w:color="auto"/>
        <w:left w:val="none" w:sz="0" w:space="0" w:color="auto"/>
        <w:bottom w:val="none" w:sz="0" w:space="0" w:color="auto"/>
        <w:right w:val="none" w:sz="0" w:space="0" w:color="auto"/>
      </w:divBdr>
    </w:div>
    <w:div w:id="2060785026">
      <w:bodyDiv w:val="1"/>
      <w:marLeft w:val="0"/>
      <w:marRight w:val="0"/>
      <w:marTop w:val="0"/>
      <w:marBottom w:val="0"/>
      <w:divBdr>
        <w:top w:val="none" w:sz="0" w:space="0" w:color="auto"/>
        <w:left w:val="none" w:sz="0" w:space="0" w:color="auto"/>
        <w:bottom w:val="none" w:sz="0" w:space="0" w:color="auto"/>
        <w:right w:val="none" w:sz="0" w:space="0" w:color="auto"/>
      </w:divBdr>
    </w:div>
    <w:div w:id="20656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B30F-17F7-4C8A-B093-2F846DC8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2818</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Afluria(R) Quad Product Information</vt:lpstr>
    </vt:vector>
  </TitlesOfParts>
  <Company>CSL Limited</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Inactivated quadrivalent influenza vaccine (split virion)</dc:title>
  <dc:subject>Prescription medicines</dc:subject>
  <dc:creator>CSL Limited</dc:creator>
  <cp:keywords>AusPARs</cp:keywords>
  <dc:description>One minor change was made to PI. The word maybe was changed to may be 19 November. On 22 Nov document and labelling sent to TGA. Labelling had per dose added.New Zealand details were removed as product is not registered there 26 November 2004. Notification to TGA not required. Contains footer information.</dc:description>
  <cp:lastModifiedBy>LACK, Janet</cp:lastModifiedBy>
  <cp:revision>3</cp:revision>
  <cp:lastPrinted>2016-10-13T05:01:00Z</cp:lastPrinted>
  <dcterms:created xsi:type="dcterms:W3CDTF">2017-05-17T06:20:00Z</dcterms:created>
  <dcterms:modified xsi:type="dcterms:W3CDTF">2017-08-15T23:52:00Z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