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tblGrid>
      <w:tr w:rsidR="008E7846" w:rsidRPr="00487162" w:rsidTr="00BF1190">
        <w:trPr>
          <w:trHeight w:val="1863"/>
        </w:trPr>
        <w:tc>
          <w:tcPr>
            <w:tcW w:w="3652" w:type="dxa"/>
            <w:tcBorders>
              <w:top w:val="nil"/>
              <w:left w:val="nil"/>
              <w:bottom w:val="nil"/>
              <w:right w:val="nil"/>
            </w:tcBorders>
          </w:tcPr>
          <w:p w:rsidR="008E7846" w:rsidRPr="00096AA7" w:rsidRDefault="00C93CD7" w:rsidP="00B67E72">
            <w:pPr>
              <w:pStyle w:val="Date"/>
              <w:framePr w:hSpace="0" w:wrap="auto" w:vAnchor="margin" w:hAnchor="text" w:yAlign="inline"/>
              <w:suppressOverlap w:val="0"/>
            </w:pPr>
            <w:r w:rsidRPr="00B67E72">
              <w:t>August</w:t>
            </w:r>
            <w:r>
              <w:t xml:space="preserve"> </w:t>
            </w:r>
            <w:r w:rsidR="00196FDC">
              <w:t>2</w:t>
            </w:r>
            <w:r w:rsidR="00E06A2B">
              <w:t>015</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rsidTr="0032583B">
        <w:trPr>
          <w:trHeight w:val="868"/>
        </w:trPr>
        <w:tc>
          <w:tcPr>
            <w:tcW w:w="9079" w:type="dxa"/>
          </w:tcPr>
          <w:p w:rsidR="0032583B" w:rsidRPr="00B67E72" w:rsidRDefault="0032583B" w:rsidP="00B67E72">
            <w:pPr>
              <w:pStyle w:val="Title"/>
              <w:framePr w:hSpace="0" w:wrap="auto" w:vAnchor="margin" w:yAlign="inline"/>
            </w:pPr>
            <w:r w:rsidRPr="00B67E72">
              <w:t>Australian Pu</w:t>
            </w:r>
            <w:r w:rsidR="00560B7D" w:rsidRPr="00B67E72">
              <w:t xml:space="preserve">blic Assessment Report for inactivated influenza virus vaccine (containing </w:t>
            </w:r>
            <w:bookmarkStart w:id="0" w:name="_GoBack"/>
            <w:r w:rsidR="00560B7D" w:rsidRPr="00B67E72">
              <w:t xml:space="preserve">15 µg </w:t>
            </w:r>
            <w:proofErr w:type="spellStart"/>
            <w:r w:rsidR="00560B7D" w:rsidRPr="00B67E72">
              <w:t>haemagglutinin</w:t>
            </w:r>
            <w:proofErr w:type="spellEnd"/>
            <w:r w:rsidR="00560B7D" w:rsidRPr="00B67E72">
              <w:t xml:space="preserve"> of virus Types </w:t>
            </w:r>
            <w:proofErr w:type="gramStart"/>
            <w:r w:rsidR="00560B7D" w:rsidRPr="00B67E72">
              <w:t>A H1N1+ A</w:t>
            </w:r>
            <w:proofErr w:type="gramEnd"/>
            <w:r w:rsidR="00560B7D" w:rsidRPr="00B67E72">
              <w:t xml:space="preserve"> H3N2 + B)</w:t>
            </w:r>
            <w:bookmarkEnd w:id="0"/>
          </w:p>
        </w:tc>
      </w:tr>
      <w:tr w:rsidR="0032583B" w:rsidRPr="00B64760" w:rsidTr="0032583B">
        <w:tc>
          <w:tcPr>
            <w:tcW w:w="9079" w:type="dxa"/>
          </w:tcPr>
          <w:p w:rsidR="0032583B" w:rsidRPr="00B67E72" w:rsidRDefault="00706DB9" w:rsidP="00B67E72">
            <w:pPr>
              <w:pStyle w:val="Subtitle"/>
              <w:framePr w:hSpace="0" w:wrap="auto" w:vAnchor="margin" w:yAlign="inline"/>
            </w:pPr>
            <w:r w:rsidRPr="00B67E72">
              <w:t xml:space="preserve">Proprietary Product Name: </w:t>
            </w:r>
            <w:proofErr w:type="spellStart"/>
            <w:r w:rsidRPr="00B67E72">
              <w:t>Optaflu</w:t>
            </w:r>
            <w:proofErr w:type="spellEnd"/>
          </w:p>
        </w:tc>
      </w:tr>
      <w:tr w:rsidR="0032583B" w:rsidRPr="00B64760" w:rsidTr="0032583B">
        <w:trPr>
          <w:trHeight w:val="486"/>
        </w:trPr>
        <w:tc>
          <w:tcPr>
            <w:tcW w:w="9079" w:type="dxa"/>
          </w:tcPr>
          <w:p w:rsidR="0032583B" w:rsidRPr="008E7846" w:rsidRDefault="00496A26" w:rsidP="00B67E72">
            <w:pPr>
              <w:pStyle w:val="Subtitle"/>
              <w:framePr w:hSpace="0" w:wrap="auto" w:vAnchor="margin" w:yAlign="inline"/>
            </w:pPr>
            <w:r>
              <w:t xml:space="preserve">Sponsor: </w:t>
            </w:r>
            <w:r w:rsidRPr="00496A26">
              <w:t>Novartis Vaccines &amp; Diagnostics Pty Ltd</w:t>
            </w:r>
          </w:p>
        </w:tc>
      </w:tr>
    </w:tbl>
    <w:p w:rsidR="008E7846" w:rsidRPr="0085156D" w:rsidRDefault="008E7846" w:rsidP="0085156D">
      <w:r w:rsidRPr="0085156D">
        <w:br w:type="page"/>
      </w:r>
    </w:p>
    <w:p w:rsidR="008E7846" w:rsidRPr="001F6CBA" w:rsidRDefault="008E7846" w:rsidP="00B67E72">
      <w:pPr>
        <w:pStyle w:val="NonTOCHeading2"/>
      </w:pPr>
      <w:r w:rsidRPr="001F6CBA">
        <w:lastRenderedPageBreak/>
        <w:t xml:space="preserve">About the </w:t>
      </w:r>
      <w:r w:rsidRPr="00B67E72">
        <w:t>Therapeutic</w:t>
      </w:r>
      <w:r w:rsidRPr="001F6CBA">
        <w:t xml:space="preserve"> Goods Administration (TGA)</w:t>
      </w:r>
    </w:p>
    <w:p w:rsidR="008E7846" w:rsidRDefault="008E7846" w:rsidP="00B67E72">
      <w:pPr>
        <w:pStyle w:val="ListBullet"/>
      </w:pPr>
      <w:r>
        <w:t xml:space="preserve">The </w:t>
      </w:r>
      <w:r w:rsidRPr="00B67E72">
        <w:t>Therapeutic</w:t>
      </w:r>
      <w:r>
        <w:t xml:space="preserve"> Goods Administration (TGA) is </w:t>
      </w:r>
      <w:r w:rsidR="00E624A5">
        <w:t xml:space="preserve">part </w:t>
      </w:r>
      <w:r>
        <w:t>of the Australian Government Department of Health and is responsible for regulating medicines and medical devices.</w:t>
      </w:r>
    </w:p>
    <w:p w:rsidR="008E7846" w:rsidRDefault="00C80137" w:rsidP="008E7846">
      <w:pPr>
        <w:pStyle w:val="ListBullet"/>
        <w:numPr>
          <w:ilvl w:val="0"/>
          <w:numId w:val="3"/>
        </w:numPr>
        <w:ind w:left="357" w:hanging="357"/>
      </w:pPr>
      <w:r>
        <w:t xml:space="preserve">The </w:t>
      </w:r>
      <w:r w:rsidR="008E7846">
        <w:t xml:space="preserve">TGA administers the </w:t>
      </w:r>
      <w:r w:rsidR="008E7846" w:rsidRPr="00F640B6">
        <w:rPr>
          <w:i/>
        </w:rPr>
        <w:t>Therapeutic Goods Act 1989</w:t>
      </w:r>
      <w:r w:rsidR="008E7846">
        <w:t xml:space="preserve"> (the Act), applying a risk management approach designed to ensure therapeutic goods supplied in Australia meet acceptable standards of quality, safety and efficacy (performance), when necessary.</w:t>
      </w:r>
    </w:p>
    <w:p w:rsidR="008E7846" w:rsidRDefault="008E7846" w:rsidP="008E7846">
      <w:pPr>
        <w:pStyle w:val="ListBullet"/>
        <w:numPr>
          <w:ilvl w:val="0"/>
          <w:numId w:val="3"/>
        </w:numPr>
        <w:ind w:left="357" w:hanging="357"/>
      </w:pPr>
      <w:r>
        <w:t>The work of the TGA is based on applying scientific and clinical expertise to decision-making, to ensure that the benefits to consumers outweigh any risks associated with the use of medicines and medical devices.</w:t>
      </w:r>
    </w:p>
    <w:p w:rsidR="008E7846" w:rsidRDefault="008E7846" w:rsidP="008E7846">
      <w:pPr>
        <w:pStyle w:val="ListBullet"/>
        <w:numPr>
          <w:ilvl w:val="0"/>
          <w:numId w:val="3"/>
        </w:numPr>
        <w:ind w:left="357" w:hanging="357"/>
      </w:pPr>
      <w:r>
        <w:t>The TGA relies on the public, healthcare professionals and industry to report problems with medicines or medical devices. TGA investigates reports received by it to determine any necessary regulatory action.</w:t>
      </w:r>
    </w:p>
    <w:p w:rsidR="008E7846" w:rsidRDefault="008E7846" w:rsidP="008E7846">
      <w:pPr>
        <w:pStyle w:val="ListBullet"/>
        <w:numPr>
          <w:ilvl w:val="0"/>
          <w:numId w:val="3"/>
        </w:numPr>
        <w:ind w:left="357" w:hanging="357"/>
      </w:pPr>
      <w:r>
        <w:t>To report a problem with a medicine or medical device, please see the information on the TGA website</w:t>
      </w:r>
      <w:r w:rsidR="00112F56">
        <w:t xml:space="preserve"> &lt;</w:t>
      </w:r>
      <w:hyperlink r:id="rId9" w:history="1">
        <w:r w:rsidR="003D13F1" w:rsidRPr="00C4069F">
          <w:rPr>
            <w:rStyle w:val="Hyperlink"/>
          </w:rPr>
          <w:t>www.tga.gov.au</w:t>
        </w:r>
      </w:hyperlink>
      <w:r w:rsidR="00112F56">
        <w:t>&gt;</w:t>
      </w:r>
      <w:r>
        <w:t>.</w:t>
      </w:r>
    </w:p>
    <w:p w:rsidR="008E7846" w:rsidRDefault="008E7846" w:rsidP="00B67E72">
      <w:pPr>
        <w:pStyle w:val="NonTOCHeading2"/>
      </w:pPr>
      <w:r>
        <w:t xml:space="preserve">About </w:t>
      </w:r>
      <w:proofErr w:type="spellStart"/>
      <w:r>
        <w:t>AusPARs</w:t>
      </w:r>
      <w:proofErr w:type="spellEnd"/>
    </w:p>
    <w:p w:rsidR="008E7846" w:rsidRDefault="008E7846" w:rsidP="00B67E72">
      <w:pPr>
        <w:pStyle w:val="ListBullet"/>
      </w:pPr>
      <w:r>
        <w:t>An Australian Public Assessment Re</w:t>
      </w:r>
      <w:r w:rsidR="00314167">
        <w:t>port</w:t>
      </w:r>
      <w:r>
        <w:t xml:space="preserve"> (</w:t>
      </w:r>
      <w:proofErr w:type="spellStart"/>
      <w:r>
        <w:t>AusPAR</w:t>
      </w:r>
      <w:proofErr w:type="spellEnd"/>
      <w:r>
        <w:t xml:space="preserve">) provides information about the evaluation of a prescription medicine and the considerations that led the TGA to approve or not approve a prescription medicine submission. </w:t>
      </w:r>
    </w:p>
    <w:p w:rsidR="008E7846" w:rsidRDefault="008E7846" w:rsidP="008E7846">
      <w:pPr>
        <w:pStyle w:val="ListBullet"/>
        <w:numPr>
          <w:ilvl w:val="0"/>
          <w:numId w:val="3"/>
        </w:numPr>
        <w:ind w:left="357" w:hanging="357"/>
      </w:pPr>
      <w:proofErr w:type="spellStart"/>
      <w:r>
        <w:t>AusPARs</w:t>
      </w:r>
      <w:proofErr w:type="spellEnd"/>
      <w:r>
        <w:t xml:space="preserve"> are prepared and published by the TGA.</w:t>
      </w:r>
    </w:p>
    <w:p w:rsidR="008E7846" w:rsidRDefault="008E7846" w:rsidP="008E7846">
      <w:pPr>
        <w:pStyle w:val="ListBullet"/>
        <w:numPr>
          <w:ilvl w:val="0"/>
          <w:numId w:val="3"/>
        </w:numPr>
        <w:ind w:left="357" w:hanging="357"/>
      </w:pPr>
      <w:r>
        <w:t xml:space="preserve">An </w:t>
      </w:r>
      <w:proofErr w:type="spellStart"/>
      <w:r>
        <w:t>AusPAR</w:t>
      </w:r>
      <w:proofErr w:type="spellEnd"/>
      <w:r>
        <w:t xml:space="preserve"> is prepared for submissions that relate to new chemical entities, generic medicines, major variations, and extensions of indications.</w:t>
      </w:r>
    </w:p>
    <w:p w:rsidR="008E7846" w:rsidRDefault="008E7846" w:rsidP="008E7846">
      <w:pPr>
        <w:pStyle w:val="ListBullet"/>
        <w:numPr>
          <w:ilvl w:val="0"/>
          <w:numId w:val="3"/>
        </w:numPr>
        <w:ind w:left="357" w:hanging="357"/>
      </w:pPr>
      <w:r>
        <w:t xml:space="preserve">An </w:t>
      </w:r>
      <w:proofErr w:type="spellStart"/>
      <w:r>
        <w:t>AusPAR</w:t>
      </w:r>
      <w:proofErr w:type="spellEnd"/>
      <w:r>
        <w:t xml:space="preserve"> is a static document, in that it will provide information that relates to a submission at a particular point in time.</w:t>
      </w:r>
    </w:p>
    <w:p w:rsidR="00B452CE" w:rsidRDefault="008E7846" w:rsidP="00FF5755">
      <w:pPr>
        <w:pStyle w:val="ListBullet"/>
        <w:numPr>
          <w:ilvl w:val="0"/>
          <w:numId w:val="3"/>
        </w:numPr>
        <w:ind w:left="357" w:hanging="357"/>
      </w:pPr>
      <w:r>
        <w:t xml:space="preserve">A new </w:t>
      </w:r>
      <w:proofErr w:type="spellStart"/>
      <w:r>
        <w:t>AusPAR</w:t>
      </w:r>
      <w:proofErr w:type="spellEnd"/>
      <w:r>
        <w:t xml:space="preserve"> will be developed to reflect changes to indications and/or major variations to a prescription medicine subject to evaluation by the TGA.</w:t>
      </w:r>
    </w:p>
    <w:p w:rsidR="00924482" w:rsidRPr="00DF1D7F" w:rsidRDefault="00924482" w:rsidP="00B67E72">
      <w:pPr>
        <w:pStyle w:val="LegalSubheading"/>
        <w:spacing w:before="3360"/>
      </w:pPr>
      <w:r w:rsidRPr="00DF1D7F">
        <w:t>Copyright</w:t>
      </w:r>
    </w:p>
    <w:p w:rsidR="00924482" w:rsidRDefault="00924482" w:rsidP="00924482">
      <w:pPr>
        <w:pStyle w:val="LegalCopy"/>
      </w:pPr>
      <w:r w:rsidRPr="00191B3B">
        <w:rPr>
          <w:rFonts w:cs="Arial"/>
          <w:lang w:val="en-GB"/>
        </w:rPr>
        <w:t>© Comm</w:t>
      </w:r>
      <w:r>
        <w:rPr>
          <w:rFonts w:cs="Arial"/>
          <w:lang w:val="en-GB"/>
        </w:rPr>
        <w:t>onwealth of Australia 201</w:t>
      </w:r>
      <w:r w:rsidR="003E0B99">
        <w:rPr>
          <w:rFonts w:cs="Arial"/>
          <w:lang w:val="en-GB"/>
        </w:rPr>
        <w:t>5</w:t>
      </w:r>
      <w:r w:rsidRPr="00191B3B">
        <w:rPr>
          <w:rFonts w:cs="Arial"/>
          <w:lang w:val="en-GB"/>
        </w:rPr>
        <w:br/>
      </w:r>
      <w:proofErr w:type="gramStart"/>
      <w:r w:rsidRPr="00191B3B">
        <w:rPr>
          <w:rFonts w:cs="Arial"/>
          <w:lang w:val="en-GB"/>
        </w:rPr>
        <w:t>This</w:t>
      </w:r>
      <w:proofErr w:type="gramEnd"/>
      <w:r w:rsidRPr="00191B3B">
        <w:rPr>
          <w:rFonts w:cs="Arial"/>
          <w:lang w:val="en-GB"/>
        </w:rPr>
        <w:t xml:space="preserve">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t>
      </w:r>
      <w:proofErr w:type="spellStart"/>
      <w:r w:rsidRPr="00191B3B">
        <w:rPr>
          <w:rFonts w:cs="Arial"/>
          <w:lang w:val="en-GB"/>
        </w:rPr>
        <w:t>Woden</w:t>
      </w:r>
      <w:proofErr w:type="spellEnd"/>
      <w:r w:rsidRPr="00191B3B">
        <w:rPr>
          <w:rFonts w:cs="Arial"/>
          <w:lang w:val="en-GB"/>
        </w:rPr>
        <w:t xml:space="preserve"> ACT 2606 or emailed to &lt;</w:t>
      </w:r>
      <w:hyperlink r:id="rId10" w:history="1">
        <w:r w:rsidRPr="00191B3B">
          <w:rPr>
            <w:rStyle w:val="Hyperlink"/>
            <w:rFonts w:cs="Arial"/>
            <w:lang w:val="en-GB"/>
          </w:rPr>
          <w:t>tga.copyright@tga.gov.au</w:t>
        </w:r>
      </w:hyperlink>
      <w:r w:rsidRPr="00191B3B">
        <w:rPr>
          <w:rFonts w:cs="Arial"/>
        </w:rPr>
        <w:t>&gt;.</w:t>
      </w:r>
    </w:p>
    <w:p w:rsidR="00924482" w:rsidRDefault="00924482" w:rsidP="00924482">
      <w:pPr>
        <w:pStyle w:val="LegalCopy"/>
        <w:sectPr w:rsidR="00924482" w:rsidSect="003D1E62">
          <w:headerReference w:type="even" r:id="rId11"/>
          <w:headerReference w:type="default" r:id="rId12"/>
          <w:footerReference w:type="even" r:id="rId13"/>
          <w:footerReference w:type="default" r:id="rId14"/>
          <w:headerReference w:type="first" r:id="rId15"/>
          <w:footerReference w:type="first" r:id="rId16"/>
          <w:pgSz w:w="11906" w:h="16838" w:code="9"/>
          <w:pgMar w:top="426" w:right="1701" w:bottom="0" w:left="1701" w:header="907" w:footer="142" w:gutter="0"/>
          <w:pgNumType w:fmt="lowerRoman" w:start="1"/>
          <w:cols w:space="708"/>
          <w:titlePg/>
          <w:docGrid w:linePitch="360"/>
        </w:sectPr>
      </w:pPr>
    </w:p>
    <w:bookmarkStart w:id="1" w:name="_Toc247691501" w:displacedByCustomXml="next"/>
    <w:bookmarkStart w:id="2"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rsidR="0089635C" w:rsidRPr="0089635C" w:rsidRDefault="0089635C" w:rsidP="0010788A">
          <w:pPr>
            <w:pStyle w:val="Contents"/>
          </w:pPr>
          <w:r w:rsidRPr="0010788A">
            <w:t>Contents</w:t>
          </w:r>
        </w:p>
        <w:p w:rsidR="002F16E8" w:rsidRDefault="00DB6124">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430081275" w:history="1">
            <w:r w:rsidR="002F16E8" w:rsidRPr="00CB1F07">
              <w:rPr>
                <w:rStyle w:val="Hyperlink"/>
                <w:noProof/>
              </w:rPr>
              <w:t>List of abbreviations</w:t>
            </w:r>
            <w:r w:rsidR="002F16E8">
              <w:rPr>
                <w:noProof/>
                <w:webHidden/>
              </w:rPr>
              <w:tab/>
            </w:r>
            <w:r w:rsidR="002F16E8">
              <w:rPr>
                <w:noProof/>
                <w:webHidden/>
              </w:rPr>
              <w:fldChar w:fldCharType="begin"/>
            </w:r>
            <w:r w:rsidR="002F16E8">
              <w:rPr>
                <w:noProof/>
                <w:webHidden/>
              </w:rPr>
              <w:instrText xml:space="preserve"> PAGEREF _Toc430081275 \h </w:instrText>
            </w:r>
            <w:r w:rsidR="002F16E8">
              <w:rPr>
                <w:noProof/>
                <w:webHidden/>
              </w:rPr>
            </w:r>
            <w:r w:rsidR="002F16E8">
              <w:rPr>
                <w:noProof/>
                <w:webHidden/>
              </w:rPr>
              <w:fldChar w:fldCharType="separate"/>
            </w:r>
            <w:r w:rsidR="002F16E8">
              <w:rPr>
                <w:noProof/>
                <w:webHidden/>
              </w:rPr>
              <w:t>5</w:t>
            </w:r>
            <w:r w:rsidR="002F16E8">
              <w:rPr>
                <w:noProof/>
                <w:webHidden/>
              </w:rPr>
              <w:fldChar w:fldCharType="end"/>
            </w:r>
          </w:hyperlink>
        </w:p>
        <w:p w:rsidR="002F16E8" w:rsidRDefault="002F16E8">
          <w:pPr>
            <w:pStyle w:val="TOC2"/>
            <w:rPr>
              <w:rFonts w:asciiTheme="minorHAnsi" w:eastAsiaTheme="minorEastAsia" w:hAnsiTheme="minorHAnsi" w:cstheme="minorBidi"/>
              <w:b w:val="0"/>
              <w:noProof/>
              <w:sz w:val="22"/>
              <w:lang w:eastAsia="en-AU"/>
            </w:rPr>
          </w:pPr>
          <w:hyperlink w:anchor="_Toc430081276" w:history="1">
            <w:r w:rsidRPr="00CB1F07">
              <w:rPr>
                <w:rStyle w:val="Hyperlink"/>
                <w:noProof/>
              </w:rPr>
              <w:t>I. Introduction to product submission</w:t>
            </w:r>
            <w:r>
              <w:rPr>
                <w:noProof/>
                <w:webHidden/>
              </w:rPr>
              <w:tab/>
            </w:r>
            <w:r>
              <w:rPr>
                <w:noProof/>
                <w:webHidden/>
              </w:rPr>
              <w:fldChar w:fldCharType="begin"/>
            </w:r>
            <w:r>
              <w:rPr>
                <w:noProof/>
                <w:webHidden/>
              </w:rPr>
              <w:instrText xml:space="preserve"> PAGEREF _Toc430081276 \h </w:instrText>
            </w:r>
            <w:r>
              <w:rPr>
                <w:noProof/>
                <w:webHidden/>
              </w:rPr>
            </w:r>
            <w:r>
              <w:rPr>
                <w:noProof/>
                <w:webHidden/>
              </w:rPr>
              <w:fldChar w:fldCharType="separate"/>
            </w:r>
            <w:r>
              <w:rPr>
                <w:noProof/>
                <w:webHidden/>
              </w:rPr>
              <w:t>7</w:t>
            </w:r>
            <w:r>
              <w:rPr>
                <w:noProof/>
                <w:webHidden/>
              </w:rPr>
              <w:fldChar w:fldCharType="end"/>
            </w:r>
          </w:hyperlink>
        </w:p>
        <w:p w:rsidR="002F16E8" w:rsidRDefault="002F16E8">
          <w:pPr>
            <w:pStyle w:val="TOC3"/>
            <w:rPr>
              <w:rFonts w:asciiTheme="minorHAnsi" w:eastAsiaTheme="minorEastAsia" w:hAnsiTheme="minorHAnsi" w:cstheme="minorBidi"/>
              <w:noProof/>
              <w:lang w:eastAsia="en-AU"/>
            </w:rPr>
          </w:pPr>
          <w:hyperlink w:anchor="_Toc430081277" w:history="1">
            <w:r w:rsidRPr="00CB1F07">
              <w:rPr>
                <w:rStyle w:val="Hyperlink"/>
                <w:noProof/>
                <w:lang w:eastAsia="en-AU"/>
              </w:rPr>
              <w:t>Submission details</w:t>
            </w:r>
            <w:r>
              <w:rPr>
                <w:noProof/>
                <w:webHidden/>
              </w:rPr>
              <w:tab/>
            </w:r>
            <w:r>
              <w:rPr>
                <w:noProof/>
                <w:webHidden/>
              </w:rPr>
              <w:fldChar w:fldCharType="begin"/>
            </w:r>
            <w:r>
              <w:rPr>
                <w:noProof/>
                <w:webHidden/>
              </w:rPr>
              <w:instrText xml:space="preserve"> PAGEREF _Toc430081277 \h </w:instrText>
            </w:r>
            <w:r>
              <w:rPr>
                <w:noProof/>
                <w:webHidden/>
              </w:rPr>
            </w:r>
            <w:r>
              <w:rPr>
                <w:noProof/>
                <w:webHidden/>
              </w:rPr>
              <w:fldChar w:fldCharType="separate"/>
            </w:r>
            <w:r>
              <w:rPr>
                <w:noProof/>
                <w:webHidden/>
              </w:rPr>
              <w:t>7</w:t>
            </w:r>
            <w:r>
              <w:rPr>
                <w:noProof/>
                <w:webHidden/>
              </w:rPr>
              <w:fldChar w:fldCharType="end"/>
            </w:r>
          </w:hyperlink>
        </w:p>
        <w:p w:rsidR="002F16E8" w:rsidRDefault="002F16E8">
          <w:pPr>
            <w:pStyle w:val="TOC3"/>
            <w:rPr>
              <w:rFonts w:asciiTheme="minorHAnsi" w:eastAsiaTheme="minorEastAsia" w:hAnsiTheme="minorHAnsi" w:cstheme="minorBidi"/>
              <w:noProof/>
              <w:lang w:eastAsia="en-AU"/>
            </w:rPr>
          </w:pPr>
          <w:hyperlink w:anchor="_Toc430081278" w:history="1">
            <w:r w:rsidRPr="00CB1F07">
              <w:rPr>
                <w:rStyle w:val="Hyperlink"/>
                <w:noProof/>
              </w:rPr>
              <w:t>Product background</w:t>
            </w:r>
            <w:r>
              <w:rPr>
                <w:noProof/>
                <w:webHidden/>
              </w:rPr>
              <w:tab/>
            </w:r>
            <w:r>
              <w:rPr>
                <w:noProof/>
                <w:webHidden/>
              </w:rPr>
              <w:fldChar w:fldCharType="begin"/>
            </w:r>
            <w:r>
              <w:rPr>
                <w:noProof/>
                <w:webHidden/>
              </w:rPr>
              <w:instrText xml:space="preserve"> PAGEREF _Toc430081278 \h </w:instrText>
            </w:r>
            <w:r>
              <w:rPr>
                <w:noProof/>
                <w:webHidden/>
              </w:rPr>
            </w:r>
            <w:r>
              <w:rPr>
                <w:noProof/>
                <w:webHidden/>
              </w:rPr>
              <w:fldChar w:fldCharType="separate"/>
            </w:r>
            <w:r>
              <w:rPr>
                <w:noProof/>
                <w:webHidden/>
              </w:rPr>
              <w:t>8</w:t>
            </w:r>
            <w:r>
              <w:rPr>
                <w:noProof/>
                <w:webHidden/>
              </w:rPr>
              <w:fldChar w:fldCharType="end"/>
            </w:r>
          </w:hyperlink>
        </w:p>
        <w:p w:rsidR="002F16E8" w:rsidRDefault="002F16E8">
          <w:pPr>
            <w:pStyle w:val="TOC3"/>
            <w:rPr>
              <w:rFonts w:asciiTheme="minorHAnsi" w:eastAsiaTheme="minorEastAsia" w:hAnsiTheme="minorHAnsi" w:cstheme="minorBidi"/>
              <w:noProof/>
              <w:lang w:eastAsia="en-AU"/>
            </w:rPr>
          </w:pPr>
          <w:hyperlink w:anchor="_Toc430081279" w:history="1">
            <w:r w:rsidRPr="00CB1F07">
              <w:rPr>
                <w:rStyle w:val="Hyperlink"/>
                <w:noProof/>
              </w:rPr>
              <w:t>Regulatory status</w:t>
            </w:r>
            <w:r>
              <w:rPr>
                <w:noProof/>
                <w:webHidden/>
              </w:rPr>
              <w:tab/>
            </w:r>
            <w:r>
              <w:rPr>
                <w:noProof/>
                <w:webHidden/>
              </w:rPr>
              <w:fldChar w:fldCharType="begin"/>
            </w:r>
            <w:r>
              <w:rPr>
                <w:noProof/>
                <w:webHidden/>
              </w:rPr>
              <w:instrText xml:space="preserve"> PAGEREF _Toc430081279 \h </w:instrText>
            </w:r>
            <w:r>
              <w:rPr>
                <w:noProof/>
                <w:webHidden/>
              </w:rPr>
            </w:r>
            <w:r>
              <w:rPr>
                <w:noProof/>
                <w:webHidden/>
              </w:rPr>
              <w:fldChar w:fldCharType="separate"/>
            </w:r>
            <w:r>
              <w:rPr>
                <w:noProof/>
                <w:webHidden/>
              </w:rPr>
              <w:t>8</w:t>
            </w:r>
            <w:r>
              <w:rPr>
                <w:noProof/>
                <w:webHidden/>
              </w:rPr>
              <w:fldChar w:fldCharType="end"/>
            </w:r>
          </w:hyperlink>
        </w:p>
        <w:p w:rsidR="002F16E8" w:rsidRDefault="002F16E8">
          <w:pPr>
            <w:pStyle w:val="TOC3"/>
            <w:rPr>
              <w:rFonts w:asciiTheme="minorHAnsi" w:eastAsiaTheme="minorEastAsia" w:hAnsiTheme="minorHAnsi" w:cstheme="minorBidi"/>
              <w:noProof/>
              <w:lang w:eastAsia="en-AU"/>
            </w:rPr>
          </w:pPr>
          <w:hyperlink w:anchor="_Toc430081280" w:history="1">
            <w:r w:rsidRPr="00CB1F07">
              <w:rPr>
                <w:rStyle w:val="Hyperlink"/>
                <w:noProof/>
              </w:rPr>
              <w:t>Product Information</w:t>
            </w:r>
            <w:r>
              <w:rPr>
                <w:noProof/>
                <w:webHidden/>
              </w:rPr>
              <w:tab/>
            </w:r>
            <w:r>
              <w:rPr>
                <w:noProof/>
                <w:webHidden/>
              </w:rPr>
              <w:fldChar w:fldCharType="begin"/>
            </w:r>
            <w:r>
              <w:rPr>
                <w:noProof/>
                <w:webHidden/>
              </w:rPr>
              <w:instrText xml:space="preserve"> PAGEREF _Toc430081280 \h </w:instrText>
            </w:r>
            <w:r>
              <w:rPr>
                <w:noProof/>
                <w:webHidden/>
              </w:rPr>
            </w:r>
            <w:r>
              <w:rPr>
                <w:noProof/>
                <w:webHidden/>
              </w:rPr>
              <w:fldChar w:fldCharType="separate"/>
            </w:r>
            <w:r>
              <w:rPr>
                <w:noProof/>
                <w:webHidden/>
              </w:rPr>
              <w:t>9</w:t>
            </w:r>
            <w:r>
              <w:rPr>
                <w:noProof/>
                <w:webHidden/>
              </w:rPr>
              <w:fldChar w:fldCharType="end"/>
            </w:r>
          </w:hyperlink>
        </w:p>
        <w:p w:rsidR="002F16E8" w:rsidRDefault="002F16E8">
          <w:pPr>
            <w:pStyle w:val="TOC2"/>
            <w:rPr>
              <w:rFonts w:asciiTheme="minorHAnsi" w:eastAsiaTheme="minorEastAsia" w:hAnsiTheme="minorHAnsi" w:cstheme="minorBidi"/>
              <w:b w:val="0"/>
              <w:noProof/>
              <w:sz w:val="22"/>
              <w:lang w:eastAsia="en-AU"/>
            </w:rPr>
          </w:pPr>
          <w:hyperlink w:anchor="_Toc430081281" w:history="1">
            <w:r w:rsidRPr="00CB1F07">
              <w:rPr>
                <w:rStyle w:val="Hyperlink"/>
                <w:noProof/>
              </w:rPr>
              <w:t>II. Quality findings</w:t>
            </w:r>
            <w:r>
              <w:rPr>
                <w:noProof/>
                <w:webHidden/>
              </w:rPr>
              <w:tab/>
            </w:r>
            <w:r>
              <w:rPr>
                <w:noProof/>
                <w:webHidden/>
              </w:rPr>
              <w:fldChar w:fldCharType="begin"/>
            </w:r>
            <w:r>
              <w:rPr>
                <w:noProof/>
                <w:webHidden/>
              </w:rPr>
              <w:instrText xml:space="preserve"> PAGEREF _Toc430081281 \h </w:instrText>
            </w:r>
            <w:r>
              <w:rPr>
                <w:noProof/>
                <w:webHidden/>
              </w:rPr>
            </w:r>
            <w:r>
              <w:rPr>
                <w:noProof/>
                <w:webHidden/>
              </w:rPr>
              <w:fldChar w:fldCharType="separate"/>
            </w:r>
            <w:r>
              <w:rPr>
                <w:noProof/>
                <w:webHidden/>
              </w:rPr>
              <w:t>9</w:t>
            </w:r>
            <w:r>
              <w:rPr>
                <w:noProof/>
                <w:webHidden/>
              </w:rPr>
              <w:fldChar w:fldCharType="end"/>
            </w:r>
          </w:hyperlink>
        </w:p>
        <w:p w:rsidR="002F16E8" w:rsidRDefault="002F16E8">
          <w:pPr>
            <w:pStyle w:val="TOC3"/>
            <w:rPr>
              <w:rFonts w:asciiTheme="minorHAnsi" w:eastAsiaTheme="minorEastAsia" w:hAnsiTheme="minorHAnsi" w:cstheme="minorBidi"/>
              <w:noProof/>
              <w:lang w:eastAsia="en-AU"/>
            </w:rPr>
          </w:pPr>
          <w:hyperlink w:anchor="_Toc430081282" w:history="1">
            <w:r w:rsidRPr="00CB1F07">
              <w:rPr>
                <w:rStyle w:val="Hyperlink"/>
                <w:noProof/>
              </w:rPr>
              <w:t>Drug substance (active ingredient)</w:t>
            </w:r>
            <w:r>
              <w:rPr>
                <w:noProof/>
                <w:webHidden/>
              </w:rPr>
              <w:tab/>
            </w:r>
            <w:r>
              <w:rPr>
                <w:noProof/>
                <w:webHidden/>
              </w:rPr>
              <w:fldChar w:fldCharType="begin"/>
            </w:r>
            <w:r>
              <w:rPr>
                <w:noProof/>
                <w:webHidden/>
              </w:rPr>
              <w:instrText xml:space="preserve"> PAGEREF _Toc430081282 \h </w:instrText>
            </w:r>
            <w:r>
              <w:rPr>
                <w:noProof/>
                <w:webHidden/>
              </w:rPr>
            </w:r>
            <w:r>
              <w:rPr>
                <w:noProof/>
                <w:webHidden/>
              </w:rPr>
              <w:fldChar w:fldCharType="separate"/>
            </w:r>
            <w:r>
              <w:rPr>
                <w:noProof/>
                <w:webHidden/>
              </w:rPr>
              <w:t>9</w:t>
            </w:r>
            <w:r>
              <w:rPr>
                <w:noProof/>
                <w:webHidden/>
              </w:rPr>
              <w:fldChar w:fldCharType="end"/>
            </w:r>
          </w:hyperlink>
        </w:p>
        <w:p w:rsidR="002F16E8" w:rsidRDefault="002F16E8">
          <w:pPr>
            <w:pStyle w:val="TOC3"/>
            <w:rPr>
              <w:rFonts w:asciiTheme="minorHAnsi" w:eastAsiaTheme="minorEastAsia" w:hAnsiTheme="minorHAnsi" w:cstheme="minorBidi"/>
              <w:noProof/>
              <w:lang w:eastAsia="en-AU"/>
            </w:rPr>
          </w:pPr>
          <w:hyperlink w:anchor="_Toc430081283" w:history="1">
            <w:r w:rsidRPr="00CB1F07">
              <w:rPr>
                <w:rStyle w:val="Hyperlink"/>
                <w:noProof/>
              </w:rPr>
              <w:t>Drug product</w:t>
            </w:r>
            <w:r>
              <w:rPr>
                <w:noProof/>
                <w:webHidden/>
              </w:rPr>
              <w:tab/>
            </w:r>
            <w:r>
              <w:rPr>
                <w:noProof/>
                <w:webHidden/>
              </w:rPr>
              <w:fldChar w:fldCharType="begin"/>
            </w:r>
            <w:r>
              <w:rPr>
                <w:noProof/>
                <w:webHidden/>
              </w:rPr>
              <w:instrText xml:space="preserve"> PAGEREF _Toc430081283 \h </w:instrText>
            </w:r>
            <w:r>
              <w:rPr>
                <w:noProof/>
                <w:webHidden/>
              </w:rPr>
            </w:r>
            <w:r>
              <w:rPr>
                <w:noProof/>
                <w:webHidden/>
              </w:rPr>
              <w:fldChar w:fldCharType="separate"/>
            </w:r>
            <w:r>
              <w:rPr>
                <w:noProof/>
                <w:webHidden/>
              </w:rPr>
              <w:t>10</w:t>
            </w:r>
            <w:r>
              <w:rPr>
                <w:noProof/>
                <w:webHidden/>
              </w:rPr>
              <w:fldChar w:fldCharType="end"/>
            </w:r>
          </w:hyperlink>
        </w:p>
        <w:p w:rsidR="002F16E8" w:rsidRDefault="002F16E8">
          <w:pPr>
            <w:pStyle w:val="TOC3"/>
            <w:rPr>
              <w:rFonts w:asciiTheme="minorHAnsi" w:eastAsiaTheme="minorEastAsia" w:hAnsiTheme="minorHAnsi" w:cstheme="minorBidi"/>
              <w:noProof/>
              <w:lang w:eastAsia="en-AU"/>
            </w:rPr>
          </w:pPr>
          <w:hyperlink w:anchor="_Toc430081284" w:history="1">
            <w:r w:rsidRPr="00CB1F07">
              <w:rPr>
                <w:rStyle w:val="Hyperlink"/>
                <w:noProof/>
              </w:rPr>
              <w:t>Biopharmaceutics</w:t>
            </w:r>
            <w:r>
              <w:rPr>
                <w:noProof/>
                <w:webHidden/>
              </w:rPr>
              <w:tab/>
            </w:r>
            <w:r>
              <w:rPr>
                <w:noProof/>
                <w:webHidden/>
              </w:rPr>
              <w:fldChar w:fldCharType="begin"/>
            </w:r>
            <w:r>
              <w:rPr>
                <w:noProof/>
                <w:webHidden/>
              </w:rPr>
              <w:instrText xml:space="preserve"> PAGEREF _Toc430081284 \h </w:instrText>
            </w:r>
            <w:r>
              <w:rPr>
                <w:noProof/>
                <w:webHidden/>
              </w:rPr>
            </w:r>
            <w:r>
              <w:rPr>
                <w:noProof/>
                <w:webHidden/>
              </w:rPr>
              <w:fldChar w:fldCharType="separate"/>
            </w:r>
            <w:r>
              <w:rPr>
                <w:noProof/>
                <w:webHidden/>
              </w:rPr>
              <w:t>10</w:t>
            </w:r>
            <w:r>
              <w:rPr>
                <w:noProof/>
                <w:webHidden/>
              </w:rPr>
              <w:fldChar w:fldCharType="end"/>
            </w:r>
          </w:hyperlink>
        </w:p>
        <w:p w:rsidR="002F16E8" w:rsidRDefault="002F16E8">
          <w:pPr>
            <w:pStyle w:val="TOC3"/>
            <w:rPr>
              <w:rFonts w:asciiTheme="minorHAnsi" w:eastAsiaTheme="minorEastAsia" w:hAnsiTheme="minorHAnsi" w:cstheme="minorBidi"/>
              <w:noProof/>
              <w:lang w:eastAsia="en-AU"/>
            </w:rPr>
          </w:pPr>
          <w:hyperlink w:anchor="_Toc430081285" w:history="1">
            <w:r w:rsidRPr="00CB1F07">
              <w:rPr>
                <w:rStyle w:val="Hyperlink"/>
                <w:noProof/>
              </w:rPr>
              <w:t>Quality summary and conclusions</w:t>
            </w:r>
            <w:r>
              <w:rPr>
                <w:noProof/>
                <w:webHidden/>
              </w:rPr>
              <w:tab/>
            </w:r>
            <w:r>
              <w:rPr>
                <w:noProof/>
                <w:webHidden/>
              </w:rPr>
              <w:fldChar w:fldCharType="begin"/>
            </w:r>
            <w:r>
              <w:rPr>
                <w:noProof/>
                <w:webHidden/>
              </w:rPr>
              <w:instrText xml:space="preserve"> PAGEREF _Toc430081285 \h </w:instrText>
            </w:r>
            <w:r>
              <w:rPr>
                <w:noProof/>
                <w:webHidden/>
              </w:rPr>
            </w:r>
            <w:r>
              <w:rPr>
                <w:noProof/>
                <w:webHidden/>
              </w:rPr>
              <w:fldChar w:fldCharType="separate"/>
            </w:r>
            <w:r>
              <w:rPr>
                <w:noProof/>
                <w:webHidden/>
              </w:rPr>
              <w:t>10</w:t>
            </w:r>
            <w:r>
              <w:rPr>
                <w:noProof/>
                <w:webHidden/>
              </w:rPr>
              <w:fldChar w:fldCharType="end"/>
            </w:r>
          </w:hyperlink>
        </w:p>
        <w:p w:rsidR="002F16E8" w:rsidRDefault="002F16E8">
          <w:pPr>
            <w:pStyle w:val="TOC2"/>
            <w:rPr>
              <w:rFonts w:asciiTheme="minorHAnsi" w:eastAsiaTheme="minorEastAsia" w:hAnsiTheme="minorHAnsi" w:cstheme="minorBidi"/>
              <w:b w:val="0"/>
              <w:noProof/>
              <w:sz w:val="22"/>
              <w:lang w:eastAsia="en-AU"/>
            </w:rPr>
          </w:pPr>
          <w:hyperlink w:anchor="_Toc430081286" w:history="1">
            <w:r w:rsidRPr="00CB1F07">
              <w:rPr>
                <w:rStyle w:val="Hyperlink"/>
                <w:noProof/>
              </w:rPr>
              <w:t>III. Nonclinical findings</w:t>
            </w:r>
            <w:r>
              <w:rPr>
                <w:noProof/>
                <w:webHidden/>
              </w:rPr>
              <w:tab/>
            </w:r>
            <w:r>
              <w:rPr>
                <w:noProof/>
                <w:webHidden/>
              </w:rPr>
              <w:fldChar w:fldCharType="begin"/>
            </w:r>
            <w:r>
              <w:rPr>
                <w:noProof/>
                <w:webHidden/>
              </w:rPr>
              <w:instrText xml:space="preserve"> PAGEREF _Toc430081286 \h </w:instrText>
            </w:r>
            <w:r>
              <w:rPr>
                <w:noProof/>
                <w:webHidden/>
              </w:rPr>
            </w:r>
            <w:r>
              <w:rPr>
                <w:noProof/>
                <w:webHidden/>
              </w:rPr>
              <w:fldChar w:fldCharType="separate"/>
            </w:r>
            <w:r>
              <w:rPr>
                <w:noProof/>
                <w:webHidden/>
              </w:rPr>
              <w:t>11</w:t>
            </w:r>
            <w:r>
              <w:rPr>
                <w:noProof/>
                <w:webHidden/>
              </w:rPr>
              <w:fldChar w:fldCharType="end"/>
            </w:r>
          </w:hyperlink>
        </w:p>
        <w:p w:rsidR="002F16E8" w:rsidRDefault="002F16E8">
          <w:pPr>
            <w:pStyle w:val="TOC3"/>
            <w:rPr>
              <w:rFonts w:asciiTheme="minorHAnsi" w:eastAsiaTheme="minorEastAsia" w:hAnsiTheme="minorHAnsi" w:cstheme="minorBidi"/>
              <w:noProof/>
              <w:lang w:eastAsia="en-AU"/>
            </w:rPr>
          </w:pPr>
          <w:hyperlink w:anchor="_Toc430081287" w:history="1">
            <w:r w:rsidRPr="00CB1F07">
              <w:rPr>
                <w:rStyle w:val="Hyperlink"/>
                <w:noProof/>
              </w:rPr>
              <w:t>Introduction</w:t>
            </w:r>
            <w:r>
              <w:rPr>
                <w:noProof/>
                <w:webHidden/>
              </w:rPr>
              <w:tab/>
            </w:r>
            <w:r>
              <w:rPr>
                <w:noProof/>
                <w:webHidden/>
              </w:rPr>
              <w:fldChar w:fldCharType="begin"/>
            </w:r>
            <w:r>
              <w:rPr>
                <w:noProof/>
                <w:webHidden/>
              </w:rPr>
              <w:instrText xml:space="preserve"> PAGEREF _Toc430081287 \h </w:instrText>
            </w:r>
            <w:r>
              <w:rPr>
                <w:noProof/>
                <w:webHidden/>
              </w:rPr>
            </w:r>
            <w:r>
              <w:rPr>
                <w:noProof/>
                <w:webHidden/>
              </w:rPr>
              <w:fldChar w:fldCharType="separate"/>
            </w:r>
            <w:r>
              <w:rPr>
                <w:noProof/>
                <w:webHidden/>
              </w:rPr>
              <w:t>11</w:t>
            </w:r>
            <w:r>
              <w:rPr>
                <w:noProof/>
                <w:webHidden/>
              </w:rPr>
              <w:fldChar w:fldCharType="end"/>
            </w:r>
          </w:hyperlink>
        </w:p>
        <w:p w:rsidR="002F16E8" w:rsidRDefault="002F16E8">
          <w:pPr>
            <w:pStyle w:val="TOC3"/>
            <w:rPr>
              <w:rFonts w:asciiTheme="minorHAnsi" w:eastAsiaTheme="minorEastAsia" w:hAnsiTheme="minorHAnsi" w:cstheme="minorBidi"/>
              <w:noProof/>
              <w:lang w:eastAsia="en-AU"/>
            </w:rPr>
          </w:pPr>
          <w:hyperlink w:anchor="_Toc430081288" w:history="1">
            <w:r w:rsidRPr="00CB1F07">
              <w:rPr>
                <w:rStyle w:val="Hyperlink"/>
                <w:noProof/>
              </w:rPr>
              <w:t>Pharmacology</w:t>
            </w:r>
            <w:r>
              <w:rPr>
                <w:noProof/>
                <w:webHidden/>
              </w:rPr>
              <w:tab/>
            </w:r>
            <w:r>
              <w:rPr>
                <w:noProof/>
                <w:webHidden/>
              </w:rPr>
              <w:fldChar w:fldCharType="begin"/>
            </w:r>
            <w:r>
              <w:rPr>
                <w:noProof/>
                <w:webHidden/>
              </w:rPr>
              <w:instrText xml:space="preserve"> PAGEREF _Toc430081288 \h </w:instrText>
            </w:r>
            <w:r>
              <w:rPr>
                <w:noProof/>
                <w:webHidden/>
              </w:rPr>
            </w:r>
            <w:r>
              <w:rPr>
                <w:noProof/>
                <w:webHidden/>
              </w:rPr>
              <w:fldChar w:fldCharType="separate"/>
            </w:r>
            <w:r>
              <w:rPr>
                <w:noProof/>
                <w:webHidden/>
              </w:rPr>
              <w:t>12</w:t>
            </w:r>
            <w:r>
              <w:rPr>
                <w:noProof/>
                <w:webHidden/>
              </w:rPr>
              <w:fldChar w:fldCharType="end"/>
            </w:r>
          </w:hyperlink>
        </w:p>
        <w:p w:rsidR="002F16E8" w:rsidRDefault="002F16E8">
          <w:pPr>
            <w:pStyle w:val="TOC3"/>
            <w:rPr>
              <w:rFonts w:asciiTheme="minorHAnsi" w:eastAsiaTheme="minorEastAsia" w:hAnsiTheme="minorHAnsi" w:cstheme="minorBidi"/>
              <w:noProof/>
              <w:lang w:eastAsia="en-AU"/>
            </w:rPr>
          </w:pPr>
          <w:hyperlink w:anchor="_Toc430081289" w:history="1">
            <w:r w:rsidRPr="00CB1F07">
              <w:rPr>
                <w:rStyle w:val="Hyperlink"/>
                <w:noProof/>
              </w:rPr>
              <w:t>Pharmacokinetics</w:t>
            </w:r>
            <w:r>
              <w:rPr>
                <w:noProof/>
                <w:webHidden/>
              </w:rPr>
              <w:tab/>
            </w:r>
            <w:r>
              <w:rPr>
                <w:noProof/>
                <w:webHidden/>
              </w:rPr>
              <w:fldChar w:fldCharType="begin"/>
            </w:r>
            <w:r>
              <w:rPr>
                <w:noProof/>
                <w:webHidden/>
              </w:rPr>
              <w:instrText xml:space="preserve"> PAGEREF _Toc430081289 \h </w:instrText>
            </w:r>
            <w:r>
              <w:rPr>
                <w:noProof/>
                <w:webHidden/>
              </w:rPr>
            </w:r>
            <w:r>
              <w:rPr>
                <w:noProof/>
                <w:webHidden/>
              </w:rPr>
              <w:fldChar w:fldCharType="separate"/>
            </w:r>
            <w:r>
              <w:rPr>
                <w:noProof/>
                <w:webHidden/>
              </w:rPr>
              <w:t>13</w:t>
            </w:r>
            <w:r>
              <w:rPr>
                <w:noProof/>
                <w:webHidden/>
              </w:rPr>
              <w:fldChar w:fldCharType="end"/>
            </w:r>
          </w:hyperlink>
        </w:p>
        <w:p w:rsidR="002F16E8" w:rsidRDefault="002F16E8">
          <w:pPr>
            <w:pStyle w:val="TOC3"/>
            <w:rPr>
              <w:rFonts w:asciiTheme="minorHAnsi" w:eastAsiaTheme="minorEastAsia" w:hAnsiTheme="minorHAnsi" w:cstheme="minorBidi"/>
              <w:noProof/>
              <w:lang w:eastAsia="en-AU"/>
            </w:rPr>
          </w:pPr>
          <w:hyperlink w:anchor="_Toc430081290" w:history="1">
            <w:r w:rsidRPr="00CB1F07">
              <w:rPr>
                <w:rStyle w:val="Hyperlink"/>
                <w:noProof/>
              </w:rPr>
              <w:t>Toxicology</w:t>
            </w:r>
            <w:r>
              <w:rPr>
                <w:noProof/>
                <w:webHidden/>
              </w:rPr>
              <w:tab/>
            </w:r>
            <w:r>
              <w:rPr>
                <w:noProof/>
                <w:webHidden/>
              </w:rPr>
              <w:fldChar w:fldCharType="begin"/>
            </w:r>
            <w:r>
              <w:rPr>
                <w:noProof/>
                <w:webHidden/>
              </w:rPr>
              <w:instrText xml:space="preserve"> PAGEREF _Toc430081290 \h </w:instrText>
            </w:r>
            <w:r>
              <w:rPr>
                <w:noProof/>
                <w:webHidden/>
              </w:rPr>
            </w:r>
            <w:r>
              <w:rPr>
                <w:noProof/>
                <w:webHidden/>
              </w:rPr>
              <w:fldChar w:fldCharType="separate"/>
            </w:r>
            <w:r>
              <w:rPr>
                <w:noProof/>
                <w:webHidden/>
              </w:rPr>
              <w:t>13</w:t>
            </w:r>
            <w:r>
              <w:rPr>
                <w:noProof/>
                <w:webHidden/>
              </w:rPr>
              <w:fldChar w:fldCharType="end"/>
            </w:r>
          </w:hyperlink>
        </w:p>
        <w:p w:rsidR="002F16E8" w:rsidRDefault="002F16E8">
          <w:pPr>
            <w:pStyle w:val="TOC3"/>
            <w:rPr>
              <w:rFonts w:asciiTheme="minorHAnsi" w:eastAsiaTheme="minorEastAsia" w:hAnsiTheme="minorHAnsi" w:cstheme="minorBidi"/>
              <w:noProof/>
              <w:lang w:eastAsia="en-AU"/>
            </w:rPr>
          </w:pPr>
          <w:hyperlink w:anchor="_Toc430081291" w:history="1">
            <w:r w:rsidRPr="00CB1F07">
              <w:rPr>
                <w:rStyle w:val="Hyperlink"/>
                <w:noProof/>
              </w:rPr>
              <w:t>Nonclinical summary and conclusions</w:t>
            </w:r>
            <w:r>
              <w:rPr>
                <w:noProof/>
                <w:webHidden/>
              </w:rPr>
              <w:tab/>
            </w:r>
            <w:r>
              <w:rPr>
                <w:noProof/>
                <w:webHidden/>
              </w:rPr>
              <w:fldChar w:fldCharType="begin"/>
            </w:r>
            <w:r>
              <w:rPr>
                <w:noProof/>
                <w:webHidden/>
              </w:rPr>
              <w:instrText xml:space="preserve"> PAGEREF _Toc430081291 \h </w:instrText>
            </w:r>
            <w:r>
              <w:rPr>
                <w:noProof/>
                <w:webHidden/>
              </w:rPr>
            </w:r>
            <w:r>
              <w:rPr>
                <w:noProof/>
                <w:webHidden/>
              </w:rPr>
              <w:fldChar w:fldCharType="separate"/>
            </w:r>
            <w:r>
              <w:rPr>
                <w:noProof/>
                <w:webHidden/>
              </w:rPr>
              <w:t>19</w:t>
            </w:r>
            <w:r>
              <w:rPr>
                <w:noProof/>
                <w:webHidden/>
              </w:rPr>
              <w:fldChar w:fldCharType="end"/>
            </w:r>
          </w:hyperlink>
        </w:p>
        <w:p w:rsidR="002F16E8" w:rsidRDefault="002F16E8">
          <w:pPr>
            <w:pStyle w:val="TOC2"/>
            <w:rPr>
              <w:rFonts w:asciiTheme="minorHAnsi" w:eastAsiaTheme="minorEastAsia" w:hAnsiTheme="minorHAnsi" w:cstheme="minorBidi"/>
              <w:b w:val="0"/>
              <w:noProof/>
              <w:sz w:val="22"/>
              <w:lang w:eastAsia="en-AU"/>
            </w:rPr>
          </w:pPr>
          <w:hyperlink w:anchor="_Toc430081292" w:history="1">
            <w:r w:rsidRPr="00CB1F07">
              <w:rPr>
                <w:rStyle w:val="Hyperlink"/>
                <w:noProof/>
              </w:rPr>
              <w:t>IV. Clinical findings</w:t>
            </w:r>
            <w:r>
              <w:rPr>
                <w:noProof/>
                <w:webHidden/>
              </w:rPr>
              <w:tab/>
            </w:r>
            <w:r>
              <w:rPr>
                <w:noProof/>
                <w:webHidden/>
              </w:rPr>
              <w:fldChar w:fldCharType="begin"/>
            </w:r>
            <w:r>
              <w:rPr>
                <w:noProof/>
                <w:webHidden/>
              </w:rPr>
              <w:instrText xml:space="preserve"> PAGEREF _Toc430081292 \h </w:instrText>
            </w:r>
            <w:r>
              <w:rPr>
                <w:noProof/>
                <w:webHidden/>
              </w:rPr>
            </w:r>
            <w:r>
              <w:rPr>
                <w:noProof/>
                <w:webHidden/>
              </w:rPr>
              <w:fldChar w:fldCharType="separate"/>
            </w:r>
            <w:r>
              <w:rPr>
                <w:noProof/>
                <w:webHidden/>
              </w:rPr>
              <w:t>21</w:t>
            </w:r>
            <w:r>
              <w:rPr>
                <w:noProof/>
                <w:webHidden/>
              </w:rPr>
              <w:fldChar w:fldCharType="end"/>
            </w:r>
          </w:hyperlink>
        </w:p>
        <w:p w:rsidR="002F16E8" w:rsidRDefault="002F16E8">
          <w:pPr>
            <w:pStyle w:val="TOC3"/>
            <w:rPr>
              <w:rFonts w:asciiTheme="minorHAnsi" w:eastAsiaTheme="minorEastAsia" w:hAnsiTheme="minorHAnsi" w:cstheme="minorBidi"/>
              <w:noProof/>
              <w:lang w:eastAsia="en-AU"/>
            </w:rPr>
          </w:pPr>
          <w:hyperlink w:anchor="_Toc430081293" w:history="1">
            <w:r w:rsidRPr="00CB1F07">
              <w:rPr>
                <w:rStyle w:val="Hyperlink"/>
                <w:noProof/>
              </w:rPr>
              <w:t>Introduction</w:t>
            </w:r>
            <w:r>
              <w:rPr>
                <w:noProof/>
                <w:webHidden/>
              </w:rPr>
              <w:tab/>
            </w:r>
            <w:r>
              <w:rPr>
                <w:noProof/>
                <w:webHidden/>
              </w:rPr>
              <w:fldChar w:fldCharType="begin"/>
            </w:r>
            <w:r>
              <w:rPr>
                <w:noProof/>
                <w:webHidden/>
              </w:rPr>
              <w:instrText xml:space="preserve"> PAGEREF _Toc430081293 \h </w:instrText>
            </w:r>
            <w:r>
              <w:rPr>
                <w:noProof/>
                <w:webHidden/>
              </w:rPr>
            </w:r>
            <w:r>
              <w:rPr>
                <w:noProof/>
                <w:webHidden/>
              </w:rPr>
              <w:fldChar w:fldCharType="separate"/>
            </w:r>
            <w:r>
              <w:rPr>
                <w:noProof/>
                <w:webHidden/>
              </w:rPr>
              <w:t>21</w:t>
            </w:r>
            <w:r>
              <w:rPr>
                <w:noProof/>
                <w:webHidden/>
              </w:rPr>
              <w:fldChar w:fldCharType="end"/>
            </w:r>
          </w:hyperlink>
        </w:p>
        <w:p w:rsidR="002F16E8" w:rsidRDefault="002F16E8">
          <w:pPr>
            <w:pStyle w:val="TOC3"/>
            <w:rPr>
              <w:rFonts w:asciiTheme="minorHAnsi" w:eastAsiaTheme="minorEastAsia" w:hAnsiTheme="minorHAnsi" w:cstheme="minorBidi"/>
              <w:noProof/>
              <w:lang w:eastAsia="en-AU"/>
            </w:rPr>
          </w:pPr>
          <w:hyperlink w:anchor="_Toc430081294" w:history="1">
            <w:r w:rsidRPr="00CB1F07">
              <w:rPr>
                <w:rStyle w:val="Hyperlink"/>
                <w:noProof/>
              </w:rPr>
              <w:t>Pharmacokinetics</w:t>
            </w:r>
            <w:r>
              <w:rPr>
                <w:noProof/>
                <w:webHidden/>
              </w:rPr>
              <w:tab/>
            </w:r>
            <w:r>
              <w:rPr>
                <w:noProof/>
                <w:webHidden/>
              </w:rPr>
              <w:fldChar w:fldCharType="begin"/>
            </w:r>
            <w:r>
              <w:rPr>
                <w:noProof/>
                <w:webHidden/>
              </w:rPr>
              <w:instrText xml:space="preserve"> PAGEREF _Toc430081294 \h </w:instrText>
            </w:r>
            <w:r>
              <w:rPr>
                <w:noProof/>
                <w:webHidden/>
              </w:rPr>
            </w:r>
            <w:r>
              <w:rPr>
                <w:noProof/>
                <w:webHidden/>
              </w:rPr>
              <w:fldChar w:fldCharType="separate"/>
            </w:r>
            <w:r>
              <w:rPr>
                <w:noProof/>
                <w:webHidden/>
              </w:rPr>
              <w:t>22</w:t>
            </w:r>
            <w:r>
              <w:rPr>
                <w:noProof/>
                <w:webHidden/>
              </w:rPr>
              <w:fldChar w:fldCharType="end"/>
            </w:r>
          </w:hyperlink>
        </w:p>
        <w:p w:rsidR="002F16E8" w:rsidRDefault="002F16E8">
          <w:pPr>
            <w:pStyle w:val="TOC3"/>
            <w:rPr>
              <w:rFonts w:asciiTheme="minorHAnsi" w:eastAsiaTheme="minorEastAsia" w:hAnsiTheme="minorHAnsi" w:cstheme="minorBidi"/>
              <w:noProof/>
              <w:lang w:eastAsia="en-AU"/>
            </w:rPr>
          </w:pPr>
          <w:hyperlink w:anchor="_Toc430081295" w:history="1">
            <w:r w:rsidRPr="00CB1F07">
              <w:rPr>
                <w:rStyle w:val="Hyperlink"/>
                <w:noProof/>
              </w:rPr>
              <w:t>Pharmacodynamics</w:t>
            </w:r>
            <w:r>
              <w:rPr>
                <w:noProof/>
                <w:webHidden/>
              </w:rPr>
              <w:tab/>
            </w:r>
            <w:r>
              <w:rPr>
                <w:noProof/>
                <w:webHidden/>
              </w:rPr>
              <w:fldChar w:fldCharType="begin"/>
            </w:r>
            <w:r>
              <w:rPr>
                <w:noProof/>
                <w:webHidden/>
              </w:rPr>
              <w:instrText xml:space="preserve"> PAGEREF _Toc430081295 \h </w:instrText>
            </w:r>
            <w:r>
              <w:rPr>
                <w:noProof/>
                <w:webHidden/>
              </w:rPr>
            </w:r>
            <w:r>
              <w:rPr>
                <w:noProof/>
                <w:webHidden/>
              </w:rPr>
              <w:fldChar w:fldCharType="separate"/>
            </w:r>
            <w:r>
              <w:rPr>
                <w:noProof/>
                <w:webHidden/>
              </w:rPr>
              <w:t>22</w:t>
            </w:r>
            <w:r>
              <w:rPr>
                <w:noProof/>
                <w:webHidden/>
              </w:rPr>
              <w:fldChar w:fldCharType="end"/>
            </w:r>
          </w:hyperlink>
        </w:p>
        <w:p w:rsidR="002F16E8" w:rsidRDefault="002F16E8">
          <w:pPr>
            <w:pStyle w:val="TOC3"/>
            <w:rPr>
              <w:rFonts w:asciiTheme="minorHAnsi" w:eastAsiaTheme="minorEastAsia" w:hAnsiTheme="minorHAnsi" w:cstheme="minorBidi"/>
              <w:noProof/>
              <w:lang w:eastAsia="en-AU"/>
            </w:rPr>
          </w:pPr>
          <w:hyperlink w:anchor="_Toc430081296" w:history="1">
            <w:r w:rsidRPr="00CB1F07">
              <w:rPr>
                <w:rStyle w:val="Hyperlink"/>
                <w:noProof/>
              </w:rPr>
              <w:t>Dosage selection for the pivotal studies</w:t>
            </w:r>
            <w:r>
              <w:rPr>
                <w:noProof/>
                <w:webHidden/>
              </w:rPr>
              <w:tab/>
            </w:r>
            <w:r>
              <w:rPr>
                <w:noProof/>
                <w:webHidden/>
              </w:rPr>
              <w:fldChar w:fldCharType="begin"/>
            </w:r>
            <w:r>
              <w:rPr>
                <w:noProof/>
                <w:webHidden/>
              </w:rPr>
              <w:instrText xml:space="preserve"> PAGEREF _Toc430081296 \h </w:instrText>
            </w:r>
            <w:r>
              <w:rPr>
                <w:noProof/>
                <w:webHidden/>
              </w:rPr>
            </w:r>
            <w:r>
              <w:rPr>
                <w:noProof/>
                <w:webHidden/>
              </w:rPr>
              <w:fldChar w:fldCharType="separate"/>
            </w:r>
            <w:r>
              <w:rPr>
                <w:noProof/>
                <w:webHidden/>
              </w:rPr>
              <w:t>22</w:t>
            </w:r>
            <w:r>
              <w:rPr>
                <w:noProof/>
                <w:webHidden/>
              </w:rPr>
              <w:fldChar w:fldCharType="end"/>
            </w:r>
          </w:hyperlink>
        </w:p>
        <w:p w:rsidR="002F16E8" w:rsidRDefault="002F16E8">
          <w:pPr>
            <w:pStyle w:val="TOC3"/>
            <w:rPr>
              <w:rFonts w:asciiTheme="minorHAnsi" w:eastAsiaTheme="minorEastAsia" w:hAnsiTheme="minorHAnsi" w:cstheme="minorBidi"/>
              <w:noProof/>
              <w:lang w:eastAsia="en-AU"/>
            </w:rPr>
          </w:pPr>
          <w:hyperlink w:anchor="_Toc430081297" w:history="1">
            <w:r w:rsidRPr="00CB1F07">
              <w:rPr>
                <w:rStyle w:val="Hyperlink"/>
                <w:noProof/>
              </w:rPr>
              <w:t>Efficacy</w:t>
            </w:r>
            <w:r>
              <w:rPr>
                <w:noProof/>
                <w:webHidden/>
              </w:rPr>
              <w:tab/>
            </w:r>
            <w:r>
              <w:rPr>
                <w:noProof/>
                <w:webHidden/>
              </w:rPr>
              <w:fldChar w:fldCharType="begin"/>
            </w:r>
            <w:r>
              <w:rPr>
                <w:noProof/>
                <w:webHidden/>
              </w:rPr>
              <w:instrText xml:space="preserve"> PAGEREF _Toc430081297 \h </w:instrText>
            </w:r>
            <w:r>
              <w:rPr>
                <w:noProof/>
                <w:webHidden/>
              </w:rPr>
            </w:r>
            <w:r>
              <w:rPr>
                <w:noProof/>
                <w:webHidden/>
              </w:rPr>
              <w:fldChar w:fldCharType="separate"/>
            </w:r>
            <w:r>
              <w:rPr>
                <w:noProof/>
                <w:webHidden/>
              </w:rPr>
              <w:t>22</w:t>
            </w:r>
            <w:r>
              <w:rPr>
                <w:noProof/>
                <w:webHidden/>
              </w:rPr>
              <w:fldChar w:fldCharType="end"/>
            </w:r>
          </w:hyperlink>
        </w:p>
        <w:p w:rsidR="002F16E8" w:rsidRDefault="002F16E8">
          <w:pPr>
            <w:pStyle w:val="TOC3"/>
            <w:rPr>
              <w:rFonts w:asciiTheme="minorHAnsi" w:eastAsiaTheme="minorEastAsia" w:hAnsiTheme="minorHAnsi" w:cstheme="minorBidi"/>
              <w:noProof/>
              <w:lang w:eastAsia="en-AU"/>
            </w:rPr>
          </w:pPr>
          <w:hyperlink w:anchor="_Toc430081298" w:history="1">
            <w:r w:rsidRPr="00CB1F07">
              <w:rPr>
                <w:rStyle w:val="Hyperlink"/>
                <w:noProof/>
              </w:rPr>
              <w:t>Safety</w:t>
            </w:r>
            <w:r>
              <w:rPr>
                <w:noProof/>
                <w:webHidden/>
              </w:rPr>
              <w:tab/>
            </w:r>
            <w:r>
              <w:rPr>
                <w:noProof/>
                <w:webHidden/>
              </w:rPr>
              <w:fldChar w:fldCharType="begin"/>
            </w:r>
            <w:r>
              <w:rPr>
                <w:noProof/>
                <w:webHidden/>
              </w:rPr>
              <w:instrText xml:space="preserve"> PAGEREF _Toc430081298 \h </w:instrText>
            </w:r>
            <w:r>
              <w:rPr>
                <w:noProof/>
                <w:webHidden/>
              </w:rPr>
            </w:r>
            <w:r>
              <w:rPr>
                <w:noProof/>
                <w:webHidden/>
              </w:rPr>
              <w:fldChar w:fldCharType="separate"/>
            </w:r>
            <w:r>
              <w:rPr>
                <w:noProof/>
                <w:webHidden/>
              </w:rPr>
              <w:t>23</w:t>
            </w:r>
            <w:r>
              <w:rPr>
                <w:noProof/>
                <w:webHidden/>
              </w:rPr>
              <w:fldChar w:fldCharType="end"/>
            </w:r>
          </w:hyperlink>
        </w:p>
        <w:p w:rsidR="002F16E8" w:rsidRDefault="002F16E8">
          <w:pPr>
            <w:pStyle w:val="TOC3"/>
            <w:rPr>
              <w:rFonts w:asciiTheme="minorHAnsi" w:eastAsiaTheme="minorEastAsia" w:hAnsiTheme="minorHAnsi" w:cstheme="minorBidi"/>
              <w:noProof/>
              <w:lang w:eastAsia="en-AU"/>
            </w:rPr>
          </w:pPr>
          <w:hyperlink w:anchor="_Toc430081299" w:history="1">
            <w:r w:rsidRPr="00CB1F07">
              <w:rPr>
                <w:rStyle w:val="Hyperlink"/>
                <w:noProof/>
              </w:rPr>
              <w:t>First round benefit-risk assessment</w:t>
            </w:r>
            <w:r>
              <w:rPr>
                <w:noProof/>
                <w:webHidden/>
              </w:rPr>
              <w:tab/>
            </w:r>
            <w:r>
              <w:rPr>
                <w:noProof/>
                <w:webHidden/>
              </w:rPr>
              <w:fldChar w:fldCharType="begin"/>
            </w:r>
            <w:r>
              <w:rPr>
                <w:noProof/>
                <w:webHidden/>
              </w:rPr>
              <w:instrText xml:space="preserve"> PAGEREF _Toc430081299 \h </w:instrText>
            </w:r>
            <w:r>
              <w:rPr>
                <w:noProof/>
                <w:webHidden/>
              </w:rPr>
            </w:r>
            <w:r>
              <w:rPr>
                <w:noProof/>
                <w:webHidden/>
              </w:rPr>
              <w:fldChar w:fldCharType="separate"/>
            </w:r>
            <w:r>
              <w:rPr>
                <w:noProof/>
                <w:webHidden/>
              </w:rPr>
              <w:t>26</w:t>
            </w:r>
            <w:r>
              <w:rPr>
                <w:noProof/>
                <w:webHidden/>
              </w:rPr>
              <w:fldChar w:fldCharType="end"/>
            </w:r>
          </w:hyperlink>
        </w:p>
        <w:p w:rsidR="002F16E8" w:rsidRDefault="002F16E8">
          <w:pPr>
            <w:pStyle w:val="TOC3"/>
            <w:rPr>
              <w:rFonts w:asciiTheme="minorHAnsi" w:eastAsiaTheme="minorEastAsia" w:hAnsiTheme="minorHAnsi" w:cstheme="minorBidi"/>
              <w:noProof/>
              <w:lang w:eastAsia="en-AU"/>
            </w:rPr>
          </w:pPr>
          <w:hyperlink w:anchor="_Toc430081300" w:history="1">
            <w:r w:rsidRPr="00CB1F07">
              <w:rPr>
                <w:rStyle w:val="Hyperlink"/>
                <w:noProof/>
              </w:rPr>
              <w:t>Clinical questions</w:t>
            </w:r>
            <w:r>
              <w:rPr>
                <w:noProof/>
                <w:webHidden/>
              </w:rPr>
              <w:tab/>
            </w:r>
            <w:r>
              <w:rPr>
                <w:noProof/>
                <w:webHidden/>
              </w:rPr>
              <w:fldChar w:fldCharType="begin"/>
            </w:r>
            <w:r>
              <w:rPr>
                <w:noProof/>
                <w:webHidden/>
              </w:rPr>
              <w:instrText xml:space="preserve"> PAGEREF _Toc430081300 \h </w:instrText>
            </w:r>
            <w:r>
              <w:rPr>
                <w:noProof/>
                <w:webHidden/>
              </w:rPr>
            </w:r>
            <w:r>
              <w:rPr>
                <w:noProof/>
                <w:webHidden/>
              </w:rPr>
              <w:fldChar w:fldCharType="separate"/>
            </w:r>
            <w:r>
              <w:rPr>
                <w:noProof/>
                <w:webHidden/>
              </w:rPr>
              <w:t>26</w:t>
            </w:r>
            <w:r>
              <w:rPr>
                <w:noProof/>
                <w:webHidden/>
              </w:rPr>
              <w:fldChar w:fldCharType="end"/>
            </w:r>
          </w:hyperlink>
        </w:p>
        <w:p w:rsidR="002F16E8" w:rsidRDefault="002F16E8">
          <w:pPr>
            <w:pStyle w:val="TOC3"/>
            <w:rPr>
              <w:rFonts w:asciiTheme="minorHAnsi" w:eastAsiaTheme="minorEastAsia" w:hAnsiTheme="minorHAnsi" w:cstheme="minorBidi"/>
              <w:noProof/>
              <w:lang w:eastAsia="en-AU"/>
            </w:rPr>
          </w:pPr>
          <w:hyperlink w:anchor="_Toc430081301" w:history="1">
            <w:r w:rsidRPr="00CB1F07">
              <w:rPr>
                <w:rStyle w:val="Hyperlink"/>
                <w:noProof/>
              </w:rPr>
              <w:t>Second round evaluation</w:t>
            </w:r>
            <w:r>
              <w:rPr>
                <w:noProof/>
                <w:webHidden/>
              </w:rPr>
              <w:tab/>
            </w:r>
            <w:r>
              <w:rPr>
                <w:noProof/>
                <w:webHidden/>
              </w:rPr>
              <w:fldChar w:fldCharType="begin"/>
            </w:r>
            <w:r>
              <w:rPr>
                <w:noProof/>
                <w:webHidden/>
              </w:rPr>
              <w:instrText xml:space="preserve"> PAGEREF _Toc430081301 \h </w:instrText>
            </w:r>
            <w:r>
              <w:rPr>
                <w:noProof/>
                <w:webHidden/>
              </w:rPr>
            </w:r>
            <w:r>
              <w:rPr>
                <w:noProof/>
                <w:webHidden/>
              </w:rPr>
              <w:fldChar w:fldCharType="separate"/>
            </w:r>
            <w:r>
              <w:rPr>
                <w:noProof/>
                <w:webHidden/>
              </w:rPr>
              <w:t>28</w:t>
            </w:r>
            <w:r>
              <w:rPr>
                <w:noProof/>
                <w:webHidden/>
              </w:rPr>
              <w:fldChar w:fldCharType="end"/>
            </w:r>
          </w:hyperlink>
        </w:p>
        <w:p w:rsidR="002F16E8" w:rsidRDefault="002F16E8">
          <w:pPr>
            <w:pStyle w:val="TOC3"/>
            <w:rPr>
              <w:rFonts w:asciiTheme="minorHAnsi" w:eastAsiaTheme="minorEastAsia" w:hAnsiTheme="minorHAnsi" w:cstheme="minorBidi"/>
              <w:noProof/>
              <w:lang w:eastAsia="en-AU"/>
            </w:rPr>
          </w:pPr>
          <w:hyperlink w:anchor="_Toc430081302" w:history="1">
            <w:r w:rsidRPr="00CB1F07">
              <w:rPr>
                <w:rStyle w:val="Hyperlink"/>
                <w:noProof/>
              </w:rPr>
              <w:t>Second round benefit-risk assessment</w:t>
            </w:r>
            <w:r>
              <w:rPr>
                <w:noProof/>
                <w:webHidden/>
              </w:rPr>
              <w:tab/>
            </w:r>
            <w:r>
              <w:rPr>
                <w:noProof/>
                <w:webHidden/>
              </w:rPr>
              <w:fldChar w:fldCharType="begin"/>
            </w:r>
            <w:r>
              <w:rPr>
                <w:noProof/>
                <w:webHidden/>
              </w:rPr>
              <w:instrText xml:space="preserve"> PAGEREF _Toc430081302 \h </w:instrText>
            </w:r>
            <w:r>
              <w:rPr>
                <w:noProof/>
                <w:webHidden/>
              </w:rPr>
            </w:r>
            <w:r>
              <w:rPr>
                <w:noProof/>
                <w:webHidden/>
              </w:rPr>
              <w:fldChar w:fldCharType="separate"/>
            </w:r>
            <w:r>
              <w:rPr>
                <w:noProof/>
                <w:webHidden/>
              </w:rPr>
              <w:t>28</w:t>
            </w:r>
            <w:r>
              <w:rPr>
                <w:noProof/>
                <w:webHidden/>
              </w:rPr>
              <w:fldChar w:fldCharType="end"/>
            </w:r>
          </w:hyperlink>
        </w:p>
        <w:p w:rsidR="002F16E8" w:rsidRDefault="002F16E8">
          <w:pPr>
            <w:pStyle w:val="TOC2"/>
            <w:rPr>
              <w:rFonts w:asciiTheme="minorHAnsi" w:eastAsiaTheme="minorEastAsia" w:hAnsiTheme="minorHAnsi" w:cstheme="minorBidi"/>
              <w:b w:val="0"/>
              <w:noProof/>
              <w:sz w:val="22"/>
              <w:lang w:eastAsia="en-AU"/>
            </w:rPr>
          </w:pPr>
          <w:hyperlink w:anchor="_Toc430081303" w:history="1">
            <w:r w:rsidRPr="00CB1F07">
              <w:rPr>
                <w:rStyle w:val="Hyperlink"/>
                <w:noProof/>
              </w:rPr>
              <w:t>V. Pharmacovigilance findings</w:t>
            </w:r>
            <w:r>
              <w:rPr>
                <w:noProof/>
                <w:webHidden/>
              </w:rPr>
              <w:tab/>
            </w:r>
            <w:r>
              <w:rPr>
                <w:noProof/>
                <w:webHidden/>
              </w:rPr>
              <w:fldChar w:fldCharType="begin"/>
            </w:r>
            <w:r>
              <w:rPr>
                <w:noProof/>
                <w:webHidden/>
              </w:rPr>
              <w:instrText xml:space="preserve"> PAGEREF _Toc430081303 \h </w:instrText>
            </w:r>
            <w:r>
              <w:rPr>
                <w:noProof/>
                <w:webHidden/>
              </w:rPr>
            </w:r>
            <w:r>
              <w:rPr>
                <w:noProof/>
                <w:webHidden/>
              </w:rPr>
              <w:fldChar w:fldCharType="separate"/>
            </w:r>
            <w:r>
              <w:rPr>
                <w:noProof/>
                <w:webHidden/>
              </w:rPr>
              <w:t>28</w:t>
            </w:r>
            <w:r>
              <w:rPr>
                <w:noProof/>
                <w:webHidden/>
              </w:rPr>
              <w:fldChar w:fldCharType="end"/>
            </w:r>
          </w:hyperlink>
        </w:p>
        <w:p w:rsidR="002F16E8" w:rsidRDefault="002F16E8">
          <w:pPr>
            <w:pStyle w:val="TOC3"/>
            <w:rPr>
              <w:rFonts w:asciiTheme="minorHAnsi" w:eastAsiaTheme="minorEastAsia" w:hAnsiTheme="minorHAnsi" w:cstheme="minorBidi"/>
              <w:noProof/>
              <w:lang w:eastAsia="en-AU"/>
            </w:rPr>
          </w:pPr>
          <w:hyperlink w:anchor="_Toc430081304" w:history="1">
            <w:r w:rsidRPr="00CB1F07">
              <w:rPr>
                <w:rStyle w:val="Hyperlink"/>
                <w:noProof/>
                <w:lang w:eastAsia="en-AU"/>
              </w:rPr>
              <w:t xml:space="preserve">Risk </w:t>
            </w:r>
            <w:r w:rsidRPr="00CB1F07">
              <w:rPr>
                <w:rStyle w:val="Hyperlink"/>
                <w:noProof/>
              </w:rPr>
              <w:t>management</w:t>
            </w:r>
            <w:r w:rsidRPr="00CB1F07">
              <w:rPr>
                <w:rStyle w:val="Hyperlink"/>
                <w:noProof/>
                <w:lang w:eastAsia="en-AU"/>
              </w:rPr>
              <w:t xml:space="preserve"> plan</w:t>
            </w:r>
            <w:r>
              <w:rPr>
                <w:noProof/>
                <w:webHidden/>
              </w:rPr>
              <w:tab/>
            </w:r>
            <w:r>
              <w:rPr>
                <w:noProof/>
                <w:webHidden/>
              </w:rPr>
              <w:fldChar w:fldCharType="begin"/>
            </w:r>
            <w:r>
              <w:rPr>
                <w:noProof/>
                <w:webHidden/>
              </w:rPr>
              <w:instrText xml:space="preserve"> PAGEREF _Toc430081304 \h </w:instrText>
            </w:r>
            <w:r>
              <w:rPr>
                <w:noProof/>
                <w:webHidden/>
              </w:rPr>
            </w:r>
            <w:r>
              <w:rPr>
                <w:noProof/>
                <w:webHidden/>
              </w:rPr>
              <w:fldChar w:fldCharType="separate"/>
            </w:r>
            <w:r>
              <w:rPr>
                <w:noProof/>
                <w:webHidden/>
              </w:rPr>
              <w:t>28</w:t>
            </w:r>
            <w:r>
              <w:rPr>
                <w:noProof/>
                <w:webHidden/>
              </w:rPr>
              <w:fldChar w:fldCharType="end"/>
            </w:r>
          </w:hyperlink>
        </w:p>
        <w:p w:rsidR="002F16E8" w:rsidRDefault="002F16E8">
          <w:pPr>
            <w:pStyle w:val="TOC2"/>
            <w:rPr>
              <w:rFonts w:asciiTheme="minorHAnsi" w:eastAsiaTheme="minorEastAsia" w:hAnsiTheme="minorHAnsi" w:cstheme="minorBidi"/>
              <w:b w:val="0"/>
              <w:noProof/>
              <w:sz w:val="22"/>
              <w:lang w:eastAsia="en-AU"/>
            </w:rPr>
          </w:pPr>
          <w:hyperlink w:anchor="_Toc430081305" w:history="1">
            <w:r w:rsidRPr="00CB1F07">
              <w:rPr>
                <w:rStyle w:val="Hyperlink"/>
                <w:noProof/>
              </w:rPr>
              <w:t>VI. Overall conclusion and risk/benefit assessment</w:t>
            </w:r>
            <w:r>
              <w:rPr>
                <w:noProof/>
                <w:webHidden/>
              </w:rPr>
              <w:tab/>
            </w:r>
            <w:r>
              <w:rPr>
                <w:noProof/>
                <w:webHidden/>
              </w:rPr>
              <w:fldChar w:fldCharType="begin"/>
            </w:r>
            <w:r>
              <w:rPr>
                <w:noProof/>
                <w:webHidden/>
              </w:rPr>
              <w:instrText xml:space="preserve"> PAGEREF _Toc430081305 \h </w:instrText>
            </w:r>
            <w:r>
              <w:rPr>
                <w:noProof/>
                <w:webHidden/>
              </w:rPr>
            </w:r>
            <w:r>
              <w:rPr>
                <w:noProof/>
                <w:webHidden/>
              </w:rPr>
              <w:fldChar w:fldCharType="separate"/>
            </w:r>
            <w:r>
              <w:rPr>
                <w:noProof/>
                <w:webHidden/>
              </w:rPr>
              <w:t>36</w:t>
            </w:r>
            <w:r>
              <w:rPr>
                <w:noProof/>
                <w:webHidden/>
              </w:rPr>
              <w:fldChar w:fldCharType="end"/>
            </w:r>
          </w:hyperlink>
        </w:p>
        <w:p w:rsidR="002F16E8" w:rsidRDefault="002F16E8">
          <w:pPr>
            <w:pStyle w:val="TOC3"/>
            <w:rPr>
              <w:rFonts w:asciiTheme="minorHAnsi" w:eastAsiaTheme="minorEastAsia" w:hAnsiTheme="minorHAnsi" w:cstheme="minorBidi"/>
              <w:noProof/>
              <w:lang w:eastAsia="en-AU"/>
            </w:rPr>
          </w:pPr>
          <w:hyperlink w:anchor="_Toc430081306" w:history="1">
            <w:r w:rsidRPr="00CB1F07">
              <w:rPr>
                <w:rStyle w:val="Hyperlink"/>
                <w:noProof/>
              </w:rPr>
              <w:t>Quality</w:t>
            </w:r>
            <w:r>
              <w:rPr>
                <w:noProof/>
                <w:webHidden/>
              </w:rPr>
              <w:tab/>
            </w:r>
            <w:r>
              <w:rPr>
                <w:noProof/>
                <w:webHidden/>
              </w:rPr>
              <w:fldChar w:fldCharType="begin"/>
            </w:r>
            <w:r>
              <w:rPr>
                <w:noProof/>
                <w:webHidden/>
              </w:rPr>
              <w:instrText xml:space="preserve"> PAGEREF _Toc430081306 \h </w:instrText>
            </w:r>
            <w:r>
              <w:rPr>
                <w:noProof/>
                <w:webHidden/>
              </w:rPr>
            </w:r>
            <w:r>
              <w:rPr>
                <w:noProof/>
                <w:webHidden/>
              </w:rPr>
              <w:fldChar w:fldCharType="separate"/>
            </w:r>
            <w:r>
              <w:rPr>
                <w:noProof/>
                <w:webHidden/>
              </w:rPr>
              <w:t>36</w:t>
            </w:r>
            <w:r>
              <w:rPr>
                <w:noProof/>
                <w:webHidden/>
              </w:rPr>
              <w:fldChar w:fldCharType="end"/>
            </w:r>
          </w:hyperlink>
        </w:p>
        <w:p w:rsidR="002F16E8" w:rsidRDefault="002F16E8">
          <w:pPr>
            <w:pStyle w:val="TOC3"/>
            <w:rPr>
              <w:rFonts w:asciiTheme="minorHAnsi" w:eastAsiaTheme="minorEastAsia" w:hAnsiTheme="minorHAnsi" w:cstheme="minorBidi"/>
              <w:noProof/>
              <w:lang w:eastAsia="en-AU"/>
            </w:rPr>
          </w:pPr>
          <w:hyperlink w:anchor="_Toc430081307" w:history="1">
            <w:r w:rsidRPr="00CB1F07">
              <w:rPr>
                <w:rStyle w:val="Hyperlink"/>
                <w:noProof/>
              </w:rPr>
              <w:t>Nonclinical</w:t>
            </w:r>
            <w:r>
              <w:rPr>
                <w:noProof/>
                <w:webHidden/>
              </w:rPr>
              <w:tab/>
            </w:r>
            <w:r>
              <w:rPr>
                <w:noProof/>
                <w:webHidden/>
              </w:rPr>
              <w:fldChar w:fldCharType="begin"/>
            </w:r>
            <w:r>
              <w:rPr>
                <w:noProof/>
                <w:webHidden/>
              </w:rPr>
              <w:instrText xml:space="preserve"> PAGEREF _Toc430081307 \h </w:instrText>
            </w:r>
            <w:r>
              <w:rPr>
                <w:noProof/>
                <w:webHidden/>
              </w:rPr>
            </w:r>
            <w:r>
              <w:rPr>
                <w:noProof/>
                <w:webHidden/>
              </w:rPr>
              <w:fldChar w:fldCharType="separate"/>
            </w:r>
            <w:r>
              <w:rPr>
                <w:noProof/>
                <w:webHidden/>
              </w:rPr>
              <w:t>36</w:t>
            </w:r>
            <w:r>
              <w:rPr>
                <w:noProof/>
                <w:webHidden/>
              </w:rPr>
              <w:fldChar w:fldCharType="end"/>
            </w:r>
          </w:hyperlink>
        </w:p>
        <w:p w:rsidR="002F16E8" w:rsidRDefault="002F16E8">
          <w:pPr>
            <w:pStyle w:val="TOC3"/>
            <w:rPr>
              <w:rFonts w:asciiTheme="minorHAnsi" w:eastAsiaTheme="minorEastAsia" w:hAnsiTheme="minorHAnsi" w:cstheme="minorBidi"/>
              <w:noProof/>
              <w:lang w:eastAsia="en-AU"/>
            </w:rPr>
          </w:pPr>
          <w:hyperlink w:anchor="_Toc430081308" w:history="1">
            <w:r w:rsidRPr="00CB1F07">
              <w:rPr>
                <w:rStyle w:val="Hyperlink"/>
                <w:noProof/>
              </w:rPr>
              <w:t>Clinical</w:t>
            </w:r>
            <w:r>
              <w:rPr>
                <w:noProof/>
                <w:webHidden/>
              </w:rPr>
              <w:tab/>
            </w:r>
            <w:r>
              <w:rPr>
                <w:noProof/>
                <w:webHidden/>
              </w:rPr>
              <w:fldChar w:fldCharType="begin"/>
            </w:r>
            <w:r>
              <w:rPr>
                <w:noProof/>
                <w:webHidden/>
              </w:rPr>
              <w:instrText xml:space="preserve"> PAGEREF _Toc430081308 \h </w:instrText>
            </w:r>
            <w:r>
              <w:rPr>
                <w:noProof/>
                <w:webHidden/>
              </w:rPr>
            </w:r>
            <w:r>
              <w:rPr>
                <w:noProof/>
                <w:webHidden/>
              </w:rPr>
              <w:fldChar w:fldCharType="separate"/>
            </w:r>
            <w:r>
              <w:rPr>
                <w:noProof/>
                <w:webHidden/>
              </w:rPr>
              <w:t>37</w:t>
            </w:r>
            <w:r>
              <w:rPr>
                <w:noProof/>
                <w:webHidden/>
              </w:rPr>
              <w:fldChar w:fldCharType="end"/>
            </w:r>
          </w:hyperlink>
        </w:p>
        <w:p w:rsidR="002F16E8" w:rsidRDefault="002F16E8">
          <w:pPr>
            <w:pStyle w:val="TOC3"/>
            <w:rPr>
              <w:rFonts w:asciiTheme="minorHAnsi" w:eastAsiaTheme="minorEastAsia" w:hAnsiTheme="minorHAnsi" w:cstheme="minorBidi"/>
              <w:noProof/>
              <w:lang w:eastAsia="en-AU"/>
            </w:rPr>
          </w:pPr>
          <w:hyperlink w:anchor="_Toc430081309" w:history="1">
            <w:r w:rsidRPr="00CB1F07">
              <w:rPr>
                <w:rStyle w:val="Hyperlink"/>
                <w:noProof/>
              </w:rPr>
              <w:t>RMP evaluation</w:t>
            </w:r>
            <w:r>
              <w:rPr>
                <w:noProof/>
                <w:webHidden/>
              </w:rPr>
              <w:tab/>
            </w:r>
            <w:r>
              <w:rPr>
                <w:noProof/>
                <w:webHidden/>
              </w:rPr>
              <w:fldChar w:fldCharType="begin"/>
            </w:r>
            <w:r>
              <w:rPr>
                <w:noProof/>
                <w:webHidden/>
              </w:rPr>
              <w:instrText xml:space="preserve"> PAGEREF _Toc430081309 \h </w:instrText>
            </w:r>
            <w:r>
              <w:rPr>
                <w:noProof/>
                <w:webHidden/>
              </w:rPr>
            </w:r>
            <w:r>
              <w:rPr>
                <w:noProof/>
                <w:webHidden/>
              </w:rPr>
              <w:fldChar w:fldCharType="separate"/>
            </w:r>
            <w:r>
              <w:rPr>
                <w:noProof/>
                <w:webHidden/>
              </w:rPr>
              <w:t>45</w:t>
            </w:r>
            <w:r>
              <w:rPr>
                <w:noProof/>
                <w:webHidden/>
              </w:rPr>
              <w:fldChar w:fldCharType="end"/>
            </w:r>
          </w:hyperlink>
        </w:p>
        <w:p w:rsidR="002F16E8" w:rsidRDefault="002F16E8">
          <w:pPr>
            <w:pStyle w:val="TOC3"/>
            <w:rPr>
              <w:rFonts w:asciiTheme="minorHAnsi" w:eastAsiaTheme="minorEastAsia" w:hAnsiTheme="minorHAnsi" w:cstheme="minorBidi"/>
              <w:noProof/>
              <w:lang w:eastAsia="en-AU"/>
            </w:rPr>
          </w:pPr>
          <w:hyperlink w:anchor="_Toc430081310" w:history="1">
            <w:r w:rsidRPr="00CB1F07">
              <w:rPr>
                <w:rStyle w:val="Hyperlink"/>
                <w:noProof/>
              </w:rPr>
              <w:t>Risk-benefit analysis</w:t>
            </w:r>
            <w:r>
              <w:rPr>
                <w:noProof/>
                <w:webHidden/>
              </w:rPr>
              <w:tab/>
            </w:r>
            <w:r>
              <w:rPr>
                <w:noProof/>
                <w:webHidden/>
              </w:rPr>
              <w:fldChar w:fldCharType="begin"/>
            </w:r>
            <w:r>
              <w:rPr>
                <w:noProof/>
                <w:webHidden/>
              </w:rPr>
              <w:instrText xml:space="preserve"> PAGEREF _Toc430081310 \h </w:instrText>
            </w:r>
            <w:r>
              <w:rPr>
                <w:noProof/>
                <w:webHidden/>
              </w:rPr>
            </w:r>
            <w:r>
              <w:rPr>
                <w:noProof/>
                <w:webHidden/>
              </w:rPr>
              <w:fldChar w:fldCharType="separate"/>
            </w:r>
            <w:r>
              <w:rPr>
                <w:noProof/>
                <w:webHidden/>
              </w:rPr>
              <w:t>45</w:t>
            </w:r>
            <w:r>
              <w:rPr>
                <w:noProof/>
                <w:webHidden/>
              </w:rPr>
              <w:fldChar w:fldCharType="end"/>
            </w:r>
          </w:hyperlink>
        </w:p>
        <w:p w:rsidR="002F16E8" w:rsidRDefault="002F16E8">
          <w:pPr>
            <w:pStyle w:val="TOC3"/>
            <w:rPr>
              <w:rFonts w:asciiTheme="minorHAnsi" w:eastAsiaTheme="minorEastAsia" w:hAnsiTheme="minorHAnsi" w:cstheme="minorBidi"/>
              <w:noProof/>
              <w:lang w:eastAsia="en-AU"/>
            </w:rPr>
          </w:pPr>
          <w:hyperlink w:anchor="_Toc430081311" w:history="1">
            <w:r w:rsidRPr="00CB1F07">
              <w:rPr>
                <w:rStyle w:val="Hyperlink"/>
                <w:noProof/>
              </w:rPr>
              <w:t>Outcome</w:t>
            </w:r>
            <w:r>
              <w:rPr>
                <w:noProof/>
                <w:webHidden/>
              </w:rPr>
              <w:tab/>
            </w:r>
            <w:r>
              <w:rPr>
                <w:noProof/>
                <w:webHidden/>
              </w:rPr>
              <w:fldChar w:fldCharType="begin"/>
            </w:r>
            <w:r>
              <w:rPr>
                <w:noProof/>
                <w:webHidden/>
              </w:rPr>
              <w:instrText xml:space="preserve"> PAGEREF _Toc430081311 \h </w:instrText>
            </w:r>
            <w:r>
              <w:rPr>
                <w:noProof/>
                <w:webHidden/>
              </w:rPr>
            </w:r>
            <w:r>
              <w:rPr>
                <w:noProof/>
                <w:webHidden/>
              </w:rPr>
              <w:fldChar w:fldCharType="separate"/>
            </w:r>
            <w:r>
              <w:rPr>
                <w:noProof/>
                <w:webHidden/>
              </w:rPr>
              <w:t>51</w:t>
            </w:r>
            <w:r>
              <w:rPr>
                <w:noProof/>
                <w:webHidden/>
              </w:rPr>
              <w:fldChar w:fldCharType="end"/>
            </w:r>
          </w:hyperlink>
        </w:p>
        <w:p w:rsidR="002F16E8" w:rsidRDefault="002F16E8">
          <w:pPr>
            <w:pStyle w:val="TOC2"/>
            <w:rPr>
              <w:rFonts w:asciiTheme="minorHAnsi" w:eastAsiaTheme="minorEastAsia" w:hAnsiTheme="minorHAnsi" w:cstheme="minorBidi"/>
              <w:b w:val="0"/>
              <w:noProof/>
              <w:sz w:val="22"/>
              <w:lang w:eastAsia="en-AU"/>
            </w:rPr>
          </w:pPr>
          <w:hyperlink w:anchor="_Toc430081312" w:history="1">
            <w:r w:rsidRPr="00CB1F07">
              <w:rPr>
                <w:rStyle w:val="Hyperlink"/>
                <w:noProof/>
              </w:rPr>
              <w:t>Attachment 1. Product Information</w:t>
            </w:r>
            <w:r>
              <w:rPr>
                <w:noProof/>
                <w:webHidden/>
              </w:rPr>
              <w:tab/>
            </w:r>
            <w:r>
              <w:rPr>
                <w:noProof/>
                <w:webHidden/>
              </w:rPr>
              <w:fldChar w:fldCharType="begin"/>
            </w:r>
            <w:r>
              <w:rPr>
                <w:noProof/>
                <w:webHidden/>
              </w:rPr>
              <w:instrText xml:space="preserve"> PAGEREF _Toc430081312 \h </w:instrText>
            </w:r>
            <w:r>
              <w:rPr>
                <w:noProof/>
                <w:webHidden/>
              </w:rPr>
            </w:r>
            <w:r>
              <w:rPr>
                <w:noProof/>
                <w:webHidden/>
              </w:rPr>
              <w:fldChar w:fldCharType="separate"/>
            </w:r>
            <w:r>
              <w:rPr>
                <w:noProof/>
                <w:webHidden/>
              </w:rPr>
              <w:t>52</w:t>
            </w:r>
            <w:r>
              <w:rPr>
                <w:noProof/>
                <w:webHidden/>
              </w:rPr>
              <w:fldChar w:fldCharType="end"/>
            </w:r>
          </w:hyperlink>
        </w:p>
        <w:p w:rsidR="002F16E8" w:rsidRDefault="002F16E8">
          <w:pPr>
            <w:pStyle w:val="TOC2"/>
            <w:rPr>
              <w:rFonts w:asciiTheme="minorHAnsi" w:eastAsiaTheme="minorEastAsia" w:hAnsiTheme="minorHAnsi" w:cstheme="minorBidi"/>
              <w:b w:val="0"/>
              <w:noProof/>
              <w:sz w:val="22"/>
              <w:lang w:eastAsia="en-AU"/>
            </w:rPr>
          </w:pPr>
          <w:hyperlink w:anchor="_Toc430081313" w:history="1">
            <w:r w:rsidRPr="00CB1F07">
              <w:rPr>
                <w:rStyle w:val="Hyperlink"/>
                <w:noProof/>
                <w:lang w:eastAsia="en-AU"/>
              </w:rPr>
              <w:t>Attachment 2. Extract from the Clinical Evaluation Report</w:t>
            </w:r>
            <w:r>
              <w:rPr>
                <w:noProof/>
                <w:webHidden/>
              </w:rPr>
              <w:tab/>
            </w:r>
            <w:r>
              <w:rPr>
                <w:noProof/>
                <w:webHidden/>
              </w:rPr>
              <w:fldChar w:fldCharType="begin"/>
            </w:r>
            <w:r>
              <w:rPr>
                <w:noProof/>
                <w:webHidden/>
              </w:rPr>
              <w:instrText xml:space="preserve"> PAGEREF _Toc430081313 \h </w:instrText>
            </w:r>
            <w:r>
              <w:rPr>
                <w:noProof/>
                <w:webHidden/>
              </w:rPr>
            </w:r>
            <w:r>
              <w:rPr>
                <w:noProof/>
                <w:webHidden/>
              </w:rPr>
              <w:fldChar w:fldCharType="separate"/>
            </w:r>
            <w:r>
              <w:rPr>
                <w:noProof/>
                <w:webHidden/>
              </w:rPr>
              <w:t>52</w:t>
            </w:r>
            <w:r>
              <w:rPr>
                <w:noProof/>
                <w:webHidden/>
              </w:rPr>
              <w:fldChar w:fldCharType="end"/>
            </w:r>
          </w:hyperlink>
        </w:p>
        <w:p w:rsidR="003A7F6C" w:rsidRPr="00B811C6" w:rsidRDefault="00DB6124" w:rsidP="00B811C6">
          <w:pPr>
            <w:pStyle w:val="TOC2"/>
          </w:pPr>
          <w:r>
            <w:fldChar w:fldCharType="end"/>
          </w:r>
        </w:p>
      </w:sdtContent>
    </w:sdt>
    <w:bookmarkStart w:id="3" w:name="_Toc314842482" w:displacedByCustomXml="prev"/>
    <w:p w:rsidR="00FD119B" w:rsidRPr="00B67E72" w:rsidRDefault="00FD119B" w:rsidP="00B67E72">
      <w:pPr>
        <w:pStyle w:val="Heading2"/>
        <w:pageBreakBefore/>
      </w:pPr>
      <w:bookmarkStart w:id="4" w:name="_Toc351716269"/>
      <w:bookmarkStart w:id="5" w:name="_Toc351718881"/>
      <w:bookmarkStart w:id="6" w:name="_Toc355338616"/>
      <w:bookmarkStart w:id="7" w:name="_Toc356306144"/>
      <w:bookmarkStart w:id="8" w:name="_Toc430081275"/>
      <w:r w:rsidRPr="00FD119B">
        <w:lastRenderedPageBreak/>
        <w:t>List of abbreviations</w:t>
      </w:r>
      <w:bookmarkEnd w:id="4"/>
      <w:bookmarkEnd w:id="5"/>
      <w:bookmarkEnd w:id="6"/>
      <w:bookmarkEnd w:id="7"/>
      <w:bookmarkEnd w:id="8"/>
    </w:p>
    <w:tbl>
      <w:tblPr>
        <w:tblStyle w:val="TableTGAblue"/>
        <w:tblW w:w="0" w:type="auto"/>
        <w:tblLook w:val="04A0" w:firstRow="1" w:lastRow="0" w:firstColumn="1" w:lastColumn="0" w:noHBand="0" w:noVBand="1"/>
      </w:tblPr>
      <w:tblGrid>
        <w:gridCol w:w="1809"/>
        <w:gridCol w:w="6911"/>
      </w:tblGrid>
      <w:tr w:rsidR="00FD119B" w:rsidRPr="00FD119B" w:rsidTr="00FD119B">
        <w:trPr>
          <w:cnfStyle w:val="100000000000" w:firstRow="1" w:lastRow="0" w:firstColumn="0" w:lastColumn="0" w:oddVBand="0" w:evenVBand="0" w:oddHBand="0" w:evenHBand="0" w:firstRowFirstColumn="0" w:firstRowLastColumn="0" w:lastRowFirstColumn="0" w:lastRowLastColumn="0"/>
        </w:trPr>
        <w:tc>
          <w:tcPr>
            <w:tcW w:w="1809" w:type="dxa"/>
          </w:tcPr>
          <w:p w:rsidR="00FD119B" w:rsidRPr="00FD119B" w:rsidRDefault="00FD119B" w:rsidP="00FD119B">
            <w:pPr>
              <w:keepNext w:val="0"/>
              <w:ind w:left="0" w:right="0"/>
              <w:rPr>
                <w:szCs w:val="22"/>
                <w:lang w:eastAsia="en-US"/>
              </w:rPr>
            </w:pPr>
            <w:r w:rsidRPr="00FD119B">
              <w:rPr>
                <w:szCs w:val="22"/>
                <w:lang w:eastAsia="en-US"/>
              </w:rPr>
              <w:t>Abbreviation</w:t>
            </w:r>
          </w:p>
        </w:tc>
        <w:tc>
          <w:tcPr>
            <w:tcW w:w="6911" w:type="dxa"/>
          </w:tcPr>
          <w:p w:rsidR="00FD119B" w:rsidRPr="00FD119B" w:rsidRDefault="00FD119B" w:rsidP="00FD119B">
            <w:pPr>
              <w:keepNext w:val="0"/>
              <w:ind w:left="0" w:right="0"/>
              <w:rPr>
                <w:szCs w:val="22"/>
                <w:lang w:eastAsia="en-US"/>
              </w:rPr>
            </w:pPr>
            <w:r w:rsidRPr="00FD119B">
              <w:rPr>
                <w:szCs w:val="22"/>
                <w:lang w:eastAsia="en-US"/>
              </w:rPr>
              <w:t>Meaning</w:t>
            </w:r>
          </w:p>
        </w:tc>
      </w:tr>
      <w:tr w:rsidR="003C0259" w:rsidRPr="00FD119B" w:rsidTr="00C341B3">
        <w:tc>
          <w:tcPr>
            <w:tcW w:w="1809" w:type="dxa"/>
          </w:tcPr>
          <w:p w:rsidR="003C0259" w:rsidRPr="00FD119B" w:rsidRDefault="003C0259" w:rsidP="00C341B3">
            <w:pPr>
              <w:ind w:left="142" w:right="0"/>
              <w:rPr>
                <w:color w:val="auto"/>
                <w:szCs w:val="22"/>
                <w:lang w:eastAsia="en-US"/>
              </w:rPr>
            </w:pPr>
            <w:r>
              <w:rPr>
                <w:color w:val="auto"/>
                <w:szCs w:val="22"/>
                <w:lang w:eastAsia="en-US"/>
              </w:rPr>
              <w:t>ACPM</w:t>
            </w:r>
          </w:p>
        </w:tc>
        <w:tc>
          <w:tcPr>
            <w:tcW w:w="6911" w:type="dxa"/>
          </w:tcPr>
          <w:p w:rsidR="003C0259" w:rsidRPr="00FD119B" w:rsidRDefault="003C0259" w:rsidP="00C341B3">
            <w:pPr>
              <w:ind w:left="176" w:right="0"/>
              <w:rPr>
                <w:color w:val="auto"/>
                <w:szCs w:val="22"/>
                <w:lang w:eastAsia="en-US"/>
              </w:rPr>
            </w:pPr>
            <w:r w:rsidRPr="00C61C97">
              <w:rPr>
                <w:color w:val="auto"/>
                <w:szCs w:val="22"/>
                <w:lang w:eastAsia="en-US"/>
              </w:rPr>
              <w:t>Advisory Committee on Prescription Medicines</w:t>
            </w:r>
          </w:p>
        </w:tc>
      </w:tr>
      <w:tr w:rsidR="00943425" w:rsidRPr="00FD119B" w:rsidTr="00C341B3">
        <w:tc>
          <w:tcPr>
            <w:tcW w:w="1809" w:type="dxa"/>
          </w:tcPr>
          <w:p w:rsidR="00943425" w:rsidRPr="00FD119B" w:rsidRDefault="00943425" w:rsidP="00C341B3">
            <w:pPr>
              <w:ind w:left="142" w:right="0"/>
              <w:rPr>
                <w:color w:val="auto"/>
                <w:szCs w:val="22"/>
                <w:lang w:eastAsia="en-US"/>
              </w:rPr>
            </w:pPr>
            <w:r>
              <w:rPr>
                <w:color w:val="auto"/>
                <w:szCs w:val="22"/>
                <w:lang w:eastAsia="en-US"/>
              </w:rPr>
              <w:t>ACSOV</w:t>
            </w:r>
          </w:p>
        </w:tc>
        <w:tc>
          <w:tcPr>
            <w:tcW w:w="6911" w:type="dxa"/>
          </w:tcPr>
          <w:p w:rsidR="00943425" w:rsidRPr="00FD119B" w:rsidRDefault="00943425" w:rsidP="00C341B3">
            <w:pPr>
              <w:ind w:left="176" w:right="0"/>
              <w:rPr>
                <w:color w:val="auto"/>
                <w:szCs w:val="22"/>
                <w:lang w:eastAsia="en-US"/>
              </w:rPr>
            </w:pPr>
            <w:r w:rsidRPr="004C6BFA">
              <w:rPr>
                <w:color w:val="auto"/>
                <w:szCs w:val="22"/>
                <w:lang w:eastAsia="en-US"/>
              </w:rPr>
              <w:t>Advisory Committee on the Safety of Vaccines</w:t>
            </w:r>
          </w:p>
        </w:tc>
      </w:tr>
      <w:tr w:rsidR="00943425" w:rsidRPr="00FD119B" w:rsidTr="00C341B3">
        <w:tc>
          <w:tcPr>
            <w:tcW w:w="1809" w:type="dxa"/>
          </w:tcPr>
          <w:p w:rsidR="00943425" w:rsidRPr="00FD119B" w:rsidRDefault="00943425" w:rsidP="00C341B3">
            <w:pPr>
              <w:ind w:left="142" w:right="0"/>
              <w:rPr>
                <w:color w:val="auto"/>
                <w:szCs w:val="22"/>
                <w:lang w:eastAsia="en-US"/>
              </w:rPr>
            </w:pPr>
            <w:r>
              <w:rPr>
                <w:color w:val="auto"/>
                <w:szCs w:val="22"/>
                <w:lang w:eastAsia="en-US"/>
              </w:rPr>
              <w:t>AE</w:t>
            </w:r>
          </w:p>
        </w:tc>
        <w:tc>
          <w:tcPr>
            <w:tcW w:w="6911" w:type="dxa"/>
          </w:tcPr>
          <w:p w:rsidR="00943425" w:rsidRPr="00FD119B" w:rsidRDefault="00943425" w:rsidP="00C341B3">
            <w:pPr>
              <w:ind w:left="176" w:right="0"/>
              <w:rPr>
                <w:color w:val="auto"/>
                <w:szCs w:val="22"/>
                <w:lang w:eastAsia="en-US"/>
              </w:rPr>
            </w:pPr>
            <w:r>
              <w:rPr>
                <w:color w:val="auto"/>
                <w:szCs w:val="22"/>
                <w:lang w:eastAsia="en-US"/>
              </w:rPr>
              <w:t>adverse event</w:t>
            </w:r>
          </w:p>
        </w:tc>
      </w:tr>
      <w:tr w:rsidR="00943425" w:rsidRPr="00FD119B" w:rsidTr="00C341B3">
        <w:tc>
          <w:tcPr>
            <w:tcW w:w="1809" w:type="dxa"/>
          </w:tcPr>
          <w:p w:rsidR="00943425" w:rsidRPr="00FD119B" w:rsidRDefault="00943425" w:rsidP="00C341B3">
            <w:pPr>
              <w:ind w:left="142" w:right="0"/>
              <w:rPr>
                <w:color w:val="auto"/>
                <w:szCs w:val="22"/>
                <w:lang w:eastAsia="en-US"/>
              </w:rPr>
            </w:pPr>
            <w:r>
              <w:rPr>
                <w:color w:val="auto"/>
                <w:szCs w:val="22"/>
                <w:lang w:eastAsia="en-US"/>
              </w:rPr>
              <w:t>ARTG</w:t>
            </w:r>
          </w:p>
        </w:tc>
        <w:tc>
          <w:tcPr>
            <w:tcW w:w="6911" w:type="dxa"/>
          </w:tcPr>
          <w:p w:rsidR="00943425" w:rsidRPr="00FD119B" w:rsidRDefault="00943425" w:rsidP="00C341B3">
            <w:pPr>
              <w:ind w:left="176" w:right="0"/>
              <w:rPr>
                <w:color w:val="auto"/>
                <w:szCs w:val="22"/>
                <w:lang w:eastAsia="en-US"/>
              </w:rPr>
            </w:pPr>
            <w:r w:rsidRPr="00196F09">
              <w:rPr>
                <w:color w:val="auto"/>
                <w:szCs w:val="22"/>
                <w:lang w:eastAsia="en-US"/>
              </w:rPr>
              <w:t>Australian Register of Therapeutic Goods</w:t>
            </w:r>
          </w:p>
        </w:tc>
      </w:tr>
      <w:tr w:rsidR="00943425" w:rsidRPr="00FD119B" w:rsidTr="00C341B3">
        <w:tc>
          <w:tcPr>
            <w:tcW w:w="1809" w:type="dxa"/>
          </w:tcPr>
          <w:p w:rsidR="00943425" w:rsidRPr="00FD119B" w:rsidRDefault="00943425" w:rsidP="00C341B3">
            <w:pPr>
              <w:ind w:left="142" w:right="0"/>
              <w:rPr>
                <w:color w:val="auto"/>
                <w:szCs w:val="22"/>
                <w:lang w:eastAsia="en-US"/>
              </w:rPr>
            </w:pPr>
            <w:r>
              <w:rPr>
                <w:color w:val="auto"/>
                <w:szCs w:val="22"/>
                <w:lang w:eastAsia="en-US"/>
              </w:rPr>
              <w:t>ASA</w:t>
            </w:r>
          </w:p>
        </w:tc>
        <w:tc>
          <w:tcPr>
            <w:tcW w:w="6911" w:type="dxa"/>
          </w:tcPr>
          <w:p w:rsidR="00943425" w:rsidRPr="00FD119B" w:rsidRDefault="00943425" w:rsidP="00C341B3">
            <w:pPr>
              <w:ind w:left="176" w:right="0"/>
              <w:rPr>
                <w:color w:val="auto"/>
                <w:szCs w:val="22"/>
                <w:lang w:eastAsia="en-US"/>
              </w:rPr>
            </w:pPr>
            <w:r>
              <w:t>Australian S</w:t>
            </w:r>
            <w:r w:rsidRPr="00220CCF">
              <w:t>pecific Annex</w:t>
            </w:r>
          </w:p>
        </w:tc>
      </w:tr>
      <w:tr w:rsidR="003C0259" w:rsidRPr="00FD119B" w:rsidTr="00C341B3">
        <w:tc>
          <w:tcPr>
            <w:tcW w:w="1809" w:type="dxa"/>
          </w:tcPr>
          <w:p w:rsidR="003C0259" w:rsidRPr="00FD119B" w:rsidRDefault="003C0259" w:rsidP="00C341B3">
            <w:pPr>
              <w:ind w:left="142" w:right="0"/>
              <w:rPr>
                <w:color w:val="auto"/>
                <w:szCs w:val="22"/>
                <w:lang w:eastAsia="en-US"/>
              </w:rPr>
            </w:pPr>
            <w:r>
              <w:rPr>
                <w:color w:val="auto"/>
                <w:szCs w:val="22"/>
                <w:lang w:eastAsia="en-US"/>
              </w:rPr>
              <w:t>BSA</w:t>
            </w:r>
          </w:p>
        </w:tc>
        <w:tc>
          <w:tcPr>
            <w:tcW w:w="6911" w:type="dxa"/>
          </w:tcPr>
          <w:p w:rsidR="003C0259" w:rsidRPr="00FD119B" w:rsidRDefault="003C0259" w:rsidP="00C341B3">
            <w:pPr>
              <w:ind w:left="176" w:right="0"/>
              <w:rPr>
                <w:color w:val="auto"/>
                <w:szCs w:val="22"/>
                <w:lang w:eastAsia="en-US"/>
              </w:rPr>
            </w:pPr>
            <w:r>
              <w:t>bovine serum albumin</w:t>
            </w:r>
          </w:p>
        </w:tc>
      </w:tr>
      <w:tr w:rsidR="00943425" w:rsidRPr="00FD119B" w:rsidTr="00C341B3">
        <w:tc>
          <w:tcPr>
            <w:tcW w:w="1809" w:type="dxa"/>
          </w:tcPr>
          <w:p w:rsidR="00943425" w:rsidRPr="00FD119B" w:rsidRDefault="00943425" w:rsidP="00C341B3">
            <w:pPr>
              <w:ind w:left="142" w:right="0"/>
              <w:rPr>
                <w:color w:val="auto"/>
                <w:szCs w:val="22"/>
                <w:lang w:eastAsia="en-US"/>
              </w:rPr>
            </w:pPr>
            <w:r>
              <w:rPr>
                <w:color w:val="auto"/>
                <w:szCs w:val="22"/>
                <w:lang w:eastAsia="en-US"/>
              </w:rPr>
              <w:t>CBER</w:t>
            </w:r>
          </w:p>
        </w:tc>
        <w:tc>
          <w:tcPr>
            <w:tcW w:w="6911" w:type="dxa"/>
          </w:tcPr>
          <w:p w:rsidR="00943425" w:rsidRPr="00FD119B" w:rsidRDefault="00943425" w:rsidP="00C341B3">
            <w:pPr>
              <w:ind w:left="176" w:right="0"/>
              <w:rPr>
                <w:color w:val="auto"/>
                <w:szCs w:val="22"/>
                <w:lang w:eastAsia="en-US"/>
              </w:rPr>
            </w:pPr>
            <w:proofErr w:type="spellStart"/>
            <w:r w:rsidRPr="00B54BCA">
              <w:t>Center</w:t>
            </w:r>
            <w:proofErr w:type="spellEnd"/>
            <w:r w:rsidRPr="00B54BCA">
              <w:t xml:space="preserve"> for Biologics Evaluation and Research</w:t>
            </w:r>
          </w:p>
        </w:tc>
      </w:tr>
      <w:tr w:rsidR="003C0259" w:rsidRPr="00FD119B" w:rsidTr="00C341B3">
        <w:tc>
          <w:tcPr>
            <w:tcW w:w="1809" w:type="dxa"/>
          </w:tcPr>
          <w:p w:rsidR="003C0259" w:rsidRPr="00FD119B" w:rsidRDefault="003C0259" w:rsidP="00C341B3">
            <w:pPr>
              <w:ind w:left="142" w:right="0"/>
              <w:rPr>
                <w:color w:val="auto"/>
                <w:szCs w:val="22"/>
                <w:lang w:eastAsia="en-US"/>
              </w:rPr>
            </w:pPr>
            <w:r>
              <w:rPr>
                <w:color w:val="auto"/>
                <w:szCs w:val="22"/>
                <w:lang w:eastAsia="en-US"/>
              </w:rPr>
              <w:t>CMI</w:t>
            </w:r>
          </w:p>
        </w:tc>
        <w:tc>
          <w:tcPr>
            <w:tcW w:w="6911" w:type="dxa"/>
          </w:tcPr>
          <w:p w:rsidR="003C0259" w:rsidRPr="00FD119B" w:rsidRDefault="003C0259" w:rsidP="00C341B3">
            <w:pPr>
              <w:ind w:left="176" w:right="0"/>
              <w:rPr>
                <w:color w:val="auto"/>
                <w:szCs w:val="22"/>
                <w:lang w:eastAsia="en-US"/>
              </w:rPr>
            </w:pPr>
            <w:r w:rsidRPr="004D3785">
              <w:rPr>
                <w:color w:val="auto"/>
                <w:szCs w:val="22"/>
                <w:lang w:eastAsia="en-US"/>
              </w:rPr>
              <w:t>Consumer Medicines Information</w:t>
            </w:r>
          </w:p>
        </w:tc>
      </w:tr>
      <w:tr w:rsidR="00943425" w:rsidRPr="00FD119B" w:rsidTr="00C341B3">
        <w:tc>
          <w:tcPr>
            <w:tcW w:w="1809" w:type="dxa"/>
          </w:tcPr>
          <w:p w:rsidR="00943425" w:rsidRPr="00FD119B" w:rsidRDefault="00943425" w:rsidP="00C341B3">
            <w:pPr>
              <w:ind w:left="142" w:right="0"/>
              <w:rPr>
                <w:color w:val="auto"/>
                <w:szCs w:val="22"/>
                <w:lang w:eastAsia="en-US"/>
              </w:rPr>
            </w:pPr>
            <w:r>
              <w:rPr>
                <w:color w:val="auto"/>
                <w:szCs w:val="22"/>
                <w:lang w:eastAsia="en-US"/>
              </w:rPr>
              <w:t>CPMP</w:t>
            </w:r>
          </w:p>
        </w:tc>
        <w:tc>
          <w:tcPr>
            <w:tcW w:w="6911" w:type="dxa"/>
          </w:tcPr>
          <w:p w:rsidR="00943425" w:rsidRPr="00FD119B" w:rsidRDefault="00943425" w:rsidP="00C341B3">
            <w:pPr>
              <w:ind w:left="176" w:right="0"/>
              <w:rPr>
                <w:color w:val="auto"/>
                <w:szCs w:val="22"/>
                <w:lang w:eastAsia="en-US"/>
              </w:rPr>
            </w:pPr>
            <w:r w:rsidRPr="00406289">
              <w:rPr>
                <w:color w:val="auto"/>
                <w:szCs w:val="22"/>
                <w:lang w:eastAsia="en-US"/>
              </w:rPr>
              <w:t>Committee for Proprietary Medicinal Products</w:t>
            </w:r>
          </w:p>
        </w:tc>
      </w:tr>
      <w:tr w:rsidR="003C0259" w:rsidRPr="00FD119B" w:rsidTr="00C341B3">
        <w:tc>
          <w:tcPr>
            <w:tcW w:w="1809" w:type="dxa"/>
          </w:tcPr>
          <w:p w:rsidR="003C0259" w:rsidRPr="00FD119B" w:rsidRDefault="003C0259" w:rsidP="00C341B3">
            <w:pPr>
              <w:ind w:left="142" w:right="0"/>
              <w:rPr>
                <w:color w:val="auto"/>
                <w:szCs w:val="22"/>
                <w:lang w:eastAsia="en-US"/>
              </w:rPr>
            </w:pPr>
            <w:r>
              <w:rPr>
                <w:color w:val="auto"/>
                <w:szCs w:val="22"/>
                <w:lang w:eastAsia="en-US"/>
              </w:rPr>
              <w:t>CTAB</w:t>
            </w:r>
          </w:p>
        </w:tc>
        <w:tc>
          <w:tcPr>
            <w:tcW w:w="6911" w:type="dxa"/>
          </w:tcPr>
          <w:p w:rsidR="003C0259" w:rsidRPr="00FD119B" w:rsidRDefault="003C0259" w:rsidP="00C341B3">
            <w:pPr>
              <w:ind w:left="176" w:right="0"/>
              <w:rPr>
                <w:color w:val="auto"/>
                <w:szCs w:val="22"/>
                <w:lang w:eastAsia="en-US"/>
              </w:rPr>
            </w:pPr>
            <w:proofErr w:type="spellStart"/>
            <w:r w:rsidRPr="001141D8">
              <w:t>cetyltrimethylammonium</w:t>
            </w:r>
            <w:proofErr w:type="spellEnd"/>
            <w:r w:rsidRPr="001141D8">
              <w:t xml:space="preserve"> bromide</w:t>
            </w:r>
          </w:p>
        </w:tc>
      </w:tr>
      <w:tr w:rsidR="00943425" w:rsidRPr="00FD119B" w:rsidTr="00C341B3">
        <w:tc>
          <w:tcPr>
            <w:tcW w:w="1809" w:type="dxa"/>
          </w:tcPr>
          <w:p w:rsidR="00943425" w:rsidRPr="00FD119B" w:rsidRDefault="00943425" w:rsidP="00C341B3">
            <w:pPr>
              <w:ind w:left="142" w:right="0"/>
              <w:rPr>
                <w:color w:val="auto"/>
                <w:szCs w:val="22"/>
                <w:lang w:eastAsia="en-US"/>
              </w:rPr>
            </w:pPr>
            <w:proofErr w:type="spellStart"/>
            <w:r>
              <w:rPr>
                <w:color w:val="auto"/>
                <w:szCs w:val="22"/>
                <w:lang w:eastAsia="en-US"/>
              </w:rPr>
              <w:t>cTIV</w:t>
            </w:r>
            <w:proofErr w:type="spellEnd"/>
          </w:p>
        </w:tc>
        <w:tc>
          <w:tcPr>
            <w:tcW w:w="6911" w:type="dxa"/>
          </w:tcPr>
          <w:p w:rsidR="00943425" w:rsidRPr="00FD119B" w:rsidRDefault="00943425" w:rsidP="00C341B3">
            <w:pPr>
              <w:ind w:left="176" w:right="0"/>
              <w:rPr>
                <w:color w:val="auto"/>
                <w:szCs w:val="22"/>
                <w:lang w:eastAsia="en-US"/>
              </w:rPr>
            </w:pPr>
            <w:r>
              <w:rPr>
                <w:color w:val="auto"/>
                <w:szCs w:val="22"/>
                <w:lang w:eastAsia="en-US"/>
              </w:rPr>
              <w:t>c</w:t>
            </w:r>
            <w:r w:rsidRPr="00CC41B3">
              <w:rPr>
                <w:color w:val="auto"/>
                <w:szCs w:val="22"/>
                <w:lang w:eastAsia="en-US"/>
              </w:rPr>
              <w:t>ell culture</w:t>
            </w:r>
            <w:r>
              <w:rPr>
                <w:color w:val="auto"/>
                <w:szCs w:val="22"/>
                <w:lang w:eastAsia="en-US"/>
              </w:rPr>
              <w:t xml:space="preserve"> </w:t>
            </w:r>
            <w:r w:rsidRPr="00CC41B3">
              <w:rPr>
                <w:color w:val="auto"/>
                <w:szCs w:val="22"/>
                <w:lang w:eastAsia="en-US"/>
              </w:rPr>
              <w:t>derived influenza vaccine</w:t>
            </w:r>
          </w:p>
        </w:tc>
      </w:tr>
      <w:tr w:rsidR="008B31C2" w:rsidRPr="00FD119B" w:rsidTr="00F973D1">
        <w:tc>
          <w:tcPr>
            <w:tcW w:w="1809" w:type="dxa"/>
          </w:tcPr>
          <w:p w:rsidR="008B31C2" w:rsidRPr="00FD119B" w:rsidRDefault="008B31C2" w:rsidP="00F973D1">
            <w:pPr>
              <w:ind w:left="142" w:right="0"/>
              <w:rPr>
                <w:color w:val="auto"/>
                <w:szCs w:val="22"/>
                <w:lang w:eastAsia="en-US"/>
              </w:rPr>
            </w:pPr>
            <w:r w:rsidRPr="00C1153B">
              <w:t>EMA</w:t>
            </w:r>
          </w:p>
        </w:tc>
        <w:tc>
          <w:tcPr>
            <w:tcW w:w="6911" w:type="dxa"/>
          </w:tcPr>
          <w:p w:rsidR="008B31C2" w:rsidRPr="00FD119B" w:rsidRDefault="008B31C2" w:rsidP="00F973D1">
            <w:pPr>
              <w:ind w:left="176" w:right="0"/>
              <w:rPr>
                <w:color w:val="auto"/>
                <w:szCs w:val="22"/>
                <w:lang w:eastAsia="en-US"/>
              </w:rPr>
            </w:pPr>
            <w:r>
              <w:t>European Medicines Agency</w:t>
            </w:r>
          </w:p>
        </w:tc>
      </w:tr>
      <w:tr w:rsidR="00943425" w:rsidRPr="00FD119B" w:rsidTr="00C341B3">
        <w:tc>
          <w:tcPr>
            <w:tcW w:w="1809" w:type="dxa"/>
          </w:tcPr>
          <w:p w:rsidR="00943425" w:rsidRPr="00FD119B" w:rsidRDefault="00943425" w:rsidP="00C341B3">
            <w:pPr>
              <w:ind w:left="142" w:right="0"/>
              <w:rPr>
                <w:color w:val="auto"/>
                <w:szCs w:val="22"/>
                <w:lang w:eastAsia="en-US"/>
              </w:rPr>
            </w:pPr>
            <w:proofErr w:type="spellStart"/>
            <w:r>
              <w:rPr>
                <w:color w:val="auto"/>
                <w:szCs w:val="22"/>
                <w:lang w:eastAsia="en-US"/>
              </w:rPr>
              <w:t>eTIV</w:t>
            </w:r>
            <w:proofErr w:type="spellEnd"/>
          </w:p>
        </w:tc>
        <w:tc>
          <w:tcPr>
            <w:tcW w:w="6911" w:type="dxa"/>
          </w:tcPr>
          <w:p w:rsidR="00943425" w:rsidRPr="00FD119B" w:rsidRDefault="00943425" w:rsidP="00C341B3">
            <w:pPr>
              <w:ind w:left="176" w:right="0"/>
              <w:rPr>
                <w:color w:val="auto"/>
                <w:szCs w:val="22"/>
                <w:lang w:eastAsia="en-US"/>
              </w:rPr>
            </w:pPr>
            <w:r>
              <w:rPr>
                <w:color w:val="auto"/>
                <w:szCs w:val="22"/>
                <w:lang w:eastAsia="en-US"/>
              </w:rPr>
              <w:t>e</w:t>
            </w:r>
            <w:r w:rsidRPr="0014327A">
              <w:rPr>
                <w:color w:val="auto"/>
                <w:szCs w:val="22"/>
                <w:lang w:eastAsia="en-US"/>
              </w:rPr>
              <w:t>gg</w:t>
            </w:r>
            <w:r>
              <w:rPr>
                <w:color w:val="auto"/>
                <w:szCs w:val="22"/>
                <w:lang w:eastAsia="en-US"/>
              </w:rPr>
              <w:t xml:space="preserve"> </w:t>
            </w:r>
            <w:r w:rsidRPr="0014327A">
              <w:rPr>
                <w:color w:val="auto"/>
                <w:szCs w:val="22"/>
                <w:lang w:eastAsia="en-US"/>
              </w:rPr>
              <w:t xml:space="preserve">derived influenza vaccine </w:t>
            </w:r>
          </w:p>
        </w:tc>
      </w:tr>
      <w:tr w:rsidR="00943425" w:rsidRPr="00FD119B" w:rsidTr="00C341B3">
        <w:tc>
          <w:tcPr>
            <w:tcW w:w="1809" w:type="dxa"/>
          </w:tcPr>
          <w:p w:rsidR="00943425" w:rsidRPr="00FD119B" w:rsidRDefault="00943425" w:rsidP="00C341B3">
            <w:pPr>
              <w:ind w:left="142" w:right="0"/>
              <w:rPr>
                <w:color w:val="auto"/>
                <w:szCs w:val="22"/>
                <w:lang w:eastAsia="en-US"/>
              </w:rPr>
            </w:pPr>
            <w:proofErr w:type="spellStart"/>
            <w:r w:rsidRPr="0014327A">
              <w:rPr>
                <w:color w:val="auto"/>
                <w:szCs w:val="22"/>
                <w:lang w:eastAsia="en-US"/>
              </w:rPr>
              <w:t>eTIVa</w:t>
            </w:r>
            <w:proofErr w:type="spellEnd"/>
          </w:p>
        </w:tc>
        <w:tc>
          <w:tcPr>
            <w:tcW w:w="6911" w:type="dxa"/>
          </w:tcPr>
          <w:p w:rsidR="00943425" w:rsidRPr="00FD119B" w:rsidRDefault="00943425" w:rsidP="00C341B3">
            <w:pPr>
              <w:ind w:left="176" w:right="0"/>
              <w:rPr>
                <w:color w:val="auto"/>
                <w:szCs w:val="22"/>
                <w:lang w:eastAsia="en-US"/>
              </w:rPr>
            </w:pPr>
            <w:proofErr w:type="spellStart"/>
            <w:r w:rsidRPr="0014327A">
              <w:rPr>
                <w:color w:val="auto"/>
                <w:szCs w:val="22"/>
                <w:lang w:eastAsia="en-US"/>
              </w:rPr>
              <w:t>Agrippal</w:t>
            </w:r>
            <w:proofErr w:type="spellEnd"/>
          </w:p>
        </w:tc>
      </w:tr>
      <w:tr w:rsidR="00943425" w:rsidRPr="00FD119B" w:rsidTr="00C341B3">
        <w:tc>
          <w:tcPr>
            <w:tcW w:w="1809" w:type="dxa"/>
          </w:tcPr>
          <w:p w:rsidR="00943425" w:rsidRPr="00FD119B" w:rsidRDefault="00943425" w:rsidP="00C341B3">
            <w:pPr>
              <w:ind w:left="142" w:right="0"/>
              <w:rPr>
                <w:color w:val="auto"/>
                <w:szCs w:val="22"/>
                <w:lang w:eastAsia="en-US"/>
              </w:rPr>
            </w:pPr>
            <w:proofErr w:type="spellStart"/>
            <w:r w:rsidRPr="0014327A">
              <w:rPr>
                <w:color w:val="auto"/>
                <w:szCs w:val="22"/>
                <w:lang w:eastAsia="en-US"/>
              </w:rPr>
              <w:t>eTIVf</w:t>
            </w:r>
            <w:proofErr w:type="spellEnd"/>
          </w:p>
        </w:tc>
        <w:tc>
          <w:tcPr>
            <w:tcW w:w="6911" w:type="dxa"/>
          </w:tcPr>
          <w:p w:rsidR="00943425" w:rsidRPr="00FD119B" w:rsidRDefault="00943425" w:rsidP="00C341B3">
            <w:pPr>
              <w:ind w:left="176" w:right="0"/>
              <w:rPr>
                <w:color w:val="auto"/>
                <w:szCs w:val="22"/>
                <w:lang w:eastAsia="en-US"/>
              </w:rPr>
            </w:pPr>
            <w:r w:rsidRPr="0014327A">
              <w:rPr>
                <w:color w:val="auto"/>
                <w:szCs w:val="22"/>
                <w:lang w:eastAsia="en-US"/>
              </w:rPr>
              <w:t>Fluvirin</w:t>
            </w:r>
          </w:p>
        </w:tc>
      </w:tr>
      <w:tr w:rsidR="008B31C2" w:rsidRPr="00FD119B" w:rsidTr="00F973D1">
        <w:tc>
          <w:tcPr>
            <w:tcW w:w="1809" w:type="dxa"/>
          </w:tcPr>
          <w:p w:rsidR="008B31C2" w:rsidRPr="00FD119B" w:rsidRDefault="008B31C2" w:rsidP="00F973D1">
            <w:pPr>
              <w:ind w:left="142" w:right="0"/>
              <w:rPr>
                <w:color w:val="auto"/>
                <w:szCs w:val="22"/>
                <w:lang w:eastAsia="en-US"/>
              </w:rPr>
            </w:pPr>
            <w:r w:rsidRPr="00C1153B">
              <w:t>FDA</w:t>
            </w:r>
          </w:p>
        </w:tc>
        <w:tc>
          <w:tcPr>
            <w:tcW w:w="6911" w:type="dxa"/>
          </w:tcPr>
          <w:p w:rsidR="008B31C2" w:rsidRPr="00FD119B" w:rsidRDefault="008B31C2" w:rsidP="00F973D1">
            <w:pPr>
              <w:ind w:left="176" w:right="0"/>
              <w:rPr>
                <w:color w:val="auto"/>
                <w:szCs w:val="22"/>
                <w:lang w:eastAsia="en-US"/>
              </w:rPr>
            </w:pPr>
            <w:r>
              <w:t>US Food and Drug Administration</w:t>
            </w:r>
          </w:p>
        </w:tc>
      </w:tr>
      <w:tr w:rsidR="003C0259" w:rsidRPr="00FD119B" w:rsidTr="00C341B3">
        <w:tc>
          <w:tcPr>
            <w:tcW w:w="1809" w:type="dxa"/>
          </w:tcPr>
          <w:p w:rsidR="003C0259" w:rsidRPr="00FD119B" w:rsidRDefault="003C0259" w:rsidP="00C341B3">
            <w:pPr>
              <w:ind w:left="142" w:right="0"/>
              <w:rPr>
                <w:color w:val="auto"/>
                <w:szCs w:val="22"/>
                <w:lang w:eastAsia="en-US"/>
              </w:rPr>
            </w:pPr>
            <w:r>
              <w:rPr>
                <w:color w:val="auto"/>
                <w:szCs w:val="22"/>
                <w:lang w:eastAsia="en-US"/>
              </w:rPr>
              <w:t>GLP</w:t>
            </w:r>
          </w:p>
        </w:tc>
        <w:tc>
          <w:tcPr>
            <w:tcW w:w="6911" w:type="dxa"/>
          </w:tcPr>
          <w:p w:rsidR="003C0259" w:rsidRPr="00FD119B" w:rsidRDefault="003C0259" w:rsidP="00C341B3">
            <w:pPr>
              <w:ind w:left="176" w:right="0"/>
              <w:rPr>
                <w:color w:val="auto"/>
                <w:szCs w:val="22"/>
                <w:lang w:eastAsia="en-US"/>
              </w:rPr>
            </w:pPr>
            <w:r>
              <w:t>Good Laboratory Practice</w:t>
            </w:r>
          </w:p>
        </w:tc>
      </w:tr>
      <w:tr w:rsidR="003C0259" w:rsidRPr="00FD119B" w:rsidTr="00C341B3">
        <w:tc>
          <w:tcPr>
            <w:tcW w:w="1809" w:type="dxa"/>
          </w:tcPr>
          <w:p w:rsidR="003C0259" w:rsidRPr="00FD119B" w:rsidRDefault="003C0259" w:rsidP="00C341B3">
            <w:pPr>
              <w:ind w:left="142" w:right="0"/>
              <w:rPr>
                <w:color w:val="auto"/>
                <w:szCs w:val="22"/>
                <w:lang w:eastAsia="en-US"/>
              </w:rPr>
            </w:pPr>
            <w:r>
              <w:rPr>
                <w:color w:val="auto"/>
                <w:szCs w:val="22"/>
                <w:lang w:eastAsia="en-US"/>
              </w:rPr>
              <w:t>GMP</w:t>
            </w:r>
          </w:p>
        </w:tc>
        <w:tc>
          <w:tcPr>
            <w:tcW w:w="6911" w:type="dxa"/>
          </w:tcPr>
          <w:p w:rsidR="003C0259" w:rsidRPr="00FD119B" w:rsidRDefault="003C0259" w:rsidP="00C341B3">
            <w:pPr>
              <w:ind w:left="176" w:right="0"/>
              <w:rPr>
                <w:color w:val="auto"/>
                <w:szCs w:val="22"/>
                <w:lang w:eastAsia="en-US"/>
              </w:rPr>
            </w:pPr>
            <w:r w:rsidRPr="009F70E6">
              <w:t>G</w:t>
            </w:r>
            <w:r>
              <w:t xml:space="preserve">ood </w:t>
            </w:r>
            <w:r w:rsidRPr="009F70E6">
              <w:t>M</w:t>
            </w:r>
            <w:r>
              <w:t xml:space="preserve">anufacturing </w:t>
            </w:r>
            <w:r w:rsidRPr="009F70E6">
              <w:t>P</w:t>
            </w:r>
            <w:r>
              <w:t>ractice</w:t>
            </w:r>
          </w:p>
        </w:tc>
      </w:tr>
      <w:tr w:rsidR="003D13F1" w:rsidRPr="00FD119B" w:rsidTr="00F973D1">
        <w:tc>
          <w:tcPr>
            <w:tcW w:w="1809" w:type="dxa"/>
          </w:tcPr>
          <w:p w:rsidR="003D13F1" w:rsidRPr="00FD119B" w:rsidRDefault="008F2405" w:rsidP="008F2405">
            <w:pPr>
              <w:ind w:left="142" w:right="0"/>
              <w:rPr>
                <w:color w:val="auto"/>
                <w:szCs w:val="22"/>
                <w:lang w:eastAsia="en-US"/>
              </w:rPr>
            </w:pPr>
            <w:r w:rsidRPr="001C70C5">
              <w:t>HA</w:t>
            </w:r>
          </w:p>
        </w:tc>
        <w:tc>
          <w:tcPr>
            <w:tcW w:w="6911" w:type="dxa"/>
          </w:tcPr>
          <w:p w:rsidR="003D13F1" w:rsidRPr="00FD119B" w:rsidRDefault="008F2405" w:rsidP="008F2405">
            <w:pPr>
              <w:ind w:left="176" w:right="0"/>
              <w:rPr>
                <w:color w:val="auto"/>
                <w:szCs w:val="22"/>
                <w:lang w:eastAsia="en-US"/>
              </w:rPr>
            </w:pPr>
            <w:proofErr w:type="spellStart"/>
            <w:r>
              <w:t>haemagglutinin</w:t>
            </w:r>
            <w:proofErr w:type="spellEnd"/>
          </w:p>
        </w:tc>
      </w:tr>
      <w:tr w:rsidR="00016B6D" w:rsidRPr="00FD119B" w:rsidTr="00C341B3">
        <w:tc>
          <w:tcPr>
            <w:tcW w:w="1809" w:type="dxa"/>
          </w:tcPr>
          <w:p w:rsidR="00016B6D" w:rsidRPr="00FD119B" w:rsidRDefault="00016B6D" w:rsidP="00C341B3">
            <w:pPr>
              <w:ind w:left="142" w:right="0"/>
              <w:rPr>
                <w:color w:val="auto"/>
                <w:szCs w:val="22"/>
                <w:lang w:eastAsia="en-US"/>
              </w:rPr>
            </w:pPr>
            <w:r>
              <w:rPr>
                <w:color w:val="auto"/>
                <w:szCs w:val="22"/>
                <w:lang w:eastAsia="en-US"/>
              </w:rPr>
              <w:t>HI</w:t>
            </w:r>
          </w:p>
        </w:tc>
        <w:tc>
          <w:tcPr>
            <w:tcW w:w="6911" w:type="dxa"/>
          </w:tcPr>
          <w:p w:rsidR="00016B6D" w:rsidRPr="00FD119B" w:rsidRDefault="00016B6D" w:rsidP="00C341B3">
            <w:pPr>
              <w:ind w:left="176" w:right="0"/>
              <w:rPr>
                <w:color w:val="auto"/>
                <w:szCs w:val="22"/>
                <w:lang w:eastAsia="en-US"/>
              </w:rPr>
            </w:pPr>
            <w:proofErr w:type="spellStart"/>
            <w:r>
              <w:t>haemagglutinin</w:t>
            </w:r>
            <w:proofErr w:type="spellEnd"/>
            <w:r w:rsidRPr="00526D32">
              <w:t xml:space="preserve"> inhibiting</w:t>
            </w:r>
          </w:p>
        </w:tc>
      </w:tr>
      <w:tr w:rsidR="00943425" w:rsidRPr="00FD119B" w:rsidTr="00C341B3">
        <w:tc>
          <w:tcPr>
            <w:tcW w:w="1809" w:type="dxa"/>
          </w:tcPr>
          <w:p w:rsidR="00943425" w:rsidRPr="00FD119B" w:rsidRDefault="00943425" w:rsidP="00C341B3">
            <w:pPr>
              <w:ind w:left="142" w:right="0"/>
              <w:rPr>
                <w:color w:val="auto"/>
                <w:szCs w:val="22"/>
                <w:lang w:eastAsia="en-US"/>
              </w:rPr>
            </w:pPr>
            <w:r>
              <w:rPr>
                <w:color w:val="auto"/>
                <w:szCs w:val="22"/>
                <w:lang w:eastAsia="en-US"/>
              </w:rPr>
              <w:t>ILI</w:t>
            </w:r>
          </w:p>
        </w:tc>
        <w:tc>
          <w:tcPr>
            <w:tcW w:w="6911" w:type="dxa"/>
          </w:tcPr>
          <w:p w:rsidR="00943425" w:rsidRPr="00FD119B" w:rsidRDefault="00943425" w:rsidP="00C341B3">
            <w:pPr>
              <w:ind w:left="176" w:right="0"/>
              <w:rPr>
                <w:color w:val="auto"/>
                <w:szCs w:val="22"/>
                <w:lang w:eastAsia="en-US"/>
              </w:rPr>
            </w:pPr>
            <w:r>
              <w:t>influenza like illness</w:t>
            </w:r>
          </w:p>
        </w:tc>
      </w:tr>
      <w:tr w:rsidR="00016B6D" w:rsidRPr="00FD119B" w:rsidTr="00C341B3">
        <w:tc>
          <w:tcPr>
            <w:tcW w:w="1809" w:type="dxa"/>
          </w:tcPr>
          <w:p w:rsidR="00016B6D" w:rsidRPr="00FD119B" w:rsidRDefault="00016B6D" w:rsidP="00C341B3">
            <w:pPr>
              <w:ind w:left="142" w:right="0"/>
              <w:rPr>
                <w:color w:val="auto"/>
                <w:szCs w:val="22"/>
                <w:lang w:eastAsia="en-US"/>
              </w:rPr>
            </w:pPr>
            <w:r w:rsidRPr="00C50189">
              <w:t>MDCK</w:t>
            </w:r>
          </w:p>
        </w:tc>
        <w:tc>
          <w:tcPr>
            <w:tcW w:w="6911" w:type="dxa"/>
          </w:tcPr>
          <w:p w:rsidR="00016B6D" w:rsidRPr="00FD119B" w:rsidRDefault="00016B6D" w:rsidP="00C341B3">
            <w:pPr>
              <w:ind w:left="176" w:right="0"/>
              <w:rPr>
                <w:color w:val="auto"/>
                <w:szCs w:val="22"/>
                <w:lang w:eastAsia="en-US"/>
              </w:rPr>
            </w:pPr>
            <w:proofErr w:type="spellStart"/>
            <w:r>
              <w:t>Madin</w:t>
            </w:r>
            <w:proofErr w:type="spellEnd"/>
            <w:r>
              <w:t xml:space="preserve"> </w:t>
            </w:r>
            <w:r w:rsidRPr="00C50189">
              <w:t xml:space="preserve">Darby </w:t>
            </w:r>
            <w:r>
              <w:t>C</w:t>
            </w:r>
            <w:r w:rsidRPr="00C50189">
              <w:t xml:space="preserve">anine </w:t>
            </w:r>
            <w:r>
              <w:t>K</w:t>
            </w:r>
            <w:r w:rsidRPr="00C50189">
              <w:t>idney</w:t>
            </w:r>
          </w:p>
        </w:tc>
      </w:tr>
      <w:tr w:rsidR="008F2405" w:rsidRPr="00FD119B" w:rsidTr="00F973D1">
        <w:tc>
          <w:tcPr>
            <w:tcW w:w="1809" w:type="dxa"/>
          </w:tcPr>
          <w:p w:rsidR="008F2405" w:rsidRPr="00FD119B" w:rsidRDefault="008F2405" w:rsidP="00F973D1">
            <w:pPr>
              <w:ind w:left="142" w:right="0"/>
              <w:rPr>
                <w:color w:val="auto"/>
                <w:szCs w:val="22"/>
                <w:lang w:eastAsia="en-US"/>
              </w:rPr>
            </w:pPr>
            <w:r w:rsidRPr="001C70C5">
              <w:t>NA</w:t>
            </w:r>
          </w:p>
        </w:tc>
        <w:tc>
          <w:tcPr>
            <w:tcW w:w="6911" w:type="dxa"/>
          </w:tcPr>
          <w:p w:rsidR="008F2405" w:rsidRPr="00FD119B" w:rsidRDefault="008F2405" w:rsidP="00F973D1">
            <w:pPr>
              <w:ind w:left="176" w:right="0"/>
              <w:rPr>
                <w:color w:val="auto"/>
                <w:szCs w:val="22"/>
                <w:lang w:eastAsia="en-US"/>
              </w:rPr>
            </w:pPr>
            <w:r w:rsidRPr="001C70C5">
              <w:t>neuraminidase</w:t>
            </w:r>
          </w:p>
        </w:tc>
      </w:tr>
      <w:tr w:rsidR="008F2405" w:rsidRPr="00FD119B" w:rsidTr="00F973D1">
        <w:tc>
          <w:tcPr>
            <w:tcW w:w="1809" w:type="dxa"/>
          </w:tcPr>
          <w:p w:rsidR="008F2405" w:rsidRPr="00FD119B" w:rsidRDefault="002E1404" w:rsidP="00F973D1">
            <w:pPr>
              <w:ind w:left="142" w:right="0"/>
              <w:rPr>
                <w:color w:val="auto"/>
                <w:szCs w:val="22"/>
                <w:lang w:eastAsia="en-US"/>
              </w:rPr>
            </w:pPr>
            <w:r>
              <w:rPr>
                <w:color w:val="auto"/>
                <w:szCs w:val="22"/>
                <w:lang w:eastAsia="en-US"/>
              </w:rPr>
              <w:t>PI</w:t>
            </w:r>
          </w:p>
        </w:tc>
        <w:tc>
          <w:tcPr>
            <w:tcW w:w="6911" w:type="dxa"/>
          </w:tcPr>
          <w:p w:rsidR="008F2405" w:rsidRPr="00FD119B" w:rsidRDefault="002E1404" w:rsidP="00F973D1">
            <w:pPr>
              <w:ind w:left="176" w:right="0"/>
              <w:rPr>
                <w:color w:val="auto"/>
                <w:szCs w:val="22"/>
                <w:lang w:eastAsia="en-US"/>
              </w:rPr>
            </w:pPr>
            <w:r w:rsidRPr="00940A89">
              <w:t>Product Information</w:t>
            </w:r>
          </w:p>
        </w:tc>
      </w:tr>
      <w:tr w:rsidR="00943425" w:rsidRPr="00FD119B" w:rsidTr="00C341B3">
        <w:tc>
          <w:tcPr>
            <w:tcW w:w="1809" w:type="dxa"/>
          </w:tcPr>
          <w:p w:rsidR="00943425" w:rsidRPr="00FD119B" w:rsidRDefault="00943425" w:rsidP="00C341B3">
            <w:pPr>
              <w:ind w:left="142" w:right="0"/>
              <w:rPr>
                <w:color w:val="auto"/>
                <w:szCs w:val="22"/>
                <w:lang w:eastAsia="en-US"/>
              </w:rPr>
            </w:pPr>
            <w:r>
              <w:rPr>
                <w:color w:val="auto"/>
                <w:szCs w:val="22"/>
                <w:lang w:eastAsia="en-US"/>
              </w:rPr>
              <w:lastRenderedPageBreak/>
              <w:t>RMP</w:t>
            </w:r>
          </w:p>
        </w:tc>
        <w:tc>
          <w:tcPr>
            <w:tcW w:w="6911" w:type="dxa"/>
          </w:tcPr>
          <w:p w:rsidR="00943425" w:rsidRPr="00FD119B" w:rsidRDefault="00943425" w:rsidP="00C341B3">
            <w:pPr>
              <w:ind w:left="176" w:right="0"/>
              <w:rPr>
                <w:color w:val="auto"/>
                <w:szCs w:val="22"/>
                <w:lang w:eastAsia="en-US"/>
              </w:rPr>
            </w:pPr>
            <w:r>
              <w:t>Risk Management Plan</w:t>
            </w:r>
          </w:p>
        </w:tc>
      </w:tr>
      <w:tr w:rsidR="008F2405" w:rsidRPr="00FD119B" w:rsidTr="00F973D1">
        <w:tc>
          <w:tcPr>
            <w:tcW w:w="1809" w:type="dxa"/>
          </w:tcPr>
          <w:p w:rsidR="008F2405" w:rsidRPr="00FD119B" w:rsidRDefault="0083291F" w:rsidP="00F973D1">
            <w:pPr>
              <w:ind w:left="142" w:right="0"/>
              <w:rPr>
                <w:color w:val="auto"/>
                <w:szCs w:val="22"/>
                <w:lang w:eastAsia="en-US"/>
              </w:rPr>
            </w:pPr>
            <w:r>
              <w:rPr>
                <w:color w:val="auto"/>
                <w:szCs w:val="22"/>
                <w:lang w:eastAsia="en-US"/>
              </w:rPr>
              <w:t>SAE</w:t>
            </w:r>
          </w:p>
        </w:tc>
        <w:tc>
          <w:tcPr>
            <w:tcW w:w="6911" w:type="dxa"/>
          </w:tcPr>
          <w:p w:rsidR="008F2405" w:rsidRPr="00FD119B" w:rsidRDefault="0083291F" w:rsidP="00F973D1">
            <w:pPr>
              <w:ind w:left="176" w:right="0"/>
              <w:rPr>
                <w:color w:val="auto"/>
                <w:szCs w:val="22"/>
                <w:lang w:eastAsia="en-US"/>
              </w:rPr>
            </w:pPr>
            <w:r>
              <w:rPr>
                <w:color w:val="auto"/>
                <w:szCs w:val="22"/>
                <w:lang w:eastAsia="en-US"/>
              </w:rPr>
              <w:t>serious adverse event</w:t>
            </w:r>
          </w:p>
        </w:tc>
      </w:tr>
      <w:tr w:rsidR="00F34767" w:rsidRPr="00FD119B" w:rsidTr="00C341B3">
        <w:tc>
          <w:tcPr>
            <w:tcW w:w="1809" w:type="dxa"/>
          </w:tcPr>
          <w:p w:rsidR="00F34767" w:rsidRPr="00FD119B" w:rsidRDefault="00104B6E" w:rsidP="00C341B3">
            <w:pPr>
              <w:ind w:left="142" w:right="0"/>
              <w:rPr>
                <w:color w:val="auto"/>
                <w:szCs w:val="22"/>
                <w:lang w:eastAsia="en-US"/>
              </w:rPr>
            </w:pPr>
            <w:proofErr w:type="spellStart"/>
            <w:r>
              <w:rPr>
                <w:color w:val="auto"/>
                <w:szCs w:val="22"/>
                <w:lang w:eastAsia="en-US"/>
              </w:rPr>
              <w:t>SmPC</w:t>
            </w:r>
            <w:proofErr w:type="spellEnd"/>
          </w:p>
        </w:tc>
        <w:tc>
          <w:tcPr>
            <w:tcW w:w="6911" w:type="dxa"/>
          </w:tcPr>
          <w:p w:rsidR="00F34767" w:rsidRPr="00FD119B" w:rsidRDefault="00104B6E" w:rsidP="00C341B3">
            <w:pPr>
              <w:ind w:left="176" w:right="0"/>
              <w:rPr>
                <w:color w:val="auto"/>
                <w:szCs w:val="22"/>
                <w:lang w:eastAsia="en-US"/>
              </w:rPr>
            </w:pPr>
            <w:r w:rsidRPr="00FA2786">
              <w:rPr>
                <w:rFonts w:asciiTheme="minorHAnsi" w:hAnsiTheme="minorHAnsi"/>
              </w:rPr>
              <w:t>Summary of Product Characteristics</w:t>
            </w:r>
          </w:p>
        </w:tc>
      </w:tr>
    </w:tbl>
    <w:p w:rsidR="008E7846" w:rsidRDefault="00F53C07" w:rsidP="00B67E72">
      <w:pPr>
        <w:pStyle w:val="Heading2"/>
        <w:pageBreakBefore/>
      </w:pPr>
      <w:bookmarkStart w:id="9" w:name="_Toc430081276"/>
      <w:r>
        <w:lastRenderedPageBreak/>
        <w:t>I.</w:t>
      </w:r>
      <w:r w:rsidR="008E7846">
        <w:t xml:space="preserve"> Introduction to product submission</w:t>
      </w:r>
      <w:bookmarkEnd w:id="1"/>
      <w:bookmarkEnd w:id="3"/>
      <w:bookmarkEnd w:id="9"/>
    </w:p>
    <w:p w:rsidR="008E7846" w:rsidRDefault="008E7846" w:rsidP="008E7846">
      <w:pPr>
        <w:pStyle w:val="Heading3"/>
        <w:rPr>
          <w:lang w:eastAsia="en-AU"/>
        </w:rPr>
      </w:pPr>
      <w:bookmarkStart w:id="10" w:name="_Toc247691502"/>
      <w:bookmarkStart w:id="11" w:name="_Toc314842483"/>
      <w:bookmarkStart w:id="12" w:name="_Toc430081277"/>
      <w:r>
        <w:rPr>
          <w:lang w:eastAsia="en-AU"/>
        </w:rPr>
        <w:t>Submission details</w:t>
      </w:r>
      <w:bookmarkEnd w:id="10"/>
      <w:bookmarkEnd w:id="11"/>
      <w:bookmarkEnd w:id="12"/>
    </w:p>
    <w:tbl>
      <w:tblPr>
        <w:tblW w:w="9497" w:type="dxa"/>
        <w:tblInd w:w="108" w:type="dxa"/>
        <w:tblLook w:val="01E0" w:firstRow="1" w:lastRow="1" w:firstColumn="1" w:lastColumn="1" w:noHBand="0" w:noVBand="0"/>
      </w:tblPr>
      <w:tblGrid>
        <w:gridCol w:w="2907"/>
        <w:gridCol w:w="6590"/>
      </w:tblGrid>
      <w:tr w:rsidR="008E7846" w:rsidRPr="003D1E62" w:rsidTr="0089635C">
        <w:trPr>
          <w:trHeight w:hRule="exact" w:val="454"/>
        </w:trPr>
        <w:tc>
          <w:tcPr>
            <w:tcW w:w="2907" w:type="dxa"/>
          </w:tcPr>
          <w:p w:rsidR="008E7846" w:rsidRPr="003D1E62" w:rsidRDefault="001B5C90" w:rsidP="001B5C90">
            <w:pPr>
              <w:rPr>
                <w:i/>
              </w:rPr>
            </w:pPr>
            <w:r>
              <w:rPr>
                <w:i/>
              </w:rPr>
              <w:t>Type of s</w:t>
            </w:r>
            <w:r w:rsidR="008E7846" w:rsidRPr="003D1E62">
              <w:rPr>
                <w:i/>
              </w:rPr>
              <w:t>ubmission</w:t>
            </w:r>
            <w:r>
              <w:rPr>
                <w:i/>
              </w:rPr>
              <w:t>:</w:t>
            </w:r>
          </w:p>
        </w:tc>
        <w:tc>
          <w:tcPr>
            <w:tcW w:w="6590" w:type="dxa"/>
          </w:tcPr>
          <w:p w:rsidR="008E7846" w:rsidRPr="003D1E62" w:rsidRDefault="008E7846" w:rsidP="000D0474">
            <w:r w:rsidRPr="003D1E62">
              <w:t xml:space="preserve">New </w:t>
            </w:r>
            <w:r w:rsidR="001B5C90">
              <w:t>c</w:t>
            </w:r>
            <w:r w:rsidRPr="003D1E62">
              <w:t xml:space="preserve">hemical </w:t>
            </w:r>
            <w:r w:rsidR="001B5C90">
              <w:t>e</w:t>
            </w:r>
            <w:r w:rsidR="000D0474">
              <w:t>ntity</w:t>
            </w:r>
          </w:p>
        </w:tc>
      </w:tr>
      <w:tr w:rsidR="008E7846" w:rsidRPr="003D1E62" w:rsidTr="0089635C">
        <w:trPr>
          <w:trHeight w:hRule="exact" w:val="454"/>
        </w:trPr>
        <w:tc>
          <w:tcPr>
            <w:tcW w:w="2907" w:type="dxa"/>
          </w:tcPr>
          <w:p w:rsidR="008E7846" w:rsidRPr="003D1E62" w:rsidRDefault="008E7846" w:rsidP="003D1E62">
            <w:r w:rsidRPr="003D1E62">
              <w:rPr>
                <w:i/>
              </w:rPr>
              <w:t>Decision</w:t>
            </w:r>
            <w:r w:rsidRPr="003D1E62">
              <w:t>:</w:t>
            </w:r>
          </w:p>
        </w:tc>
        <w:tc>
          <w:tcPr>
            <w:tcW w:w="6590" w:type="dxa"/>
          </w:tcPr>
          <w:p w:rsidR="008E7846" w:rsidRPr="003D1E62" w:rsidRDefault="00D15EF2" w:rsidP="00D15EF2">
            <w:r>
              <w:t>Approved</w:t>
            </w:r>
          </w:p>
        </w:tc>
      </w:tr>
      <w:tr w:rsidR="008E7846" w:rsidRPr="003D1E62" w:rsidTr="0089635C">
        <w:trPr>
          <w:trHeight w:hRule="exact" w:val="454"/>
        </w:trPr>
        <w:tc>
          <w:tcPr>
            <w:tcW w:w="2907" w:type="dxa"/>
          </w:tcPr>
          <w:p w:rsidR="008E7846" w:rsidRPr="003D1E62" w:rsidRDefault="008E7846" w:rsidP="001B5C90">
            <w:pPr>
              <w:rPr>
                <w:i/>
              </w:rPr>
            </w:pPr>
            <w:r w:rsidRPr="003D1E62">
              <w:rPr>
                <w:i/>
              </w:rPr>
              <w:t xml:space="preserve">Date of </w:t>
            </w:r>
            <w:r w:rsidR="001B5C90">
              <w:rPr>
                <w:i/>
              </w:rPr>
              <w:t>d</w:t>
            </w:r>
            <w:r w:rsidRPr="003D1E62">
              <w:rPr>
                <w:i/>
              </w:rPr>
              <w:t>ecision:</w:t>
            </w:r>
          </w:p>
        </w:tc>
        <w:tc>
          <w:tcPr>
            <w:tcW w:w="6590" w:type="dxa"/>
          </w:tcPr>
          <w:p w:rsidR="008E7846" w:rsidRPr="003D1E62" w:rsidRDefault="00D15EF2" w:rsidP="001B5C90">
            <w:r>
              <w:t>3 March 2015</w:t>
            </w:r>
          </w:p>
        </w:tc>
      </w:tr>
    </w:tbl>
    <w:p w:rsidR="008E7846" w:rsidRDefault="008E7846" w:rsidP="008E7846"/>
    <w:tbl>
      <w:tblPr>
        <w:tblW w:w="9214" w:type="dxa"/>
        <w:tblInd w:w="108" w:type="dxa"/>
        <w:tblLook w:val="01E0" w:firstRow="1" w:lastRow="1" w:firstColumn="1" w:lastColumn="1" w:noHBand="0" w:noVBand="0"/>
      </w:tblPr>
      <w:tblGrid>
        <w:gridCol w:w="2907"/>
        <w:gridCol w:w="6307"/>
      </w:tblGrid>
      <w:tr w:rsidR="008E7846" w:rsidRPr="00487162" w:rsidTr="00BF1190">
        <w:tc>
          <w:tcPr>
            <w:tcW w:w="2907" w:type="dxa"/>
          </w:tcPr>
          <w:p w:rsidR="008E7846" w:rsidRPr="00487162" w:rsidRDefault="001B5C90" w:rsidP="00380C73">
            <w:pPr>
              <w:rPr>
                <w:i/>
              </w:rPr>
            </w:pPr>
            <w:r>
              <w:rPr>
                <w:i/>
              </w:rPr>
              <w:t>Active ingredients:</w:t>
            </w:r>
          </w:p>
        </w:tc>
        <w:tc>
          <w:tcPr>
            <w:tcW w:w="6307" w:type="dxa"/>
          </w:tcPr>
          <w:p w:rsidR="00D17A78" w:rsidRPr="00487162" w:rsidRDefault="006C76E8" w:rsidP="00A444A1">
            <w:r>
              <w:t>I</w:t>
            </w:r>
            <w:r w:rsidR="00D17A78">
              <w:t xml:space="preserve">nactivated influenza virus vaccine (containing 15 µg </w:t>
            </w:r>
            <w:proofErr w:type="spellStart"/>
            <w:r w:rsidR="00D17A78">
              <w:t>haemagglutinin</w:t>
            </w:r>
            <w:proofErr w:type="spellEnd"/>
            <w:r w:rsidR="00D17A78">
              <w:t xml:space="preserve"> of each of the recommended strains of influenza virus Types A H1N1+ A H3N2 + B)</w:t>
            </w:r>
          </w:p>
        </w:tc>
      </w:tr>
      <w:tr w:rsidR="008E7846" w:rsidRPr="00487162" w:rsidTr="00BF1190">
        <w:tc>
          <w:tcPr>
            <w:tcW w:w="2907" w:type="dxa"/>
          </w:tcPr>
          <w:p w:rsidR="008E7846" w:rsidRPr="00487162" w:rsidRDefault="008E7846" w:rsidP="00380C73">
            <w:pPr>
              <w:rPr>
                <w:i/>
              </w:rPr>
            </w:pPr>
            <w:r w:rsidRPr="00487162">
              <w:rPr>
                <w:i/>
              </w:rPr>
              <w:t>Product</w:t>
            </w:r>
            <w:r w:rsidR="001B5C90">
              <w:rPr>
                <w:i/>
              </w:rPr>
              <w:t xml:space="preserve"> name:</w:t>
            </w:r>
          </w:p>
        </w:tc>
        <w:tc>
          <w:tcPr>
            <w:tcW w:w="6307" w:type="dxa"/>
          </w:tcPr>
          <w:p w:rsidR="008E7846" w:rsidRPr="00487162" w:rsidRDefault="008476F7" w:rsidP="00E45619">
            <w:proofErr w:type="spellStart"/>
            <w:r>
              <w:t>Optaflu</w:t>
            </w:r>
            <w:proofErr w:type="spellEnd"/>
          </w:p>
        </w:tc>
      </w:tr>
      <w:tr w:rsidR="008E7846" w:rsidRPr="00487162" w:rsidTr="00BF1190">
        <w:tc>
          <w:tcPr>
            <w:tcW w:w="2907" w:type="dxa"/>
          </w:tcPr>
          <w:p w:rsidR="008E7846" w:rsidRPr="00487162" w:rsidRDefault="008E7846" w:rsidP="001B5C90">
            <w:pPr>
              <w:rPr>
                <w:i/>
              </w:rPr>
            </w:pPr>
            <w:r w:rsidRPr="00487162">
              <w:rPr>
                <w:i/>
              </w:rPr>
              <w:t xml:space="preserve">Sponsor’s </w:t>
            </w:r>
            <w:r w:rsidR="001B5C90">
              <w:rPr>
                <w:i/>
              </w:rPr>
              <w:t>n</w:t>
            </w:r>
            <w:r w:rsidRPr="00487162">
              <w:rPr>
                <w:i/>
              </w:rPr>
              <w:t xml:space="preserve">ame and </w:t>
            </w:r>
            <w:r w:rsidR="001B5C90">
              <w:rPr>
                <w:i/>
              </w:rPr>
              <w:t>a</w:t>
            </w:r>
            <w:r w:rsidRPr="00487162">
              <w:rPr>
                <w:i/>
              </w:rPr>
              <w:t>ddress:</w:t>
            </w:r>
          </w:p>
        </w:tc>
        <w:tc>
          <w:tcPr>
            <w:tcW w:w="6307" w:type="dxa"/>
          </w:tcPr>
          <w:p w:rsidR="008E7846" w:rsidRDefault="00976780" w:rsidP="00E45619">
            <w:pPr>
              <w:rPr>
                <w:rFonts w:eastAsiaTheme="minorHAnsi" w:cs="Cambria"/>
              </w:rPr>
            </w:pPr>
            <w:r>
              <w:rPr>
                <w:rFonts w:eastAsiaTheme="minorHAnsi" w:cs="Cambria"/>
              </w:rPr>
              <w:t>Novartis Vaccines &amp; Diagnostics Pty Ltd</w:t>
            </w:r>
          </w:p>
          <w:p w:rsidR="00B20E0B" w:rsidRDefault="00B20E0B" w:rsidP="00E45619">
            <w:r>
              <w:t>54 Waterloo Road</w:t>
            </w:r>
          </w:p>
          <w:p w:rsidR="00976780" w:rsidRPr="00487162" w:rsidRDefault="00B20E0B" w:rsidP="00E45619">
            <w:r w:rsidRPr="00B20E0B">
              <w:t>North Ryde NSW 2113</w:t>
            </w:r>
          </w:p>
        </w:tc>
      </w:tr>
      <w:tr w:rsidR="008E7846" w:rsidRPr="00487162" w:rsidTr="00BF1190">
        <w:tc>
          <w:tcPr>
            <w:tcW w:w="2907" w:type="dxa"/>
          </w:tcPr>
          <w:p w:rsidR="008E7846" w:rsidRPr="00487162" w:rsidRDefault="001B5C90" w:rsidP="00380C73">
            <w:pPr>
              <w:rPr>
                <w:i/>
              </w:rPr>
            </w:pPr>
            <w:r>
              <w:rPr>
                <w:i/>
              </w:rPr>
              <w:t>Dose form:</w:t>
            </w:r>
          </w:p>
        </w:tc>
        <w:tc>
          <w:tcPr>
            <w:tcW w:w="6307" w:type="dxa"/>
          </w:tcPr>
          <w:p w:rsidR="008E7846" w:rsidRPr="00487162" w:rsidRDefault="00141C44" w:rsidP="00E45619">
            <w:r>
              <w:t>Suspension for i</w:t>
            </w:r>
            <w:r w:rsidRPr="00141C44">
              <w:t>njection</w:t>
            </w:r>
          </w:p>
        </w:tc>
      </w:tr>
      <w:tr w:rsidR="008E7846" w:rsidRPr="00487162" w:rsidTr="00BF1190">
        <w:tc>
          <w:tcPr>
            <w:tcW w:w="2907" w:type="dxa"/>
          </w:tcPr>
          <w:p w:rsidR="008E7846" w:rsidRPr="00487162" w:rsidRDefault="008E7846" w:rsidP="00380C73">
            <w:pPr>
              <w:rPr>
                <w:i/>
              </w:rPr>
            </w:pPr>
            <w:r w:rsidRPr="00487162">
              <w:rPr>
                <w:i/>
              </w:rPr>
              <w:t>Strength</w:t>
            </w:r>
            <w:r w:rsidR="00380C73">
              <w:rPr>
                <w:i/>
              </w:rPr>
              <w:t>:</w:t>
            </w:r>
          </w:p>
        </w:tc>
        <w:tc>
          <w:tcPr>
            <w:tcW w:w="6307" w:type="dxa"/>
          </w:tcPr>
          <w:p w:rsidR="008E7846" w:rsidRPr="00487162" w:rsidRDefault="001D0E9B" w:rsidP="00E45619">
            <w:r w:rsidRPr="001D0E9B">
              <w:t xml:space="preserve">45 </w:t>
            </w:r>
            <w:r>
              <w:t>µg</w:t>
            </w:r>
            <w:r w:rsidRPr="001D0E9B">
              <w:t xml:space="preserve"> </w:t>
            </w:r>
            <w:proofErr w:type="spellStart"/>
            <w:r w:rsidR="00A444A1">
              <w:t>haemagglutinin</w:t>
            </w:r>
            <w:proofErr w:type="spellEnd"/>
            <w:r w:rsidRPr="001D0E9B">
              <w:t>/dose</w:t>
            </w:r>
          </w:p>
        </w:tc>
      </w:tr>
      <w:tr w:rsidR="008E7846" w:rsidRPr="00487162" w:rsidTr="00BF1190">
        <w:tc>
          <w:tcPr>
            <w:tcW w:w="2907" w:type="dxa"/>
          </w:tcPr>
          <w:p w:rsidR="008E7846" w:rsidRPr="00487162" w:rsidRDefault="008E7846" w:rsidP="00380C73">
            <w:pPr>
              <w:rPr>
                <w:i/>
              </w:rPr>
            </w:pPr>
            <w:r w:rsidRPr="00487162">
              <w:rPr>
                <w:i/>
              </w:rPr>
              <w:t>Container:</w:t>
            </w:r>
          </w:p>
        </w:tc>
        <w:tc>
          <w:tcPr>
            <w:tcW w:w="6307" w:type="dxa"/>
          </w:tcPr>
          <w:p w:rsidR="008E7846" w:rsidRPr="00487162" w:rsidRDefault="00F73A96" w:rsidP="008A4CAC">
            <w:r>
              <w:t>Injection pre</w:t>
            </w:r>
            <w:r w:rsidR="008A4CAC">
              <w:t>filled syringe</w:t>
            </w:r>
          </w:p>
        </w:tc>
      </w:tr>
      <w:tr w:rsidR="008E7846" w:rsidRPr="00487162" w:rsidTr="00BF1190">
        <w:tc>
          <w:tcPr>
            <w:tcW w:w="2907" w:type="dxa"/>
          </w:tcPr>
          <w:p w:rsidR="008E7846" w:rsidRPr="00487162" w:rsidRDefault="008E7846" w:rsidP="00380C73">
            <w:pPr>
              <w:rPr>
                <w:i/>
              </w:rPr>
            </w:pPr>
            <w:r w:rsidRPr="00487162">
              <w:rPr>
                <w:i/>
              </w:rPr>
              <w:t>Pack sizes:</w:t>
            </w:r>
          </w:p>
        </w:tc>
        <w:tc>
          <w:tcPr>
            <w:tcW w:w="6307" w:type="dxa"/>
          </w:tcPr>
          <w:p w:rsidR="00877819" w:rsidRDefault="00877819" w:rsidP="00E45619">
            <w:r w:rsidRPr="00877819">
              <w:t xml:space="preserve">1 </w:t>
            </w:r>
            <w:r>
              <w:t>x</w:t>
            </w:r>
            <w:r w:rsidRPr="00877819">
              <w:t xml:space="preserve"> 0.5 mL</w:t>
            </w:r>
            <w:r w:rsidR="008A4CAC">
              <w:t xml:space="preserve"> pre</w:t>
            </w:r>
            <w:r>
              <w:t>filled syringe with needle</w:t>
            </w:r>
          </w:p>
          <w:p w:rsidR="00877819" w:rsidRDefault="00877819" w:rsidP="00E45619">
            <w:r w:rsidRPr="00877819">
              <w:t xml:space="preserve">1 </w:t>
            </w:r>
            <w:r>
              <w:t>x</w:t>
            </w:r>
            <w:r w:rsidRPr="00877819">
              <w:t xml:space="preserve"> 0.5 mL pr</w:t>
            </w:r>
            <w:r w:rsidR="008A4CAC">
              <w:t>e</w:t>
            </w:r>
            <w:r>
              <w:t>filled syringe without needle</w:t>
            </w:r>
          </w:p>
          <w:p w:rsidR="008E7846" w:rsidRPr="00487162" w:rsidRDefault="00877819" w:rsidP="00E45619">
            <w:r w:rsidRPr="00877819">
              <w:t xml:space="preserve">10 </w:t>
            </w:r>
            <w:r>
              <w:t>x</w:t>
            </w:r>
            <w:r w:rsidR="008A4CAC">
              <w:t xml:space="preserve"> 0.5 mL pre</w:t>
            </w:r>
            <w:r w:rsidRPr="00877819">
              <w:t>filled syringe without needle</w:t>
            </w:r>
          </w:p>
        </w:tc>
      </w:tr>
      <w:tr w:rsidR="008E7846" w:rsidRPr="00487162" w:rsidTr="00BF1190">
        <w:tc>
          <w:tcPr>
            <w:tcW w:w="2907" w:type="dxa"/>
          </w:tcPr>
          <w:p w:rsidR="008E7846" w:rsidRPr="00487162" w:rsidRDefault="008E7846" w:rsidP="001B5C90">
            <w:pPr>
              <w:rPr>
                <w:i/>
              </w:rPr>
            </w:pPr>
            <w:r w:rsidRPr="00487162">
              <w:rPr>
                <w:i/>
              </w:rPr>
              <w:t xml:space="preserve">Approved </w:t>
            </w:r>
            <w:r w:rsidR="001B5C90">
              <w:rPr>
                <w:i/>
              </w:rPr>
              <w:t>t</w:t>
            </w:r>
            <w:r w:rsidRPr="00487162">
              <w:rPr>
                <w:i/>
              </w:rPr>
              <w:t>herapeutic use:</w:t>
            </w:r>
          </w:p>
        </w:tc>
        <w:tc>
          <w:tcPr>
            <w:tcW w:w="6307" w:type="dxa"/>
          </w:tcPr>
          <w:p w:rsidR="0059283D" w:rsidRDefault="0059283D" w:rsidP="00E45619">
            <w:r w:rsidRPr="0059283D">
              <w:t>For the prevention of influenza caused by Influenza Virus, Types A and B in adults over 18 years of age.</w:t>
            </w:r>
          </w:p>
          <w:p w:rsidR="008E7846" w:rsidRPr="00487162" w:rsidRDefault="0059283D" w:rsidP="00E45619">
            <w:pPr>
              <w:rPr>
                <w:rFonts w:eastAsia="MS Mincho"/>
                <w:lang w:eastAsia="ja-JP"/>
              </w:rPr>
            </w:pPr>
            <w:r w:rsidRPr="0059283D">
              <w:t>For full details regarding the recommendations for influenza vaccination refer to the current Australian Immunisation Handbook</w:t>
            </w:r>
            <w:r w:rsidR="00496A28">
              <w:t>.</w:t>
            </w:r>
          </w:p>
        </w:tc>
      </w:tr>
      <w:tr w:rsidR="008E7846" w:rsidRPr="00487162" w:rsidTr="00BF1190">
        <w:tc>
          <w:tcPr>
            <w:tcW w:w="2907" w:type="dxa"/>
          </w:tcPr>
          <w:p w:rsidR="008E7846" w:rsidRPr="00487162" w:rsidRDefault="008E7846" w:rsidP="00380C73">
            <w:pPr>
              <w:rPr>
                <w:i/>
              </w:rPr>
            </w:pPr>
            <w:r w:rsidRPr="00487162">
              <w:rPr>
                <w:i/>
              </w:rPr>
              <w:t>Route of administration:</w:t>
            </w:r>
          </w:p>
        </w:tc>
        <w:tc>
          <w:tcPr>
            <w:tcW w:w="6307" w:type="dxa"/>
          </w:tcPr>
          <w:p w:rsidR="008E7846" w:rsidRPr="00487162" w:rsidRDefault="0050236D" w:rsidP="00E45619">
            <w:r w:rsidRPr="0050236D">
              <w:t>Intramuscular</w:t>
            </w:r>
          </w:p>
        </w:tc>
      </w:tr>
      <w:tr w:rsidR="008E7846" w:rsidRPr="00487162" w:rsidTr="00BF1190">
        <w:tc>
          <w:tcPr>
            <w:tcW w:w="2907" w:type="dxa"/>
          </w:tcPr>
          <w:p w:rsidR="008E7846" w:rsidRPr="00487162" w:rsidRDefault="008E7846" w:rsidP="00E45619">
            <w:pPr>
              <w:rPr>
                <w:i/>
              </w:rPr>
            </w:pPr>
            <w:r w:rsidRPr="00487162">
              <w:rPr>
                <w:i/>
              </w:rPr>
              <w:t>Dosage:</w:t>
            </w:r>
          </w:p>
        </w:tc>
        <w:tc>
          <w:tcPr>
            <w:tcW w:w="6307" w:type="dxa"/>
          </w:tcPr>
          <w:p w:rsidR="008E7846" w:rsidRPr="00487162" w:rsidRDefault="00D744B4" w:rsidP="00E45619">
            <w:r w:rsidRPr="00D744B4">
              <w:t>Adults 18 years of age and older: a single 0.5 mL dose</w:t>
            </w:r>
          </w:p>
        </w:tc>
      </w:tr>
      <w:tr w:rsidR="008E7846" w:rsidRPr="00487162" w:rsidTr="00BF1190">
        <w:tc>
          <w:tcPr>
            <w:tcW w:w="2907" w:type="dxa"/>
          </w:tcPr>
          <w:p w:rsidR="008E7846" w:rsidRPr="00487162" w:rsidRDefault="008E7846" w:rsidP="00C341B3">
            <w:pPr>
              <w:rPr>
                <w:i/>
              </w:rPr>
            </w:pPr>
            <w:r w:rsidRPr="00487162">
              <w:rPr>
                <w:i/>
              </w:rPr>
              <w:t xml:space="preserve">ARTG </w:t>
            </w:r>
            <w:r w:rsidR="001B5C90">
              <w:rPr>
                <w:i/>
              </w:rPr>
              <w:t>n</w:t>
            </w:r>
            <w:r w:rsidRPr="00487162">
              <w:rPr>
                <w:i/>
              </w:rPr>
              <w:t>umbers</w:t>
            </w:r>
            <w:r w:rsidR="001B5C90">
              <w:rPr>
                <w:i/>
              </w:rPr>
              <w:t>:</w:t>
            </w:r>
          </w:p>
        </w:tc>
        <w:tc>
          <w:tcPr>
            <w:tcW w:w="6307" w:type="dxa"/>
          </w:tcPr>
          <w:p w:rsidR="00496A28" w:rsidRDefault="004A6FF1" w:rsidP="00E45619">
            <w:r w:rsidRPr="004A6FF1">
              <w:t>220736</w:t>
            </w:r>
            <w:r w:rsidR="00496A28">
              <w:t xml:space="preserve"> (prefilled syringe without needle)</w:t>
            </w:r>
          </w:p>
          <w:p w:rsidR="008E7846" w:rsidRPr="00487162" w:rsidRDefault="004A6FF1" w:rsidP="00E45619">
            <w:r>
              <w:t>220737</w:t>
            </w:r>
            <w:r w:rsidR="00496A28">
              <w:t xml:space="preserve"> (prefilled syringe with needle)</w:t>
            </w:r>
          </w:p>
        </w:tc>
      </w:tr>
    </w:tbl>
    <w:p w:rsidR="008E7846" w:rsidRDefault="008E7846" w:rsidP="00C341B3">
      <w:pPr>
        <w:pStyle w:val="Heading3"/>
        <w:pageBreakBefore/>
      </w:pPr>
      <w:bookmarkStart w:id="13" w:name="_Toc247691503"/>
      <w:bookmarkStart w:id="14" w:name="_Toc314842484"/>
      <w:bookmarkStart w:id="15" w:name="_Toc430081278"/>
      <w:r>
        <w:lastRenderedPageBreak/>
        <w:t>Product background</w:t>
      </w:r>
      <w:bookmarkEnd w:id="13"/>
      <w:bookmarkEnd w:id="14"/>
      <w:bookmarkEnd w:id="15"/>
    </w:p>
    <w:p w:rsidR="00897D4C" w:rsidRPr="00C1153B" w:rsidRDefault="00897D4C" w:rsidP="00C341B3">
      <w:r w:rsidRPr="006B2D65">
        <w:t xml:space="preserve">This </w:t>
      </w:r>
      <w:proofErr w:type="spellStart"/>
      <w:r w:rsidRPr="006B2D65">
        <w:t>AusPAR</w:t>
      </w:r>
      <w:proofErr w:type="spellEnd"/>
      <w:r w:rsidRPr="006B2D65">
        <w:t xml:space="preserve"> describes the application by </w:t>
      </w:r>
      <w:r w:rsidRPr="00BA1584">
        <w:t xml:space="preserve">Novartis Vaccines &amp; Diagnostics Pty Ltd </w:t>
      </w:r>
      <w:r w:rsidRPr="006B2D65">
        <w:t xml:space="preserve">to register a new </w:t>
      </w:r>
      <w:r>
        <w:t xml:space="preserve">chemical entity </w:t>
      </w:r>
      <w:proofErr w:type="spellStart"/>
      <w:r>
        <w:t>Optaflu</w:t>
      </w:r>
      <w:proofErr w:type="spellEnd"/>
      <w:r w:rsidRPr="00C1153B">
        <w:t xml:space="preserve"> inactivated influenza virus vaccine (surface antigens), prepared in cell cultures for the prevention of influenza caused by Influenza Virus, types A and B in adults over 18 years of age.</w:t>
      </w:r>
    </w:p>
    <w:p w:rsidR="00897D4C" w:rsidRPr="00C1153B" w:rsidRDefault="004D7080" w:rsidP="00C341B3">
      <w:r w:rsidRPr="00BA1584">
        <w:t xml:space="preserve">Novartis Vaccines &amp; Diagnostics Pty Ltd </w:t>
      </w:r>
      <w:r w:rsidR="00897D4C" w:rsidRPr="00C1153B">
        <w:t xml:space="preserve">has developed a new technology to produce influenza vaccines in mammalian cell cultures. To date, all influenza vaccines currently registered by the TGA are cultivated in </w:t>
      </w:r>
      <w:proofErr w:type="spellStart"/>
      <w:r w:rsidR="00897D4C" w:rsidRPr="00C1153B">
        <w:t>embryonated</w:t>
      </w:r>
      <w:proofErr w:type="spellEnd"/>
      <w:r w:rsidR="00897D4C" w:rsidRPr="00C1153B">
        <w:t xml:space="preserve"> hens’ eggs.</w:t>
      </w:r>
      <w:r w:rsidR="001B03CA">
        <w:rPr>
          <w:rStyle w:val="FootnoteReference"/>
        </w:rPr>
        <w:footnoteReference w:id="1"/>
      </w:r>
      <w:r w:rsidR="00500CF9">
        <w:t xml:space="preserve"> </w:t>
      </w:r>
      <w:r w:rsidR="00897D4C" w:rsidRPr="00C1153B">
        <w:t xml:space="preserve">The sponsor states in their letter of application that the efficiency of developing vaccines in </w:t>
      </w:r>
      <w:proofErr w:type="spellStart"/>
      <w:r w:rsidR="00897D4C" w:rsidRPr="00C1153B">
        <w:t>embryonated</w:t>
      </w:r>
      <w:proofErr w:type="spellEnd"/>
      <w:r w:rsidR="00897D4C" w:rsidRPr="00C1153B">
        <w:t xml:space="preserve"> hens’ eggs is often low. The cell</w:t>
      </w:r>
      <w:r w:rsidR="00500CF9">
        <w:t xml:space="preserve"> </w:t>
      </w:r>
      <w:r w:rsidR="00897D4C" w:rsidRPr="00C1153B">
        <w:t>based process removes the dependence on eggs and the egg supply in the production process, potentially making it easier to scale up production and reduce production timelines.</w:t>
      </w:r>
      <w:r w:rsidR="00701B05">
        <w:rPr>
          <w:rStyle w:val="FootnoteReference"/>
        </w:rPr>
        <w:footnoteReference w:id="2"/>
      </w:r>
    </w:p>
    <w:p w:rsidR="00897D4C" w:rsidRDefault="00897D4C" w:rsidP="00C341B3">
      <w:r w:rsidRPr="00C1153B">
        <w:t>With regards to approval in children, a paediatric indication was not sought by the sponsor following TGA</w:t>
      </w:r>
      <w:r>
        <w:t xml:space="preserve"> pre </w:t>
      </w:r>
      <w:r w:rsidRPr="00C1153B">
        <w:t xml:space="preserve">submission advice that clinical efficacy data were preferred over immunogenicity data in this population. The paediatric </w:t>
      </w:r>
      <w:r w:rsidR="00500CF9">
        <w:t>S</w:t>
      </w:r>
      <w:r w:rsidRPr="00C1153B">
        <w:t>tudy V58P12 addressin</w:t>
      </w:r>
      <w:r w:rsidR="00207714">
        <w:t xml:space="preserve">g safety and immunogenicity – </w:t>
      </w:r>
      <w:r w:rsidRPr="00C1153B">
        <w:t>a Combined Phase II/III, Observer</w:t>
      </w:r>
      <w:r w:rsidR="00805A9E">
        <w:t xml:space="preserve"> </w:t>
      </w:r>
      <w:r w:rsidRPr="00C1153B">
        <w:t>Blind, Randomi</w:t>
      </w:r>
      <w:r w:rsidR="00805A9E">
        <w:t>s</w:t>
      </w:r>
      <w:r w:rsidRPr="00C1153B">
        <w:t xml:space="preserve">ed, </w:t>
      </w:r>
      <w:r w:rsidR="00805A9E">
        <w:t>Multi Centre</w:t>
      </w:r>
      <w:r w:rsidRPr="00C1153B">
        <w:t xml:space="preserve"> Study in Healthy Children and </w:t>
      </w:r>
      <w:r w:rsidR="00207714">
        <w:t xml:space="preserve">Adolescents Aged 3 to 17 Years – </w:t>
      </w:r>
      <w:r w:rsidRPr="00C1153B">
        <w:t>was made available to the TGA upon request.</w:t>
      </w:r>
    </w:p>
    <w:p w:rsidR="008E7846" w:rsidRPr="00C341B3" w:rsidRDefault="00386150" w:rsidP="00C341B3">
      <w:pPr>
        <w:pStyle w:val="Heading3"/>
      </w:pPr>
      <w:bookmarkStart w:id="16" w:name="_Toc314842485"/>
      <w:bookmarkStart w:id="17" w:name="_Toc247691504"/>
      <w:bookmarkStart w:id="18" w:name="_Toc430081279"/>
      <w:r>
        <w:t>Regulatory s</w:t>
      </w:r>
      <w:r w:rsidR="008E7846">
        <w:t>tatus</w:t>
      </w:r>
      <w:bookmarkEnd w:id="16"/>
      <w:bookmarkEnd w:id="17"/>
      <w:bookmarkEnd w:id="18"/>
    </w:p>
    <w:p w:rsidR="00C1153B" w:rsidRDefault="00882060" w:rsidP="00C341B3">
      <w:bookmarkStart w:id="19" w:name="_Toc247691505"/>
      <w:bookmarkStart w:id="20" w:name="_Toc314842486"/>
      <w:r>
        <w:t xml:space="preserve">At the time of submission to TGA, </w:t>
      </w:r>
      <w:proofErr w:type="spellStart"/>
      <w:r w:rsidR="00C1153B">
        <w:t>Optaflu</w:t>
      </w:r>
      <w:proofErr w:type="spellEnd"/>
      <w:r w:rsidR="00C1153B" w:rsidRPr="00C1153B">
        <w:t xml:space="preserve"> is registered by the </w:t>
      </w:r>
      <w:r w:rsidR="00E05457">
        <w:t xml:space="preserve">US </w:t>
      </w:r>
      <w:r w:rsidR="001D4F17">
        <w:t>Food and Drug Administration (</w:t>
      </w:r>
      <w:r w:rsidR="00C1153B" w:rsidRPr="00C1153B">
        <w:t>FDA</w:t>
      </w:r>
      <w:r w:rsidR="001D4F17">
        <w:t>)</w:t>
      </w:r>
      <w:r w:rsidR="00C1153B" w:rsidRPr="00C1153B">
        <w:t xml:space="preserve">, </w:t>
      </w:r>
      <w:r w:rsidR="00E05457">
        <w:t>European Medicines Agency (</w:t>
      </w:r>
      <w:r w:rsidR="00C1153B" w:rsidRPr="00C1153B">
        <w:t>EMA</w:t>
      </w:r>
      <w:r w:rsidR="00E05457">
        <w:t>),</w:t>
      </w:r>
      <w:r w:rsidR="00C1153B" w:rsidRPr="00C1153B">
        <w:t xml:space="preserve"> and </w:t>
      </w:r>
      <w:proofErr w:type="spellStart"/>
      <w:r w:rsidR="00FE5919">
        <w:t>Swissmedic</w:t>
      </w:r>
      <w:proofErr w:type="spellEnd"/>
      <w:r w:rsidR="00C1153B" w:rsidRPr="00C1153B">
        <w:t>. Data from five immunogenicity and safety studies (V58P1, V58P2, V58P4, V58P4E1 and V58P9) and one supportive study V58P5 led to the approva</w:t>
      </w:r>
      <w:r w:rsidR="00A22339">
        <w:t>l in 2007 in the EU</w:t>
      </w:r>
      <w:r w:rsidR="00C1153B" w:rsidRPr="00C1153B">
        <w:t xml:space="preserve">. An additional study V58P13 (which included efficacy data) was included in the submission that led to the approval as </w:t>
      </w:r>
      <w:proofErr w:type="spellStart"/>
      <w:r w:rsidR="00C1153B" w:rsidRPr="00C1153B">
        <w:t>Flucelvax</w:t>
      </w:r>
      <w:proofErr w:type="spellEnd"/>
      <w:r w:rsidR="00C1153B" w:rsidRPr="00C1153B">
        <w:t xml:space="preserve"> in the </w:t>
      </w:r>
      <w:r w:rsidR="00A22339">
        <w:t>US</w:t>
      </w:r>
      <w:r w:rsidR="00C1153B" w:rsidRPr="00C1153B">
        <w:t xml:space="preserve"> in 2012</w:t>
      </w:r>
      <w:r w:rsidR="004D7080">
        <w:t>.</w:t>
      </w:r>
    </w:p>
    <w:p w:rsidR="004456D9" w:rsidRDefault="004456D9" w:rsidP="00C1153B">
      <w:r>
        <w:t>A summary of this information is shown in Table 1.</w:t>
      </w:r>
    </w:p>
    <w:p w:rsidR="00706C80" w:rsidRDefault="00706C80" w:rsidP="00C341B3">
      <w:pPr>
        <w:pStyle w:val="TableTitle"/>
      </w:pPr>
      <w:proofErr w:type="gramStart"/>
      <w:r>
        <w:lastRenderedPageBreak/>
        <w:t>Table 1:</w:t>
      </w:r>
      <w:r w:rsidRPr="004C5C28">
        <w:t xml:space="preserve"> </w:t>
      </w:r>
      <w:r>
        <w:t xml:space="preserve">International </w:t>
      </w:r>
      <w:r w:rsidRPr="00C341B3">
        <w:t>regulatory</w:t>
      </w:r>
      <w:r>
        <w:t xml:space="preserve"> status for </w:t>
      </w:r>
      <w:proofErr w:type="spellStart"/>
      <w:r>
        <w:t>Optaflu</w:t>
      </w:r>
      <w:proofErr w:type="spellEnd"/>
      <w:r>
        <w:t>.</w:t>
      </w:r>
      <w:proofErr w:type="gramEnd"/>
    </w:p>
    <w:p w:rsidR="004456D9" w:rsidRPr="00C1153B" w:rsidRDefault="004456D9" w:rsidP="00C1153B">
      <w:r>
        <w:rPr>
          <w:noProof/>
          <w:lang w:eastAsia="en-AU"/>
        </w:rPr>
        <w:drawing>
          <wp:inline distT="0" distB="0" distL="0" distR="0" wp14:anchorId="04E5B404" wp14:editId="7B37B62C">
            <wp:extent cx="4532732" cy="3691078"/>
            <wp:effectExtent l="0" t="0" r="1270" b="5080"/>
            <wp:docPr id="1" name="Picture 1" descr="Table 1: International regulatory status for Optaflu." title="Table 1: International regulatory status for Optafl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539229" cy="3696368"/>
                    </a:xfrm>
                    <a:prstGeom prst="rect">
                      <a:avLst/>
                    </a:prstGeom>
                  </pic:spPr>
                </pic:pic>
              </a:graphicData>
            </a:graphic>
          </wp:inline>
        </w:drawing>
      </w:r>
    </w:p>
    <w:p w:rsidR="008E7846" w:rsidRDefault="008E7846" w:rsidP="00C341B3">
      <w:pPr>
        <w:pStyle w:val="Heading3"/>
      </w:pPr>
      <w:bookmarkStart w:id="21" w:name="_Toc430081280"/>
      <w:r>
        <w:t xml:space="preserve">Product </w:t>
      </w:r>
      <w:r w:rsidRPr="00C341B3">
        <w:t>Information</w:t>
      </w:r>
      <w:bookmarkEnd w:id="19"/>
      <w:bookmarkEnd w:id="20"/>
      <w:bookmarkEnd w:id="21"/>
    </w:p>
    <w:p w:rsidR="00940A89" w:rsidRDefault="00940A89" w:rsidP="00940A89">
      <w:pPr>
        <w:rPr>
          <w:b/>
          <w:bCs/>
        </w:rPr>
      </w:pPr>
      <w:bookmarkStart w:id="22" w:name="_Toc247691506"/>
      <w:bookmarkStart w:id="23" w:name="_Toc314842487"/>
      <w:r w:rsidRPr="00940A89">
        <w:t xml:space="preserve">The approved Product Information (PI) current at the time this </w:t>
      </w:r>
      <w:proofErr w:type="spellStart"/>
      <w:r w:rsidRPr="00940A89">
        <w:t>AusPAR</w:t>
      </w:r>
      <w:proofErr w:type="spellEnd"/>
      <w:r w:rsidRPr="00940A89">
        <w:t xml:space="preserve"> was prepared can be found as Attachment 1. For the most recent </w:t>
      </w:r>
      <w:r w:rsidR="00FC6616">
        <w:t>PI,</w:t>
      </w:r>
      <w:r w:rsidRPr="00940A89">
        <w:t xml:space="preserve"> please refer to the TGA website at &lt;</w:t>
      </w:r>
      <w:hyperlink r:id="rId18" w:history="1">
        <w:r w:rsidR="00D97518" w:rsidRPr="00061820">
          <w:rPr>
            <w:rStyle w:val="Hyperlink"/>
          </w:rPr>
          <w:t>www.tga.gov.au/product-information-pi</w:t>
        </w:r>
      </w:hyperlink>
      <w:r w:rsidRPr="00940A89">
        <w:t>&gt;.</w:t>
      </w:r>
    </w:p>
    <w:p w:rsidR="008E7846" w:rsidRPr="003602A9" w:rsidRDefault="008E7846" w:rsidP="00C341B3">
      <w:pPr>
        <w:pStyle w:val="Heading2"/>
      </w:pPr>
      <w:bookmarkStart w:id="24" w:name="_Toc430081281"/>
      <w:r>
        <w:t>II. Quality</w:t>
      </w:r>
      <w:bookmarkEnd w:id="2"/>
      <w:r>
        <w:t xml:space="preserve"> </w:t>
      </w:r>
      <w:r w:rsidRPr="00C341B3">
        <w:t>findings</w:t>
      </w:r>
      <w:bookmarkEnd w:id="22"/>
      <w:bookmarkEnd w:id="23"/>
      <w:bookmarkEnd w:id="24"/>
    </w:p>
    <w:p w:rsidR="008E7846" w:rsidRDefault="008E7846" w:rsidP="00C341B3">
      <w:pPr>
        <w:pStyle w:val="Heading3"/>
      </w:pPr>
      <w:bookmarkStart w:id="25" w:name="_Toc247691507"/>
      <w:bookmarkStart w:id="26" w:name="_Toc314842488"/>
      <w:bookmarkStart w:id="27" w:name="_Toc430081282"/>
      <w:r w:rsidRPr="008751DC">
        <w:t xml:space="preserve">Drug </w:t>
      </w:r>
      <w:r>
        <w:t>s</w:t>
      </w:r>
      <w:r w:rsidRPr="008751DC">
        <w:t>ubstance</w:t>
      </w:r>
      <w:r>
        <w:t xml:space="preserve"> (active </w:t>
      </w:r>
      <w:r w:rsidRPr="00C341B3">
        <w:t>ingredient</w:t>
      </w:r>
      <w:r>
        <w:t>)</w:t>
      </w:r>
      <w:bookmarkEnd w:id="25"/>
      <w:bookmarkEnd w:id="26"/>
      <w:bookmarkEnd w:id="27"/>
    </w:p>
    <w:p w:rsidR="001141D8" w:rsidRPr="001141D8" w:rsidRDefault="001141D8" w:rsidP="00C341B3">
      <w:r w:rsidRPr="001141D8">
        <w:t>The drug substance is prepared by working seed inoculation of suspension cells then expansion using serum free media. Following expansion</w:t>
      </w:r>
      <w:r w:rsidR="007A7CDB">
        <w:t>,</w:t>
      </w:r>
      <w:r w:rsidRPr="001141D8">
        <w:t xml:space="preserve"> the virus is centrifuged and filtered to remove cells and debris. The downstream purification process commences with ultra</w:t>
      </w:r>
      <w:r w:rsidR="00A1531E">
        <w:t xml:space="preserve"> </w:t>
      </w:r>
      <w:proofErr w:type="spellStart"/>
      <w:r w:rsidRPr="001141D8">
        <w:t>diafiltration</w:t>
      </w:r>
      <w:proofErr w:type="spellEnd"/>
      <w:r w:rsidRPr="001141D8">
        <w:t xml:space="preserve"> to remove media components and concentrate pool. The virus is isolat</w:t>
      </w:r>
      <w:r w:rsidR="002444DA">
        <w:t>ed with affinity chromatography</w:t>
      </w:r>
      <w:r w:rsidRPr="001141D8">
        <w:t xml:space="preserve"> then further concentration and buffer exchange follows.</w:t>
      </w:r>
      <w:r w:rsidR="007A7CDB">
        <w:t xml:space="preserve"> </w:t>
      </w:r>
      <w:r w:rsidRPr="001141D8">
        <w:t>Virus ina</w:t>
      </w:r>
      <w:r w:rsidR="00652A78">
        <w:t>ctivation uses b-</w:t>
      </w:r>
      <w:proofErr w:type="spellStart"/>
      <w:r w:rsidR="00652A78">
        <w:t>propriolactone</w:t>
      </w:r>
      <w:proofErr w:type="spellEnd"/>
      <w:r w:rsidRPr="001141D8">
        <w:t xml:space="preserve"> followed by splitting with </w:t>
      </w:r>
      <w:proofErr w:type="spellStart"/>
      <w:r w:rsidRPr="001141D8">
        <w:t>cetyltrimethylammonium</w:t>
      </w:r>
      <w:proofErr w:type="spellEnd"/>
      <w:r w:rsidRPr="001141D8">
        <w:t xml:space="preserve"> bromide </w:t>
      </w:r>
      <w:r w:rsidR="00D368C5">
        <w:t>(</w:t>
      </w:r>
      <w:r w:rsidRPr="001141D8">
        <w:t>CTAB</w:t>
      </w:r>
      <w:r w:rsidR="00D368C5">
        <w:t>)</w:t>
      </w:r>
      <w:r w:rsidRPr="001141D8">
        <w:t xml:space="preserve">. </w:t>
      </w:r>
      <w:proofErr w:type="spellStart"/>
      <w:r w:rsidRPr="001141D8">
        <w:t>Amberite</w:t>
      </w:r>
      <w:proofErr w:type="spellEnd"/>
      <w:r w:rsidRPr="001141D8">
        <w:t xml:space="preserve"> is used to remove the CTAB. Virus core proteins are removed and the surface proteins purified by ultracentrifugation and anion exchange chromatography.</w:t>
      </w:r>
      <w:r w:rsidR="007A7CDB">
        <w:t xml:space="preserve"> </w:t>
      </w:r>
      <w:proofErr w:type="spellStart"/>
      <w:r w:rsidRPr="001141D8">
        <w:t>Diafiltration</w:t>
      </w:r>
      <w:proofErr w:type="spellEnd"/>
      <w:r w:rsidRPr="001141D8">
        <w:t xml:space="preserve"> is used to concentrate the antigen.</w:t>
      </w:r>
    </w:p>
    <w:p w:rsidR="001C70C5" w:rsidRPr="001C70C5" w:rsidRDefault="001C70C5" w:rsidP="001C70C5">
      <w:r w:rsidRPr="001C70C5">
        <w:t>All viral/prion safety</w:t>
      </w:r>
      <w:r w:rsidR="00284B0D">
        <w:t xml:space="preserve"> issues including use of animal </w:t>
      </w:r>
      <w:r w:rsidRPr="001C70C5">
        <w:t>derived excipients, in the cell expansion phase, the cell substrate and the ability of the production process to clear virus</w:t>
      </w:r>
      <w:r w:rsidR="007A7CDB">
        <w:t xml:space="preserve"> </w:t>
      </w:r>
      <w:r w:rsidRPr="001C70C5">
        <w:t>have been addressed. DNA testing is undertaken as a release test for the monovalent bulk.</w:t>
      </w:r>
    </w:p>
    <w:p w:rsidR="001C70C5" w:rsidRPr="001C70C5" w:rsidRDefault="001C70C5" w:rsidP="00C341B3">
      <w:r w:rsidRPr="001C70C5">
        <w:t>The drug substance consists of monovalent bulks from H1N1, H3N2</w:t>
      </w:r>
      <w:r w:rsidR="00284B0D">
        <w:t>,</w:t>
      </w:r>
      <w:r w:rsidRPr="001C70C5">
        <w:t xml:space="preserve"> and B strains. The active component is influenza virus </w:t>
      </w:r>
      <w:proofErr w:type="spellStart"/>
      <w:r w:rsidR="009F047F">
        <w:t>haemagglutinin</w:t>
      </w:r>
      <w:proofErr w:type="spellEnd"/>
      <w:r w:rsidRPr="001C70C5">
        <w:t xml:space="preserve"> (HA) and neuraminidase (NA) (surface antigens). The routine assessment of the purity is by SDS-PAGE. The presence of </w:t>
      </w:r>
      <w:r w:rsidRPr="001C70C5">
        <w:lastRenderedPageBreak/>
        <w:t xml:space="preserve">NA is confirmed by </w:t>
      </w:r>
      <w:proofErr w:type="spellStart"/>
      <w:r w:rsidRPr="001C70C5">
        <w:t>Fetuin</w:t>
      </w:r>
      <w:proofErr w:type="spellEnd"/>
      <w:r w:rsidRPr="001C70C5">
        <w:t>-NANA assays on the first three monovalent bulks from each working seed.</w:t>
      </w:r>
    </w:p>
    <w:p w:rsidR="001C70C5" w:rsidRPr="001C70C5" w:rsidRDefault="001C70C5" w:rsidP="001C70C5">
      <w:r w:rsidRPr="001C70C5">
        <w:t xml:space="preserve">The drug substance complies with </w:t>
      </w:r>
      <w:r w:rsidR="003C2F84" w:rsidRPr="003C2F84">
        <w:t>European Pharmacopoeia</w:t>
      </w:r>
      <w:r w:rsidRPr="001C70C5">
        <w:t xml:space="preserve"> monograph 2149 for influenza vaccines produced using cell culture.</w:t>
      </w:r>
      <w:r w:rsidR="007A7CDB">
        <w:t xml:space="preserve"> </w:t>
      </w:r>
      <w:r w:rsidRPr="001C70C5">
        <w:t>Total DNA content for the monovalent bulk is ≤0.20 ng/µg HA.</w:t>
      </w:r>
    </w:p>
    <w:p w:rsidR="001C70C5" w:rsidRPr="001C70C5" w:rsidRDefault="001C70C5" w:rsidP="00C341B3">
      <w:r w:rsidRPr="001C70C5">
        <w:t xml:space="preserve">Appropriate validation data have been submitted in </w:t>
      </w:r>
      <w:r w:rsidR="00C341B3">
        <w:t>support of the test procedures.</w:t>
      </w:r>
    </w:p>
    <w:p w:rsidR="001C70C5" w:rsidRDefault="001C70C5" w:rsidP="001C70C5">
      <w:r w:rsidRPr="001C70C5">
        <w:t>Shelf life specifications are in line with those provided for the monovalent bulk, the purity is assessed in terms of HA degradation from time zero. Original stability studies on consistency batches were conducted in full on three strains at 2-8˚C for at least 12 months and up to 18 months.</w:t>
      </w:r>
      <w:r w:rsidR="007A7CDB">
        <w:t xml:space="preserve"> </w:t>
      </w:r>
      <w:r w:rsidRPr="001C70C5">
        <w:t>Accelerated temperatures stability studies for 4 weeks at 37˚C or 6 months at</w:t>
      </w:r>
      <w:r w:rsidR="00716680">
        <w:t xml:space="preserve"> 23-27˚C were also conducted.</w:t>
      </w:r>
      <w:r w:rsidR="007A7CDB">
        <w:t xml:space="preserve"> </w:t>
      </w:r>
      <w:r w:rsidRPr="001C70C5">
        <w:t>All lots were within specifications for real time studies up to 18 months. For accelerated stability lots at 23-27˚C were also within specifications. The proposed shelf life of 12 months at 2-8˚C is satisfactory</w:t>
      </w:r>
      <w:r>
        <w:t>.</w:t>
      </w:r>
      <w:bookmarkStart w:id="28" w:name="_Toc247691508"/>
      <w:bookmarkStart w:id="29" w:name="_Toc314842490"/>
    </w:p>
    <w:p w:rsidR="008E7846" w:rsidRPr="001C70C5" w:rsidRDefault="008E7846" w:rsidP="00C341B3">
      <w:pPr>
        <w:pStyle w:val="Heading3"/>
      </w:pPr>
      <w:bookmarkStart w:id="30" w:name="_Toc430081283"/>
      <w:r w:rsidRPr="001C70C5">
        <w:t xml:space="preserve">Drug </w:t>
      </w:r>
      <w:r w:rsidRPr="00C341B3">
        <w:t>product</w:t>
      </w:r>
      <w:bookmarkEnd w:id="28"/>
      <w:bookmarkEnd w:id="29"/>
      <w:bookmarkEnd w:id="30"/>
    </w:p>
    <w:p w:rsidR="00F549C9" w:rsidRPr="00F549C9" w:rsidRDefault="00F549C9" w:rsidP="00F549C9">
      <w:r w:rsidRPr="00F549C9">
        <w:t>The vaccine is a clear to slightly opalescent liquid suspension 0.5 mL for injection pre</w:t>
      </w:r>
      <w:r w:rsidR="009F047F">
        <w:t>sented in 1 mL type 1 glass pre</w:t>
      </w:r>
      <w:r w:rsidRPr="00F549C9">
        <w:t>filled syringes. The vaccine is presented as a single or 10 dose packs without needle and a single dose pack with needle.</w:t>
      </w:r>
    </w:p>
    <w:p w:rsidR="00F549C9" w:rsidRDefault="00F549C9" w:rsidP="00F549C9">
      <w:r w:rsidRPr="00F549C9">
        <w:t>The finished product consists of purified surface antigens from H1N1 H3N2 and B strains (15 µ</w:t>
      </w:r>
      <w:r w:rsidR="00D177BD">
        <w:t>g /strain) formulated with phosphate buffered saline (PBS)</w:t>
      </w:r>
      <w:r w:rsidRPr="00F549C9">
        <w:t>. The trivalent bulk is sterile filtered 0.22 µm and filled.</w:t>
      </w:r>
    </w:p>
    <w:p w:rsidR="00F549C9" w:rsidRPr="00F549C9" w:rsidRDefault="00887E36" w:rsidP="00C341B3">
      <w:r>
        <w:t>The s</w:t>
      </w:r>
      <w:r w:rsidR="00F549C9" w:rsidRPr="00F549C9">
        <w:t xml:space="preserve">pecifications for the trivalent bulk and final lot comply with EP specifications. The test for residual infectious virus is undertaken on the monovalent bulk. No formaldehyde or </w:t>
      </w:r>
      <w:r>
        <w:t>bovine serum albumin</w:t>
      </w:r>
      <w:r w:rsidR="00C87943">
        <w:t xml:space="preserve"> (BSA)</w:t>
      </w:r>
      <w:r w:rsidR="00F549C9" w:rsidRPr="00F549C9">
        <w:t xml:space="preserve"> is present in the product.</w:t>
      </w:r>
      <w:r w:rsidR="007A7CDB">
        <w:t xml:space="preserve"> </w:t>
      </w:r>
      <w:r w:rsidR="00F549C9" w:rsidRPr="00F549C9">
        <w:t xml:space="preserve">Protein specification is a maximum of 40 </w:t>
      </w:r>
      <w:r w:rsidR="002444DA">
        <w:t>µ</w:t>
      </w:r>
      <w:r w:rsidR="00F549C9" w:rsidRPr="00F549C9">
        <w:t>g other than HA per virus. The maximum limit was calculated by the sum of the pro</w:t>
      </w:r>
      <w:r w:rsidR="00F549C9">
        <w:t>tein and HA (40 + 15) x 3 = 165 µg/dose or ≤330 µ</w:t>
      </w:r>
      <w:r w:rsidR="00F549C9" w:rsidRPr="00F549C9">
        <w:t>g/</w:t>
      </w:r>
      <w:proofErr w:type="spellStart"/>
      <w:r w:rsidR="00F549C9" w:rsidRPr="00F549C9">
        <w:t>mL.</w:t>
      </w:r>
      <w:proofErr w:type="spellEnd"/>
    </w:p>
    <w:p w:rsidR="00F549C9" w:rsidRDefault="00F549C9" w:rsidP="00F549C9">
      <w:r w:rsidRPr="00F549C9">
        <w:t>Stability data have been generated under stressed and real time conditions to characterise the stability profile of the product. The proposed shelf life is 12 months when stored at 2-8</w:t>
      </w:r>
      <w:r w:rsidRPr="00F549C9">
        <w:sym w:font="Symbol" w:char="F0B0"/>
      </w:r>
      <w:r w:rsidRPr="00F549C9">
        <w:t xml:space="preserve">C. Although 18 month stability data has been evaluated as acceptable, the </w:t>
      </w:r>
      <w:r w:rsidR="002444DA">
        <w:t>s</w:t>
      </w:r>
      <w:r w:rsidRPr="00F549C9">
        <w:t>ponsor has requested that the shelf like be 12 months in order to prevent concurrent vaccine supply.</w:t>
      </w:r>
    </w:p>
    <w:p w:rsidR="00F549C9" w:rsidRPr="00E00659" w:rsidRDefault="00F549C9" w:rsidP="00C341B3">
      <w:r>
        <w:t xml:space="preserve">Post commitment stability data is to be generated in support of temperature excursions (25˚C for 5 days). The vaccine </w:t>
      </w:r>
      <w:r w:rsidR="00C341B3">
        <w:t>should be protected from light.</w:t>
      </w:r>
    </w:p>
    <w:p w:rsidR="008E7846" w:rsidRDefault="008E7846" w:rsidP="00C341B3">
      <w:pPr>
        <w:pStyle w:val="Heading3"/>
      </w:pPr>
      <w:bookmarkStart w:id="31" w:name="_Toc314842491"/>
      <w:bookmarkStart w:id="32" w:name="_Toc430081284"/>
      <w:r w:rsidRPr="00C341B3">
        <w:t>Biopharmaceutics</w:t>
      </w:r>
      <w:bookmarkEnd w:id="31"/>
      <w:bookmarkEnd w:id="32"/>
    </w:p>
    <w:p w:rsidR="009F7282" w:rsidRPr="009F7282" w:rsidRDefault="009F7282" w:rsidP="00C341B3">
      <w:proofErr w:type="spellStart"/>
      <w:r w:rsidRPr="009F7282">
        <w:t>Biopharmaceutic</w:t>
      </w:r>
      <w:proofErr w:type="spellEnd"/>
      <w:r w:rsidRPr="009F7282">
        <w:t xml:space="preserve"> data are not required for this product because it i</w:t>
      </w:r>
      <w:r w:rsidR="00C341B3">
        <w:t>s a biological vaccine product.</w:t>
      </w:r>
    </w:p>
    <w:p w:rsidR="008E7846" w:rsidRPr="008751DC" w:rsidRDefault="008E7846" w:rsidP="00C341B3">
      <w:pPr>
        <w:pStyle w:val="Heading3"/>
      </w:pPr>
      <w:bookmarkStart w:id="33" w:name="_Toc247691509"/>
      <w:bookmarkStart w:id="34" w:name="_Toc314842493"/>
      <w:bookmarkStart w:id="35" w:name="_Toc430081285"/>
      <w:r>
        <w:t>Quality s</w:t>
      </w:r>
      <w:r w:rsidRPr="008751DC">
        <w:t>ummary</w:t>
      </w:r>
      <w:r>
        <w:t xml:space="preserve"> and </w:t>
      </w:r>
      <w:r w:rsidRPr="00C341B3">
        <w:t>conclusions</w:t>
      </w:r>
      <w:bookmarkEnd w:id="33"/>
      <w:bookmarkEnd w:id="34"/>
      <w:bookmarkEnd w:id="35"/>
    </w:p>
    <w:p w:rsidR="009F7282" w:rsidRPr="009F70E6" w:rsidRDefault="009F7282" w:rsidP="009F70E6">
      <w:r w:rsidRPr="009F70E6">
        <w:t xml:space="preserve">The administrative, product usage, chemical, pharmaceutical, microbiological data submitted in support of this application have been evaluated in accordance with the Australian legislation, </w:t>
      </w:r>
      <w:proofErr w:type="spellStart"/>
      <w:r w:rsidRPr="009F70E6">
        <w:t>pharmacopoeial</w:t>
      </w:r>
      <w:proofErr w:type="spellEnd"/>
      <w:r w:rsidRPr="009F70E6">
        <w:t xml:space="preserve"> standards and relevant technical guidelines adopted by the TGA.</w:t>
      </w:r>
    </w:p>
    <w:p w:rsidR="009F7282" w:rsidRPr="009F70E6" w:rsidRDefault="009F7282" w:rsidP="009F70E6">
      <w:pPr>
        <w:rPr>
          <w:u w:val="words"/>
        </w:rPr>
      </w:pPr>
      <w:r w:rsidRPr="009F70E6">
        <w:t>The following issues are still being addressed as will req</w:t>
      </w:r>
      <w:r w:rsidR="009F70E6">
        <w:t>uire resolution prior to supply:</w:t>
      </w:r>
    </w:p>
    <w:p w:rsidR="009F7282" w:rsidRPr="009F70E6" w:rsidRDefault="009F7282" w:rsidP="00C341B3">
      <w:pPr>
        <w:pStyle w:val="ListBullet"/>
      </w:pPr>
      <w:r w:rsidRPr="009F70E6">
        <w:t xml:space="preserve">PI and </w:t>
      </w:r>
      <w:r w:rsidR="004D3785" w:rsidRPr="004D3785">
        <w:t>Consumer Medicines Information</w:t>
      </w:r>
      <w:r w:rsidR="004D3785">
        <w:t xml:space="preserve"> (</w:t>
      </w:r>
      <w:r w:rsidRPr="009F70E6">
        <w:t>CMI</w:t>
      </w:r>
      <w:r w:rsidR="004D3785">
        <w:t>)</w:t>
      </w:r>
      <w:r w:rsidRPr="009F70E6">
        <w:t xml:space="preserve"> </w:t>
      </w:r>
      <w:r w:rsidRPr="00C341B3">
        <w:t>statement</w:t>
      </w:r>
      <w:r w:rsidRPr="009F70E6">
        <w:t xml:space="preserve"> regard</w:t>
      </w:r>
      <w:r w:rsidR="00B376E8">
        <w:t>ing the presence of egg protein;</w:t>
      </w:r>
    </w:p>
    <w:p w:rsidR="009F7282" w:rsidRPr="009F70E6" w:rsidRDefault="009F7282" w:rsidP="00772F9C">
      <w:pPr>
        <w:pStyle w:val="ListBullet"/>
      </w:pPr>
      <w:r w:rsidRPr="009F70E6">
        <w:lastRenderedPageBreak/>
        <w:t>G</w:t>
      </w:r>
      <w:r w:rsidR="00C4265C">
        <w:t xml:space="preserve">ood </w:t>
      </w:r>
      <w:r w:rsidRPr="009F70E6">
        <w:t>M</w:t>
      </w:r>
      <w:r w:rsidR="00C4265C">
        <w:t xml:space="preserve">anufacturing </w:t>
      </w:r>
      <w:r w:rsidRPr="009F70E6">
        <w:t>P</w:t>
      </w:r>
      <w:r w:rsidR="00C4265C">
        <w:t>ractice (GMP)</w:t>
      </w:r>
      <w:r w:rsidRPr="009F70E6">
        <w:t xml:space="preserve"> clearance submitted outstanding sites needs confirmation by</w:t>
      </w:r>
      <w:r w:rsidR="00772F9C">
        <w:t xml:space="preserve"> the</w:t>
      </w:r>
      <w:r w:rsidRPr="009F70E6">
        <w:t xml:space="preserve"> </w:t>
      </w:r>
      <w:r w:rsidR="00772F9C" w:rsidRPr="00772F9C">
        <w:t xml:space="preserve">Office of Manufacturing Quality </w:t>
      </w:r>
      <w:r w:rsidR="00772F9C">
        <w:t>(</w:t>
      </w:r>
      <w:r w:rsidRPr="009F70E6">
        <w:t>OMQ</w:t>
      </w:r>
      <w:r w:rsidR="00772F9C">
        <w:t>)</w:t>
      </w:r>
      <w:r w:rsidR="00B376E8">
        <w:t>; and</w:t>
      </w:r>
    </w:p>
    <w:p w:rsidR="009F7282" w:rsidRPr="009F70E6" w:rsidRDefault="009F7282" w:rsidP="009F70E6">
      <w:pPr>
        <w:pStyle w:val="ListBullet"/>
      </w:pPr>
      <w:r w:rsidRPr="009F70E6">
        <w:t>S14 for labelling exemption from TGA 69 will be submitted in the future</w:t>
      </w:r>
      <w:r w:rsidR="00B376E8">
        <w:t>.</w:t>
      </w:r>
    </w:p>
    <w:p w:rsidR="009F7282" w:rsidRPr="009F70E6" w:rsidRDefault="009F7282" w:rsidP="00C341B3">
      <w:r w:rsidRPr="009F70E6">
        <w:t xml:space="preserve">The evaluator recommends that </w:t>
      </w:r>
      <w:proofErr w:type="spellStart"/>
      <w:r w:rsidRPr="009F70E6">
        <w:t>Optaflu</w:t>
      </w:r>
      <w:proofErr w:type="spellEnd"/>
      <w:r w:rsidRPr="009F70E6">
        <w:t xml:space="preserve"> inactivated influenza virus vaccine (surface antigens) prepared in cell cultures</w:t>
      </w:r>
      <w:r w:rsidR="001122AE">
        <w:t xml:space="preserve"> injection pre</w:t>
      </w:r>
      <w:r w:rsidRPr="009F70E6">
        <w:t>filled syringe (with needle and without needle) should be approved.</w:t>
      </w:r>
    </w:p>
    <w:p w:rsidR="008E7846" w:rsidRDefault="008E7846" w:rsidP="00C341B3">
      <w:pPr>
        <w:pStyle w:val="Heading2"/>
      </w:pPr>
      <w:bookmarkStart w:id="36" w:name="_Toc196046439"/>
      <w:bookmarkStart w:id="37" w:name="_Toc247691510"/>
      <w:bookmarkStart w:id="38" w:name="_Toc314842494"/>
      <w:bookmarkStart w:id="39" w:name="_Toc430081286"/>
      <w:r>
        <w:t>III. Nonclinical</w:t>
      </w:r>
      <w:bookmarkEnd w:id="36"/>
      <w:r>
        <w:t xml:space="preserve"> </w:t>
      </w:r>
      <w:r w:rsidRPr="00C341B3">
        <w:t>findings</w:t>
      </w:r>
      <w:bookmarkEnd w:id="37"/>
      <w:bookmarkEnd w:id="38"/>
      <w:bookmarkEnd w:id="39"/>
    </w:p>
    <w:p w:rsidR="008E7846" w:rsidRPr="00C341B3" w:rsidRDefault="008E7846" w:rsidP="00C341B3">
      <w:pPr>
        <w:pStyle w:val="Heading3"/>
      </w:pPr>
      <w:bookmarkStart w:id="40" w:name="_Toc247691511"/>
      <w:bookmarkStart w:id="41" w:name="_Toc314842495"/>
      <w:bookmarkStart w:id="42" w:name="_Toc430081287"/>
      <w:r>
        <w:t>Introduction</w:t>
      </w:r>
      <w:bookmarkEnd w:id="40"/>
      <w:bookmarkEnd w:id="41"/>
      <w:bookmarkEnd w:id="42"/>
    </w:p>
    <w:p w:rsidR="00C50189" w:rsidRPr="00C50189" w:rsidRDefault="00C50189" w:rsidP="00C341B3">
      <w:bookmarkStart w:id="43" w:name="_Toc294861722"/>
      <w:bookmarkStart w:id="44" w:name="_Toc295290864"/>
      <w:r w:rsidRPr="00C50189">
        <w:t>Vaccination remains the most important method for reducing influenza virus infection and its complications.</w:t>
      </w:r>
      <w:r w:rsidR="007A7CDB">
        <w:t xml:space="preserve"> </w:t>
      </w:r>
      <w:r w:rsidRPr="00C50189">
        <w:t xml:space="preserve">This assessment evaluates the preclinical safety properties in the Category 1 Application (Type A) to register </w:t>
      </w:r>
      <w:proofErr w:type="spellStart"/>
      <w:r w:rsidR="00F01E89">
        <w:t>Optaflu</w:t>
      </w:r>
      <w:proofErr w:type="spellEnd"/>
      <w:r w:rsidR="006453E0">
        <w:t xml:space="preserve"> </w:t>
      </w:r>
      <w:r w:rsidRPr="00C50189">
        <w:t>inactivated influenza virus vaccine (surface antigen) prepared in cell cultures for the prevention of influenza caused by influenza virus Types A and B in adults over 18 years of age.</w:t>
      </w:r>
    </w:p>
    <w:p w:rsidR="00C50189" w:rsidRPr="00C50189" w:rsidRDefault="00C50189" w:rsidP="00C341B3">
      <w:r w:rsidRPr="00C50189">
        <w:t>Although other trivalent seasonal influenza vaccines a</w:t>
      </w:r>
      <w:r w:rsidR="007F0BED">
        <w:t>re registered in Australia (for example</w:t>
      </w:r>
      <w:r w:rsidRPr="00C50189">
        <w:t xml:space="preserve">, </w:t>
      </w:r>
      <w:proofErr w:type="spellStart"/>
      <w:r w:rsidRPr="00C50189">
        <w:t>Fluvax</w:t>
      </w:r>
      <w:proofErr w:type="spellEnd"/>
      <w:r w:rsidRPr="00C50189">
        <w:t xml:space="preserve"> [CSL Limited], </w:t>
      </w:r>
      <w:proofErr w:type="spellStart"/>
      <w:r w:rsidR="003C1FE9">
        <w:t>Agrippal</w:t>
      </w:r>
      <w:proofErr w:type="spellEnd"/>
      <w:r w:rsidRPr="00C50189">
        <w:t xml:space="preserve"> [Novartis], </w:t>
      </w:r>
      <w:proofErr w:type="spellStart"/>
      <w:r w:rsidRPr="00C50189">
        <w:t>Fluarix</w:t>
      </w:r>
      <w:proofErr w:type="spellEnd"/>
      <w:r w:rsidRPr="00C50189">
        <w:t xml:space="preserve"> [GSK]), the </w:t>
      </w:r>
      <w:proofErr w:type="spellStart"/>
      <w:r w:rsidR="006453E0">
        <w:t>Optaflu</w:t>
      </w:r>
      <w:proofErr w:type="spellEnd"/>
      <w:r w:rsidRPr="00C50189">
        <w:t xml:space="preserve"> trivalent, surface antigen, inactivated, influenza vaccine, represents the first cell culture</w:t>
      </w:r>
      <w:r w:rsidR="00E55A29">
        <w:t xml:space="preserve"> </w:t>
      </w:r>
      <w:r w:rsidRPr="00C50189">
        <w:t>derived,</w:t>
      </w:r>
      <w:r w:rsidR="003B39C3">
        <w:rPr>
          <w:rStyle w:val="FootnoteReference"/>
        </w:rPr>
        <w:footnoteReference w:id="3"/>
      </w:r>
      <w:r w:rsidRPr="00C50189">
        <w:t xml:space="preserve"> pre-pandemic seasonal influenza vaccine to be considered for registration. The use of cell culture, rather than eggs to cultivate virus offers several advantages, namely reduced </w:t>
      </w:r>
      <w:r w:rsidR="00E55A29">
        <w:t xml:space="preserve">production times; </w:t>
      </w:r>
      <w:r w:rsidRPr="00C50189">
        <w:t>the ability to safely use whole, wild</w:t>
      </w:r>
      <w:r w:rsidR="009B0AFC">
        <w:t xml:space="preserve"> </w:t>
      </w:r>
      <w:r w:rsidRPr="00C50189">
        <w:t>ty</w:t>
      </w:r>
      <w:r w:rsidR="00E55A29">
        <w:t xml:space="preserve">pe virus (without </w:t>
      </w:r>
      <w:proofErr w:type="spellStart"/>
      <w:r w:rsidR="00E55A29">
        <w:t>reassortment</w:t>
      </w:r>
      <w:proofErr w:type="spellEnd"/>
      <w:r w:rsidR="00E55A29">
        <w:t xml:space="preserve">); and the </w:t>
      </w:r>
      <w:r w:rsidRPr="00C50189">
        <w:t>avoidance of pote</w:t>
      </w:r>
      <w:r w:rsidR="00C341B3">
        <w:t>ntial problems with egg supply.</w:t>
      </w:r>
    </w:p>
    <w:p w:rsidR="00C50189" w:rsidRPr="00C50189" w:rsidRDefault="00C50189" w:rsidP="00C50189">
      <w:r w:rsidRPr="00C50189">
        <w:t>Overall</w:t>
      </w:r>
      <w:r>
        <w:t>,</w:t>
      </w:r>
      <w:r w:rsidRPr="00C50189">
        <w:t xml:space="preserve"> </w:t>
      </w:r>
      <w:proofErr w:type="spellStart"/>
      <w:r w:rsidR="00D92D6C">
        <w:t>Optaflu</w:t>
      </w:r>
      <w:proofErr w:type="spellEnd"/>
      <w:r w:rsidRPr="00C50189">
        <w:t xml:space="preserve"> displays acceptable safety properties including acceptable local intramuscular tolerance, acceptable repeated dose safety properties (2 intramuscular do</w:t>
      </w:r>
      <w:r w:rsidR="007E28D9">
        <w:t>ses in rabbits), acceptable prenatal and post</w:t>
      </w:r>
      <w:r w:rsidRPr="00C50189">
        <w:t>natal reproductive safety properties in a single species (rabbits; effects on male reproduction were not evaluated).</w:t>
      </w:r>
    </w:p>
    <w:p w:rsidR="00C50189" w:rsidRPr="00C50189" w:rsidRDefault="00C50189" w:rsidP="00C50189">
      <w:r w:rsidRPr="00C50189">
        <w:t>The pivotal data submitted in support of the application were mostly adequate.</w:t>
      </w:r>
      <w:r w:rsidR="007A7CDB">
        <w:t xml:space="preserve"> </w:t>
      </w:r>
      <w:r w:rsidR="007E28D9">
        <w:t xml:space="preserve">However, a number of </w:t>
      </w:r>
      <w:proofErr w:type="spellStart"/>
      <w:r w:rsidR="007E28D9">
        <w:t xml:space="preserve">non </w:t>
      </w:r>
      <w:r w:rsidRPr="00C50189">
        <w:t>pivotal</w:t>
      </w:r>
      <w:proofErr w:type="spellEnd"/>
      <w:r w:rsidRPr="00C50189">
        <w:t xml:space="preserve"> immunogenicity and/or efficacy studies in ferrets and mice were evaluated but not summarised in this report because they were inconclusive.</w:t>
      </w:r>
    </w:p>
    <w:p w:rsidR="00C50189" w:rsidRPr="00C50189" w:rsidRDefault="007E28D9" w:rsidP="00C50189">
      <w:r>
        <w:t>Notably, i</w:t>
      </w:r>
      <w:r w:rsidR="00C50189" w:rsidRPr="00C50189">
        <w:t>nfluenza virus clearance requires both cellular and antibody responses, and priming with a heterologous virus might stimulate T</w:t>
      </w:r>
      <w:r w:rsidR="002A1DF5">
        <w:t xml:space="preserve"> </w:t>
      </w:r>
      <w:r w:rsidR="00C50189" w:rsidRPr="00C50189">
        <w:t>cells cross</w:t>
      </w:r>
      <w:r w:rsidR="002A1DF5">
        <w:t xml:space="preserve"> </w:t>
      </w:r>
      <w:r w:rsidR="00C50189" w:rsidRPr="00C50189">
        <w:t>reactive to internal viral proteins, which have more conserved epitopes than the highly variable surface glycoproteins. The priming model would more closely resemble the situation in humans where only infants are influenza</w:t>
      </w:r>
      <w:r w:rsidR="002A1DF5">
        <w:t xml:space="preserve"> </w:t>
      </w:r>
      <w:r w:rsidR="00C50189" w:rsidRPr="00C50189">
        <w:t>naïve.</w:t>
      </w:r>
      <w:r w:rsidR="007A7CDB">
        <w:t xml:space="preserve"> </w:t>
      </w:r>
      <w:r w:rsidR="002A1DF5">
        <w:t xml:space="preserve">In general, </w:t>
      </w:r>
      <w:r w:rsidR="00C50189" w:rsidRPr="00C50189">
        <w:t>at least 2 exposures to influenza virus vaccines are recommended in influenza</w:t>
      </w:r>
      <w:r w:rsidR="002A1DF5">
        <w:t xml:space="preserve"> </w:t>
      </w:r>
      <w:r w:rsidR="00C50189" w:rsidRPr="00C50189">
        <w:t>naïve individuals.</w:t>
      </w:r>
      <w:r w:rsidR="007A7CDB">
        <w:t xml:space="preserve"> </w:t>
      </w:r>
      <w:r w:rsidR="00C50189" w:rsidRPr="00C50189">
        <w:t xml:space="preserve">However, </w:t>
      </w:r>
      <w:proofErr w:type="spellStart"/>
      <w:r w:rsidR="00C477B9">
        <w:t>Optaflu</w:t>
      </w:r>
      <w:proofErr w:type="spellEnd"/>
      <w:r w:rsidR="00C50189" w:rsidRPr="00C50189">
        <w:t xml:space="preserve"> is being registered for use in adults (18 years of age or older).</w:t>
      </w:r>
      <w:r w:rsidR="007A7CDB">
        <w:t xml:space="preserve"> </w:t>
      </w:r>
      <w:r w:rsidR="00C50189" w:rsidRPr="00C50189">
        <w:t>Thus</w:t>
      </w:r>
      <w:r w:rsidR="002A1DF5">
        <w:t>,</w:t>
      </w:r>
      <w:r w:rsidR="00C50189" w:rsidRPr="00C50189">
        <w:t xml:space="preserve"> the use of </w:t>
      </w:r>
      <w:proofErr w:type="spellStart"/>
      <w:r w:rsidR="00C477B9">
        <w:t>Optaflu</w:t>
      </w:r>
      <w:proofErr w:type="spellEnd"/>
      <w:r w:rsidR="002A1DF5">
        <w:t xml:space="preserve"> in influenza </w:t>
      </w:r>
      <w:r w:rsidR="00C50189" w:rsidRPr="00C50189">
        <w:t>naïve individuals is unlikely given its proposed pattern of use.</w:t>
      </w:r>
    </w:p>
    <w:p w:rsidR="00C50189" w:rsidRPr="00C50189" w:rsidRDefault="00C50189" w:rsidP="00C50189">
      <w:r w:rsidRPr="00C50189">
        <w:t xml:space="preserve">The pivotal studies for detection of the neoplastic </w:t>
      </w:r>
      <w:r w:rsidR="002A1DF5">
        <w:t xml:space="preserve">potential of the sponsor’s </w:t>
      </w:r>
      <w:proofErr w:type="spellStart"/>
      <w:r w:rsidR="002A1DF5">
        <w:t>Madin</w:t>
      </w:r>
      <w:proofErr w:type="spellEnd"/>
      <w:r w:rsidR="002A1DF5">
        <w:t xml:space="preserve"> </w:t>
      </w:r>
      <w:r w:rsidRPr="00C50189">
        <w:t xml:space="preserve">Darby </w:t>
      </w:r>
      <w:r w:rsidR="002A1DF5">
        <w:t>C</w:t>
      </w:r>
      <w:r w:rsidRPr="00C50189">
        <w:t xml:space="preserve">anine </w:t>
      </w:r>
      <w:r w:rsidR="002A1DF5">
        <w:t>K</w:t>
      </w:r>
      <w:r w:rsidRPr="00C50189">
        <w:t xml:space="preserve">idney cell line (MDCK cells; the neoplastic cell virus substrate used in the manufacture of </w:t>
      </w:r>
      <w:proofErr w:type="spellStart"/>
      <w:r w:rsidR="001E429C">
        <w:t>Optaflu</w:t>
      </w:r>
      <w:proofErr w:type="spellEnd"/>
      <w:r w:rsidR="008F50E3">
        <w:t xml:space="preserve">), virus substrate, MDCK cell </w:t>
      </w:r>
      <w:r w:rsidRPr="00C50189">
        <w:t>free lysate, beta</w:t>
      </w:r>
      <w:r w:rsidR="008F50E3">
        <w:t xml:space="preserve"> </w:t>
      </w:r>
      <w:proofErr w:type="spellStart"/>
      <w:r w:rsidR="008F50E3">
        <w:t>propiolactone</w:t>
      </w:r>
      <w:proofErr w:type="spellEnd"/>
      <w:r w:rsidR="008F50E3">
        <w:t xml:space="preserve"> treated MDCK cell </w:t>
      </w:r>
      <w:r w:rsidRPr="00C50189">
        <w:t>free lysate, and MDCK cell DNA in T</w:t>
      </w:r>
      <w:r w:rsidR="008F50E3">
        <w:t xml:space="preserve"> </w:t>
      </w:r>
      <w:r w:rsidRPr="00C50189">
        <w:t>lymphocyte</w:t>
      </w:r>
      <w:r w:rsidR="008F50E3">
        <w:t xml:space="preserve"> </w:t>
      </w:r>
      <w:r w:rsidRPr="00C50189">
        <w:t>deficient rode</w:t>
      </w:r>
      <w:r w:rsidR="00D76AAF">
        <w:t>nt models suffered because of Quality Assurance</w:t>
      </w:r>
      <w:r w:rsidRPr="00C50189">
        <w:t>/Q</w:t>
      </w:r>
      <w:r w:rsidR="00D76AAF">
        <w:t xml:space="preserve">uality </w:t>
      </w:r>
      <w:r w:rsidRPr="00C50189">
        <w:t>C</w:t>
      </w:r>
      <w:r w:rsidR="00D76AAF">
        <w:t>ontrol</w:t>
      </w:r>
      <w:r w:rsidRPr="00C50189">
        <w:t xml:space="preserve"> </w:t>
      </w:r>
      <w:r w:rsidR="00953613">
        <w:t xml:space="preserve">(QA/QC) </w:t>
      </w:r>
      <w:r w:rsidRPr="00C50189">
        <w:t>issues (which were acknowledged and corrected) pertaining to the tissue sample handling in the histopathology components of the studies.</w:t>
      </w:r>
      <w:r w:rsidR="007A7CDB">
        <w:t xml:space="preserve"> </w:t>
      </w:r>
      <w:r w:rsidRPr="00C50189">
        <w:t>These studies wer</w:t>
      </w:r>
      <w:r w:rsidR="00D76AAF">
        <w:t>e not conducted according to principles of Good Laboratory Practice (GLP)</w:t>
      </w:r>
      <w:r w:rsidRPr="00C50189">
        <w:t>.</w:t>
      </w:r>
      <w:r w:rsidR="007A7CDB">
        <w:t xml:space="preserve"> </w:t>
      </w:r>
      <w:r w:rsidRPr="00C50189">
        <w:t xml:space="preserve">However, it is important to note that despite </w:t>
      </w:r>
      <w:r w:rsidRPr="00C50189">
        <w:lastRenderedPageBreak/>
        <w:t>the QA/QC issues (which were corrected) and lack of GLP status, the overall outcome of these studies is acceptable for registration purposes.</w:t>
      </w:r>
    </w:p>
    <w:p w:rsidR="00C50189" w:rsidRPr="00C50189" w:rsidRDefault="00C50189" w:rsidP="00C50189">
      <w:r w:rsidRPr="00C50189">
        <w:t xml:space="preserve">This evaluation utilised the </w:t>
      </w:r>
      <w:r w:rsidR="002C1076">
        <w:t>relevant EMA guideline</w:t>
      </w:r>
      <w:r w:rsidR="002C1076">
        <w:rPr>
          <w:rStyle w:val="FootnoteReference"/>
        </w:rPr>
        <w:footnoteReference w:id="4"/>
      </w:r>
      <w:r w:rsidR="002C1076">
        <w:t xml:space="preserve"> </w:t>
      </w:r>
      <w:r w:rsidR="00DF6FF7">
        <w:t>and World Health Organi</w:t>
      </w:r>
      <w:r w:rsidR="001B2E07">
        <w:t>s</w:t>
      </w:r>
      <w:r w:rsidR="00DF6FF7">
        <w:t xml:space="preserve">ation recommendations </w:t>
      </w:r>
      <w:bookmarkEnd w:id="43"/>
      <w:bookmarkEnd w:id="44"/>
      <w:r w:rsidRPr="00C50189">
        <w:t xml:space="preserve">for the evaluation of animal cell cultures as substrates for the manufacture of biological medicinal </w:t>
      </w:r>
      <w:r w:rsidR="008A2C76">
        <w:t>products and for the characteris</w:t>
      </w:r>
      <w:r w:rsidR="00601A29">
        <w:t>ation of cell banks</w:t>
      </w:r>
      <w:r w:rsidRPr="00C50189">
        <w:t>.</w:t>
      </w:r>
      <w:r w:rsidR="00953613">
        <w:rPr>
          <w:rStyle w:val="FootnoteReference"/>
        </w:rPr>
        <w:footnoteReference w:id="5"/>
      </w:r>
    </w:p>
    <w:p w:rsidR="008E7846" w:rsidRDefault="008E7846" w:rsidP="00C341B3">
      <w:pPr>
        <w:pStyle w:val="Heading3"/>
      </w:pPr>
      <w:bookmarkStart w:id="45" w:name="_Toc247691512"/>
      <w:bookmarkStart w:id="46" w:name="_Toc314842496"/>
      <w:bookmarkStart w:id="47" w:name="_Toc430081288"/>
      <w:r w:rsidRPr="00C341B3">
        <w:t>Pharmacology</w:t>
      </w:r>
      <w:bookmarkEnd w:id="45"/>
      <w:bookmarkEnd w:id="46"/>
      <w:bookmarkEnd w:id="47"/>
    </w:p>
    <w:p w:rsidR="00526D32" w:rsidRPr="008F4633" w:rsidRDefault="00526D32" w:rsidP="00C341B3">
      <w:pPr>
        <w:pStyle w:val="Heading4"/>
      </w:pPr>
      <w:r w:rsidRPr="008F4633">
        <w:t xml:space="preserve">Primary </w:t>
      </w:r>
      <w:r w:rsidRPr="00C341B3">
        <w:t>pharmacology</w:t>
      </w:r>
    </w:p>
    <w:p w:rsidR="00526D32" w:rsidRPr="00526D32" w:rsidRDefault="00526D32" w:rsidP="00526D32">
      <w:r w:rsidRPr="00526D32">
        <w:t xml:space="preserve">Overall, </w:t>
      </w:r>
      <w:proofErr w:type="spellStart"/>
      <w:r w:rsidR="00C477B9">
        <w:t>Optaflu</w:t>
      </w:r>
      <w:proofErr w:type="spellEnd"/>
      <w:r w:rsidRPr="00526D32">
        <w:t xml:space="preserve"> performed approximately the same as the positive control article (</w:t>
      </w:r>
      <w:proofErr w:type="spellStart"/>
      <w:r w:rsidRPr="00526D32">
        <w:t>Agrippal</w:t>
      </w:r>
      <w:proofErr w:type="spellEnd"/>
      <w:r w:rsidRPr="00526D32">
        <w:t xml:space="preserve"> S1, an egg </w:t>
      </w:r>
      <w:proofErr w:type="spellStart"/>
      <w:r w:rsidRPr="00526D32">
        <w:t>allantoic</w:t>
      </w:r>
      <w:proofErr w:type="spellEnd"/>
      <w:r w:rsidRPr="00526D32">
        <w:t xml:space="preserve"> cavity derived split influenza virus surface antigen vaccine containing influenza virus Type A H1N1 New Caledonia/20/99 15µg of </w:t>
      </w:r>
      <w:r w:rsidR="007A7CDB">
        <w:t>HA</w:t>
      </w:r>
      <w:r w:rsidRPr="00526D32">
        <w:t xml:space="preserve"> per 0.5 mL dose, influenza virus t</w:t>
      </w:r>
      <w:r w:rsidR="008F037C">
        <w:t xml:space="preserve">ype A H3N2 Moscow/10/99 15µg of </w:t>
      </w:r>
      <w:r w:rsidR="007A7CDB">
        <w:t>HA</w:t>
      </w:r>
      <w:r w:rsidRPr="00526D32">
        <w:t xml:space="preserve"> per 0.5 mL dose, and influenza virus type B Hong Kong/330/2001 15µg of </w:t>
      </w:r>
      <w:r w:rsidR="007A7CDB">
        <w:t>HA</w:t>
      </w:r>
      <w:r w:rsidRPr="00526D32">
        <w:t xml:space="preserve"> per 0.5 mL dose) in terms of stimulating </w:t>
      </w:r>
      <w:r w:rsidR="00B557A9">
        <w:t>HA</w:t>
      </w:r>
      <w:r w:rsidR="003A6BC3">
        <w:t xml:space="preserve"> inhibiting (H</w:t>
      </w:r>
      <w:r w:rsidRPr="00526D32">
        <w:t>I) antibodies in the heterologous influenza virus primed 6 month</w:t>
      </w:r>
      <w:r w:rsidR="00FC2B69">
        <w:t xml:space="preserve"> </w:t>
      </w:r>
      <w:r w:rsidRPr="00526D32">
        <w:t>old male ferret animal model of influenza virus infection.</w:t>
      </w:r>
      <w:r w:rsidR="007A7CDB">
        <w:t xml:space="preserve"> </w:t>
      </w:r>
      <w:r w:rsidRPr="00526D32">
        <w:t>However, for some measured, influenza disease</w:t>
      </w:r>
      <w:r w:rsidR="003A6BC3">
        <w:t xml:space="preserve"> associated, endpoints (for example, </w:t>
      </w:r>
      <w:r w:rsidRPr="00526D32">
        <w:t>mean maximum nasal virus titre, nasal flush mean maximum leukocyte count), there was a trend (not statistically significant p &gt; 0.05) towards lower performance of the test article compared with the positive control article (</w:t>
      </w:r>
      <w:proofErr w:type="spellStart"/>
      <w:r w:rsidRPr="00526D32">
        <w:t>Agrippal</w:t>
      </w:r>
      <w:proofErr w:type="spellEnd"/>
      <w:r w:rsidRPr="00526D32">
        <w:t xml:space="preserve"> S1).</w:t>
      </w:r>
    </w:p>
    <w:p w:rsidR="00526D32" w:rsidRPr="00526D32" w:rsidRDefault="00526D32" w:rsidP="00526D32">
      <w:r w:rsidRPr="00526D32">
        <w:t xml:space="preserve">The nonclinical study package was essentially consistent </w:t>
      </w:r>
      <w:r w:rsidR="00DE5FAC">
        <w:t xml:space="preserve">with recently published </w:t>
      </w:r>
      <w:r w:rsidR="00C065B8">
        <w:t>EMA guidelines</w:t>
      </w:r>
      <w:r w:rsidR="00C065B8">
        <w:rPr>
          <w:rStyle w:val="FootnoteReference"/>
        </w:rPr>
        <w:footnoteReference w:id="6"/>
      </w:r>
      <w:r w:rsidR="00C065B8">
        <w:t xml:space="preserve"> </w:t>
      </w:r>
      <w:r w:rsidRPr="00526D32">
        <w:t>(note: this draft guideline has not been adopted by TGA).</w:t>
      </w:r>
      <w:r w:rsidR="007A7CDB">
        <w:t xml:space="preserve"> </w:t>
      </w:r>
      <w:r w:rsidRPr="00526D32">
        <w:t>However</w:t>
      </w:r>
      <w:r w:rsidR="000C4D4C">
        <w:t>,</w:t>
      </w:r>
      <w:r w:rsidRPr="00526D32">
        <w:t xml:space="preserve"> there were significant limita</w:t>
      </w:r>
      <w:r w:rsidR="003A6BC3">
        <w:t>tions in the immunogenicity sub</w:t>
      </w:r>
      <w:r w:rsidRPr="00526D32">
        <w:t>component of the pivotal efficacy/immunogenicity study in primed ferrets:</w:t>
      </w:r>
    </w:p>
    <w:p w:rsidR="00526D32" w:rsidRPr="00526D32" w:rsidRDefault="00526D32" w:rsidP="00C341B3">
      <w:pPr>
        <w:pStyle w:val="ListBullet"/>
      </w:pPr>
      <w:r w:rsidRPr="00526D32">
        <w:t>Insufficient data on the immunoassays used in the study were provided.</w:t>
      </w:r>
      <w:r w:rsidR="007A7CDB">
        <w:t xml:space="preserve"> </w:t>
      </w:r>
      <w:r w:rsidRPr="00526D32">
        <w:t xml:space="preserve">HAI assay qualification data was only provided for the H1N1 influenza </w:t>
      </w:r>
      <w:proofErr w:type="gramStart"/>
      <w:r w:rsidRPr="00526D32">
        <w:t>A</w:t>
      </w:r>
      <w:proofErr w:type="gramEnd"/>
      <w:r w:rsidRPr="00526D32">
        <w:t xml:space="preserve"> strain.</w:t>
      </w:r>
      <w:r w:rsidR="007A7CDB">
        <w:t xml:space="preserve"> </w:t>
      </w:r>
      <w:r w:rsidRPr="00526D32">
        <w:t>Suitable qualification data for the other influenza strains was not provided.</w:t>
      </w:r>
      <w:r w:rsidR="007A7CDB">
        <w:t xml:space="preserve"> </w:t>
      </w:r>
      <w:r w:rsidRPr="00526D32">
        <w:t xml:space="preserve">Notably, no data on the optimisation of these assay </w:t>
      </w:r>
      <w:r w:rsidRPr="00C341B3">
        <w:t>techniques</w:t>
      </w:r>
      <w:r w:rsidRPr="00526D32">
        <w:t xml:space="preserve"> were provided.</w:t>
      </w:r>
      <w:r w:rsidR="007A7CDB">
        <w:t xml:space="preserve"> </w:t>
      </w:r>
      <w:r w:rsidRPr="00526D32">
        <w:t>Thus</w:t>
      </w:r>
      <w:r w:rsidR="0026133B">
        <w:t>,</w:t>
      </w:r>
      <w:r w:rsidRPr="00526D32">
        <w:t xml:space="preserve"> the sensitivity, specificity, precision, negative predict</w:t>
      </w:r>
      <w:r w:rsidR="0026133B">
        <w:t>ive value and accuracy of the H</w:t>
      </w:r>
      <w:r w:rsidRPr="00526D32">
        <w:t>I assay systems for the influenza Type A H2N3 and Type B used could not be evaluated;</w:t>
      </w:r>
    </w:p>
    <w:p w:rsidR="00526D32" w:rsidRPr="00526D32" w:rsidRDefault="00526D32" w:rsidP="00526D32">
      <w:pPr>
        <w:pStyle w:val="ListBullet"/>
      </w:pPr>
      <w:r w:rsidRPr="00526D32">
        <w:t>Notably, the antig</w:t>
      </w:r>
      <w:r w:rsidR="00711F10">
        <w:t xml:space="preserve">enic cross </w:t>
      </w:r>
      <w:r w:rsidR="008F037C">
        <w:t>reactivity of all the H</w:t>
      </w:r>
      <w:r w:rsidRPr="00526D32">
        <w:t>I assays could not be assessed;</w:t>
      </w:r>
    </w:p>
    <w:p w:rsidR="00526D32" w:rsidRPr="00526D32" w:rsidRDefault="00526D32" w:rsidP="00C341B3">
      <w:pPr>
        <w:pStyle w:val="ListBullet"/>
      </w:pPr>
      <w:r w:rsidRPr="00526D32">
        <w:t xml:space="preserve">The immunogenicity components of the study did not evaluate mechanistically important aspects of the anamnestic </w:t>
      </w:r>
      <w:r w:rsidRPr="00C341B3">
        <w:t>response</w:t>
      </w:r>
      <w:r w:rsidRPr="00526D32">
        <w:t>.</w:t>
      </w:r>
      <w:r w:rsidR="007A7CDB">
        <w:t xml:space="preserve"> </w:t>
      </w:r>
      <w:r w:rsidRPr="00526D32">
        <w:t>However</w:t>
      </w:r>
      <w:r w:rsidR="0026133B">
        <w:t>,</w:t>
      </w:r>
      <w:r w:rsidRPr="00526D32">
        <w:t xml:space="preserve"> such studies are not currently required by </w:t>
      </w:r>
      <w:r w:rsidR="00C341B3">
        <w:t>relevant nonclinical guidelines.</w:t>
      </w:r>
    </w:p>
    <w:p w:rsidR="00526D32" w:rsidRPr="00526D32" w:rsidRDefault="00C477B9" w:rsidP="00C341B3">
      <w:proofErr w:type="spellStart"/>
      <w:r>
        <w:t>Optaflu</w:t>
      </w:r>
      <w:proofErr w:type="spellEnd"/>
      <w:r w:rsidR="0026133B">
        <w:t xml:space="preserve"> was capable of inducing H</w:t>
      </w:r>
      <w:r w:rsidR="00526D32" w:rsidRPr="00526D32">
        <w:t>I antibodie</w:t>
      </w:r>
      <w:r w:rsidR="00C065B8">
        <w:t xml:space="preserve">s in pregnant rabbits. </w:t>
      </w:r>
      <w:r w:rsidR="0026133B">
        <w:t>H</w:t>
      </w:r>
      <w:r w:rsidR="00526D32" w:rsidRPr="00526D32">
        <w:t>I antibodies, at titres that were comparable to maternal levels, were present in rabbit foetuses (gestational age 29 days) an</w:t>
      </w:r>
      <w:r w:rsidR="00C065B8">
        <w:t xml:space="preserve">d in 29 day old rabbit pups. </w:t>
      </w:r>
      <w:proofErr w:type="spellStart"/>
      <w:r>
        <w:t>Optaflu</w:t>
      </w:r>
      <w:proofErr w:type="spellEnd"/>
      <w:r w:rsidR="00526D32" w:rsidRPr="00526D32">
        <w:t xml:space="preserve"> was ab</w:t>
      </w:r>
      <w:r w:rsidR="0026133B">
        <w:t>le to induce prenatal and/or post</w:t>
      </w:r>
      <w:r w:rsidR="00526D32" w:rsidRPr="00526D32">
        <w:t>natal transfer of maternal immunity</w:t>
      </w:r>
      <w:r w:rsidR="0026133B">
        <w:t xml:space="preserve"> and/or de novo foetal and post</w:t>
      </w:r>
      <w:r w:rsidR="00526D32" w:rsidRPr="00526D32">
        <w:t>natal antibody production.</w:t>
      </w:r>
    </w:p>
    <w:p w:rsidR="00526D32" w:rsidRPr="00307983" w:rsidRDefault="00526D32" w:rsidP="00307983">
      <w:pPr>
        <w:pStyle w:val="Heading4"/>
      </w:pPr>
      <w:r w:rsidRPr="008F4633">
        <w:lastRenderedPageBreak/>
        <w:t>S</w:t>
      </w:r>
      <w:r w:rsidR="00307983">
        <w:t>econdary pharmacodynamics</w:t>
      </w:r>
    </w:p>
    <w:p w:rsidR="00526D32" w:rsidRPr="00526D32" w:rsidRDefault="00526D32" w:rsidP="00307983">
      <w:r w:rsidRPr="00526D32">
        <w:t xml:space="preserve">There were no secondary </w:t>
      </w:r>
      <w:proofErr w:type="spellStart"/>
      <w:r w:rsidRPr="00526D32">
        <w:t>pharmacodynamic</w:t>
      </w:r>
      <w:proofErr w:type="spellEnd"/>
      <w:r w:rsidRPr="00526D32">
        <w:t xml:space="preserve"> studies submitted by the sponsor.</w:t>
      </w:r>
      <w:r w:rsidR="007A7CDB">
        <w:t xml:space="preserve"> </w:t>
      </w:r>
      <w:r w:rsidRPr="00526D32">
        <w:t>This is in accord</w:t>
      </w:r>
      <w:r w:rsidR="0026133B">
        <w:t>ance</w:t>
      </w:r>
      <w:r w:rsidR="00543005">
        <w:t xml:space="preserve"> with </w:t>
      </w:r>
      <w:r w:rsidR="006D6CD2">
        <w:t>published guidelines.</w:t>
      </w:r>
      <w:r w:rsidR="00C065B8">
        <w:rPr>
          <w:rStyle w:val="FootnoteReference"/>
        </w:rPr>
        <w:footnoteReference w:id="7"/>
      </w:r>
    </w:p>
    <w:p w:rsidR="00526D32" w:rsidRPr="008F4633" w:rsidRDefault="00526D32" w:rsidP="00307983">
      <w:pPr>
        <w:pStyle w:val="Heading4"/>
      </w:pPr>
      <w:r w:rsidRPr="008F4633">
        <w:t xml:space="preserve">Safety </w:t>
      </w:r>
      <w:r w:rsidRPr="00307983">
        <w:t>pharmacology</w:t>
      </w:r>
    </w:p>
    <w:p w:rsidR="00526D32" w:rsidRPr="00526D32" w:rsidRDefault="00526D32" w:rsidP="00526D32">
      <w:r w:rsidRPr="00526D32">
        <w:t>There were no submitted studies due to the nature of the product and the known nonclinical and clinical safety and tolerability profile of the vaccine. This is acceptable.</w:t>
      </w:r>
    </w:p>
    <w:p w:rsidR="00526D32" w:rsidRPr="00526D32" w:rsidRDefault="00543005" w:rsidP="00526D32">
      <w:r>
        <w:t>The nonclinical o</w:t>
      </w:r>
      <w:r w:rsidR="00526D32" w:rsidRPr="00526D32">
        <w:t xml:space="preserve">verview stated that each clinical lot of </w:t>
      </w:r>
      <w:proofErr w:type="spellStart"/>
      <w:r w:rsidR="00C477B9">
        <w:t>Optaflu</w:t>
      </w:r>
      <w:proofErr w:type="spellEnd"/>
      <w:r w:rsidR="00526D32" w:rsidRPr="00526D32">
        <w:t xml:space="preserve"> undergoes general safety testing in mice and guinea pigs as part of the quality program.</w:t>
      </w:r>
      <w:r w:rsidR="007A7CDB">
        <w:t xml:space="preserve"> </w:t>
      </w:r>
      <w:r w:rsidR="00DA481D">
        <w:t xml:space="preserve">However, </w:t>
      </w:r>
      <w:r w:rsidR="00526D32" w:rsidRPr="00526D32">
        <w:t>what this general safety testing entails is not stated. Notably</w:t>
      </w:r>
      <w:r w:rsidR="00DA481D">
        <w:t>,</w:t>
      </w:r>
      <w:r w:rsidR="00526D32" w:rsidRPr="00526D32">
        <w:t xml:space="preserve"> abnormal toxicity or </w:t>
      </w:r>
      <w:proofErr w:type="spellStart"/>
      <w:r w:rsidR="00526D32" w:rsidRPr="00526D32">
        <w:t>inocuity</w:t>
      </w:r>
      <w:proofErr w:type="spellEnd"/>
      <w:r w:rsidR="00526D32" w:rsidRPr="00526D32">
        <w:t xml:space="preserve"> batch testing is no longer required for influenza vaccines.</w:t>
      </w:r>
    </w:p>
    <w:p w:rsidR="008E7846" w:rsidRDefault="008E7846" w:rsidP="008E7846">
      <w:pPr>
        <w:pStyle w:val="Heading3"/>
      </w:pPr>
      <w:bookmarkStart w:id="48" w:name="_Toc247691513"/>
      <w:bookmarkStart w:id="49" w:name="_Toc314842497"/>
      <w:bookmarkStart w:id="50" w:name="_Toc430081289"/>
      <w:r>
        <w:t>Pharmacokinetics</w:t>
      </w:r>
      <w:bookmarkEnd w:id="48"/>
      <w:bookmarkEnd w:id="49"/>
      <w:bookmarkEnd w:id="50"/>
    </w:p>
    <w:p w:rsidR="008D60AA" w:rsidRPr="008D60AA" w:rsidRDefault="008D60AA" w:rsidP="008D60AA">
      <w:bookmarkStart w:id="51" w:name="_Toc247691514"/>
      <w:bookmarkStart w:id="52" w:name="_Toc314842498"/>
      <w:r w:rsidRPr="008D60AA">
        <w:t>No studies investigating absorption, distribution, metabolism, and excretion were performed, which is in acco</w:t>
      </w:r>
      <w:r w:rsidR="00FE5360">
        <w:t>rd</w:t>
      </w:r>
      <w:r w:rsidR="00DA481D">
        <w:t xml:space="preserve">ance with </w:t>
      </w:r>
      <w:r w:rsidR="00FE5360">
        <w:t>applicable guideline</w:t>
      </w:r>
      <w:r w:rsidR="00DA481D">
        <w:t>s</w:t>
      </w:r>
      <w:r w:rsidRPr="008D60AA">
        <w:t>.</w:t>
      </w:r>
      <w:r w:rsidR="00FE5360">
        <w:rPr>
          <w:rStyle w:val="FootnoteReference"/>
        </w:rPr>
        <w:footnoteReference w:id="8"/>
      </w:r>
    </w:p>
    <w:p w:rsidR="001B5C90" w:rsidRDefault="008E7846" w:rsidP="001B5C90">
      <w:pPr>
        <w:pStyle w:val="Heading3"/>
      </w:pPr>
      <w:bookmarkStart w:id="53" w:name="_Toc430081290"/>
      <w:r>
        <w:t>Toxicology</w:t>
      </w:r>
      <w:bookmarkEnd w:id="51"/>
      <w:bookmarkEnd w:id="52"/>
      <w:bookmarkEnd w:id="53"/>
    </w:p>
    <w:p w:rsidR="008D60AA" w:rsidRPr="008F4633" w:rsidRDefault="008D60AA" w:rsidP="00307983">
      <w:pPr>
        <w:pStyle w:val="Heading4"/>
      </w:pPr>
      <w:bookmarkStart w:id="54" w:name="_Toc294861727"/>
      <w:r w:rsidRPr="00307983">
        <w:t>Acute</w:t>
      </w:r>
      <w:r w:rsidRPr="008F4633">
        <w:t xml:space="preserve"> toxicity</w:t>
      </w:r>
      <w:bookmarkEnd w:id="54"/>
    </w:p>
    <w:p w:rsidR="008D60AA" w:rsidRPr="008D60AA" w:rsidRDefault="008D60AA" w:rsidP="008D60AA">
      <w:r w:rsidRPr="008D60AA">
        <w:t xml:space="preserve">No single dose toxicity studies were performed with </w:t>
      </w:r>
      <w:proofErr w:type="spellStart"/>
      <w:r w:rsidR="00C477B9">
        <w:t>Optaflu</w:t>
      </w:r>
      <w:bookmarkStart w:id="55" w:name="_Toc294861728"/>
      <w:proofErr w:type="spellEnd"/>
      <w:r w:rsidRPr="008D60AA">
        <w:t>.</w:t>
      </w:r>
    </w:p>
    <w:p w:rsidR="008D60AA" w:rsidRPr="008F4633" w:rsidRDefault="008D60AA" w:rsidP="008D60AA">
      <w:pPr>
        <w:pStyle w:val="Heading4"/>
      </w:pPr>
      <w:r w:rsidRPr="008F4633">
        <w:t>Repeat</w:t>
      </w:r>
      <w:r w:rsidR="001E2213">
        <w:t xml:space="preserve"> </w:t>
      </w:r>
      <w:r w:rsidRPr="008F4633">
        <w:t>dose toxicity</w:t>
      </w:r>
      <w:bookmarkEnd w:id="55"/>
    </w:p>
    <w:p w:rsidR="008D60AA" w:rsidRPr="008D60AA" w:rsidRDefault="008D60AA" w:rsidP="008D60AA">
      <w:r w:rsidRPr="008D60AA">
        <w:t>A</w:t>
      </w:r>
      <w:r w:rsidR="006D6CD2">
        <w:t xml:space="preserve"> repeat </w:t>
      </w:r>
      <w:r w:rsidRPr="008D60AA">
        <w:t>dose toxicity study was conducted in whic</w:t>
      </w:r>
      <w:r w:rsidR="00791120">
        <w:t>h rabbits were administered 2 intramuscular</w:t>
      </w:r>
      <w:r w:rsidRPr="008D60AA">
        <w:t xml:space="preserve"> clinical doses (45 µg HA total by the clinical route of exposure, using a formulation comparable </w:t>
      </w:r>
      <w:r w:rsidR="00307983">
        <w:t xml:space="preserve">to the clinical formulation) of </w:t>
      </w:r>
      <w:r w:rsidRPr="008D60AA">
        <w:t xml:space="preserve">either </w:t>
      </w:r>
      <w:proofErr w:type="spellStart"/>
      <w:r w:rsidR="00C477B9">
        <w:t>Optaflu</w:t>
      </w:r>
      <w:proofErr w:type="spellEnd"/>
      <w:r w:rsidR="00791120">
        <w:t xml:space="preserve"> or an </w:t>
      </w:r>
      <w:proofErr w:type="spellStart"/>
      <w:r w:rsidR="00791120">
        <w:t>allantoic</w:t>
      </w:r>
      <w:proofErr w:type="spellEnd"/>
      <w:r w:rsidR="00791120">
        <w:t xml:space="preserve"> cavity </w:t>
      </w:r>
      <w:r w:rsidRPr="008D60AA">
        <w:t xml:space="preserve">derived </w:t>
      </w:r>
      <w:r w:rsidR="00D52134">
        <w:t>comparator vaccine (</w:t>
      </w:r>
      <w:proofErr w:type="spellStart"/>
      <w:r w:rsidR="00D52134">
        <w:t>Agrippal</w:t>
      </w:r>
      <w:proofErr w:type="spellEnd"/>
      <w:r w:rsidR="00D52134">
        <w:t xml:space="preserve"> </w:t>
      </w:r>
      <w:r w:rsidRPr="008D60AA">
        <w:t>S1), 7 days apart. The two doses administered to rabbits exceeded the intended number of injections (one) used in</w:t>
      </w:r>
      <w:r w:rsidR="00307983">
        <w:t xml:space="preserve"> the proposed clinical regimen.</w:t>
      </w:r>
    </w:p>
    <w:p w:rsidR="008D60AA" w:rsidRPr="008D60AA" w:rsidRDefault="008D60AA" w:rsidP="00307983">
      <w:r w:rsidRPr="008D60AA">
        <w:t>There was no evidence of systemic toxicity. Injection site reactions were of normal severity and partially or fully resolved over several weeks of recovery. The HA dose of 45 µg (15 µg/kg in a 3 kg rabbit or 165 µg/m</w:t>
      </w:r>
      <w:r w:rsidRPr="00FE5360">
        <w:rPr>
          <w:vertAlign w:val="superscript"/>
        </w:rPr>
        <w:t>2</w:t>
      </w:r>
      <w:r w:rsidRPr="008D60AA">
        <w:t>; BSA conversion factor of 11) is ~5.5x the human dose in mg/m</w:t>
      </w:r>
      <w:r w:rsidRPr="008D60AA">
        <w:rPr>
          <w:vertAlign w:val="superscript"/>
        </w:rPr>
        <w:t>2</w:t>
      </w:r>
      <w:r>
        <w:t xml:space="preserve"> </w:t>
      </w:r>
      <w:r w:rsidRPr="008D60AA">
        <w:t xml:space="preserve">(based on </w:t>
      </w:r>
      <w:r w:rsidR="00B22101">
        <w:t xml:space="preserve">a </w:t>
      </w:r>
      <w:r w:rsidRPr="008D60AA">
        <w:t>5</w:t>
      </w:r>
      <w:r w:rsidR="00D52134">
        <w:t>0 kg individual; that is</w:t>
      </w:r>
      <w:r w:rsidRPr="008D60AA">
        <w:t>, 0.9 µg/kg or 30 µg/m</w:t>
      </w:r>
      <w:r w:rsidRPr="00FE5360">
        <w:rPr>
          <w:vertAlign w:val="superscript"/>
        </w:rPr>
        <w:t>2</w:t>
      </w:r>
      <w:r w:rsidRPr="008D60AA">
        <w:t>; BSA conversion factor of 33).</w:t>
      </w:r>
    </w:p>
    <w:p w:rsidR="008D60AA" w:rsidRPr="008D60AA" w:rsidRDefault="00F00089" w:rsidP="008D60AA">
      <w:r>
        <w:t>However, the pivotal two</w:t>
      </w:r>
      <w:r w:rsidR="008D60AA" w:rsidRPr="008D60AA">
        <w:t xml:space="preserve"> exposure rabbit repeat dose toxicity study has a number of important limitations:</w:t>
      </w:r>
    </w:p>
    <w:p w:rsidR="008D60AA" w:rsidRPr="00015879" w:rsidRDefault="008D60AA" w:rsidP="00307983">
      <w:pPr>
        <w:pStyle w:val="ListBullet"/>
      </w:pPr>
      <w:r w:rsidRPr="00015879">
        <w:t>Notably</w:t>
      </w:r>
      <w:r w:rsidR="00B22101">
        <w:t>,</w:t>
      </w:r>
      <w:r w:rsidRPr="00015879">
        <w:t xml:space="preserve"> positive titres for influenza Type </w:t>
      </w:r>
      <w:proofErr w:type="gramStart"/>
      <w:r w:rsidRPr="00015879">
        <w:t>A</w:t>
      </w:r>
      <w:proofErr w:type="gramEnd"/>
      <w:r w:rsidRPr="00015879">
        <w:t xml:space="preserve"> H2N3 were present in all the control article treated animal samples collected on study </w:t>
      </w:r>
      <w:r w:rsidR="00601A29">
        <w:t>D</w:t>
      </w:r>
      <w:r w:rsidRPr="00015879">
        <w:t>ays 1-23.</w:t>
      </w:r>
      <w:r w:rsidR="007A7CDB">
        <w:t xml:space="preserve"> </w:t>
      </w:r>
      <w:r w:rsidRPr="00015879">
        <w:t>No explanation is provided for these unexpected data.</w:t>
      </w:r>
      <w:r w:rsidR="007A7CDB">
        <w:t xml:space="preserve"> </w:t>
      </w:r>
      <w:r w:rsidRPr="00015879">
        <w:t xml:space="preserve">It is highly likely that these positive results in the negative control </w:t>
      </w:r>
      <w:r w:rsidRPr="00307983">
        <w:t>experimental</w:t>
      </w:r>
      <w:r w:rsidRPr="00015879">
        <w:t xml:space="preserve"> cohorts are spurious and brings </w:t>
      </w:r>
      <w:r w:rsidR="005C729E" w:rsidRPr="00015879">
        <w:t xml:space="preserve">into question </w:t>
      </w:r>
      <w:r w:rsidRPr="00015879">
        <w:t>the reliability of the sponsor’s immunoassay</w:t>
      </w:r>
      <w:r w:rsidR="00601A29">
        <w:t>s in this particular study (that is,</w:t>
      </w:r>
      <w:r w:rsidRPr="00015879">
        <w:t xml:space="preserve"> this result is a false positive result) or co</w:t>
      </w:r>
      <w:r w:rsidR="00E57A83">
        <w:t>ntrol article preparation (</w:t>
      </w:r>
      <w:r w:rsidRPr="00015879">
        <w:t>cross contaminati</w:t>
      </w:r>
      <w:r w:rsidR="00E57A83">
        <w:t>on), or sample collection (</w:t>
      </w:r>
      <w:r w:rsidRPr="00015879">
        <w:t>cross contamination).</w:t>
      </w:r>
      <w:r w:rsidR="007A7CDB">
        <w:t xml:space="preserve"> </w:t>
      </w:r>
      <w:r w:rsidR="001F44BE">
        <w:t xml:space="preserve">Currently, </w:t>
      </w:r>
      <w:r w:rsidRPr="00015879">
        <w:t xml:space="preserve">there is no evidence that influenza Type </w:t>
      </w:r>
      <w:proofErr w:type="gramStart"/>
      <w:r w:rsidRPr="00015879">
        <w:t>A</w:t>
      </w:r>
      <w:proofErr w:type="gramEnd"/>
      <w:r w:rsidRPr="00015879">
        <w:t xml:space="preserve"> </w:t>
      </w:r>
      <w:r w:rsidRPr="00015879">
        <w:lastRenderedPageBreak/>
        <w:t>H2N3 infects rabbits under normal conditions.</w:t>
      </w:r>
      <w:r w:rsidR="007A7CDB">
        <w:t xml:space="preserve"> </w:t>
      </w:r>
      <w:r w:rsidRPr="00015879">
        <w:t>Furthermore, there is currently no evidence of naturally occurring antib</w:t>
      </w:r>
      <w:r w:rsidR="00601A29">
        <w:t xml:space="preserve">odies in </w:t>
      </w:r>
      <w:r w:rsidR="00F6442F" w:rsidRPr="00F6442F">
        <w:t>specific pathogen free</w:t>
      </w:r>
      <w:r w:rsidR="00601A29">
        <w:t xml:space="preserve"> rabbits that cross </w:t>
      </w:r>
      <w:r w:rsidRPr="00015879">
        <w:t xml:space="preserve">react with influenza Type </w:t>
      </w:r>
      <w:proofErr w:type="gramStart"/>
      <w:r w:rsidRPr="00015879">
        <w:t>A</w:t>
      </w:r>
      <w:proofErr w:type="gramEnd"/>
      <w:r w:rsidRPr="00015879">
        <w:t xml:space="preserve"> H2N3.</w:t>
      </w:r>
      <w:r w:rsidR="007A7CDB">
        <w:t xml:space="preserve"> </w:t>
      </w:r>
      <w:r w:rsidR="00601A29">
        <w:t xml:space="preserve">Thus, </w:t>
      </w:r>
      <w:proofErr w:type="spellStart"/>
      <w:r w:rsidR="00F6442F">
        <w:t xml:space="preserve">pre </w:t>
      </w:r>
      <w:r w:rsidRPr="00015879">
        <w:t>existing</w:t>
      </w:r>
      <w:proofErr w:type="spellEnd"/>
      <w:r w:rsidRPr="00015879">
        <w:t xml:space="preserve"> titres to this virus strain in unexposed negative control animals are unexpected.</w:t>
      </w:r>
      <w:r w:rsidR="007A7CDB">
        <w:t xml:space="preserve"> </w:t>
      </w:r>
      <w:r w:rsidR="00080111">
        <w:t xml:space="preserve">Furthermore, </w:t>
      </w:r>
      <w:r w:rsidRPr="00015879">
        <w:t>the reported H2N3 titres (probably false positives) in the control group (median 40-80) are not insignificant in terms of these types of assays: “serum HI antibody titres of 40 are associated with at least a 50% reduction in risk for influenza infe</w:t>
      </w:r>
      <w:r w:rsidR="00EA3920">
        <w:t>ction”</w:t>
      </w:r>
      <w:r w:rsidR="007224E7">
        <w:t>;</w:t>
      </w:r>
      <w:r w:rsidR="00EA3920">
        <w:rPr>
          <w:rStyle w:val="FootnoteReference"/>
        </w:rPr>
        <w:footnoteReference w:id="9"/>
      </w:r>
    </w:p>
    <w:p w:rsidR="008D60AA" w:rsidRPr="00015879" w:rsidRDefault="008D60AA" w:rsidP="00015879">
      <w:pPr>
        <w:pStyle w:val="ListBullet"/>
      </w:pPr>
      <w:r w:rsidRPr="00015879">
        <w:t>Insufficient data on the immunoassays used in the study were provided.</w:t>
      </w:r>
      <w:r w:rsidR="007A7CDB">
        <w:t xml:space="preserve"> </w:t>
      </w:r>
      <w:r w:rsidRPr="00015879">
        <w:t xml:space="preserve">HAI assay qualification data was only provided for the H1N1 influenza </w:t>
      </w:r>
      <w:proofErr w:type="gramStart"/>
      <w:r w:rsidRPr="00015879">
        <w:t>A</w:t>
      </w:r>
      <w:proofErr w:type="gramEnd"/>
      <w:r w:rsidRPr="00015879">
        <w:t xml:space="preserve"> strain.</w:t>
      </w:r>
      <w:r w:rsidR="007A7CDB">
        <w:t xml:space="preserve"> </w:t>
      </w:r>
      <w:r w:rsidRPr="00015879">
        <w:t>Suitable qualification data for the other influenza strains was not provided.</w:t>
      </w:r>
      <w:r w:rsidR="007A7CDB">
        <w:t xml:space="preserve"> </w:t>
      </w:r>
      <w:r w:rsidRPr="00015879">
        <w:t>Notably, no data on the optimisation of these assay technique were provided.</w:t>
      </w:r>
      <w:r w:rsidR="007A7CDB">
        <w:t xml:space="preserve"> </w:t>
      </w:r>
      <w:r w:rsidRPr="00015879">
        <w:t>The sensitivity, specificity, precision, negative predict</w:t>
      </w:r>
      <w:r w:rsidR="007224E7">
        <w:t>ive value and accuracy of the H</w:t>
      </w:r>
      <w:r w:rsidRPr="00015879">
        <w:t>I assay systems for the influenza Type A H2N3 and Type B used could not be evaluated.</w:t>
      </w:r>
      <w:r w:rsidR="007A7CDB">
        <w:t xml:space="preserve"> </w:t>
      </w:r>
      <w:r w:rsidRPr="00015879">
        <w:t>The sensitivity, specificity, accuracy, precision and negative predictive value of the inf</w:t>
      </w:r>
      <w:r w:rsidR="007224E7">
        <w:t>luenza Type A H2N3 and Type B H</w:t>
      </w:r>
      <w:r w:rsidRPr="00015879">
        <w:t>I assays could not be assessed;</w:t>
      </w:r>
    </w:p>
    <w:p w:rsidR="008D60AA" w:rsidRPr="00015879" w:rsidRDefault="007224E7" w:rsidP="00015879">
      <w:pPr>
        <w:pStyle w:val="ListBullet"/>
      </w:pPr>
      <w:r>
        <w:t xml:space="preserve">Notably, the antigenic cross </w:t>
      </w:r>
      <w:r w:rsidR="008D60AA" w:rsidRPr="00015879">
        <w:t>r</w:t>
      </w:r>
      <w:r w:rsidR="007757BE">
        <w:t>eactivity of all the H</w:t>
      </w:r>
      <w:r w:rsidR="008D60AA" w:rsidRPr="00015879">
        <w:t>I assays could not be assessed;</w:t>
      </w:r>
    </w:p>
    <w:p w:rsidR="008D60AA" w:rsidRPr="00015879" w:rsidRDefault="008D60AA" w:rsidP="00015879">
      <w:pPr>
        <w:pStyle w:val="ListBullet"/>
      </w:pPr>
      <w:r w:rsidRPr="00015879">
        <w:t>The immunogenicity components of the study did not evaluate mechanistically important aspects of the anamnestic response.</w:t>
      </w:r>
      <w:r w:rsidR="007A7CDB">
        <w:t xml:space="preserve"> </w:t>
      </w:r>
      <w:r w:rsidRPr="00015879">
        <w:t>However such studies are not currently required by relevant nonclinical guidelines;</w:t>
      </w:r>
    </w:p>
    <w:p w:rsidR="008D60AA" w:rsidRPr="00015879" w:rsidRDefault="008D60AA" w:rsidP="00307983">
      <w:pPr>
        <w:pStyle w:val="ListBullet"/>
      </w:pPr>
      <w:r w:rsidRPr="00015879">
        <w:t>No statistical analyses (not even basic summary statistics) of the immunogenicity data was presented in any of the submitted studies were performed.</w:t>
      </w:r>
      <w:r w:rsidR="007A7CDB">
        <w:t xml:space="preserve"> </w:t>
      </w:r>
      <w:r w:rsidRPr="00015879">
        <w:t>While historically only the geometric mean titre has been provided with serum/antibody titre data, it is important to note that statistical an</w:t>
      </w:r>
      <w:r w:rsidR="007757BE">
        <w:t xml:space="preserve">alyses of these </w:t>
      </w:r>
      <w:r w:rsidR="007757BE" w:rsidRPr="00307983">
        <w:t>types</w:t>
      </w:r>
      <w:r w:rsidR="007757BE">
        <w:t xml:space="preserve"> of immune </w:t>
      </w:r>
      <w:r w:rsidRPr="00015879">
        <w:t>haematological data is good, basic scien</w:t>
      </w:r>
      <w:r w:rsidR="007224E7">
        <w:t>tific practice</w:t>
      </w:r>
      <w:r w:rsidRPr="00015879">
        <w:t>.</w:t>
      </w:r>
      <w:r w:rsidR="007224E7">
        <w:rPr>
          <w:rStyle w:val="FootnoteReference"/>
        </w:rPr>
        <w:footnoteReference w:id="10"/>
      </w:r>
      <w:r w:rsidR="007A7CDB">
        <w:t xml:space="preserve"> </w:t>
      </w:r>
      <w:r w:rsidRPr="00015879">
        <w:t>This is regarded as an overarching limitation of many of the sponsors submitted study reports.</w:t>
      </w:r>
    </w:p>
    <w:p w:rsidR="008D60AA" w:rsidRPr="00015879" w:rsidRDefault="008D60AA" w:rsidP="00015879">
      <w:r w:rsidRPr="00015879">
        <w:t xml:space="preserve">Notably, no adverse reactions to vaccination with the clinical dose of </w:t>
      </w:r>
      <w:proofErr w:type="spellStart"/>
      <w:r w:rsidR="00C477B9">
        <w:t>Optaflu</w:t>
      </w:r>
      <w:proofErr w:type="spellEnd"/>
      <w:r w:rsidRPr="00015879">
        <w:t xml:space="preserve"> were observed in the pivotal ferret</w:t>
      </w:r>
      <w:r w:rsidR="00307983">
        <w:t xml:space="preserve"> immunogenicity/efficacy study.</w:t>
      </w:r>
    </w:p>
    <w:p w:rsidR="008D60AA" w:rsidRPr="00015879" w:rsidRDefault="008D60AA" w:rsidP="00307983">
      <w:r w:rsidRPr="00015879">
        <w:t>Note:</w:t>
      </w:r>
      <w:r w:rsidR="00015879" w:rsidRPr="00015879">
        <w:t xml:space="preserve"> </w:t>
      </w:r>
      <w:r w:rsidR="00F929BD">
        <w:t>t</w:t>
      </w:r>
      <w:r w:rsidRPr="00015879">
        <w:t xml:space="preserve">he local tolerance of the </w:t>
      </w:r>
      <w:proofErr w:type="spellStart"/>
      <w:r w:rsidR="00C477B9">
        <w:t>Optaflu</w:t>
      </w:r>
      <w:proofErr w:type="spellEnd"/>
      <w:r w:rsidRPr="00015879">
        <w:t xml:space="preserve"> was determined </w:t>
      </w:r>
      <w:r w:rsidR="00587417">
        <w:t xml:space="preserve">in this study in rabbits. </w:t>
      </w:r>
      <w:proofErr w:type="gramStart"/>
      <w:r w:rsidR="00587417">
        <w:t>Two</w:t>
      </w:r>
      <w:r w:rsidR="00307983">
        <w:t xml:space="preserve"> </w:t>
      </w:r>
      <w:r w:rsidR="00587417">
        <w:t> intramuscular</w:t>
      </w:r>
      <w:proofErr w:type="gramEnd"/>
      <w:r w:rsidRPr="00015879">
        <w:t xml:space="preserve"> injections were given 7 days apart</w:t>
      </w:r>
      <w:r w:rsidR="001F2951">
        <w:t xml:space="preserve"> into alternate hind limbs (that is</w:t>
      </w:r>
      <w:r w:rsidRPr="00015879">
        <w:t>, left-right hind limbs). Consequently, each limb received an acute or single</w:t>
      </w:r>
      <w:r w:rsidR="001F2951">
        <w:t xml:space="preserve"> </w:t>
      </w:r>
      <w:r w:rsidRPr="00015879">
        <w:t xml:space="preserve">dose of </w:t>
      </w:r>
      <w:proofErr w:type="spellStart"/>
      <w:r w:rsidR="00C477B9">
        <w:t>Optaflu</w:t>
      </w:r>
      <w:proofErr w:type="spellEnd"/>
      <w:r w:rsidRPr="00015879">
        <w:t>. Histological evidence of mild injection site reactions (focal necrosis, associated inflammatory cellular infiltrates and haemorrhage) were present in all experimental groups</w:t>
      </w:r>
      <w:r w:rsidR="001F2951">
        <w:t xml:space="preserve"> (including the control article </w:t>
      </w:r>
      <w:r w:rsidRPr="00015879">
        <w:t xml:space="preserve">treated animals) and were partially resolved in some animals by study </w:t>
      </w:r>
      <w:r w:rsidR="001F2951">
        <w:t>D</w:t>
      </w:r>
      <w:r w:rsidRPr="00015879">
        <w:t>ay 23 (15 days following last dose; recovery necropsy evaluation).</w:t>
      </w:r>
      <w:r w:rsidR="007A7CDB">
        <w:t xml:space="preserve"> </w:t>
      </w:r>
      <w:r w:rsidRPr="00015879">
        <w:t>These changes can generally be regarded as adaptive given the circumstances of dosing.</w:t>
      </w:r>
      <w:r w:rsidR="007A7CDB">
        <w:t xml:space="preserve"> </w:t>
      </w:r>
      <w:r w:rsidRPr="00015879">
        <w:t>The reactions were not excessive.</w:t>
      </w:r>
      <w:r w:rsidR="007A7CDB">
        <w:t xml:space="preserve"> </w:t>
      </w:r>
      <w:r w:rsidR="00CE0F6D">
        <w:t xml:space="preserve">However, </w:t>
      </w:r>
      <w:r w:rsidRPr="00015879">
        <w:t xml:space="preserve">some degree of pain and limited local injection reaction can be expected in humans inoculated with </w:t>
      </w:r>
      <w:proofErr w:type="spellStart"/>
      <w:r w:rsidR="00C477B9">
        <w:t>Optaflu</w:t>
      </w:r>
      <w:proofErr w:type="spellEnd"/>
      <w:r w:rsidR="00A9336B">
        <w:t xml:space="preserve">. </w:t>
      </w:r>
      <w:r w:rsidRPr="00015879">
        <w:t>Overall, the histological assessment of the injection site indicated that the vaccine was well tolerated.</w:t>
      </w:r>
      <w:bookmarkStart w:id="56" w:name="_Toc294861729"/>
    </w:p>
    <w:p w:rsidR="008D60AA" w:rsidRPr="008F4633" w:rsidRDefault="008D60AA" w:rsidP="00307983">
      <w:pPr>
        <w:pStyle w:val="Heading4"/>
      </w:pPr>
      <w:proofErr w:type="spellStart"/>
      <w:r w:rsidRPr="00307983">
        <w:t>Genotoxicity</w:t>
      </w:r>
      <w:bookmarkEnd w:id="56"/>
      <w:proofErr w:type="spellEnd"/>
    </w:p>
    <w:p w:rsidR="008D60AA" w:rsidRPr="00015879" w:rsidRDefault="008D60AA" w:rsidP="00015879">
      <w:r w:rsidRPr="00015879">
        <w:t xml:space="preserve">No </w:t>
      </w:r>
      <w:proofErr w:type="spellStart"/>
      <w:r w:rsidRPr="00015879">
        <w:t>genotoxicity</w:t>
      </w:r>
      <w:proofErr w:type="spellEnd"/>
      <w:r w:rsidRPr="00015879">
        <w:t xml:space="preserve"> studies were cond</w:t>
      </w:r>
      <w:r w:rsidR="00CE0F6D">
        <w:t xml:space="preserve">ucted. This is in line with </w:t>
      </w:r>
      <w:r w:rsidRPr="00015879">
        <w:t>relevant guidelines</w:t>
      </w:r>
      <w:r w:rsidR="00A9336B">
        <w:t>.</w:t>
      </w:r>
      <w:r w:rsidR="00533CAD">
        <w:rPr>
          <w:rStyle w:val="FootnoteReference"/>
        </w:rPr>
        <w:footnoteReference w:id="11"/>
      </w:r>
    </w:p>
    <w:p w:rsidR="008D60AA" w:rsidRPr="008F4633" w:rsidRDefault="008D60AA" w:rsidP="00307983">
      <w:pPr>
        <w:pStyle w:val="Heading4"/>
      </w:pPr>
      <w:bookmarkStart w:id="57" w:name="_Toc294861730"/>
      <w:r w:rsidRPr="00307983">
        <w:lastRenderedPageBreak/>
        <w:t>Carcinogenicity</w:t>
      </w:r>
      <w:bookmarkEnd w:id="57"/>
    </w:p>
    <w:p w:rsidR="008D60AA" w:rsidRPr="00015879" w:rsidRDefault="008D60AA" w:rsidP="00015879">
      <w:r w:rsidRPr="00015879">
        <w:t>No carcinogenicity studies on the final vaccine product were submitted. This is acceptable based on its duration of use</w:t>
      </w:r>
      <w:r w:rsidR="00307983">
        <w:t xml:space="preserve"> and the applicable guidelines.</w:t>
      </w:r>
    </w:p>
    <w:p w:rsidR="008D60AA" w:rsidRPr="00015879" w:rsidRDefault="008D60AA" w:rsidP="00015879">
      <w:r w:rsidRPr="00015879">
        <w:t>The neoplastic potential of the virus growth medium and vaccine</w:t>
      </w:r>
      <w:r w:rsidR="00C77F94">
        <w:t xml:space="preserve"> </w:t>
      </w:r>
      <w:r w:rsidRPr="00015879">
        <w:t>relevant extracts was assessed in rodents.</w:t>
      </w:r>
      <w:r w:rsidR="007A7CDB">
        <w:t xml:space="preserve"> </w:t>
      </w:r>
      <w:r w:rsidRPr="00015879">
        <w:t>The reliability of the relevant studies submitted by the sponsor is reduced due to the presence of data discrepancies (acknowledged and corrected to the best of the ability of the study director) in the necropsy and histology components of the relevant studies.</w:t>
      </w:r>
      <w:r w:rsidR="007A7CDB">
        <w:t xml:space="preserve"> </w:t>
      </w:r>
      <w:r w:rsidRPr="00015879">
        <w:t>Accordingly</w:t>
      </w:r>
      <w:r w:rsidR="00CE0F6D">
        <w:t>,</w:t>
      </w:r>
      <w:r w:rsidRPr="00015879">
        <w:t xml:space="preserve"> all of the rel</w:t>
      </w:r>
      <w:r w:rsidR="00C77F94">
        <w:t xml:space="preserve">evant submitted studies are non </w:t>
      </w:r>
      <w:r w:rsidRPr="00015879">
        <w:t>GLP.</w:t>
      </w:r>
      <w:r w:rsidR="007A7CDB">
        <w:t xml:space="preserve"> </w:t>
      </w:r>
      <w:r w:rsidRPr="00015879">
        <w:t>The impact of these discrepancies is perhaps lessened in the case of fully negative studies since all of the samples were negative irrespective of their experimental group of origin.</w:t>
      </w:r>
      <w:r w:rsidR="007A7CDB">
        <w:t xml:space="preserve"> </w:t>
      </w:r>
      <w:r w:rsidR="00B333AA">
        <w:t>As a result,</w:t>
      </w:r>
      <w:r w:rsidRPr="00015879">
        <w:t xml:space="preserve"> the acknowledged data inconsistencies would not have affected the overall outcome of these studies.</w:t>
      </w:r>
    </w:p>
    <w:p w:rsidR="008D60AA" w:rsidRPr="00015879" w:rsidRDefault="008D60AA" w:rsidP="00015879">
      <w:r w:rsidRPr="00015879">
        <w:t>The overall conclusions regarding the package of relevant studies submitted are:</w:t>
      </w:r>
    </w:p>
    <w:p w:rsidR="008D60AA" w:rsidRPr="00015879" w:rsidRDefault="008D60AA" w:rsidP="00015879">
      <w:pPr>
        <w:pStyle w:val="ListBullet"/>
      </w:pPr>
      <w:r w:rsidRPr="00015879">
        <w:t>The sponsor’s MDCK cells (used as an influenza virus growth substrate) are both notably neoplastic and fu</w:t>
      </w:r>
      <w:r w:rsidR="00E03A65">
        <w:t xml:space="preserve">lly capable of metastasis (that is, </w:t>
      </w:r>
      <w:r w:rsidRPr="00015879">
        <w:t xml:space="preserve">malignant) </w:t>
      </w:r>
      <w:r w:rsidRPr="00E03A65">
        <w:rPr>
          <w:i/>
        </w:rPr>
        <w:t>in vivo</w:t>
      </w:r>
      <w:r w:rsidRPr="00015879">
        <w:t xml:space="preserve"> in T</w:t>
      </w:r>
      <w:r w:rsidR="00E03A65">
        <w:t xml:space="preserve"> </w:t>
      </w:r>
      <w:r w:rsidRPr="00015879">
        <w:t>cell deficient/depleted mice and rats (both neonatal and adult).</w:t>
      </w:r>
      <w:r w:rsidR="007A7CDB">
        <w:t xml:space="preserve"> </w:t>
      </w:r>
      <w:r w:rsidRPr="00015879">
        <w:t>The MDCK cell line used cannot, in any way, be described as “weakly tumorigenic”, at least in immune</w:t>
      </w:r>
      <w:r w:rsidR="009E7066">
        <w:t xml:space="preserve"> </w:t>
      </w:r>
      <w:r w:rsidRPr="00015879">
        <w:t>deficient rodent models;</w:t>
      </w:r>
    </w:p>
    <w:p w:rsidR="008D60AA" w:rsidRPr="00015879" w:rsidRDefault="008D60AA" w:rsidP="00015879">
      <w:pPr>
        <w:pStyle w:val="ListBullet"/>
      </w:pPr>
      <w:r w:rsidRPr="00015879">
        <w:t>The sponsor’s MDCK cell lysates (produced by the freeze</w:t>
      </w:r>
      <w:r w:rsidR="009E7066">
        <w:t>/</w:t>
      </w:r>
      <w:r w:rsidRPr="00015879">
        <w:t xml:space="preserve">thaw technique) are not neoplastic </w:t>
      </w:r>
      <w:r w:rsidRPr="003B23E1">
        <w:rPr>
          <w:i/>
        </w:rPr>
        <w:t>in vivo</w:t>
      </w:r>
      <w:r w:rsidRPr="00015879">
        <w:t xml:space="preserve"> in relevant rodent models;</w:t>
      </w:r>
    </w:p>
    <w:p w:rsidR="008D60AA" w:rsidRPr="00015879" w:rsidRDefault="008D60AA" w:rsidP="00015879">
      <w:pPr>
        <w:pStyle w:val="ListBullet"/>
      </w:pPr>
      <w:r w:rsidRPr="00015879">
        <w:t>DNA extracts from the spo</w:t>
      </w:r>
      <w:r w:rsidR="009E7066">
        <w:t xml:space="preserve">nsor’s MDCK cells and influenza </w:t>
      </w:r>
      <w:r w:rsidRPr="00015879">
        <w:t xml:space="preserve">infected MDCK cells are not neoplastic </w:t>
      </w:r>
      <w:r w:rsidRPr="003B23E1">
        <w:rPr>
          <w:i/>
        </w:rPr>
        <w:t>in vivo</w:t>
      </w:r>
      <w:r w:rsidRPr="00015879">
        <w:t xml:space="preserve"> in relevant </w:t>
      </w:r>
      <w:r w:rsidRPr="00307983">
        <w:t>r</w:t>
      </w:r>
      <w:r w:rsidR="00307983">
        <w:t>odent models.</w:t>
      </w:r>
    </w:p>
    <w:p w:rsidR="008D60AA" w:rsidRPr="00015879" w:rsidRDefault="008D60AA" w:rsidP="00307983">
      <w:r w:rsidRPr="00015879">
        <w:t xml:space="preserve">Based on the currently available data, the overall risk of de novo neoplastic disease due to the use of </w:t>
      </w:r>
      <w:proofErr w:type="spellStart"/>
      <w:r w:rsidR="00C477B9">
        <w:t>Optaflu</w:t>
      </w:r>
      <w:proofErr w:type="spellEnd"/>
      <w:r w:rsidRPr="00015879">
        <w:t xml:space="preserve"> is considered to be very low due to the complete lack of viable cells in the final product and lack of carcinogenicity/neopla</w:t>
      </w:r>
      <w:r w:rsidR="00AC4E7D">
        <w:t xml:space="preserve">stic potential of the MDCK cell </w:t>
      </w:r>
      <w:r w:rsidRPr="00015879">
        <w:t>free lysate, lack of carcinogenicity/n</w:t>
      </w:r>
      <w:r w:rsidR="00AC4E7D">
        <w:t xml:space="preserve">eoplastic potential of the beta </w:t>
      </w:r>
      <w:proofErr w:type="spellStart"/>
      <w:r w:rsidRPr="00015879">
        <w:t>propiolactone</w:t>
      </w:r>
      <w:proofErr w:type="spellEnd"/>
      <w:r w:rsidRPr="00015879">
        <w:t xml:space="preserve"> treated MDCK cell</w:t>
      </w:r>
      <w:r w:rsidR="00AC4E7D">
        <w:t xml:space="preserve"> </w:t>
      </w:r>
      <w:r w:rsidRPr="00015879">
        <w:t>free lysate, and lack of carcinogenicity/neoplastic potential of the MDCK cell DNA.</w:t>
      </w:r>
      <w:r w:rsidR="007A7CDB">
        <w:t xml:space="preserve"> </w:t>
      </w:r>
      <w:r w:rsidRPr="00015879">
        <w:t>The levels of residual non influenza virus protein and the level of residual DNA in the finished product conform to relevant international standards.</w:t>
      </w:r>
      <w:r w:rsidR="00BA5CFE">
        <w:t xml:space="preserve"> </w:t>
      </w:r>
      <w:r w:rsidRPr="00015879">
        <w:t xml:space="preserve">The lowest dose of DNA administered to rodents was 28 </w:t>
      </w:r>
      <w:proofErr w:type="spellStart"/>
      <w:r w:rsidRPr="00015879">
        <w:t>μ</w:t>
      </w:r>
      <w:r w:rsidR="008A540F">
        <w:t>g</w:t>
      </w:r>
      <w:proofErr w:type="spellEnd"/>
      <w:r w:rsidR="008A540F">
        <w:t xml:space="preserve"> per neonatal mouse (Study </w:t>
      </w:r>
      <w:r w:rsidRPr="00015879">
        <w:t>48333). This is based on a 0.1 mL inoculatio</w:t>
      </w:r>
      <w:r w:rsidR="00581DAA">
        <w:t xml:space="preserve">n of neonatal mice with the </w:t>
      </w:r>
      <w:r w:rsidR="00A27A45" w:rsidRPr="00A27A45">
        <w:t>beta</w:t>
      </w:r>
      <w:r w:rsidR="00A27A45">
        <w:t xml:space="preserve"> </w:t>
      </w:r>
      <w:proofErr w:type="spellStart"/>
      <w:r w:rsidR="00A27A45" w:rsidRPr="00A27A45">
        <w:t>propiolactone</w:t>
      </w:r>
      <w:proofErr w:type="spellEnd"/>
      <w:r w:rsidR="00581DAA">
        <w:t xml:space="preserve"> </w:t>
      </w:r>
      <w:r w:rsidRPr="00015879">
        <w:t>treated flu</w:t>
      </w:r>
      <w:r w:rsidR="008A540F">
        <w:t xml:space="preserve"> </w:t>
      </w:r>
      <w:r w:rsidRPr="00015879">
        <w:t xml:space="preserve">infected DNA preparation that contained 55 </w:t>
      </w:r>
      <w:proofErr w:type="spellStart"/>
      <w:r w:rsidRPr="00015879">
        <w:t>μg</w:t>
      </w:r>
      <w:proofErr w:type="spellEnd"/>
      <w:r w:rsidRPr="00015879">
        <w:t xml:space="preserve"> per 0.2 </w:t>
      </w:r>
      <w:proofErr w:type="spellStart"/>
      <w:r w:rsidRPr="00015879">
        <w:t>mL.</w:t>
      </w:r>
      <w:proofErr w:type="spellEnd"/>
      <w:r w:rsidRPr="00015879">
        <w:t xml:space="preserve"> Neonatal rats received a 0.2 mL inoculation but mice are used as the most conservative estimation. The dose of 28 </w:t>
      </w:r>
      <w:proofErr w:type="spellStart"/>
      <w:r w:rsidRPr="00015879">
        <w:t>μg</w:t>
      </w:r>
      <w:proofErr w:type="spellEnd"/>
      <w:r w:rsidRPr="00015879">
        <w:t xml:space="preserve"> (or 28000 ng) was a no observed effect level (NOEL). When compared to the WHO 10 ng acceptable DNA limit, this provides a safety factor of 2.8</w:t>
      </w:r>
      <w:r w:rsidR="00B628A1">
        <w:t xml:space="preserve"> </w:t>
      </w:r>
      <w:r w:rsidRPr="00015879">
        <w:t>x</w:t>
      </w:r>
      <w:r w:rsidR="00B628A1">
        <w:t xml:space="preserve"> </w:t>
      </w:r>
      <w:r w:rsidRPr="00015879">
        <w:t>10</w:t>
      </w:r>
      <w:r w:rsidRPr="00B628A1">
        <w:rPr>
          <w:vertAlign w:val="superscript"/>
        </w:rPr>
        <w:t>3</w:t>
      </w:r>
      <w:r w:rsidRPr="00015879">
        <w:t>.</w:t>
      </w:r>
    </w:p>
    <w:p w:rsidR="008D60AA" w:rsidRPr="008F4633" w:rsidRDefault="008D60AA" w:rsidP="00E16DDF">
      <w:pPr>
        <w:pStyle w:val="Heading4"/>
      </w:pPr>
      <w:r w:rsidRPr="008F4633">
        <w:t>Reproductive toxicity</w:t>
      </w:r>
    </w:p>
    <w:p w:rsidR="008D60AA" w:rsidRPr="00E16DDF" w:rsidRDefault="008D60AA" w:rsidP="00E16DDF">
      <w:r w:rsidRPr="00E16DDF">
        <w:t>Seasonal trivalent influenza vaccines are recommended for use in pregnancy. Published clinical data are limited, but indicate safety with seasonal influenza vaccines in pregnant women</w:t>
      </w:r>
      <w:r w:rsidR="00EA3695">
        <w:t>.</w:t>
      </w:r>
      <w:r w:rsidR="00EA3695">
        <w:rPr>
          <w:rStyle w:val="FootnoteReference"/>
        </w:rPr>
        <w:footnoteReference w:id="12"/>
      </w:r>
      <w:r w:rsidR="007A7CDB">
        <w:t xml:space="preserve"> </w:t>
      </w:r>
      <w:proofErr w:type="spellStart"/>
      <w:r w:rsidRPr="00E16DDF">
        <w:t>Optaflu</w:t>
      </w:r>
      <w:proofErr w:type="spellEnd"/>
      <w:r w:rsidRPr="00E16DDF">
        <w:t xml:space="preserve"> is still potentially capable of inducing fever, an effect known to result in adverse pregnancy outcomes</w:t>
      </w:r>
      <w:r w:rsidR="00A55F22">
        <w:t>.</w:t>
      </w:r>
      <w:r w:rsidR="00A55F22">
        <w:rPr>
          <w:rStyle w:val="FootnoteReference"/>
        </w:rPr>
        <w:footnoteReference w:id="13"/>
      </w:r>
    </w:p>
    <w:p w:rsidR="008D60AA" w:rsidRPr="00E16DDF" w:rsidRDefault="001E2138" w:rsidP="00E16DDF">
      <w:r>
        <w:t xml:space="preserve">A single, </w:t>
      </w:r>
      <w:r w:rsidR="008D60AA" w:rsidRPr="00E16DDF">
        <w:t>GLP</w:t>
      </w:r>
      <w:r>
        <w:t xml:space="preserve"> compliant, reliable intramuscular</w:t>
      </w:r>
      <w:r w:rsidR="008D60AA" w:rsidRPr="00E16DDF">
        <w:t xml:space="preserve"> rabbit reproductive and developmental toxicity study that included both prenatal and postnatal developmental cohorts of </w:t>
      </w:r>
      <w:proofErr w:type="spellStart"/>
      <w:r w:rsidR="00C477B9">
        <w:t>Optaflu</w:t>
      </w:r>
      <w:proofErr w:type="spellEnd"/>
      <w:r w:rsidR="008D60AA" w:rsidRPr="00E16DDF">
        <w:t xml:space="preserve"> </w:t>
      </w:r>
      <w:r w:rsidR="008D60AA" w:rsidRPr="00E16DDF">
        <w:lastRenderedPageBreak/>
        <w:t>and its elicited antibodies was submitted.</w:t>
      </w:r>
      <w:r w:rsidR="007A7CDB">
        <w:t xml:space="preserve"> </w:t>
      </w:r>
      <w:r w:rsidR="008D60AA" w:rsidRPr="00E16DDF">
        <w:t>Examination in a second species was not performed.</w:t>
      </w:r>
    </w:p>
    <w:p w:rsidR="008D60AA" w:rsidRPr="00E16DDF" w:rsidRDefault="008D60AA" w:rsidP="00E16DDF">
      <w:r w:rsidRPr="00E16DDF">
        <w:t xml:space="preserve">Maternal animals received the full human clinical dose (15 </w:t>
      </w:r>
      <w:r w:rsidR="000A01BA">
        <w:t>µ</w:t>
      </w:r>
      <w:r w:rsidRPr="00E16DDF">
        <w:t xml:space="preserve">g of HA from each strain) and volume (0.5 mL) of </w:t>
      </w:r>
      <w:proofErr w:type="spellStart"/>
      <w:r w:rsidR="00C477B9">
        <w:t>Optaflu</w:t>
      </w:r>
      <w:proofErr w:type="spellEnd"/>
      <w:r w:rsidRPr="00E16DDF">
        <w:t xml:space="preserve"> with each injection (~5.5x the human dose in mg/m</w:t>
      </w:r>
      <w:r w:rsidRPr="00B628A1">
        <w:rPr>
          <w:vertAlign w:val="superscript"/>
        </w:rPr>
        <w:t>2</w:t>
      </w:r>
      <w:r w:rsidRPr="00E16DDF">
        <w:t>,</w:t>
      </w:r>
      <w:r w:rsidR="003A6502">
        <w:t xml:space="preserve"> based on 50 kg individual; that is</w:t>
      </w:r>
      <w:r w:rsidRPr="00E16DDF">
        <w:t>, 0.9 µg/kg or 30 µg/m</w:t>
      </w:r>
      <w:r w:rsidRPr="003A6502">
        <w:rPr>
          <w:vertAlign w:val="superscript"/>
        </w:rPr>
        <w:t>2</w:t>
      </w:r>
      <w:r w:rsidRPr="00E16DDF">
        <w:t>; BSA conversion factor of 33).</w:t>
      </w:r>
    </w:p>
    <w:p w:rsidR="008D60AA" w:rsidRPr="00E16DDF" w:rsidRDefault="008D60AA" w:rsidP="00307983">
      <w:r w:rsidRPr="00E16DDF">
        <w:t>The study design employed vaccine inoculation in does before cohabitation, through matin</w:t>
      </w:r>
      <w:r w:rsidR="00284620">
        <w:t xml:space="preserve">g, gestation and lactation, that is, </w:t>
      </w:r>
      <w:r w:rsidRPr="00E16DDF">
        <w:t xml:space="preserve">evaluation of potential effects on the maternal F0 generation as well as </w:t>
      </w:r>
      <w:r w:rsidR="00700535">
        <w:t>pre</w:t>
      </w:r>
      <w:r w:rsidR="00D43520">
        <w:t>natal (stages A-D) and post</w:t>
      </w:r>
      <w:r w:rsidRPr="00E16DDF">
        <w:t>natal developmental F1 generation cohorts (i</w:t>
      </w:r>
      <w:r w:rsidR="00946E5B">
        <w:t>n accordance with relevant FDA</w:t>
      </w:r>
      <w:r w:rsidR="000A01BA">
        <w:rPr>
          <w:rStyle w:val="FootnoteReference"/>
        </w:rPr>
        <w:footnoteReference w:id="14"/>
      </w:r>
      <w:r w:rsidR="00946E5B">
        <w:t xml:space="preserve"> and EMA</w:t>
      </w:r>
      <w:r w:rsidR="0014215A">
        <w:rPr>
          <w:rStyle w:val="FootnoteReference"/>
        </w:rPr>
        <w:footnoteReference w:id="15"/>
      </w:r>
      <w:r w:rsidR="009B65CD">
        <w:t xml:space="preserve"> </w:t>
      </w:r>
      <w:r w:rsidRPr="00E16DDF">
        <w:t>guidelines).</w:t>
      </w:r>
    </w:p>
    <w:p w:rsidR="00E16DDF" w:rsidRDefault="00EA3695" w:rsidP="00E16DDF">
      <w:pPr>
        <w:pStyle w:val="Heading5"/>
      </w:pPr>
      <w:r>
        <w:t>Core findings for the F0</w:t>
      </w:r>
      <w:r w:rsidR="00E16DDF">
        <w:t xml:space="preserve"> generation</w:t>
      </w:r>
    </w:p>
    <w:p w:rsidR="008D60AA" w:rsidRPr="00E16DDF" w:rsidRDefault="00E16DDF" w:rsidP="00E16DDF">
      <w:r w:rsidRPr="00E16DDF">
        <w:t>I</w:t>
      </w:r>
      <w:r w:rsidR="008D60AA" w:rsidRPr="00E16DDF">
        <w:t xml:space="preserve">ntramuscular injection of </w:t>
      </w:r>
      <w:proofErr w:type="spellStart"/>
      <w:r w:rsidR="00C477B9">
        <w:t>Optaflu</w:t>
      </w:r>
      <w:proofErr w:type="spellEnd"/>
      <w:r w:rsidR="008D60AA" w:rsidRPr="00E16DDF">
        <w:t xml:space="preserve"> did not induce maternal death, abortion or total litter loss. The incidence of these events in this study was slightly higher than historical ranges. However, differences did not reach statistical significance between the </w:t>
      </w:r>
      <w:proofErr w:type="spellStart"/>
      <w:r w:rsidR="00C477B9">
        <w:t>Optaflu</w:t>
      </w:r>
      <w:proofErr w:type="spellEnd"/>
      <w:r w:rsidR="008D60AA" w:rsidRPr="00E16DDF">
        <w:t xml:space="preserve"> and control article trea</w:t>
      </w:r>
      <w:r w:rsidR="00D43520">
        <w:t>ted groups. The cumulative peri</w:t>
      </w:r>
      <w:r w:rsidR="008D60AA" w:rsidRPr="00E16DDF">
        <w:t xml:space="preserve">natal mortality was 14.3% (6/42) for control rabbits and 15.6% (7/45) for rabbits receiving </w:t>
      </w:r>
      <w:proofErr w:type="spellStart"/>
      <w:r w:rsidR="00C477B9">
        <w:t>Optaflu</w:t>
      </w:r>
      <w:proofErr w:type="spellEnd"/>
      <w:r w:rsidR="008D60AA" w:rsidRPr="00E16DDF">
        <w:t xml:space="preserve">. Total litter losses occurred in 2 does exposed to </w:t>
      </w:r>
      <w:proofErr w:type="spellStart"/>
      <w:r w:rsidR="00C477B9">
        <w:t>Optaflu</w:t>
      </w:r>
      <w:proofErr w:type="spellEnd"/>
      <w:r w:rsidR="00700535">
        <w:t xml:space="preserve">. </w:t>
      </w:r>
      <w:r w:rsidR="008D60AA" w:rsidRPr="00E16DDF">
        <w:t xml:space="preserve">However, necropsy observations did not indicate any relevant findings that could be attributed to the test article. Mating and fertility indices were not affected by exposure to </w:t>
      </w:r>
      <w:proofErr w:type="spellStart"/>
      <w:r w:rsidR="00C477B9">
        <w:t>Optaflu</w:t>
      </w:r>
      <w:proofErr w:type="spellEnd"/>
      <w:r w:rsidR="008D60AA" w:rsidRPr="00E16DDF">
        <w:t xml:space="preserve">. Injection site histological changes were not directly related to </w:t>
      </w:r>
      <w:proofErr w:type="spellStart"/>
      <w:r w:rsidR="00C477B9">
        <w:t>Optaflu</w:t>
      </w:r>
      <w:proofErr w:type="spellEnd"/>
      <w:r w:rsidR="008D60AA" w:rsidRPr="00E16DDF">
        <w:t xml:space="preserve"> and are consistent with normal adaptive/reparative changes given the method of dosing.</w:t>
      </w:r>
    </w:p>
    <w:p w:rsidR="00E16DDF" w:rsidRPr="00E16DDF" w:rsidRDefault="008D60AA" w:rsidP="00307983">
      <w:pPr>
        <w:pStyle w:val="Heading5"/>
      </w:pPr>
      <w:r w:rsidRPr="00E16DDF">
        <w:t>Core findings for the F1</w:t>
      </w:r>
      <w:r w:rsidR="00E16DDF" w:rsidRPr="00E16DDF">
        <w:t xml:space="preserve"> generation</w:t>
      </w:r>
    </w:p>
    <w:p w:rsidR="008D60AA" w:rsidRPr="00E16DDF" w:rsidRDefault="00E16DDF" w:rsidP="00E16DDF">
      <w:r w:rsidRPr="00E16DDF">
        <w:t>A</w:t>
      </w:r>
      <w:r w:rsidR="008D60AA" w:rsidRPr="00E16DDF">
        <w:t xml:space="preserve">ll clinical and necropsy observations for the pups (birth to lactation day 29) were considered unrelated to treatment of the does with </w:t>
      </w:r>
      <w:proofErr w:type="spellStart"/>
      <w:r w:rsidR="00C477B9">
        <w:t>Optaflu</w:t>
      </w:r>
      <w:proofErr w:type="spellEnd"/>
      <w:r w:rsidR="008D60AA" w:rsidRPr="00E16DDF">
        <w:t>. No adverse effects on reflex and physical development were noted in the F1 generation p</w:t>
      </w:r>
      <w:r w:rsidR="00AD250F">
        <w:t xml:space="preserve">ups due to the presence of </w:t>
      </w:r>
      <w:proofErr w:type="spellStart"/>
      <w:r w:rsidR="00AD250F">
        <w:t xml:space="preserve">anti </w:t>
      </w:r>
      <w:r w:rsidR="008D60AA" w:rsidRPr="00E16DDF">
        <w:t>influenza</w:t>
      </w:r>
      <w:proofErr w:type="spellEnd"/>
      <w:r w:rsidR="008D60AA" w:rsidRPr="00E16DDF">
        <w:t xml:space="preserve"> virus antibodies or exposure to maternal </w:t>
      </w:r>
      <w:proofErr w:type="spellStart"/>
      <w:r w:rsidR="00C477B9">
        <w:t>Optaflu</w:t>
      </w:r>
      <w:proofErr w:type="spellEnd"/>
      <w:r w:rsidR="008D60AA" w:rsidRPr="00E16DDF">
        <w:t xml:space="preserve"> inoculation on gestational </w:t>
      </w:r>
      <w:r w:rsidR="00AD250F">
        <w:t>D</w:t>
      </w:r>
      <w:r w:rsidR="008D60AA" w:rsidRPr="00E16DDF">
        <w:t>ays 7 and 20.</w:t>
      </w:r>
    </w:p>
    <w:p w:rsidR="00E16DDF" w:rsidRDefault="008D60AA" w:rsidP="00E16DDF">
      <w:pPr>
        <w:pStyle w:val="Heading5"/>
      </w:pPr>
      <w:r w:rsidRPr="005B66D7">
        <w:t xml:space="preserve">Core immunogenicity </w:t>
      </w:r>
      <w:r w:rsidR="00E16DDF">
        <w:t>findings</w:t>
      </w:r>
    </w:p>
    <w:p w:rsidR="008D60AA" w:rsidRPr="00E16DDF" w:rsidRDefault="00786534" w:rsidP="00E16DDF">
      <w:r>
        <w:t>H</w:t>
      </w:r>
      <w:r w:rsidR="008D60AA" w:rsidRPr="00E16DDF">
        <w:t xml:space="preserve">I titres were measurable beginning on study </w:t>
      </w:r>
      <w:r>
        <w:t>D</w:t>
      </w:r>
      <w:r w:rsidR="008D60AA" w:rsidRPr="00E16DDF">
        <w:t xml:space="preserve">ay 15 (after one injection of </w:t>
      </w:r>
      <w:proofErr w:type="spellStart"/>
      <w:r w:rsidR="00C477B9">
        <w:t>Optaflu</w:t>
      </w:r>
      <w:proofErr w:type="spellEnd"/>
      <w:r w:rsidR="008D60AA" w:rsidRPr="00E16DDF">
        <w:t xml:space="preserve">) in three of the eight rabbits that were assayed. On study </w:t>
      </w:r>
      <w:r>
        <w:t>Day 29, H</w:t>
      </w:r>
      <w:r w:rsidR="008D60AA" w:rsidRPr="00E16DDF">
        <w:t xml:space="preserve">I titres were measurable in all rabbits that were assayed. Titres increased and/or remained elevated over the duration of the study demonstrating continued immune response to the vaccine. At the time of Caesarean sectioning, </w:t>
      </w:r>
      <w:proofErr w:type="spellStart"/>
      <w:r w:rsidR="008D60AA" w:rsidRPr="00E16DDF">
        <w:t>anti</w:t>
      </w:r>
      <w:r w:rsidR="002520F6">
        <w:t xml:space="preserve"> </w:t>
      </w:r>
      <w:r w:rsidR="008D60AA" w:rsidRPr="00E16DDF">
        <w:t>influenza</w:t>
      </w:r>
      <w:proofErr w:type="spellEnd"/>
      <w:r w:rsidR="008D60AA" w:rsidRPr="00E16DDF">
        <w:t xml:space="preserve"> antibodies were detected in all foe</w:t>
      </w:r>
      <w:r w:rsidR="002520F6">
        <w:t>tal pooled samples from the pre</w:t>
      </w:r>
      <w:r w:rsidR="008D60AA" w:rsidRPr="00E16DDF">
        <w:t>natal development cohort pups at levels comparable to those of the respective maternal sample. At the time of euthanasia, 29 days after birth, antibodies remained elevated in all postnatal development cohort pups that were surveyed, although titres were lo</w:t>
      </w:r>
      <w:r w:rsidR="002520F6">
        <w:t>wer than those found in the pre</w:t>
      </w:r>
      <w:r w:rsidR="008D60AA" w:rsidRPr="00E16DDF">
        <w:t>natal development cohort pups.</w:t>
      </w:r>
      <w:r w:rsidR="007A7CDB">
        <w:t xml:space="preserve"> </w:t>
      </w:r>
      <w:r w:rsidR="008D60AA" w:rsidRPr="00E16DDF">
        <w:t>Overall</w:t>
      </w:r>
      <w:r w:rsidR="002520F6">
        <w:t>,</w:t>
      </w:r>
      <w:r w:rsidR="008D60AA" w:rsidRPr="00E16DDF">
        <w:t xml:space="preserve"> the resul</w:t>
      </w:r>
      <w:r w:rsidR="002520F6">
        <w:t>ts of the study demonstrate pre</w:t>
      </w:r>
      <w:r w:rsidR="008D60AA" w:rsidRPr="00E16DDF">
        <w:t>natal and/or postnatal transfer of maternal immunity</w:t>
      </w:r>
      <w:r w:rsidR="002520F6">
        <w:t xml:space="preserve"> and/or de novo foetal and post</w:t>
      </w:r>
      <w:r w:rsidR="008D60AA" w:rsidRPr="00E16DDF">
        <w:t>natal antibody production.</w:t>
      </w:r>
    </w:p>
    <w:p w:rsidR="008D60AA" w:rsidRPr="00E16DDF" w:rsidRDefault="008D60AA" w:rsidP="00E16DDF">
      <w:r w:rsidRPr="00E16DDF">
        <w:t>However, a number of deficiencies in the immunogenicity com</w:t>
      </w:r>
      <w:r w:rsidR="00307983">
        <w:t>ponent of the study were noted:</w:t>
      </w:r>
    </w:p>
    <w:p w:rsidR="008D60AA" w:rsidRPr="00E16DDF" w:rsidRDefault="008D60AA" w:rsidP="00307983">
      <w:pPr>
        <w:pStyle w:val="ListBullet"/>
      </w:pPr>
      <w:r w:rsidRPr="00E16DDF">
        <w:t>Insufficient data on the immunoassays used in the study were provided.</w:t>
      </w:r>
      <w:r w:rsidR="007A7CDB">
        <w:t xml:space="preserve"> </w:t>
      </w:r>
      <w:r w:rsidR="00AD3321">
        <w:t>H</w:t>
      </w:r>
      <w:r w:rsidRPr="00E16DDF">
        <w:t xml:space="preserve">I assay qualification data was only provided for the H1N1 influenza </w:t>
      </w:r>
      <w:proofErr w:type="gramStart"/>
      <w:r w:rsidRPr="00E16DDF">
        <w:t>A</w:t>
      </w:r>
      <w:proofErr w:type="gramEnd"/>
      <w:r w:rsidRPr="00E16DDF">
        <w:t xml:space="preserve"> strain.</w:t>
      </w:r>
      <w:r w:rsidR="007A7CDB">
        <w:t xml:space="preserve"> </w:t>
      </w:r>
      <w:r w:rsidRPr="00E16DDF">
        <w:t xml:space="preserve">Suitable qualification data for the </w:t>
      </w:r>
      <w:r w:rsidRPr="00307983">
        <w:t>other</w:t>
      </w:r>
      <w:r w:rsidRPr="00E16DDF">
        <w:t xml:space="preserve"> influenza strains was not provided.</w:t>
      </w:r>
      <w:r w:rsidR="007A7CDB">
        <w:t xml:space="preserve"> </w:t>
      </w:r>
      <w:r w:rsidRPr="00E16DDF">
        <w:t>Notably, no data on the optimisation of these assay technique were provided.</w:t>
      </w:r>
      <w:r w:rsidR="007A7CDB">
        <w:t xml:space="preserve"> </w:t>
      </w:r>
      <w:r w:rsidRPr="00E16DDF">
        <w:t xml:space="preserve">The sensitivity, specificity, precision, negative predictive value and accuracy of the HAI assay systems for the </w:t>
      </w:r>
      <w:r w:rsidRPr="00E16DDF">
        <w:lastRenderedPageBreak/>
        <w:t>influenza Type A H2N3 and Type B used could not be evaluated.</w:t>
      </w:r>
      <w:r w:rsidR="007A7CDB">
        <w:t xml:space="preserve"> </w:t>
      </w:r>
      <w:r w:rsidRPr="00E16DDF">
        <w:t>The sensitivity, specificity, accuracy, precision and negative predictive value of the influenza Type A H2N3 and Type B HAI assays could not be assessed;</w:t>
      </w:r>
    </w:p>
    <w:p w:rsidR="008D60AA" w:rsidRPr="00E16DDF" w:rsidRDefault="00AD3321" w:rsidP="00E16DDF">
      <w:pPr>
        <w:pStyle w:val="ListBullet"/>
      </w:pPr>
      <w:r>
        <w:t>Notably, the antigenic cross reactivity of all the H</w:t>
      </w:r>
      <w:r w:rsidR="008D60AA" w:rsidRPr="00E16DDF">
        <w:t>I assays could not be assessed;</w:t>
      </w:r>
    </w:p>
    <w:p w:rsidR="008D60AA" w:rsidRPr="00E16DDF" w:rsidRDefault="008D60AA" w:rsidP="00E16DDF">
      <w:pPr>
        <w:pStyle w:val="ListBullet"/>
      </w:pPr>
      <w:r w:rsidRPr="00E16DDF">
        <w:t>No statistical analyses of the immunogenicity data presented in any of the submitted studies were performed.</w:t>
      </w:r>
      <w:r w:rsidR="007A7CDB">
        <w:t xml:space="preserve"> </w:t>
      </w:r>
      <w:r w:rsidRPr="00E16DDF">
        <w:t>While historically only the geometric mean titre has been provided with serum/antibody titre data, it is important to note that statistical analyses of these types of immune</w:t>
      </w:r>
      <w:r w:rsidR="004F10DE">
        <w:t xml:space="preserve"> </w:t>
      </w:r>
      <w:r w:rsidRPr="00E16DDF">
        <w:t>haematological data is not the currently accepted scientific norm and is good basic scien</w:t>
      </w:r>
      <w:r w:rsidR="004F10DE">
        <w:t>tific practice</w:t>
      </w:r>
      <w:r w:rsidRPr="00E16DDF">
        <w:t>.</w:t>
      </w:r>
      <w:r w:rsidR="004F10DE">
        <w:rPr>
          <w:rStyle w:val="FootnoteReference"/>
        </w:rPr>
        <w:footnoteReference w:id="16"/>
      </w:r>
      <w:r w:rsidR="007A7CDB">
        <w:t xml:space="preserve"> </w:t>
      </w:r>
      <w:r w:rsidRPr="00E16DDF">
        <w:t>This is regarded as an overarching limitation of many of the sponsors submitted study reports.</w:t>
      </w:r>
    </w:p>
    <w:p w:rsidR="008D60AA" w:rsidRPr="00E16DDF" w:rsidRDefault="004F10DE" w:rsidP="00307983">
      <w:r>
        <w:t xml:space="preserve">Although </w:t>
      </w:r>
      <w:proofErr w:type="spellStart"/>
      <w:r>
        <w:t>embryo</w:t>
      </w:r>
      <w:r w:rsidR="008D60AA" w:rsidRPr="00E16DDF">
        <w:t>foetal</w:t>
      </w:r>
      <w:proofErr w:type="spellEnd"/>
      <w:r w:rsidR="008D60AA" w:rsidRPr="00E16DDF">
        <w:t xml:space="preserve"> development studies for drugs are usually required to be carried in two species, in this instance a single species is considered sufficient according to </w:t>
      </w:r>
      <w:r w:rsidR="00307983">
        <w:t>the relevant vaccine guideline.</w:t>
      </w:r>
    </w:p>
    <w:p w:rsidR="008D60AA" w:rsidRPr="00E16DDF" w:rsidRDefault="008D60AA" w:rsidP="00E16DDF">
      <w:r w:rsidRPr="00E16DDF">
        <w:t>In conclusion, a generally acceptable (although significant deficits are present in the immunogenicity com</w:t>
      </w:r>
      <w:r w:rsidR="00F53D2E">
        <w:t>ponent of the study) rabbit pre</w:t>
      </w:r>
      <w:r w:rsidRPr="00E16DDF">
        <w:t>natal and postnatal development study did not demonstrate reprodu</w:t>
      </w:r>
      <w:r w:rsidR="00F53D2E">
        <w:t>ctive effects in females or pre</w:t>
      </w:r>
      <w:r w:rsidRPr="00E16DDF">
        <w:t>natal and postnatal (to weaning) developmental effects.</w:t>
      </w:r>
      <w:r w:rsidR="007A7CDB">
        <w:t xml:space="preserve"> </w:t>
      </w:r>
      <w:r w:rsidRPr="00E16DDF">
        <w:t>Detailed developmental neurotoxicity evaluations were not performed (not required) and the effects on ma</w:t>
      </w:r>
      <w:r w:rsidR="00307983">
        <w:t>le fertility were not examined.</w:t>
      </w:r>
    </w:p>
    <w:p w:rsidR="008D60AA" w:rsidRPr="00CD06FC" w:rsidRDefault="008D60AA" w:rsidP="00307983">
      <w:pPr>
        <w:pStyle w:val="Heading4"/>
      </w:pPr>
      <w:r w:rsidRPr="00CD06FC">
        <w:t xml:space="preserve">Pregnancy </w:t>
      </w:r>
      <w:r w:rsidRPr="00307983">
        <w:t>classification</w:t>
      </w:r>
    </w:p>
    <w:p w:rsidR="008D60AA" w:rsidRPr="00E16DDF" w:rsidRDefault="008D60AA" w:rsidP="00E16DDF">
      <w:r w:rsidRPr="00E16DDF">
        <w:t>The sponsor has proposed Category B1</w:t>
      </w:r>
      <w:r w:rsidR="00EA5770">
        <w:rPr>
          <w:rStyle w:val="FootnoteReference"/>
        </w:rPr>
        <w:footnoteReference w:id="17"/>
      </w:r>
      <w:r w:rsidRPr="00E16DDF">
        <w:t xml:space="preserve"> in the </w:t>
      </w:r>
      <w:r w:rsidR="005E4133">
        <w:t>PI</w:t>
      </w:r>
      <w:r w:rsidRPr="00E16DDF">
        <w:t>.</w:t>
      </w:r>
      <w:r w:rsidR="007A7CDB">
        <w:t xml:space="preserve"> </w:t>
      </w:r>
      <w:r w:rsidRPr="00E16DDF">
        <w:t>Category B1 classification is supported by:</w:t>
      </w:r>
    </w:p>
    <w:p w:rsidR="008D60AA" w:rsidRPr="00E16DDF" w:rsidRDefault="005E4133" w:rsidP="00E16DDF">
      <w:pPr>
        <w:pStyle w:val="ListBullet"/>
      </w:pPr>
      <w:r>
        <w:t>Lack of evidence of pre</w:t>
      </w:r>
      <w:r w:rsidR="008D60AA" w:rsidRPr="00E16DDF">
        <w:t>natal or postnatal effects in single species (rabbit) reproduction and developmental toxicity study (potential effects in males [or lack thereof] were not evaluated).</w:t>
      </w:r>
    </w:p>
    <w:p w:rsidR="008D60AA" w:rsidRPr="00CD06FC" w:rsidRDefault="00307983" w:rsidP="00E16DDF">
      <w:pPr>
        <w:pStyle w:val="Heading4"/>
      </w:pPr>
      <w:r>
        <w:t>Local tolerance</w:t>
      </w:r>
    </w:p>
    <w:p w:rsidR="008D60AA" w:rsidRPr="00E16DDF" w:rsidRDefault="008D60AA" w:rsidP="00E16DDF">
      <w:r w:rsidRPr="00E16DDF">
        <w:t xml:space="preserve">No specific local tolerance studies were performed with </w:t>
      </w:r>
      <w:proofErr w:type="spellStart"/>
      <w:r w:rsidR="00C477B9">
        <w:t>Optaflu</w:t>
      </w:r>
      <w:proofErr w:type="spellEnd"/>
      <w:r w:rsidRPr="00E16DDF">
        <w:t>.</w:t>
      </w:r>
      <w:r w:rsidR="007A7CDB">
        <w:t xml:space="preserve"> </w:t>
      </w:r>
      <w:r w:rsidRPr="00E16DDF">
        <w:t>However, histological assessment of the injection sites was performed in the rabbit repeat dose toxicity study.</w:t>
      </w:r>
      <w:r w:rsidR="007A7CDB">
        <w:t xml:space="preserve"> </w:t>
      </w:r>
      <w:r w:rsidRPr="00E16DDF">
        <w:t>No specific test</w:t>
      </w:r>
      <w:r w:rsidR="00D45253">
        <w:t xml:space="preserve"> </w:t>
      </w:r>
      <w:r w:rsidRPr="00E16DDF">
        <w:t>article related effects were noted.</w:t>
      </w:r>
      <w:r w:rsidR="007A7CDB">
        <w:t xml:space="preserve"> </w:t>
      </w:r>
      <w:r w:rsidRPr="00E16DDF">
        <w:t>Evidence of muscle necrosis, haemorrhage and inflammatory cell infiltrates were observed.</w:t>
      </w:r>
      <w:r w:rsidR="007A7CDB">
        <w:t xml:space="preserve"> </w:t>
      </w:r>
      <w:r w:rsidRPr="00E16DDF">
        <w:t>These changes persisted in some animals until the end of the study recovery phase (15 days following last dose).</w:t>
      </w:r>
      <w:r w:rsidR="007A7CDB">
        <w:t xml:space="preserve"> </w:t>
      </w:r>
      <w:r w:rsidRPr="00E16DDF">
        <w:t>However, these changes are consistent with the method of delivery of the test and control articles and can be interpreted as relatively normal adaptive/repair processes that are associated with tissue injuries associated with intramuscular injections.</w:t>
      </w:r>
      <w:r w:rsidR="007A7CDB">
        <w:t xml:space="preserve"> </w:t>
      </w:r>
      <w:r w:rsidRPr="00E16DDF">
        <w:t>Local tolerance was acceptable.</w:t>
      </w:r>
    </w:p>
    <w:p w:rsidR="008D60AA" w:rsidRPr="00CD06FC" w:rsidRDefault="000B7310" w:rsidP="00E16DDF">
      <w:pPr>
        <w:pStyle w:val="Heading4"/>
      </w:pPr>
      <w:r>
        <w:t>Other t</w:t>
      </w:r>
      <w:r w:rsidR="008D60AA" w:rsidRPr="00CD06FC">
        <w:t>oxicity studies</w:t>
      </w:r>
    </w:p>
    <w:p w:rsidR="008D60AA" w:rsidRPr="00E16DDF" w:rsidRDefault="008D60AA" w:rsidP="00E16DDF">
      <w:r w:rsidRPr="00E16DDF">
        <w:t>The pivotal studies for detection of the neoplastic potential of the sponsor</w:t>
      </w:r>
      <w:r w:rsidR="007758EF">
        <w:t>’</w:t>
      </w:r>
      <w:r w:rsidRPr="00E16DDF">
        <w:t xml:space="preserve">s </w:t>
      </w:r>
      <w:r w:rsidR="009C0AA2">
        <w:t>MDCK cell line</w:t>
      </w:r>
      <w:r w:rsidRPr="00E16DDF">
        <w:t xml:space="preserve">; the neoplastic cell virus substrate used in the manufacture of </w:t>
      </w:r>
      <w:proofErr w:type="spellStart"/>
      <w:r w:rsidR="00C477B9">
        <w:t>Optaflu</w:t>
      </w:r>
      <w:proofErr w:type="spellEnd"/>
      <w:r w:rsidRPr="00E16DDF">
        <w:t>), virus substrate, MDCK cell</w:t>
      </w:r>
      <w:r w:rsidR="00FB273C">
        <w:t xml:space="preserve"> </w:t>
      </w:r>
      <w:r w:rsidRPr="00E16DDF">
        <w:t>free lysate, beta</w:t>
      </w:r>
      <w:r w:rsidR="00FB273C">
        <w:t xml:space="preserve"> </w:t>
      </w:r>
      <w:proofErr w:type="spellStart"/>
      <w:r w:rsidRPr="00E16DDF">
        <w:t>p</w:t>
      </w:r>
      <w:r w:rsidRPr="00307983">
        <w:t>r</w:t>
      </w:r>
      <w:r w:rsidRPr="00E16DDF">
        <w:t>opiolactone</w:t>
      </w:r>
      <w:proofErr w:type="spellEnd"/>
      <w:r w:rsidRPr="00E16DDF">
        <w:t xml:space="preserve"> treated MDCK cell</w:t>
      </w:r>
      <w:r w:rsidR="00FB273C">
        <w:t xml:space="preserve"> </w:t>
      </w:r>
      <w:r w:rsidRPr="00E16DDF">
        <w:t>free lysate, and MDCK cell DNA in T</w:t>
      </w:r>
      <w:r w:rsidR="00FB273C">
        <w:t xml:space="preserve"> </w:t>
      </w:r>
      <w:r w:rsidRPr="00E16DDF">
        <w:t>lymphocyte</w:t>
      </w:r>
      <w:r w:rsidR="00FB273C">
        <w:t xml:space="preserve"> </w:t>
      </w:r>
      <w:r w:rsidRPr="00E16DDF">
        <w:t>deficient rodent models suffered because of QA/QC issues (which were acknowledged and corrected) pertaining to the tissue sample handling in the histopathology components of the studies.</w:t>
      </w:r>
      <w:r w:rsidR="007A7CDB">
        <w:t xml:space="preserve"> </w:t>
      </w:r>
      <w:r w:rsidRPr="00E16DDF">
        <w:t xml:space="preserve">These studies were not conducted according to </w:t>
      </w:r>
      <w:r w:rsidRPr="00E16DDF">
        <w:lastRenderedPageBreak/>
        <w:t>GLP.</w:t>
      </w:r>
      <w:r w:rsidR="007A7CDB">
        <w:t xml:space="preserve"> </w:t>
      </w:r>
      <w:r w:rsidRPr="00E16DDF">
        <w:t>However, it is important to note that despite the QA/QC issues (which were corrected) and lack of GLP status, the overall outcome of these studies is generally acceptable for registration purposes.</w:t>
      </w:r>
    </w:p>
    <w:p w:rsidR="008D60AA" w:rsidRPr="00E16DDF" w:rsidRDefault="008D60AA" w:rsidP="00E16DDF">
      <w:r w:rsidRPr="00E16DDF">
        <w:t xml:space="preserve">Critically it should be clearly noted that the MDCK cell line used by the sponsor cannot be described as minimally tumorigenic </w:t>
      </w:r>
      <w:r w:rsidRPr="00AE2DE7">
        <w:rPr>
          <w:i/>
        </w:rPr>
        <w:t>in vivo</w:t>
      </w:r>
      <w:r w:rsidR="00AE2DE7">
        <w:t xml:space="preserve">, in relevant (that is, T </w:t>
      </w:r>
      <w:r w:rsidRPr="00E16DDF">
        <w:t>cell depleted) animal models.</w:t>
      </w:r>
      <w:r w:rsidR="007A7CDB">
        <w:t xml:space="preserve"> </w:t>
      </w:r>
      <w:r w:rsidRPr="00E16DDF">
        <w:t xml:space="preserve">However based on the currently available data, the overall risk of de novo neoplastic disease due to the use of </w:t>
      </w:r>
      <w:proofErr w:type="spellStart"/>
      <w:r w:rsidR="00C477B9">
        <w:t>Optaflu</w:t>
      </w:r>
      <w:proofErr w:type="spellEnd"/>
      <w:r w:rsidRPr="00E16DDF">
        <w:t xml:space="preserve"> is considered to be extremely low due to the lack of viable cells in the final product and lack of carcinogenicity/ne</w:t>
      </w:r>
      <w:r w:rsidR="000F2A7E">
        <w:t xml:space="preserve">oplastic potential of MDCK cell free lysate, of beta </w:t>
      </w:r>
      <w:proofErr w:type="spellStart"/>
      <w:r w:rsidR="000F2A7E">
        <w:t>propiolactone</w:t>
      </w:r>
      <w:proofErr w:type="spellEnd"/>
      <w:r w:rsidR="000F2A7E">
        <w:t xml:space="preserve"> treated MDCK cell </w:t>
      </w:r>
      <w:r w:rsidRPr="00E16DDF">
        <w:t>free lysate, and of MDCK cell DNA.</w:t>
      </w:r>
      <w:r w:rsidR="007A7CDB">
        <w:t xml:space="preserve"> </w:t>
      </w:r>
      <w:r w:rsidRPr="00E16DDF">
        <w:t>The levels of residual non influenza virus protein and the level of residual DNA in the finished product conform to relevant international standards.</w:t>
      </w:r>
    </w:p>
    <w:p w:rsidR="008D60AA" w:rsidRPr="001A53D8" w:rsidRDefault="008D60AA" w:rsidP="00E16DDF">
      <w:pPr>
        <w:pStyle w:val="Heading4"/>
      </w:pPr>
      <w:r w:rsidRPr="001A53D8">
        <w:t>Impurities</w:t>
      </w:r>
    </w:p>
    <w:p w:rsidR="008D60AA" w:rsidRPr="00E16DDF" w:rsidRDefault="000F2A7E" w:rsidP="00E16DDF">
      <w:r>
        <w:t xml:space="preserve">The </w:t>
      </w:r>
      <w:proofErr w:type="spellStart"/>
      <w:r>
        <w:t xml:space="preserve">non </w:t>
      </w:r>
      <w:r w:rsidR="008D60AA" w:rsidRPr="00E16DDF">
        <w:t>active</w:t>
      </w:r>
      <w:proofErr w:type="spellEnd"/>
      <w:r w:rsidR="008D60AA" w:rsidRPr="00E16DDF">
        <w:t xml:space="preserve"> ingredients present in the described </w:t>
      </w:r>
      <w:proofErr w:type="spellStart"/>
      <w:r w:rsidR="00C477B9">
        <w:t>Optaflu</w:t>
      </w:r>
      <w:proofErr w:type="spellEnd"/>
      <w:r w:rsidR="008D60AA" w:rsidRPr="00E16DDF">
        <w:t xml:space="preserve"> formulation (endotoxin, total DNA content, total protein, </w:t>
      </w:r>
      <w:proofErr w:type="spellStart"/>
      <w:r w:rsidR="008D60AA" w:rsidRPr="00E16DDF">
        <w:t>polysorbate</w:t>
      </w:r>
      <w:proofErr w:type="spellEnd"/>
      <w:r w:rsidR="008D60AA" w:rsidRPr="00E16DDF">
        <w:t xml:space="preserve"> 80, CTAB, β-</w:t>
      </w:r>
      <w:proofErr w:type="spellStart"/>
      <w:r w:rsidR="008D60AA" w:rsidRPr="00E16DDF">
        <w:t>propiolactone</w:t>
      </w:r>
      <w:proofErr w:type="spellEnd"/>
      <w:r w:rsidR="008D60AA" w:rsidRPr="00E16DDF">
        <w:t>, recombinant human insulin, residual infectious influenza virus, residual recombinant trypsin) are levels that are unlikely to adversely affect the safety properties of the product.</w:t>
      </w:r>
      <w:r w:rsidR="007A7CDB">
        <w:t xml:space="preserve"> </w:t>
      </w:r>
      <w:r w:rsidR="008D60AA" w:rsidRPr="00E16DDF">
        <w:t>These impurities are present in other Australian registered vaccines at similar or higher specified levels.</w:t>
      </w:r>
      <w:r w:rsidR="007A7CDB">
        <w:t xml:space="preserve"> </w:t>
      </w:r>
      <w:r w:rsidR="008D60AA" w:rsidRPr="00E16DDF">
        <w:t xml:space="preserve">It is also notable that </w:t>
      </w:r>
      <w:proofErr w:type="spellStart"/>
      <w:r w:rsidR="008D60AA" w:rsidRPr="00E16DDF">
        <w:t>polysorb</w:t>
      </w:r>
      <w:r>
        <w:t>ate</w:t>
      </w:r>
      <w:proofErr w:type="spellEnd"/>
      <w:r>
        <w:t xml:space="preserve"> 80 is present in other </w:t>
      </w:r>
      <w:r w:rsidR="007336A3" w:rsidRPr="007336A3">
        <w:t xml:space="preserve">Australian Register of Therapeutic Goods </w:t>
      </w:r>
      <w:r w:rsidR="007336A3">
        <w:t>(</w:t>
      </w:r>
      <w:r>
        <w:t>ARTG</w:t>
      </w:r>
      <w:r w:rsidR="007336A3">
        <w:t xml:space="preserve">) </w:t>
      </w:r>
      <w:r w:rsidR="008D60AA" w:rsidRPr="00E16DDF">
        <w:t>regis</w:t>
      </w:r>
      <w:r w:rsidR="00890503">
        <w:t xml:space="preserve">tered products indicated for intramuscular </w:t>
      </w:r>
      <w:r w:rsidR="008D60AA" w:rsidRPr="00E16DDF">
        <w:t>administration at levels similar or greater than the proposed vaccine formulation.</w:t>
      </w:r>
      <w:r w:rsidR="007A7CDB">
        <w:t xml:space="preserve"> </w:t>
      </w:r>
      <w:r w:rsidR="008D60AA" w:rsidRPr="00E16DDF">
        <w:t>Furthermore</w:t>
      </w:r>
      <w:r w:rsidR="00C46F5F">
        <w:t>,</w:t>
      </w:r>
      <w:r w:rsidR="008D60AA" w:rsidRPr="00E16DDF">
        <w:t xml:space="preserve"> the safety and tolerability of any intentional/unintentional manufacturing residuals was also investigated in a GLP (repeat dose) toxicology study in which rabbits received two clinical doses by the clinical route (</w:t>
      </w:r>
      <w:r w:rsidR="00F02EC9">
        <w:t>intramuscular</w:t>
      </w:r>
      <w:r w:rsidR="008D60AA" w:rsidRPr="00E16DDF">
        <w:t>) within one week (</w:t>
      </w:r>
      <w:r w:rsidR="00F5412F">
        <w:t>D</w:t>
      </w:r>
      <w:r w:rsidR="008D60AA" w:rsidRPr="00E16DDF">
        <w:t>ays 1 and 8).</w:t>
      </w:r>
      <w:r w:rsidR="007A7CDB">
        <w:t xml:space="preserve"> </w:t>
      </w:r>
      <w:r w:rsidR="008D60AA" w:rsidRPr="00E16DDF">
        <w:t xml:space="preserve">The level of exposure to </w:t>
      </w:r>
      <w:proofErr w:type="spellStart"/>
      <w:r w:rsidR="008D60AA" w:rsidRPr="00E16DDF">
        <w:t>polysorbate</w:t>
      </w:r>
      <w:proofErr w:type="spellEnd"/>
      <w:r w:rsidR="008D60AA" w:rsidRPr="00E16DDF">
        <w:t xml:space="preserve"> 80 and CTAB in this study was 1552 and 51.5 µg/0.5 mL dose </w:t>
      </w:r>
      <w:r w:rsidR="00955534">
        <w:t xml:space="preserve">respectively, that is, </w:t>
      </w:r>
      <w:r w:rsidR="00F5412F">
        <w:t>517.3 mg/kg body weight</w:t>
      </w:r>
      <w:r w:rsidR="008D60AA" w:rsidRPr="00E16DDF">
        <w:t xml:space="preserve"> (assuming a 3</w:t>
      </w:r>
      <w:r w:rsidR="00F5412F">
        <w:t xml:space="preserve"> </w:t>
      </w:r>
      <w:r w:rsidR="008D60AA" w:rsidRPr="00E16DDF">
        <w:t>kg rabbit; 5690.7 mg/m</w:t>
      </w:r>
      <w:r w:rsidR="008D60AA" w:rsidRPr="007336A3">
        <w:rPr>
          <w:vertAlign w:val="superscript"/>
        </w:rPr>
        <w:t>2</w:t>
      </w:r>
      <w:r w:rsidR="008D60AA" w:rsidRPr="00E16DDF">
        <w:t xml:space="preserve"> based on BSA conversion factor of 11) and</w:t>
      </w:r>
      <w:r w:rsidR="007A7CDB">
        <w:t xml:space="preserve"> </w:t>
      </w:r>
      <w:r w:rsidR="008D60AA" w:rsidRPr="00E16DDF">
        <w:t>17.2 (188.83 mg/m</w:t>
      </w:r>
      <w:r w:rsidR="008D60AA" w:rsidRPr="00F5412F">
        <w:rPr>
          <w:vertAlign w:val="superscript"/>
        </w:rPr>
        <w:t>2</w:t>
      </w:r>
      <w:r w:rsidR="008D60AA" w:rsidRPr="00E16DDF">
        <w:t>).</w:t>
      </w:r>
      <w:r w:rsidR="007A7CDB">
        <w:t xml:space="preserve"> </w:t>
      </w:r>
      <w:r w:rsidR="00F5412F">
        <w:t>These exposures are approximately</w:t>
      </w:r>
      <w:r w:rsidR="00625D55">
        <w:t xml:space="preserve"> </w:t>
      </w:r>
      <w:proofErr w:type="gramStart"/>
      <w:r w:rsidR="00625D55">
        <w:t>8x</w:t>
      </w:r>
      <w:proofErr w:type="gramEnd"/>
      <w:r w:rsidR="00F5412F">
        <w:t xml:space="preserve"> and</w:t>
      </w:r>
      <w:r w:rsidR="00625D55">
        <w:t xml:space="preserve"> 5.5x</w:t>
      </w:r>
      <w:r w:rsidR="008D60AA" w:rsidRPr="00E16DDF">
        <w:t xml:space="preserve"> hig</w:t>
      </w:r>
      <w:r w:rsidR="00F5412F">
        <w:t xml:space="preserve">her, respectively, </w:t>
      </w:r>
      <w:r w:rsidR="008D60AA" w:rsidRPr="00E16DDF">
        <w:t>than adult human exposures on a mg/m</w:t>
      </w:r>
      <w:r w:rsidR="008D60AA" w:rsidRPr="007336A3">
        <w:rPr>
          <w:vertAlign w:val="superscript"/>
        </w:rPr>
        <w:t>2</w:t>
      </w:r>
      <w:r w:rsidR="008D60AA" w:rsidRPr="00E16DDF">
        <w:t xml:space="preserve"> basis (based on a 50 kg individual and BSA conversion factor of 33).</w:t>
      </w:r>
      <w:r w:rsidR="007A7CDB">
        <w:t xml:space="preserve"> </w:t>
      </w:r>
      <w:r w:rsidR="008D60AA" w:rsidRPr="00E16DDF">
        <w:t xml:space="preserve">In this study, </w:t>
      </w:r>
      <w:proofErr w:type="spellStart"/>
      <w:r w:rsidR="00C477B9">
        <w:t>Optaflu</w:t>
      </w:r>
      <w:proofErr w:type="spellEnd"/>
      <w:r w:rsidR="008D60AA" w:rsidRPr="00E16DDF">
        <w:t xml:space="preserve"> was well tolerated, both systemically and locally at the injection sites. The clinical dose of 45 µg of HA dose of (15 µg/kg in a 3 kg rabbit or 165 µg/m</w:t>
      </w:r>
      <w:r w:rsidR="008D60AA" w:rsidRPr="00625D55">
        <w:rPr>
          <w:vertAlign w:val="superscript"/>
        </w:rPr>
        <w:t>2</w:t>
      </w:r>
      <w:r w:rsidR="008D60AA" w:rsidRPr="00E16DDF">
        <w:t>; B</w:t>
      </w:r>
      <w:r w:rsidR="00625D55">
        <w:t xml:space="preserve">SA conversion factor of 11) is approximately </w:t>
      </w:r>
      <w:r w:rsidR="008D60AA" w:rsidRPr="00E16DDF">
        <w:t>5.5x the adult human dose in mg/m</w:t>
      </w:r>
      <w:r w:rsidR="008D60AA" w:rsidRPr="00771CAE">
        <w:rPr>
          <w:vertAlign w:val="superscript"/>
        </w:rPr>
        <w:t>2</w:t>
      </w:r>
      <w:r w:rsidR="008D60AA" w:rsidRPr="00E16DDF">
        <w:t xml:space="preserve"> </w:t>
      </w:r>
      <w:r w:rsidR="00022921">
        <w:t>(based on 50 kg individual; that is</w:t>
      </w:r>
      <w:r w:rsidR="008D60AA" w:rsidRPr="00E16DDF">
        <w:t>, 0.9 µg/kg or 30 µg/m</w:t>
      </w:r>
      <w:r w:rsidR="008D60AA" w:rsidRPr="00771CAE">
        <w:rPr>
          <w:vertAlign w:val="superscript"/>
        </w:rPr>
        <w:t>2</w:t>
      </w:r>
      <w:r w:rsidR="008D60AA" w:rsidRPr="00E16DDF">
        <w:t>; BSA conversion factor of 33) and ~1.8x the dose potentially administered to a child in mg/m</w:t>
      </w:r>
      <w:r w:rsidR="008D60AA" w:rsidRPr="00622BE1">
        <w:rPr>
          <w:vertAlign w:val="superscript"/>
        </w:rPr>
        <w:t>2</w:t>
      </w:r>
      <w:r w:rsidR="00622BE1">
        <w:t xml:space="preserve"> (based on a 10 kg child; that is,</w:t>
      </w:r>
      <w:r w:rsidR="008D60AA" w:rsidRPr="00E16DDF">
        <w:t xml:space="preserve"> 4.5 µg/kg or 90 µg/m</w:t>
      </w:r>
      <w:r w:rsidR="008D60AA" w:rsidRPr="00771CAE">
        <w:rPr>
          <w:vertAlign w:val="superscript"/>
        </w:rPr>
        <w:t>2</w:t>
      </w:r>
      <w:r w:rsidR="008D60AA" w:rsidRPr="00E16DDF">
        <w:t>; BSA conversion factor of 20).</w:t>
      </w:r>
    </w:p>
    <w:p w:rsidR="008D60AA" w:rsidRPr="00E16DDF" w:rsidRDefault="008D60AA" w:rsidP="00307983">
      <w:r w:rsidRPr="00E16DDF">
        <w:t xml:space="preserve">It should be clearly noted that </w:t>
      </w:r>
      <w:proofErr w:type="spellStart"/>
      <w:r w:rsidR="00C477B9">
        <w:t>Optaflu</w:t>
      </w:r>
      <w:proofErr w:type="spellEnd"/>
      <w:r w:rsidRPr="00E16DDF">
        <w:t xml:space="preserve"> has not been evaluated for prion disease potential or for the presence of modified </w:t>
      </w:r>
      <w:proofErr w:type="spellStart"/>
      <w:r w:rsidR="008B4B85" w:rsidRPr="008B4B85">
        <w:t>proline</w:t>
      </w:r>
      <w:proofErr w:type="spellEnd"/>
      <w:r w:rsidR="008B4B85" w:rsidRPr="008B4B85">
        <w:t xml:space="preserve"> rich proteins</w:t>
      </w:r>
      <w:r w:rsidRPr="00E16DDF">
        <w:t>.</w:t>
      </w:r>
      <w:r w:rsidR="007A7CDB">
        <w:t xml:space="preserve"> </w:t>
      </w:r>
      <w:r w:rsidR="001B6282">
        <w:t xml:space="preserve">However, </w:t>
      </w:r>
      <w:r w:rsidRPr="00E16DDF">
        <w:t xml:space="preserve">the current international regulatory consensus is that vaccines such as </w:t>
      </w:r>
      <w:proofErr w:type="spellStart"/>
      <w:r w:rsidR="00C477B9">
        <w:t>Optaflu</w:t>
      </w:r>
      <w:proofErr w:type="spellEnd"/>
      <w:r w:rsidRPr="00E16DDF">
        <w:t xml:space="preserve"> are very unlikely to cause transmissible spongiform </w:t>
      </w:r>
      <w:proofErr w:type="spellStart"/>
      <w:r w:rsidRPr="00E16DDF">
        <w:t>encephalopathies</w:t>
      </w:r>
      <w:proofErr w:type="spellEnd"/>
      <w:r w:rsidRPr="00E16DDF">
        <w:t xml:space="preserve"> in humans.</w:t>
      </w:r>
    </w:p>
    <w:p w:rsidR="008D60AA" w:rsidRPr="001A53D8" w:rsidRDefault="008D60AA" w:rsidP="00E16DDF">
      <w:pPr>
        <w:pStyle w:val="Heading4"/>
      </w:pPr>
      <w:r w:rsidRPr="001A53D8">
        <w:t>Paediatric use</w:t>
      </w:r>
    </w:p>
    <w:p w:rsidR="008D60AA" w:rsidRPr="00E16DDF" w:rsidRDefault="00C477B9" w:rsidP="00307983">
      <w:proofErr w:type="spellStart"/>
      <w:r>
        <w:t>Optaflu</w:t>
      </w:r>
      <w:proofErr w:type="spellEnd"/>
      <w:r w:rsidR="008D60AA" w:rsidRPr="00E16DDF">
        <w:t xml:space="preserve"> is being registered for use in adults (18 years of age or older).</w:t>
      </w:r>
      <w:r w:rsidR="007A7CDB">
        <w:t xml:space="preserve"> </w:t>
      </w:r>
      <w:r w:rsidR="008D60AA" w:rsidRPr="00E16DDF">
        <w:t>Accordingly</w:t>
      </w:r>
      <w:r w:rsidR="001B6282">
        <w:t>,</w:t>
      </w:r>
      <w:r w:rsidR="008D60AA" w:rsidRPr="00E16DDF">
        <w:t xml:space="preserve"> the safety properties of </w:t>
      </w:r>
      <w:proofErr w:type="spellStart"/>
      <w:r>
        <w:t>Optaflu</w:t>
      </w:r>
      <w:proofErr w:type="spellEnd"/>
      <w:r w:rsidR="008D60AA" w:rsidRPr="00E16DDF">
        <w:t xml:space="preserve"> pertaining to paediatric inoculation have not been specifically assessed.</w:t>
      </w:r>
    </w:p>
    <w:p w:rsidR="008D60AA" w:rsidRPr="00E16DDF" w:rsidRDefault="008D60AA" w:rsidP="00E16DDF">
      <w:r w:rsidRPr="00E16DDF">
        <w:t xml:space="preserve">It should be noted that that none of the </w:t>
      </w:r>
      <w:r w:rsidR="00E51328">
        <w:t>s</w:t>
      </w:r>
      <w:r w:rsidRPr="00E16DDF">
        <w:t>ponsor’s submitte</w:t>
      </w:r>
      <w:r w:rsidR="004C54A6">
        <w:t xml:space="preserve">d studies were performed in pre </w:t>
      </w:r>
      <w:r w:rsidRPr="00E16DDF">
        <w:t>weaning animals.</w:t>
      </w:r>
      <w:r w:rsidR="007A7CDB">
        <w:t xml:space="preserve"> </w:t>
      </w:r>
      <w:r w:rsidRPr="00E16DDF">
        <w:t>The age of the male ferrets used in the pivotal efficacy/immunogenicity study was &gt; 6 months</w:t>
      </w:r>
      <w:r w:rsidR="004C54A6">
        <w:t xml:space="preserve"> at the start of the study, that is, </w:t>
      </w:r>
      <w:r w:rsidRPr="00E16DDF">
        <w:t>within the age range (4-8 months) for sexual maturity in this species.</w:t>
      </w:r>
      <w:r w:rsidR="007A7CDB">
        <w:t xml:space="preserve"> </w:t>
      </w:r>
      <w:r w:rsidR="004C54A6">
        <w:t xml:space="preserve">Thus, </w:t>
      </w:r>
      <w:r w:rsidRPr="00E16DDF">
        <w:t>this study primarily addresses the adolescent/early adult life stage.</w:t>
      </w:r>
    </w:p>
    <w:p w:rsidR="008D60AA" w:rsidRPr="00E16DDF" w:rsidRDefault="008D60AA" w:rsidP="00E16DDF">
      <w:r w:rsidRPr="00E16DDF">
        <w:t>Similarly the age of the rabbits used in the pivotal repeat dose toxicology study was 13 weeks</w:t>
      </w:r>
      <w:r w:rsidR="004C54A6">
        <w:t xml:space="preserve"> at the start of the study, that is, </w:t>
      </w:r>
      <w:r w:rsidRPr="00E16DDF">
        <w:t xml:space="preserve">within the age range (4-6 months) for sexual </w:t>
      </w:r>
      <w:r w:rsidRPr="00E16DDF">
        <w:lastRenderedPageBreak/>
        <w:t>maturity in this species.</w:t>
      </w:r>
      <w:r w:rsidR="007A7CDB">
        <w:t xml:space="preserve"> </w:t>
      </w:r>
      <w:r w:rsidRPr="00E16DDF">
        <w:t>Thus this study primarily addresses the adolescent/early adult life stage.</w:t>
      </w:r>
    </w:p>
    <w:p w:rsidR="008D60AA" w:rsidRPr="00E16DDF" w:rsidRDefault="008D60AA" w:rsidP="00307983">
      <w:r w:rsidRPr="00E16DDF">
        <w:t xml:space="preserve">Thus, based on the rabbit reproduction </w:t>
      </w:r>
      <w:r w:rsidR="005A167B">
        <w:t>and development study (with pre</w:t>
      </w:r>
      <w:r w:rsidRPr="00E16DDF">
        <w:t xml:space="preserve">natal and postnatal cohorts) the safety properties of direct </w:t>
      </w:r>
      <w:proofErr w:type="spellStart"/>
      <w:r w:rsidR="00C477B9">
        <w:t>Optaflu</w:t>
      </w:r>
      <w:proofErr w:type="spellEnd"/>
      <w:r w:rsidRPr="00E16DDF">
        <w:t xml:space="preserve"> inoculation have not been evaluated over the neonatal to puberty life stages.</w:t>
      </w:r>
      <w:r w:rsidR="007A7CDB">
        <w:t xml:space="preserve"> </w:t>
      </w:r>
      <w:r w:rsidRPr="00E16DDF">
        <w:t>However</w:t>
      </w:r>
      <w:r w:rsidR="005A167B">
        <w:t>,</w:t>
      </w:r>
      <w:r w:rsidRPr="00E16DDF">
        <w:t xml:space="preserve"> it should be noted that the presence of </w:t>
      </w:r>
      <w:proofErr w:type="spellStart"/>
      <w:r w:rsidR="00C477B9">
        <w:t>Optaflu</w:t>
      </w:r>
      <w:proofErr w:type="spellEnd"/>
      <w:r w:rsidR="00396D11">
        <w:t xml:space="preserve"> </w:t>
      </w:r>
      <w:r w:rsidRPr="00E16DDF">
        <w:t xml:space="preserve">induced HI antibodies in both </w:t>
      </w:r>
      <w:r w:rsidR="00581261">
        <w:t>pre</w:t>
      </w:r>
      <w:r w:rsidRPr="00E16DDF">
        <w:t xml:space="preserve">natal F1 generation (to gestational day 29) and postnatal F1 generation (to </w:t>
      </w:r>
      <w:proofErr w:type="spellStart"/>
      <w:r w:rsidRPr="00E16DDF">
        <w:t>lactational</w:t>
      </w:r>
      <w:proofErr w:type="spellEnd"/>
      <w:r w:rsidRPr="00E16DDF">
        <w:t xml:space="preserve"> day 29) rabbits was not associated with adverse effects.</w:t>
      </w:r>
    </w:p>
    <w:p w:rsidR="008E7846" w:rsidRDefault="008E7846" w:rsidP="00307983">
      <w:pPr>
        <w:pStyle w:val="Heading3"/>
      </w:pPr>
      <w:bookmarkStart w:id="58" w:name="_Toc247691515"/>
      <w:bookmarkStart w:id="59" w:name="_Toc314842499"/>
      <w:bookmarkStart w:id="60" w:name="_Toc430081291"/>
      <w:r>
        <w:t xml:space="preserve">Nonclinical summary and </w:t>
      </w:r>
      <w:r w:rsidRPr="00307983">
        <w:t>conclusions</w:t>
      </w:r>
      <w:bookmarkEnd w:id="58"/>
      <w:bookmarkEnd w:id="59"/>
      <w:bookmarkEnd w:id="60"/>
    </w:p>
    <w:p w:rsidR="00815FDB" w:rsidRPr="00815FDB" w:rsidRDefault="00815FDB" w:rsidP="00307983">
      <w:pPr>
        <w:pStyle w:val="Heading4"/>
      </w:pPr>
      <w:r w:rsidRPr="00307983">
        <w:t>Summary</w:t>
      </w:r>
    </w:p>
    <w:p w:rsidR="00FD2445" w:rsidRPr="00FD2445" w:rsidRDefault="00FD2445" w:rsidP="00307983">
      <w:pPr>
        <w:pStyle w:val="ListBullet"/>
      </w:pPr>
      <w:r w:rsidRPr="00FD2445">
        <w:t>Although other trivalent seasonal influenza vaccines a</w:t>
      </w:r>
      <w:r w:rsidR="009D7B88">
        <w:t>re registered in Australia (for example</w:t>
      </w:r>
      <w:r w:rsidRPr="00FD2445">
        <w:t xml:space="preserve">, </w:t>
      </w:r>
      <w:proofErr w:type="spellStart"/>
      <w:r w:rsidRPr="00FD2445">
        <w:t>Fluvax</w:t>
      </w:r>
      <w:proofErr w:type="spellEnd"/>
      <w:r w:rsidRPr="00FD2445">
        <w:t xml:space="preserve"> [CSL Limited], </w:t>
      </w:r>
      <w:proofErr w:type="spellStart"/>
      <w:r w:rsidRPr="00FD2445">
        <w:t>A</w:t>
      </w:r>
      <w:r w:rsidR="00553CA1">
        <w:t>grippal</w:t>
      </w:r>
      <w:proofErr w:type="spellEnd"/>
      <w:r w:rsidRPr="00FD2445">
        <w:t xml:space="preserve"> [Novartis], </w:t>
      </w:r>
      <w:proofErr w:type="spellStart"/>
      <w:r w:rsidRPr="00FD2445">
        <w:t>Fluarix</w:t>
      </w:r>
      <w:proofErr w:type="spellEnd"/>
      <w:r w:rsidRPr="00FD2445">
        <w:t xml:space="preserve"> [GSK]), the </w:t>
      </w:r>
      <w:proofErr w:type="spellStart"/>
      <w:r w:rsidR="009D7B88">
        <w:t>Optaflu</w:t>
      </w:r>
      <w:proofErr w:type="spellEnd"/>
      <w:r w:rsidRPr="00FD2445">
        <w:t xml:space="preserve"> trivalent, surface antigen, inactivated, influenza vaccine, represents </w:t>
      </w:r>
      <w:r w:rsidR="00553CA1">
        <w:t xml:space="preserve">the first cell culture </w:t>
      </w:r>
      <w:r w:rsidRPr="00FD2445">
        <w:t>derived,</w:t>
      </w:r>
      <w:r>
        <w:rPr>
          <w:rStyle w:val="FootnoteReference"/>
        </w:rPr>
        <w:footnoteReference w:id="18"/>
      </w:r>
      <w:r w:rsidR="006725A3">
        <w:t xml:space="preserve"> pre </w:t>
      </w:r>
      <w:r w:rsidRPr="00FD2445">
        <w:t xml:space="preserve">pandemic seasonal influenza vaccine to be considered for registration. The use </w:t>
      </w:r>
      <w:r w:rsidRPr="00307983">
        <w:t>of</w:t>
      </w:r>
      <w:r w:rsidRPr="00FD2445">
        <w:t xml:space="preserve"> cell culture, rather than eggs to cultivate virus offers several advantages, namely reduced production times, the ability to safely use w</w:t>
      </w:r>
      <w:r w:rsidR="0032663A">
        <w:t xml:space="preserve">hole, wild </w:t>
      </w:r>
      <w:r w:rsidRPr="00FD2445">
        <w:t xml:space="preserve">type virus (without </w:t>
      </w:r>
      <w:proofErr w:type="spellStart"/>
      <w:r w:rsidRPr="00FD2445">
        <w:t>reassortment</w:t>
      </w:r>
      <w:proofErr w:type="spellEnd"/>
      <w:r w:rsidRPr="00FD2445">
        <w:t>) and avoidance of pote</w:t>
      </w:r>
      <w:r w:rsidR="00307983">
        <w:t>ntial problems with egg supply.</w:t>
      </w:r>
    </w:p>
    <w:p w:rsidR="00FD2445" w:rsidRPr="00FD2445" w:rsidRDefault="005A167B" w:rsidP="00FD2445">
      <w:pPr>
        <w:pStyle w:val="ListBullet"/>
      </w:pPr>
      <w:r>
        <w:t xml:space="preserve">Overall, </w:t>
      </w:r>
      <w:proofErr w:type="spellStart"/>
      <w:r w:rsidR="00C477B9">
        <w:t>Optaflu</w:t>
      </w:r>
      <w:proofErr w:type="spellEnd"/>
      <w:r w:rsidR="00FD2445" w:rsidRPr="00FD2445">
        <w:t xml:space="preserve"> displays acceptable safety properties including acceptable local intramuscular tolerance, acceptable repeated dose safety properties (2 intramuscular do</w:t>
      </w:r>
      <w:r w:rsidR="00386A66">
        <w:t>ses in rabbits), acceptable pre</w:t>
      </w:r>
      <w:r w:rsidR="00FD2445" w:rsidRPr="00FD2445">
        <w:t>natal</w:t>
      </w:r>
      <w:r w:rsidR="00386A66">
        <w:t xml:space="preserve"> and post</w:t>
      </w:r>
      <w:r w:rsidR="00FD2445" w:rsidRPr="00FD2445">
        <w:t>natal reproductive safety properties in a single species (rabbits; effects on male reproduction were not evaluated).</w:t>
      </w:r>
    </w:p>
    <w:p w:rsidR="00FD2445" w:rsidRPr="00FD2445" w:rsidRDefault="00FD2445" w:rsidP="00FD2445">
      <w:pPr>
        <w:pStyle w:val="ListBullet"/>
      </w:pPr>
      <w:r w:rsidRPr="00FD2445">
        <w:t>The pivotal data submitted in support of the application were mostly adequate.</w:t>
      </w:r>
      <w:r w:rsidR="007A7CDB">
        <w:t xml:space="preserve"> </w:t>
      </w:r>
      <w:r w:rsidR="00F7337E">
        <w:t xml:space="preserve">However, a number of </w:t>
      </w:r>
      <w:proofErr w:type="spellStart"/>
      <w:r w:rsidR="00F7337E">
        <w:t xml:space="preserve">non </w:t>
      </w:r>
      <w:r w:rsidRPr="00FD2445">
        <w:t>pivotal</w:t>
      </w:r>
      <w:proofErr w:type="spellEnd"/>
      <w:r w:rsidRPr="00FD2445">
        <w:t xml:space="preserve"> immunogenicity and/or efficacy studies in ferrets and mice were evaluated but not summarised in this report because they were inconclusive.</w:t>
      </w:r>
    </w:p>
    <w:p w:rsidR="00FD2445" w:rsidRPr="00FD2445" w:rsidRDefault="00FD2445" w:rsidP="00FD2445">
      <w:pPr>
        <w:pStyle w:val="ListBullet"/>
      </w:pPr>
      <w:r w:rsidRPr="00FD2445">
        <w:t xml:space="preserve">Overall, </w:t>
      </w:r>
      <w:proofErr w:type="spellStart"/>
      <w:r w:rsidR="006B4D5F">
        <w:t>Optaflu</w:t>
      </w:r>
      <w:proofErr w:type="spellEnd"/>
      <w:r w:rsidRPr="00FD2445">
        <w:t xml:space="preserve"> performed approximately the same as the positive control article (</w:t>
      </w:r>
      <w:proofErr w:type="spellStart"/>
      <w:r w:rsidRPr="00FD2445">
        <w:t>Agrippal</w:t>
      </w:r>
      <w:proofErr w:type="spellEnd"/>
      <w:r w:rsidRPr="00FD2445">
        <w:t xml:space="preserve"> S1, an egg </w:t>
      </w:r>
      <w:proofErr w:type="spellStart"/>
      <w:r w:rsidRPr="00FD2445">
        <w:t>allantoic</w:t>
      </w:r>
      <w:proofErr w:type="spellEnd"/>
      <w:r w:rsidRPr="00FD2445">
        <w:t xml:space="preserve"> cavity derived split influenza virus surface antigen vaccine containing influenza virus Type A H1N1 New Caledonia/20/99 15</w:t>
      </w:r>
      <w:r w:rsidR="007A7CDB">
        <w:t xml:space="preserve"> </w:t>
      </w:r>
      <w:r w:rsidRPr="00FD2445">
        <w:t xml:space="preserve">µg of </w:t>
      </w:r>
      <w:r w:rsidR="007A7CDB">
        <w:t>HA</w:t>
      </w:r>
      <w:r w:rsidRPr="00FD2445">
        <w:t xml:space="preserve"> per 0.5 mL dose, influenza virus type A H3N2 Moscow/10/99 15</w:t>
      </w:r>
      <w:r w:rsidR="00785F4C">
        <w:t xml:space="preserve"> </w:t>
      </w:r>
      <w:r w:rsidRPr="00FD2445">
        <w:t xml:space="preserve">µg of </w:t>
      </w:r>
      <w:r w:rsidR="00785F4C">
        <w:t>HA</w:t>
      </w:r>
      <w:r w:rsidRPr="00FD2445">
        <w:t xml:space="preserve"> per 0.5 mL dose, and influenza virus type B Hong Kong/330/2001 15</w:t>
      </w:r>
      <w:r w:rsidR="00785F4C">
        <w:t xml:space="preserve"> </w:t>
      </w:r>
      <w:r w:rsidRPr="00FD2445">
        <w:t>µg of</w:t>
      </w:r>
      <w:r w:rsidR="00C341B3">
        <w:t xml:space="preserve"> </w:t>
      </w:r>
      <w:r w:rsidR="00785F4C">
        <w:t>HA</w:t>
      </w:r>
      <w:r w:rsidRPr="00FD2445">
        <w:t xml:space="preserve"> per 0.5 mL dose) in terms of stimulating </w:t>
      </w:r>
      <w:r w:rsidR="003375FA">
        <w:t>H</w:t>
      </w:r>
      <w:r w:rsidRPr="00FD2445">
        <w:t>I antibodies in the heterologous</w:t>
      </w:r>
      <w:r w:rsidR="003E4766">
        <w:t xml:space="preserve"> influenza virus primed 6 month </w:t>
      </w:r>
      <w:r w:rsidRPr="00FD2445">
        <w:t>old male ferret animal model of influenza virus infection.</w:t>
      </w:r>
      <w:r w:rsidR="007A7CDB">
        <w:t xml:space="preserve"> </w:t>
      </w:r>
      <w:r w:rsidRPr="00FD2445">
        <w:t>However, for s</w:t>
      </w:r>
      <w:r w:rsidR="003E4766">
        <w:t xml:space="preserve">ome measured, influenza disease </w:t>
      </w:r>
      <w:r w:rsidRPr="00FD2445">
        <w:t>associate</w:t>
      </w:r>
      <w:r w:rsidR="003E4766">
        <w:t xml:space="preserve">d, endpoints (for example, </w:t>
      </w:r>
      <w:r w:rsidRPr="00FD2445">
        <w:t>mean maximum nasal virus titre, nasal flush mean maximum leukocyte count), there was a trend (not statistically significant p &gt; 0.05) towards lower performance of the test article compared with the positive control article (</w:t>
      </w:r>
      <w:proofErr w:type="spellStart"/>
      <w:r w:rsidRPr="00FD2445">
        <w:t>Agrippal</w:t>
      </w:r>
      <w:proofErr w:type="spellEnd"/>
      <w:r w:rsidRPr="00FD2445">
        <w:t xml:space="preserve"> S1).</w:t>
      </w:r>
    </w:p>
    <w:p w:rsidR="00FD2445" w:rsidRPr="00FD2445" w:rsidRDefault="00FD2445" w:rsidP="00307983">
      <w:pPr>
        <w:pStyle w:val="ListBullet"/>
      </w:pPr>
      <w:r w:rsidRPr="00FD2445">
        <w:t>A repeat</w:t>
      </w:r>
      <w:r w:rsidR="003E4766">
        <w:t xml:space="preserve"> </w:t>
      </w:r>
      <w:r w:rsidRPr="00FD2445">
        <w:t>dose toxicity study was conducted in whic</w:t>
      </w:r>
      <w:r w:rsidR="003E4766">
        <w:t>h rabbits were administered 2 intramuscular</w:t>
      </w:r>
      <w:r w:rsidRPr="00FD2445">
        <w:t xml:space="preserve"> clinical doses (45 µg HA total by the clinical route of exposure, using a formulation comparable to the clinical formulation) of either </w:t>
      </w:r>
      <w:proofErr w:type="spellStart"/>
      <w:r w:rsidR="006B4D5F">
        <w:t>Optaflu</w:t>
      </w:r>
      <w:proofErr w:type="spellEnd"/>
      <w:r w:rsidR="003E4766">
        <w:t xml:space="preserve"> or an </w:t>
      </w:r>
      <w:proofErr w:type="spellStart"/>
      <w:r w:rsidR="003E4766">
        <w:t>allantoic</w:t>
      </w:r>
      <w:proofErr w:type="spellEnd"/>
      <w:r w:rsidR="003E4766">
        <w:t xml:space="preserve"> cavity </w:t>
      </w:r>
      <w:r w:rsidRPr="00FD2445">
        <w:t>derived comparator vaccine (</w:t>
      </w:r>
      <w:proofErr w:type="spellStart"/>
      <w:r w:rsidRPr="00FD2445">
        <w:t>Agrippal</w:t>
      </w:r>
      <w:proofErr w:type="spellEnd"/>
      <w:r w:rsidRPr="00FD2445">
        <w:t xml:space="preserve"> TM S1), 7 days apart. The two doses administered to rabbits exceeded the intended number of injections (one) used in</w:t>
      </w:r>
      <w:r w:rsidR="00307983">
        <w:t xml:space="preserve"> the proposed clinical regimen.</w:t>
      </w:r>
    </w:p>
    <w:p w:rsidR="00FD2445" w:rsidRPr="00FD2445" w:rsidRDefault="00FD2445" w:rsidP="00FD2445">
      <w:pPr>
        <w:pStyle w:val="ListBullet"/>
      </w:pPr>
      <w:r w:rsidRPr="00FD2445">
        <w:lastRenderedPageBreak/>
        <w:t>There was no evidence of systemic toxicity. Injection site reactions were of normal severity and partially or fully resolved over several weeks of recovery. The HA dose of 45 µg (15 µg/kg in a 3 kg rabbit or 165 µg/m</w:t>
      </w:r>
      <w:r w:rsidR="006B4D5F" w:rsidRPr="006B4D5F">
        <w:rPr>
          <w:vertAlign w:val="superscript"/>
        </w:rPr>
        <w:t>2</w:t>
      </w:r>
      <w:r w:rsidRPr="00FD2445">
        <w:t>; BSA conversion factor of 11) is ~5.5x the human dose in mg/m</w:t>
      </w:r>
      <w:r w:rsidRPr="006B4D5F">
        <w:rPr>
          <w:vertAlign w:val="superscript"/>
        </w:rPr>
        <w:t>2</w:t>
      </w:r>
      <w:r w:rsidRPr="00FD2445">
        <w:t xml:space="preserve"> </w:t>
      </w:r>
      <w:r w:rsidR="00F32BC2">
        <w:t>(based on 50 kg individual; that is</w:t>
      </w:r>
      <w:r w:rsidRPr="00FD2445">
        <w:t>, 0.9 µg/kg or 30 µg/m</w:t>
      </w:r>
      <w:r w:rsidR="006B4D5F" w:rsidRPr="006B4D5F">
        <w:rPr>
          <w:vertAlign w:val="superscript"/>
        </w:rPr>
        <w:t>2</w:t>
      </w:r>
      <w:r w:rsidRPr="00FD2445">
        <w:t>; BSA conversion factor of 33).</w:t>
      </w:r>
    </w:p>
    <w:p w:rsidR="00FD2445" w:rsidRPr="00FD2445" w:rsidRDefault="00FD2445" w:rsidP="00FD2445">
      <w:pPr>
        <w:pStyle w:val="ListBullet"/>
      </w:pPr>
      <w:r w:rsidRPr="00FD2445">
        <w:t xml:space="preserve">The local tolerance of the </w:t>
      </w:r>
      <w:proofErr w:type="spellStart"/>
      <w:r w:rsidR="00C477B9">
        <w:t>Optaflu</w:t>
      </w:r>
      <w:proofErr w:type="spellEnd"/>
      <w:r w:rsidRPr="00FD2445">
        <w:t xml:space="preserve"> w</w:t>
      </w:r>
      <w:r w:rsidR="00D4606A">
        <w:t>as determined in rabbits. Two intramuscular</w:t>
      </w:r>
      <w:r w:rsidRPr="00FD2445">
        <w:t xml:space="preserve"> injections were given 7 days apart into a</w:t>
      </w:r>
      <w:r w:rsidR="00F32BC2">
        <w:t>lternate hind limbs (that is</w:t>
      </w:r>
      <w:r w:rsidRPr="00FD2445">
        <w:t>, left-right hind limbs). Consequently, each limb received an acute or single</w:t>
      </w:r>
      <w:r w:rsidR="00970EE9">
        <w:t xml:space="preserve"> </w:t>
      </w:r>
      <w:r w:rsidRPr="00FD2445">
        <w:t xml:space="preserve">dose of </w:t>
      </w:r>
      <w:proofErr w:type="spellStart"/>
      <w:r w:rsidR="00C477B9">
        <w:t>Optaflu</w:t>
      </w:r>
      <w:proofErr w:type="spellEnd"/>
      <w:r w:rsidRPr="00FD2445">
        <w:t>. Histological evidence of mild injection site reactions (focal necrosis, associated inflammatory cellular infiltrates and haemorrhage) were present in all experimental groups (including the control article</w:t>
      </w:r>
      <w:r w:rsidR="00D4606A">
        <w:t xml:space="preserve"> </w:t>
      </w:r>
      <w:r w:rsidRPr="00FD2445">
        <w:t xml:space="preserve">treated animals) and were partially resolved in some animals by study </w:t>
      </w:r>
      <w:r w:rsidR="00D4606A">
        <w:t>D</w:t>
      </w:r>
      <w:r w:rsidRPr="00FD2445">
        <w:t>ay 23 (15 days following last dose; recovery necropsy evaluation).</w:t>
      </w:r>
      <w:r w:rsidR="007A7CDB">
        <w:t xml:space="preserve"> </w:t>
      </w:r>
      <w:r w:rsidRPr="00FD2445">
        <w:t>These changes can generally be regarded as adaptive given the circumstances of dosing.</w:t>
      </w:r>
      <w:r w:rsidR="007A7CDB">
        <w:t xml:space="preserve"> </w:t>
      </w:r>
      <w:r w:rsidRPr="00FD2445">
        <w:t>The reactions were not excessive.</w:t>
      </w:r>
      <w:r w:rsidR="007A7CDB">
        <w:t xml:space="preserve"> </w:t>
      </w:r>
      <w:r w:rsidR="009D424E">
        <w:t xml:space="preserve">However, </w:t>
      </w:r>
      <w:r w:rsidRPr="00FD2445">
        <w:t xml:space="preserve">some degree of pain and limited local injection reaction can be expected in humans inoculated with </w:t>
      </w:r>
      <w:proofErr w:type="spellStart"/>
      <w:r w:rsidR="00C477B9">
        <w:t>Optaflu</w:t>
      </w:r>
      <w:proofErr w:type="spellEnd"/>
      <w:r w:rsidRPr="00FD2445">
        <w:t>.</w:t>
      </w:r>
      <w:r w:rsidR="007A7CDB">
        <w:t xml:space="preserve"> </w:t>
      </w:r>
      <w:r w:rsidRPr="00FD2445">
        <w:t>Overall, the histological assessment of the injection site indicated that the vaccine was well tolerated.</w:t>
      </w:r>
    </w:p>
    <w:p w:rsidR="00FD2445" w:rsidRPr="00FD2445" w:rsidRDefault="00FD2445" w:rsidP="00FD2445">
      <w:pPr>
        <w:pStyle w:val="ListBullet"/>
      </w:pPr>
      <w:r w:rsidRPr="00FD2445">
        <w:t>The sponsor’s MDCK cells (used as an influenza virus growth substrate) are both notably neoplastic and f</w:t>
      </w:r>
      <w:r w:rsidR="009D424E">
        <w:t>ully capable of metastasis (that is,</w:t>
      </w:r>
      <w:r w:rsidRPr="00FD2445">
        <w:t xml:space="preserve"> malignant) in vivo in T-cell deficient/depleted mice and rats (both neonatal and adult).</w:t>
      </w:r>
      <w:r w:rsidR="007A7CDB">
        <w:t xml:space="preserve"> </w:t>
      </w:r>
      <w:r w:rsidRPr="00FD2445">
        <w:t>The MDCK cell line used cannot, in any way, be described as “weakly tumorigenic”, at least in immu</w:t>
      </w:r>
      <w:r w:rsidR="00B25814">
        <w:t xml:space="preserve">ne </w:t>
      </w:r>
      <w:r w:rsidRPr="00FD2445">
        <w:t>deficient rodent models.</w:t>
      </w:r>
    </w:p>
    <w:p w:rsidR="00FD2445" w:rsidRPr="00FD2445" w:rsidRDefault="00FD2445" w:rsidP="00FD2445">
      <w:pPr>
        <w:pStyle w:val="ListBullet"/>
      </w:pPr>
      <w:r w:rsidRPr="00FD2445">
        <w:t xml:space="preserve">The sponsor’s MDCK cell </w:t>
      </w:r>
      <w:r w:rsidR="001B0FBD">
        <w:t>lysates (produced by the freeze/</w:t>
      </w:r>
      <w:r w:rsidRPr="00FD2445">
        <w:t xml:space="preserve">thaw technique) are not neoplastic </w:t>
      </w:r>
      <w:r w:rsidRPr="00B25814">
        <w:rPr>
          <w:i/>
        </w:rPr>
        <w:t>in vivo</w:t>
      </w:r>
      <w:r w:rsidRPr="00FD2445">
        <w:t xml:space="preserve"> in relevant rodent models.</w:t>
      </w:r>
    </w:p>
    <w:p w:rsidR="00FD2445" w:rsidRPr="00FD2445" w:rsidRDefault="00FD2445" w:rsidP="00FD2445">
      <w:pPr>
        <w:pStyle w:val="ListBullet"/>
      </w:pPr>
      <w:r w:rsidRPr="00FD2445">
        <w:t>DNA extracts from the sponsor’s MDCK cells and influenza</w:t>
      </w:r>
      <w:r w:rsidR="00B25814">
        <w:t xml:space="preserve"> </w:t>
      </w:r>
      <w:r w:rsidRPr="00FD2445">
        <w:t xml:space="preserve">infected MDCK cells are not neoplastic </w:t>
      </w:r>
      <w:r w:rsidRPr="00B25814">
        <w:rPr>
          <w:i/>
        </w:rPr>
        <w:t>in vivo</w:t>
      </w:r>
      <w:r w:rsidRPr="00FD2445">
        <w:t xml:space="preserve"> in relevant rodent models.</w:t>
      </w:r>
    </w:p>
    <w:p w:rsidR="00FD2445" w:rsidRPr="00FD2445" w:rsidRDefault="00FD2445" w:rsidP="004002C4">
      <w:pPr>
        <w:pStyle w:val="ListBullet"/>
      </w:pPr>
      <w:r w:rsidRPr="00FD2445">
        <w:t xml:space="preserve">Based on the currently available data, the overall risk of de novo neoplastic disease due to the use of </w:t>
      </w:r>
      <w:proofErr w:type="spellStart"/>
      <w:r w:rsidR="00C477B9">
        <w:t>Optaflu</w:t>
      </w:r>
      <w:proofErr w:type="spellEnd"/>
      <w:r w:rsidRPr="00FD2445">
        <w:t xml:space="preserve"> is considered to be very low due to the complete lack of viable cells in the final product and lack of carcinogenicity/neoplastic potential of the MDCK cell</w:t>
      </w:r>
      <w:r w:rsidR="000C237C">
        <w:t xml:space="preserve"> </w:t>
      </w:r>
      <w:r w:rsidRPr="00FD2445">
        <w:t>free lysate, lack of carcinogenicity/neoplastic potential of the beta-</w:t>
      </w:r>
      <w:proofErr w:type="spellStart"/>
      <w:r w:rsidRPr="00FD2445">
        <w:t>propiolactone</w:t>
      </w:r>
      <w:proofErr w:type="spellEnd"/>
      <w:r w:rsidRPr="00FD2445">
        <w:t xml:space="preserve"> treated MDCK cell</w:t>
      </w:r>
      <w:r w:rsidR="000C237C">
        <w:t xml:space="preserve"> </w:t>
      </w:r>
      <w:r w:rsidRPr="00FD2445">
        <w:t>free lysate, and lack of carcinogenicity/neoplastic potential of the MDCK cell DNA.</w:t>
      </w:r>
      <w:r w:rsidR="007A7CDB">
        <w:t xml:space="preserve"> </w:t>
      </w:r>
      <w:r w:rsidRPr="00FD2445">
        <w:t>The levels of residual non influenza virus protein and the level of residual DNA in the finished product conform to relevant international standards.</w:t>
      </w:r>
      <w:r w:rsidR="007A7CDB">
        <w:t xml:space="preserve"> </w:t>
      </w:r>
      <w:r w:rsidRPr="00FD2445">
        <w:t xml:space="preserve">The lowest dose of DNA administered to rodents was 28 </w:t>
      </w:r>
      <w:proofErr w:type="spellStart"/>
      <w:r w:rsidRPr="00FD2445">
        <w:t>μg</w:t>
      </w:r>
      <w:proofErr w:type="spellEnd"/>
      <w:r w:rsidRPr="00FD2445">
        <w:t xml:space="preserve"> per neonatal mouse (Study No. 48333). This is based on a 0.1 mL inoculation of neonata</w:t>
      </w:r>
      <w:r w:rsidR="00643F3A">
        <w:t>l mice wi</w:t>
      </w:r>
      <w:r w:rsidR="004002C4">
        <w:t xml:space="preserve">th the beta </w:t>
      </w:r>
      <w:proofErr w:type="spellStart"/>
      <w:r w:rsidR="004002C4" w:rsidRPr="004002C4">
        <w:t>propiolactone</w:t>
      </w:r>
      <w:proofErr w:type="spellEnd"/>
      <w:r w:rsidR="004002C4" w:rsidRPr="004002C4">
        <w:t xml:space="preserve"> </w:t>
      </w:r>
      <w:r w:rsidR="00643F3A">
        <w:t xml:space="preserve">treated flu </w:t>
      </w:r>
      <w:r w:rsidRPr="00FD2445">
        <w:t xml:space="preserve">infected DNA preparation that contained 55 </w:t>
      </w:r>
      <w:proofErr w:type="spellStart"/>
      <w:r w:rsidRPr="00FD2445">
        <w:t>μg</w:t>
      </w:r>
      <w:proofErr w:type="spellEnd"/>
      <w:r w:rsidRPr="00FD2445">
        <w:t xml:space="preserve"> per 0.2 </w:t>
      </w:r>
      <w:proofErr w:type="spellStart"/>
      <w:r w:rsidRPr="00FD2445">
        <w:t>mL.</w:t>
      </w:r>
      <w:proofErr w:type="spellEnd"/>
      <w:r w:rsidRPr="00FD2445">
        <w:t xml:space="preserve"> Neonatal rats received a 0.2 mL inoculation</w:t>
      </w:r>
      <w:r w:rsidR="00D77F4C">
        <w:t>,</w:t>
      </w:r>
      <w:r w:rsidRPr="00FD2445">
        <w:t xml:space="preserve"> but mice are used as the most conservat</w:t>
      </w:r>
      <w:r w:rsidR="006B4D5F">
        <w:t xml:space="preserve">ive estimation. The dose of 28 </w:t>
      </w:r>
      <w:r w:rsidR="006E3CD9">
        <w:t>µ</w:t>
      </w:r>
      <w:r w:rsidRPr="00FD2445">
        <w:t>g (or 28000 ng) was a no observed effect level (NOEL). When compared to the WHO 10 ng acceptable DNA limit, this provides a safety factor of 2.8</w:t>
      </w:r>
      <w:r w:rsidR="006B4D5F">
        <w:t xml:space="preserve"> </w:t>
      </w:r>
      <w:r w:rsidRPr="00FD2445">
        <w:t>x</w:t>
      </w:r>
      <w:r w:rsidR="006B4D5F">
        <w:t xml:space="preserve"> </w:t>
      </w:r>
      <w:r w:rsidRPr="00FD2445">
        <w:t>10</w:t>
      </w:r>
      <w:r w:rsidRPr="006B4D5F">
        <w:rPr>
          <w:vertAlign w:val="superscript"/>
        </w:rPr>
        <w:t>3</w:t>
      </w:r>
      <w:r w:rsidRPr="00FD2445">
        <w:t>.</w:t>
      </w:r>
    </w:p>
    <w:p w:rsidR="00FD2445" w:rsidRPr="00FD2445" w:rsidRDefault="00371BC9" w:rsidP="00FD2445">
      <w:pPr>
        <w:pStyle w:val="ListBullet"/>
      </w:pPr>
      <w:proofErr w:type="spellStart"/>
      <w:r>
        <w:t>Optaflu</w:t>
      </w:r>
      <w:proofErr w:type="spellEnd"/>
      <w:r w:rsidR="00FD2445" w:rsidRPr="00FD2445">
        <w:t xml:space="preserve"> did not affect reproduction, growth or development over 2 generations in rabbits.</w:t>
      </w:r>
    </w:p>
    <w:p w:rsidR="00FD2445" w:rsidRPr="00FD2445" w:rsidRDefault="00FD2445" w:rsidP="00FD2445">
      <w:pPr>
        <w:pStyle w:val="ListBullet"/>
      </w:pPr>
      <w:r w:rsidRPr="00FD2445">
        <w:t xml:space="preserve">The sponsor has proposed Category B1 in the </w:t>
      </w:r>
      <w:r w:rsidR="001468BF">
        <w:t>PI</w:t>
      </w:r>
      <w:r w:rsidRPr="00FD2445">
        <w:t>.</w:t>
      </w:r>
      <w:r w:rsidR="007A7CDB">
        <w:t xml:space="preserve"> </w:t>
      </w:r>
      <w:r w:rsidRPr="00FD2445">
        <w:t>Category B1 classification is supported by l</w:t>
      </w:r>
      <w:r w:rsidR="007945EB">
        <w:t>ack of evidence of pre</w:t>
      </w:r>
      <w:r w:rsidRPr="00FD2445">
        <w:t>natal or postnatal effects in single species (rabbit) reproduction and developmental toxicity study (potential effects in males [or lack thereof] were not evaluated).</w:t>
      </w:r>
    </w:p>
    <w:p w:rsidR="00FD2445" w:rsidRPr="00FD2445" w:rsidRDefault="00FD2445" w:rsidP="00307983">
      <w:pPr>
        <w:pStyle w:val="ListBullet"/>
      </w:pPr>
      <w:r w:rsidRPr="00FD2445">
        <w:t xml:space="preserve">It should be clearly noted that </w:t>
      </w:r>
      <w:proofErr w:type="spellStart"/>
      <w:r w:rsidR="00371BC9">
        <w:t>Optaflu</w:t>
      </w:r>
      <w:proofErr w:type="spellEnd"/>
      <w:r w:rsidRPr="00FD2445">
        <w:t xml:space="preserve"> has not been evaluated for prion disease potential or for the presence of modified </w:t>
      </w:r>
      <w:proofErr w:type="spellStart"/>
      <w:r w:rsidR="00643F3A" w:rsidRPr="008B4B85">
        <w:t>proline</w:t>
      </w:r>
      <w:proofErr w:type="spellEnd"/>
      <w:r w:rsidR="00643F3A" w:rsidRPr="008B4B85">
        <w:t xml:space="preserve"> rich proteins</w:t>
      </w:r>
      <w:r w:rsidRPr="00FD2445">
        <w:t>.</w:t>
      </w:r>
      <w:r w:rsidR="007A7CDB">
        <w:t xml:space="preserve"> </w:t>
      </w:r>
      <w:r w:rsidRPr="00FD2445">
        <w:t xml:space="preserve">However the current international regulatory consensus is that vaccines such as </w:t>
      </w:r>
      <w:proofErr w:type="spellStart"/>
      <w:r w:rsidR="0066109D">
        <w:t>Optaflu</w:t>
      </w:r>
      <w:proofErr w:type="spellEnd"/>
      <w:r w:rsidRPr="00FD2445">
        <w:t xml:space="preserve"> are very unlikely to cause transmissible spongiform </w:t>
      </w:r>
      <w:proofErr w:type="spellStart"/>
      <w:r w:rsidRPr="00FD2445">
        <w:t>encephalopathies</w:t>
      </w:r>
      <w:proofErr w:type="spellEnd"/>
      <w:r w:rsidRPr="00FD2445">
        <w:t xml:space="preserve"> in </w:t>
      </w:r>
      <w:r w:rsidRPr="00307983">
        <w:t>humans</w:t>
      </w:r>
      <w:r w:rsidRPr="00FD2445">
        <w:t>.</w:t>
      </w:r>
    </w:p>
    <w:p w:rsidR="00FD2445" w:rsidRDefault="00460C6F" w:rsidP="00307983">
      <w:pPr>
        <w:pStyle w:val="Heading4"/>
      </w:pPr>
      <w:r>
        <w:lastRenderedPageBreak/>
        <w:t xml:space="preserve">Conclusions and </w:t>
      </w:r>
      <w:r w:rsidRPr="00307983">
        <w:t>recommendation</w:t>
      </w:r>
    </w:p>
    <w:p w:rsidR="00460C6F" w:rsidRPr="00460C6F" w:rsidRDefault="00460C6F" w:rsidP="00460C6F">
      <w:r w:rsidRPr="00460C6F">
        <w:t xml:space="preserve">There are no nonclinical objections to registration of the inactivated, trivalent influenza vaccine, </w:t>
      </w:r>
      <w:proofErr w:type="spellStart"/>
      <w:r>
        <w:t>Optaflu</w:t>
      </w:r>
      <w:proofErr w:type="spellEnd"/>
      <w:r w:rsidRPr="00460C6F">
        <w:t xml:space="preserve">, at a dose </w:t>
      </w:r>
      <w:proofErr w:type="gramStart"/>
      <w:r w:rsidRPr="00460C6F">
        <w:t>of 15 µg/strain, in adults</w:t>
      </w:r>
      <w:proofErr w:type="gramEnd"/>
      <w:r w:rsidRPr="00460C6F">
        <w:t>.</w:t>
      </w:r>
    </w:p>
    <w:p w:rsidR="00460C6F" w:rsidRPr="00460C6F" w:rsidRDefault="00460C6F" w:rsidP="00307983">
      <w:r w:rsidRPr="00460C6F">
        <w:t xml:space="preserve">The nonclinical </w:t>
      </w:r>
      <w:r w:rsidR="00CA090F">
        <w:t>PI</w:t>
      </w:r>
      <w:r w:rsidRPr="00460C6F">
        <w:t xml:space="preserve"> </w:t>
      </w:r>
      <w:r w:rsidR="00307983">
        <w:t>should be amended as indicated.</w:t>
      </w:r>
    </w:p>
    <w:p w:rsidR="008E7846" w:rsidRPr="00254787" w:rsidRDefault="008E7846" w:rsidP="00307983">
      <w:pPr>
        <w:pStyle w:val="Heading2"/>
      </w:pPr>
      <w:bookmarkStart w:id="61" w:name="_Toc196046462"/>
      <w:bookmarkStart w:id="62" w:name="_Toc247691516"/>
      <w:bookmarkStart w:id="63" w:name="_Toc314842500"/>
      <w:bookmarkStart w:id="64" w:name="_Toc163441353"/>
      <w:bookmarkStart w:id="65" w:name="_Toc163441348"/>
      <w:bookmarkStart w:id="66" w:name="_Toc430081292"/>
      <w:r>
        <w:t xml:space="preserve">IV. </w:t>
      </w:r>
      <w:r w:rsidRPr="00307983">
        <w:t>Clinical</w:t>
      </w:r>
      <w:bookmarkEnd w:id="61"/>
      <w:r>
        <w:t xml:space="preserve"> </w:t>
      </w:r>
      <w:r w:rsidR="003A7F6C">
        <w:t>f</w:t>
      </w:r>
      <w:r>
        <w:t>indings</w:t>
      </w:r>
      <w:bookmarkEnd w:id="62"/>
      <w:bookmarkEnd w:id="63"/>
      <w:bookmarkEnd w:id="66"/>
    </w:p>
    <w:p w:rsidR="008E7846" w:rsidRDefault="008E7846" w:rsidP="008E7846">
      <w:pPr>
        <w:pStyle w:val="Heading3"/>
      </w:pPr>
      <w:bookmarkStart w:id="67" w:name="_Toc196046463"/>
      <w:bookmarkStart w:id="68" w:name="_Toc247691517"/>
      <w:bookmarkStart w:id="69" w:name="_Toc314842501"/>
      <w:bookmarkStart w:id="70" w:name="_Toc430081293"/>
      <w:r w:rsidRPr="00254787">
        <w:t>Introduct</w:t>
      </w:r>
      <w:r w:rsidRPr="00307983">
        <w:t>i</w:t>
      </w:r>
      <w:r w:rsidRPr="00254787">
        <w:t>on</w:t>
      </w:r>
      <w:bookmarkEnd w:id="67"/>
      <w:bookmarkEnd w:id="68"/>
      <w:bookmarkEnd w:id="69"/>
      <w:bookmarkEnd w:id="70"/>
    </w:p>
    <w:p w:rsidR="0040500B" w:rsidRPr="005B5DA2" w:rsidRDefault="0040500B" w:rsidP="0040500B">
      <w:bookmarkStart w:id="71" w:name="_Toc196046464"/>
      <w:bookmarkStart w:id="72" w:name="_Toc247691518"/>
      <w:bookmarkStart w:id="73" w:name="_Toc314842502"/>
      <w:r>
        <w:t>Influenza vaccines are currently the mainstay of influenza prophylaxis and control. Given the inherent uncertainties in influenza, and the complexities of manufacturin</w:t>
      </w:r>
      <w:r w:rsidR="0078062D">
        <w:t xml:space="preserve">g and logistics surrounding egg </w:t>
      </w:r>
      <w:r>
        <w:t xml:space="preserve">based vaccine production, the development of technologies not reliant on eggs for production has been considered a high priority by the </w:t>
      </w:r>
      <w:r w:rsidR="00E55C86">
        <w:t>WHO</w:t>
      </w:r>
      <w:r>
        <w:t xml:space="preserve">. Production methods using mammalian cell lines limit reliance on the supply of </w:t>
      </w:r>
      <w:proofErr w:type="spellStart"/>
      <w:r>
        <w:t>embryonated</w:t>
      </w:r>
      <w:proofErr w:type="spellEnd"/>
      <w:r>
        <w:t xml:space="preserve"> eggs. Cell culture derived influenza vaccines can, in principle, have greater flexibility in responding to the threat of an emerging pandemic.</w:t>
      </w:r>
    </w:p>
    <w:p w:rsidR="0040500B" w:rsidRDefault="0040500B" w:rsidP="0040500B">
      <w:r>
        <w:t xml:space="preserve">Novartis Vaccines has manufactured an influenza vaccine produced in a cell line cloned from </w:t>
      </w:r>
      <w:r w:rsidR="0078062D">
        <w:t>MDCK</w:t>
      </w:r>
      <w:r>
        <w:t xml:space="preserve"> tissue. The drug substance is a sterile, cell free, monovalent bulk containing purified virus surface antigens from a single influenza strain. Monovalent bulk preparations from three distinct influenza virus strains are blended and formulated in PBS to produce a trivalent bulk harvest. The monovalent bulk antigen preparations are clear to slightly opalescent and contain mainly </w:t>
      </w:r>
      <w:r w:rsidR="00785F4C">
        <w:t>NA</w:t>
      </w:r>
      <w:r>
        <w:t xml:space="preserve"> and </w:t>
      </w:r>
      <w:r w:rsidR="00785F4C">
        <w:t>HA</w:t>
      </w:r>
      <w:r>
        <w:t xml:space="preserve"> antigens.</w:t>
      </w:r>
    </w:p>
    <w:p w:rsidR="0040500B" w:rsidRDefault="0040500B" w:rsidP="0040500B">
      <w:r>
        <w:t xml:space="preserve">The formulation of the drug product was based on the </w:t>
      </w:r>
      <w:r w:rsidR="00363865">
        <w:t xml:space="preserve">experience of the company’s egg </w:t>
      </w:r>
      <w:r>
        <w:t>based influenza vaccine and has not changed during development other than to vary in accordance with the annual strain recommendations in</w:t>
      </w:r>
      <w:r w:rsidR="00363865">
        <w:t xml:space="preserve"> </w:t>
      </w:r>
      <w:r>
        <w:t>compliance with the annual WHO and the Committee for Me</w:t>
      </w:r>
      <w:r w:rsidR="00363865">
        <w:t>dicinal Products for Human Use.</w:t>
      </w:r>
    </w:p>
    <w:p w:rsidR="0040500B" w:rsidRDefault="0040500B" w:rsidP="0040500B">
      <w:r>
        <w:t>Data from five immunogenicity and safety studies (V58P1, V58P2, V58P4, V58P4E1 and V58P9) led to the approval in 2007 of the MDCK cell</w:t>
      </w:r>
      <w:r w:rsidR="00586FD2">
        <w:t xml:space="preserve"> </w:t>
      </w:r>
      <w:r>
        <w:t>derived trivalent influenza vaccin</w:t>
      </w:r>
      <w:r w:rsidR="00586FD2">
        <w:t>e (</w:t>
      </w:r>
      <w:proofErr w:type="spellStart"/>
      <w:r w:rsidR="00586FD2">
        <w:t>cTIV</w:t>
      </w:r>
      <w:proofErr w:type="spellEnd"/>
      <w:r w:rsidR="00586FD2">
        <w:t>) in the EU</w:t>
      </w:r>
      <w:r>
        <w:t xml:space="preserve"> under the brand name </w:t>
      </w:r>
      <w:proofErr w:type="spellStart"/>
      <w:r>
        <w:t>Optaflu</w:t>
      </w:r>
      <w:proofErr w:type="spellEnd"/>
      <w:r>
        <w:t xml:space="preserve">. In addition to these studies, data from </w:t>
      </w:r>
      <w:r w:rsidR="00586FD2">
        <w:t>St</w:t>
      </w:r>
      <w:r>
        <w:t>udy V58P13 was included in the filing that led to the appr</w:t>
      </w:r>
      <w:r w:rsidR="003E3769">
        <w:t xml:space="preserve">oval as </w:t>
      </w:r>
      <w:proofErr w:type="spellStart"/>
      <w:r w:rsidR="003E3769">
        <w:t>Flucelvax</w:t>
      </w:r>
      <w:proofErr w:type="spellEnd"/>
      <w:r w:rsidR="003E3769">
        <w:t xml:space="preserve"> in the US</w:t>
      </w:r>
      <w:r>
        <w:t xml:space="preserve"> in 2012.</w:t>
      </w:r>
    </w:p>
    <w:p w:rsidR="00605AD4" w:rsidRPr="00605AD4" w:rsidRDefault="00605AD4" w:rsidP="00307983">
      <w:pPr>
        <w:pStyle w:val="Heading4"/>
      </w:pPr>
      <w:r w:rsidRPr="00605AD4">
        <w:t xml:space="preserve">Contents of the </w:t>
      </w:r>
      <w:r w:rsidRPr="00307983">
        <w:t>clinical</w:t>
      </w:r>
      <w:r w:rsidRPr="00605AD4">
        <w:t xml:space="preserve"> dossier</w:t>
      </w:r>
    </w:p>
    <w:p w:rsidR="0040500B" w:rsidRPr="0040500B" w:rsidRDefault="0040500B" w:rsidP="0040500B">
      <w:r w:rsidRPr="0040500B">
        <w:t>Seven studies were included</w:t>
      </w:r>
      <w:r>
        <w:t>:</w:t>
      </w:r>
    </w:p>
    <w:p w:rsidR="0040500B" w:rsidRPr="0040500B" w:rsidRDefault="009C7DC1" w:rsidP="0040500B">
      <w:pPr>
        <w:pStyle w:val="ListBullet"/>
      </w:pPr>
      <w:r>
        <w:t xml:space="preserve">V58P1 </w:t>
      </w:r>
      <w:r w:rsidR="0040500B" w:rsidRPr="0040500B">
        <w:t>phase I/II conducted in the EU</w:t>
      </w:r>
    </w:p>
    <w:p w:rsidR="0040500B" w:rsidRPr="0040500B" w:rsidRDefault="0040500B" w:rsidP="0040500B">
      <w:pPr>
        <w:pStyle w:val="ListBullet"/>
      </w:pPr>
      <w:r w:rsidRPr="0040500B">
        <w:t>V58P2 phase II conducted in New Zealand</w:t>
      </w:r>
    </w:p>
    <w:p w:rsidR="0040500B" w:rsidRPr="0040500B" w:rsidRDefault="009C7DC1" w:rsidP="0040500B">
      <w:pPr>
        <w:pStyle w:val="ListBullet"/>
      </w:pPr>
      <w:r>
        <w:t xml:space="preserve">V58P4 </w:t>
      </w:r>
      <w:r w:rsidR="0040500B" w:rsidRPr="0040500B">
        <w:t>phase</w:t>
      </w:r>
      <w:r w:rsidR="00307983">
        <w:t xml:space="preserve"> III conducted in the US and EU</w:t>
      </w:r>
    </w:p>
    <w:p w:rsidR="0040500B" w:rsidRPr="0040500B" w:rsidRDefault="0040500B" w:rsidP="0040500B">
      <w:pPr>
        <w:pStyle w:val="ListBullet"/>
      </w:pPr>
      <w:r w:rsidRPr="0040500B">
        <w:t>V58P4</w:t>
      </w:r>
      <w:r w:rsidR="00307983">
        <w:t>E1 phase III extension of V58P4</w:t>
      </w:r>
    </w:p>
    <w:p w:rsidR="0040500B" w:rsidRPr="0040500B" w:rsidRDefault="0040500B" w:rsidP="0040500B">
      <w:pPr>
        <w:pStyle w:val="ListBullet"/>
      </w:pPr>
      <w:r w:rsidRPr="0040500B">
        <w:t>V58P5 phase II conducted in the US</w:t>
      </w:r>
    </w:p>
    <w:p w:rsidR="0040500B" w:rsidRPr="0040500B" w:rsidRDefault="0040500B" w:rsidP="0040500B">
      <w:pPr>
        <w:pStyle w:val="ListBullet"/>
      </w:pPr>
      <w:r w:rsidRPr="0040500B">
        <w:t>V58P9 phase III conducted in Europe</w:t>
      </w:r>
    </w:p>
    <w:p w:rsidR="0040500B" w:rsidRPr="0040500B" w:rsidRDefault="0040500B" w:rsidP="0040500B">
      <w:pPr>
        <w:pStyle w:val="ListBullet"/>
      </w:pPr>
      <w:r w:rsidRPr="0040500B">
        <w:t>V58P13 phase III conducted in the US and EU</w:t>
      </w:r>
    </w:p>
    <w:p w:rsidR="00605AD4" w:rsidRPr="00605AD4" w:rsidRDefault="00605AD4" w:rsidP="00605AD4">
      <w:pPr>
        <w:pStyle w:val="Heading4"/>
      </w:pPr>
      <w:r w:rsidRPr="00605AD4">
        <w:t>Paediatric data</w:t>
      </w:r>
    </w:p>
    <w:p w:rsidR="003D13F1" w:rsidRPr="00453666" w:rsidRDefault="0040500B" w:rsidP="003D13F1">
      <w:r>
        <w:t>N/A</w:t>
      </w:r>
    </w:p>
    <w:p w:rsidR="00605AD4" w:rsidRDefault="00605AD4" w:rsidP="00605AD4">
      <w:pPr>
        <w:pStyle w:val="Heading4"/>
      </w:pPr>
      <w:r w:rsidRPr="00605AD4">
        <w:lastRenderedPageBreak/>
        <w:t>Good clinical practice</w:t>
      </w:r>
    </w:p>
    <w:p w:rsidR="0040500B" w:rsidRPr="0040500B" w:rsidRDefault="0040500B" w:rsidP="0040500B">
      <w:r w:rsidRPr="0040500B">
        <w:t>Novartis provided the following assurance which was essentially the same for each study.</w:t>
      </w:r>
      <w:r w:rsidR="007A7CDB">
        <w:t xml:space="preserve"> </w:t>
      </w:r>
      <w:r w:rsidR="00537EAE">
        <w:t>The i</w:t>
      </w:r>
      <w:r w:rsidRPr="0040500B">
        <w:t xml:space="preserve">nvestigator provided the </w:t>
      </w:r>
      <w:r w:rsidR="00537EAE">
        <w:t>e</w:t>
      </w:r>
      <w:r w:rsidRPr="0040500B">
        <w:t xml:space="preserve">thics </w:t>
      </w:r>
      <w:r w:rsidR="00537EAE">
        <w:t>c</w:t>
      </w:r>
      <w:r w:rsidRPr="0040500B">
        <w:t>ommittees with all appropriate mat</w:t>
      </w:r>
      <w:r w:rsidR="00882723">
        <w:t>erial</w:t>
      </w:r>
      <w:r w:rsidRPr="0040500B">
        <w:t xml:space="preserve"> including the protocol, the informed consent document, and other written information provided to the participants. The trial was not to be initiated until appropriate </w:t>
      </w:r>
      <w:r w:rsidR="00882723">
        <w:t>e</w:t>
      </w:r>
      <w:r w:rsidRPr="0040500B">
        <w:t xml:space="preserve">thics </w:t>
      </w:r>
      <w:r w:rsidR="00882723">
        <w:t>c</w:t>
      </w:r>
      <w:r w:rsidRPr="0040500B">
        <w:t>ommittee approval of the protocol and the informed consent document and all recruiting materials w</w:t>
      </w:r>
      <w:r w:rsidR="00882723">
        <w:t>ere obtained in writing by the i</w:t>
      </w:r>
      <w:r w:rsidRPr="0040500B">
        <w:t xml:space="preserve">nvestigator and copies were received by the </w:t>
      </w:r>
      <w:r w:rsidR="00882723">
        <w:t>s</w:t>
      </w:r>
      <w:r w:rsidRPr="0040500B">
        <w:t xml:space="preserve">ponsor. Reports on the progress of the study were to be made to the </w:t>
      </w:r>
      <w:r w:rsidR="00882723">
        <w:t>e</w:t>
      </w:r>
      <w:r w:rsidR="00882723" w:rsidRPr="0040500B">
        <w:t xml:space="preserve">thics </w:t>
      </w:r>
      <w:r w:rsidR="00882723">
        <w:t>c</w:t>
      </w:r>
      <w:r w:rsidR="00882723" w:rsidRPr="0040500B">
        <w:t xml:space="preserve">ommittee </w:t>
      </w:r>
      <w:r w:rsidRPr="0040500B">
        <w:t xml:space="preserve">and the </w:t>
      </w:r>
      <w:r w:rsidR="00882723">
        <w:t>sponsor by the i</w:t>
      </w:r>
      <w:r w:rsidRPr="0040500B">
        <w:t xml:space="preserve">nvestigator in accordance with applicable governmental regulations and in agreement with policy established by the </w:t>
      </w:r>
      <w:r w:rsidR="004A5655">
        <w:t>s</w:t>
      </w:r>
      <w:r w:rsidRPr="0040500B">
        <w:t>ponsor.</w:t>
      </w:r>
    </w:p>
    <w:p w:rsidR="0040500B" w:rsidRPr="0040500B" w:rsidRDefault="0040500B" w:rsidP="0040500B">
      <w:r w:rsidRPr="0040500B">
        <w:t xml:space="preserve">The studies were conducted in accordance with the Declaration of Helsinki and Good Clinical Practice (GCP) according to International Conference on Harmonisation (ICH) guidelines. The studies were based on adequately performed laboratory and animal experimentation and conducted under a protocol reviewed and approved by an </w:t>
      </w:r>
      <w:r w:rsidR="004A5655">
        <w:t>e</w:t>
      </w:r>
      <w:r w:rsidRPr="0040500B">
        <w:t xml:space="preserve">thics </w:t>
      </w:r>
      <w:r w:rsidR="004A5655">
        <w:t>c</w:t>
      </w:r>
      <w:r w:rsidRPr="0040500B">
        <w:t>ommittee. The studies were conducted by scientifically and medically qualified persons. The benefits of the study were in proportion to the risks.</w:t>
      </w:r>
    </w:p>
    <w:p w:rsidR="0040500B" w:rsidRPr="0040500B" w:rsidRDefault="0040500B" w:rsidP="0040500B">
      <w:r w:rsidRPr="0040500B">
        <w:t>A properly executed, written, informed consent, in compliance with the Declaration of Helsinki, ICH GCP, and local regulations, was obtained from each participant prior to entering the participant into the trial. The investigator was to provide a copy of the signed informed consent to each participant and was to maintain a copy in the participant’s record file.</w:t>
      </w:r>
    </w:p>
    <w:p w:rsidR="008E7846" w:rsidRPr="00254787" w:rsidRDefault="008E7846" w:rsidP="00605AD4">
      <w:pPr>
        <w:pStyle w:val="Heading3"/>
      </w:pPr>
      <w:bookmarkStart w:id="74" w:name="_Toc430081294"/>
      <w:r w:rsidRPr="00254787">
        <w:t>Pharmacokinetics</w:t>
      </w:r>
      <w:bookmarkEnd w:id="64"/>
      <w:bookmarkEnd w:id="71"/>
      <w:bookmarkEnd w:id="72"/>
      <w:bookmarkEnd w:id="73"/>
      <w:bookmarkEnd w:id="74"/>
    </w:p>
    <w:p w:rsidR="003D13F1" w:rsidRPr="00453666" w:rsidRDefault="0040500B" w:rsidP="003D13F1">
      <w:bookmarkStart w:id="75" w:name="_Toc196046481"/>
      <w:bookmarkStart w:id="76" w:name="_Toc247691520"/>
      <w:bookmarkStart w:id="77" w:name="_Toc314842503"/>
      <w:r>
        <w:t>N/A</w:t>
      </w:r>
    </w:p>
    <w:p w:rsidR="008E7846" w:rsidRDefault="008E7846" w:rsidP="008E7846">
      <w:pPr>
        <w:pStyle w:val="Heading3"/>
      </w:pPr>
      <w:bookmarkStart w:id="78" w:name="_Toc430081295"/>
      <w:r w:rsidRPr="00254787">
        <w:t>Pharmacodynamics</w:t>
      </w:r>
      <w:bookmarkEnd w:id="65"/>
      <w:bookmarkEnd w:id="75"/>
      <w:bookmarkEnd w:id="76"/>
      <w:bookmarkEnd w:id="77"/>
      <w:bookmarkEnd w:id="78"/>
    </w:p>
    <w:p w:rsidR="003D13F1" w:rsidRPr="00453666" w:rsidRDefault="0040500B" w:rsidP="003D13F1">
      <w:r>
        <w:t>N/A</w:t>
      </w:r>
    </w:p>
    <w:p w:rsidR="008E7846" w:rsidRPr="00630FB7" w:rsidRDefault="00605AD4" w:rsidP="00605AD4">
      <w:pPr>
        <w:pStyle w:val="Heading3"/>
      </w:pPr>
      <w:bookmarkStart w:id="79" w:name="_Toc430081296"/>
      <w:r>
        <w:t>Dosage selection for the pivotal studies</w:t>
      </w:r>
      <w:bookmarkEnd w:id="79"/>
    </w:p>
    <w:p w:rsidR="0040500B" w:rsidRPr="0040500B" w:rsidRDefault="0040500B" w:rsidP="0040500B">
      <w:bookmarkStart w:id="80" w:name="_Toc163441372"/>
      <w:bookmarkStart w:id="81" w:name="_Toc196046485"/>
      <w:bookmarkStart w:id="82" w:name="_Toc247691521"/>
      <w:bookmarkStart w:id="83" w:name="_Toc314842504"/>
      <w:r w:rsidRPr="0040500B">
        <w:t>The selection of dose, dose schedule and formulation were based in the Committee for Proprietary Medicinal Products (CHMP) Note for Guidance on the Harmonisation of Requirements for Influenza vaccines (CPMP/BWP/214/96) recommendations for adult use.</w:t>
      </w:r>
      <w:r w:rsidR="00F02514">
        <w:rPr>
          <w:rStyle w:val="FootnoteReference"/>
        </w:rPr>
        <w:footnoteReference w:id="19"/>
      </w:r>
    </w:p>
    <w:p w:rsidR="008E7846" w:rsidRPr="00254787" w:rsidRDefault="008E7846" w:rsidP="008E7846">
      <w:pPr>
        <w:pStyle w:val="Heading3"/>
      </w:pPr>
      <w:bookmarkStart w:id="84" w:name="_Toc430081297"/>
      <w:r w:rsidRPr="00254787">
        <w:t>Efficacy</w:t>
      </w:r>
      <w:bookmarkEnd w:id="80"/>
      <w:bookmarkEnd w:id="81"/>
      <w:bookmarkEnd w:id="82"/>
      <w:bookmarkEnd w:id="83"/>
      <w:bookmarkEnd w:id="84"/>
    </w:p>
    <w:p w:rsidR="00605AD4" w:rsidRDefault="00605AD4" w:rsidP="00605AD4">
      <w:pPr>
        <w:pStyle w:val="Heading4"/>
      </w:pPr>
      <w:bookmarkStart w:id="85" w:name="_Toc184439992"/>
      <w:bookmarkStart w:id="86" w:name="_Toc184440279"/>
      <w:bookmarkStart w:id="87" w:name="_Toc184444657"/>
      <w:bookmarkStart w:id="88" w:name="_Toc196046487"/>
      <w:r>
        <w:t>Studies providing efficacy data</w:t>
      </w:r>
    </w:p>
    <w:p w:rsidR="00095639" w:rsidRPr="00095639" w:rsidRDefault="00095639" w:rsidP="00095639">
      <w:r w:rsidRPr="00095639">
        <w:t xml:space="preserve">All trials evaluated the safety, </w:t>
      </w:r>
      <w:proofErr w:type="spellStart"/>
      <w:r w:rsidRPr="00095639">
        <w:t>reactogenicity</w:t>
      </w:r>
      <w:proofErr w:type="spellEnd"/>
      <w:r w:rsidRPr="00095639">
        <w:t xml:space="preserve"> and immune responses to </w:t>
      </w:r>
      <w:proofErr w:type="spellStart"/>
      <w:r w:rsidRPr="00095639">
        <w:t>cTIV</w:t>
      </w:r>
      <w:proofErr w:type="spellEnd"/>
      <w:r w:rsidRPr="00095639">
        <w:t xml:space="preserve"> compared to </w:t>
      </w:r>
      <w:proofErr w:type="spellStart"/>
      <w:r w:rsidRPr="00095639">
        <w:t>eTIV</w:t>
      </w:r>
      <w:proofErr w:type="spellEnd"/>
      <w:r w:rsidRPr="00095639">
        <w:t xml:space="preserve">. </w:t>
      </w:r>
      <w:proofErr w:type="spellStart"/>
      <w:r w:rsidRPr="00095639">
        <w:t>Agrippal</w:t>
      </w:r>
      <w:proofErr w:type="spellEnd"/>
      <w:r w:rsidRPr="00095639">
        <w:t xml:space="preserve"> (</w:t>
      </w:r>
      <w:proofErr w:type="spellStart"/>
      <w:r w:rsidRPr="00095639">
        <w:t>eTIVa</w:t>
      </w:r>
      <w:proofErr w:type="spellEnd"/>
      <w:r w:rsidRPr="00095639">
        <w:t>) was used as the control vaccine in five studies and as a second investigational vac</w:t>
      </w:r>
      <w:r w:rsidR="00F02514">
        <w:t>cine in the placebo controlled S</w:t>
      </w:r>
      <w:r w:rsidRPr="00095639">
        <w:t xml:space="preserve">tudy V58P13. The </w:t>
      </w:r>
      <w:proofErr w:type="spellStart"/>
      <w:r w:rsidRPr="00095639">
        <w:t>noninferiority</w:t>
      </w:r>
      <w:proofErr w:type="spellEnd"/>
      <w:r w:rsidRPr="00095639">
        <w:t xml:space="preserve"> study V58P5 us</w:t>
      </w:r>
      <w:r w:rsidR="00F02514">
        <w:t>ed the control vaccine Fluvirin</w:t>
      </w:r>
      <w:r w:rsidRPr="00095639">
        <w:t xml:space="preserve"> (</w:t>
      </w:r>
      <w:proofErr w:type="spellStart"/>
      <w:r w:rsidRPr="00095639">
        <w:t>eTIVf</w:t>
      </w:r>
      <w:proofErr w:type="spellEnd"/>
      <w:r w:rsidRPr="00095639">
        <w:t>).</w:t>
      </w:r>
    </w:p>
    <w:p w:rsidR="008E7846" w:rsidRDefault="00605AD4" w:rsidP="00307983">
      <w:pPr>
        <w:pStyle w:val="Heading4"/>
      </w:pPr>
      <w:r>
        <w:lastRenderedPageBreak/>
        <w:t xml:space="preserve">Evaluator’s conclusions </w:t>
      </w:r>
      <w:r w:rsidRPr="00307983">
        <w:t>on</w:t>
      </w:r>
      <w:r>
        <w:t xml:space="preserve"> efficacy</w:t>
      </w:r>
    </w:p>
    <w:p w:rsidR="00095639" w:rsidRDefault="00095639" w:rsidP="00095639">
      <w:bookmarkStart w:id="89" w:name="_Toc163441378"/>
      <w:bookmarkStart w:id="90" w:name="_Toc196046495"/>
      <w:bookmarkStart w:id="91" w:name="_Toc247691522"/>
      <w:bookmarkStart w:id="92" w:name="_Toc314842505"/>
      <w:bookmarkEnd w:id="85"/>
      <w:bookmarkEnd w:id="86"/>
      <w:bookmarkEnd w:id="87"/>
      <w:bookmarkEnd w:id="88"/>
      <w:r>
        <w:t>Study V58P13 included sufficient numbers of participants to demonstrate efficacy against placebo.</w:t>
      </w:r>
    </w:p>
    <w:p w:rsidR="00095639" w:rsidRDefault="00095639" w:rsidP="00095639">
      <w:r>
        <w:t xml:space="preserve">Overall, the studies provided a database that was sufficient to demonstrate immunogenicity of </w:t>
      </w:r>
      <w:proofErr w:type="spellStart"/>
      <w:r>
        <w:t>cTIV</w:t>
      </w:r>
      <w:proofErr w:type="spellEnd"/>
      <w:r>
        <w:t xml:space="preserve"> in comparison to vaccines produced in </w:t>
      </w:r>
      <w:proofErr w:type="spellStart"/>
      <w:r>
        <w:t>embryonated</w:t>
      </w:r>
      <w:proofErr w:type="spellEnd"/>
      <w:r>
        <w:t xml:space="preserve"> hens eggs, </w:t>
      </w:r>
      <w:proofErr w:type="spellStart"/>
      <w:r>
        <w:t>Agrippal</w:t>
      </w:r>
      <w:proofErr w:type="spellEnd"/>
      <w:r>
        <w:t xml:space="preserve"> and Fluvirin, both registered in Australian. The criteria for assessing immunogenicity for all studies except </w:t>
      </w:r>
      <w:r w:rsidR="00615D1A">
        <w:t xml:space="preserve">Study </w:t>
      </w:r>
      <w:r>
        <w:t>V58P13, accorded with the CPMP/BWP214/96 guideline which has been adopted in Australia.</w:t>
      </w:r>
      <w:r w:rsidR="00D31643">
        <w:rPr>
          <w:rStyle w:val="FootnoteReference"/>
        </w:rPr>
        <w:footnoteReference w:id="20"/>
      </w:r>
      <w:r>
        <w:t xml:space="preserve"> </w:t>
      </w:r>
      <w:proofErr w:type="spellStart"/>
      <w:r w:rsidR="00B54BCA" w:rsidRPr="00B54BCA">
        <w:t>Center</w:t>
      </w:r>
      <w:proofErr w:type="spellEnd"/>
      <w:r w:rsidR="00B54BCA" w:rsidRPr="00B54BCA">
        <w:t xml:space="preserve"> for Biologics Evaluation and Research </w:t>
      </w:r>
      <w:r w:rsidR="00B54BCA">
        <w:t>(</w:t>
      </w:r>
      <w:r>
        <w:t>CBER</w:t>
      </w:r>
      <w:r w:rsidR="00B54BCA">
        <w:t>)</w:t>
      </w:r>
      <w:r>
        <w:t xml:space="preserve"> criteria, which are more stringent, were assessed in V58P13. In addition, lot consistency and antibody</w:t>
      </w:r>
      <w:r w:rsidR="00307983">
        <w:t xml:space="preserve"> persistence were demonstrated.</w:t>
      </w:r>
    </w:p>
    <w:p w:rsidR="00095639" w:rsidRDefault="00095639" w:rsidP="00095639">
      <w:r>
        <w:t xml:space="preserve">The dossier contains results that have undergone a significant amount of recalculation. All studies except V58P13, had immunogenicity results that were affected by a pipetting problem. The results of </w:t>
      </w:r>
      <w:r w:rsidR="00B54BCA">
        <w:t>S</w:t>
      </w:r>
      <w:r>
        <w:t xml:space="preserve">tudies V58P1, V58P2, V58P4, V58P4E1, V58P5 and V58P8 were submitted in version 2 of the Clinical Study Reports (CSRs). The </w:t>
      </w:r>
      <w:proofErr w:type="spellStart"/>
      <w:r>
        <w:t>non</w:t>
      </w:r>
      <w:r w:rsidR="00195ACC">
        <w:t xml:space="preserve"> </w:t>
      </w:r>
      <w:r>
        <w:t>inferiority</w:t>
      </w:r>
      <w:proofErr w:type="spellEnd"/>
      <w:r>
        <w:t xml:space="preserve"> results of </w:t>
      </w:r>
      <w:r w:rsidR="00195ACC">
        <w:t>S</w:t>
      </w:r>
      <w:r>
        <w:t>tu</w:t>
      </w:r>
      <w:r w:rsidR="00C039DA">
        <w:t xml:space="preserve">dy V58P5 were recalculated post </w:t>
      </w:r>
      <w:r>
        <w:t>hoc when the plan</w:t>
      </w:r>
      <w:r w:rsidR="00C039DA">
        <w:t xml:space="preserve">ned analysis failed to show non </w:t>
      </w:r>
      <w:r>
        <w:t>inferiority using HI egg</w:t>
      </w:r>
      <w:r w:rsidR="000C09E8">
        <w:t xml:space="preserve"> </w:t>
      </w:r>
      <w:r>
        <w:t xml:space="preserve">derived assay for one strain. All results were then recalculated for presentation and these results were proposed for presentation in the </w:t>
      </w:r>
      <w:r w:rsidR="00C039DA">
        <w:t>PI</w:t>
      </w:r>
      <w:r>
        <w:t>.</w:t>
      </w:r>
    </w:p>
    <w:p w:rsidR="00095639" w:rsidRDefault="000C09E8" w:rsidP="00095639">
      <w:r>
        <w:t xml:space="preserve">The sponsor hypothesised that cell </w:t>
      </w:r>
      <w:r w:rsidR="00095639">
        <w:t xml:space="preserve">derived antigen may be the most appropriate source for HI testing </w:t>
      </w:r>
      <w:r>
        <w:t>of this cell derived vaccine, a</w:t>
      </w:r>
      <w:r w:rsidR="00095639">
        <w:t xml:space="preserve"> hypothesis that was not specifically tested. In a number of studies, HI results using cell</w:t>
      </w:r>
      <w:r>
        <w:t xml:space="preserve"> </w:t>
      </w:r>
      <w:r w:rsidR="00095639">
        <w:t>derived antigen were presented in addition to results using egg</w:t>
      </w:r>
      <w:r>
        <w:t xml:space="preserve"> </w:t>
      </w:r>
      <w:r w:rsidR="00095639">
        <w:t xml:space="preserve">derived antigen. In </w:t>
      </w:r>
      <w:r w:rsidR="00615D1A">
        <w:t>S</w:t>
      </w:r>
      <w:r w:rsidR="00095639">
        <w:t xml:space="preserve">tudy C58P1, </w:t>
      </w:r>
      <w:r w:rsidR="0085292C" w:rsidRPr="0085292C">
        <w:t>single</w:t>
      </w:r>
      <w:r w:rsidR="0085292C">
        <w:t xml:space="preserve"> </w:t>
      </w:r>
      <w:r w:rsidR="0085292C" w:rsidRPr="0085292C">
        <w:t>radial</w:t>
      </w:r>
      <w:r w:rsidR="0085292C">
        <w:t xml:space="preserve"> </w:t>
      </w:r>
      <w:r w:rsidR="0085292C" w:rsidRPr="0085292C">
        <w:t>haemolysis</w:t>
      </w:r>
      <w:r w:rsidR="0085292C">
        <w:t xml:space="preserve"> (SRH)</w:t>
      </w:r>
      <w:r w:rsidR="00095639">
        <w:t xml:space="preserve"> results were also presented using both egg</w:t>
      </w:r>
      <w:r>
        <w:t xml:space="preserve"> </w:t>
      </w:r>
      <w:r w:rsidR="00095639">
        <w:t>derived and cell</w:t>
      </w:r>
      <w:r>
        <w:t xml:space="preserve"> </w:t>
      </w:r>
      <w:r w:rsidR="00095639">
        <w:t xml:space="preserve">derived antigen. </w:t>
      </w:r>
      <w:r w:rsidR="00095639" w:rsidRPr="00307983">
        <w:t>The results against CPMP and CBER criteria were at times met by one method but not the</w:t>
      </w:r>
      <w:r w:rsidR="00095639">
        <w:t xml:space="preserve"> other leading to the conundrum of how to avoid selective reporting in the clinical evaluation report.</w:t>
      </w:r>
    </w:p>
    <w:p w:rsidR="008E7846" w:rsidRPr="002E238E" w:rsidRDefault="008E7846" w:rsidP="00307983">
      <w:pPr>
        <w:pStyle w:val="Heading3"/>
      </w:pPr>
      <w:bookmarkStart w:id="93" w:name="_Toc430081298"/>
      <w:r w:rsidRPr="00307983">
        <w:t>Safety</w:t>
      </w:r>
      <w:bookmarkEnd w:id="89"/>
      <w:bookmarkEnd w:id="90"/>
      <w:bookmarkEnd w:id="91"/>
      <w:bookmarkEnd w:id="92"/>
      <w:bookmarkEnd w:id="93"/>
    </w:p>
    <w:p w:rsidR="00605AD4" w:rsidRPr="00605AD4" w:rsidRDefault="00605AD4" w:rsidP="00605AD4">
      <w:pPr>
        <w:pStyle w:val="Heading4"/>
      </w:pPr>
      <w:bookmarkStart w:id="94" w:name="_Toc247691524"/>
      <w:bookmarkStart w:id="95" w:name="_Toc314842508"/>
      <w:bookmarkStart w:id="96" w:name="_Toc196046504"/>
      <w:bookmarkStart w:id="97" w:name="_Toc163441390"/>
      <w:r w:rsidRPr="00605AD4">
        <w:t>Studies providing safety data</w:t>
      </w:r>
    </w:p>
    <w:p w:rsidR="00095639" w:rsidRPr="00095639" w:rsidRDefault="00095639" w:rsidP="00095639">
      <w:r w:rsidRPr="00095639">
        <w:t xml:space="preserve">Safety endpoints for all studies included record of solicited adverse events (AEs), local and systemic reactions and other indicators of </w:t>
      </w:r>
      <w:proofErr w:type="spellStart"/>
      <w:r w:rsidRPr="00095639">
        <w:t>reactogenicity</w:t>
      </w:r>
      <w:proofErr w:type="spellEnd"/>
      <w:r w:rsidRPr="00095639">
        <w:t xml:space="preserve"> from </w:t>
      </w:r>
      <w:r w:rsidR="00030FFA">
        <w:t>D</w:t>
      </w:r>
      <w:r w:rsidRPr="00095639">
        <w:t xml:space="preserve">ay 1 to </w:t>
      </w:r>
      <w:r w:rsidR="00030FFA">
        <w:t>D</w:t>
      </w:r>
      <w:r w:rsidRPr="00095639">
        <w:t xml:space="preserve">ay 7. Unsolicited AEs were recorded for the duration of study. The solicited </w:t>
      </w:r>
      <w:r>
        <w:t>AEs listed in Table 2 w</w:t>
      </w:r>
      <w:r w:rsidRPr="00095639">
        <w:t>ere recorded by the participants on a standardi</w:t>
      </w:r>
      <w:r>
        <w:t>s</w:t>
      </w:r>
      <w:r w:rsidRPr="00095639">
        <w:t>ed diary card which was returned to the investigator at the post</w:t>
      </w:r>
      <w:r w:rsidR="00485047">
        <w:t xml:space="preserve"> </w:t>
      </w:r>
      <w:r w:rsidRPr="00095639">
        <w:t xml:space="preserve">vaccination visits. Participants were also contacted </w:t>
      </w:r>
      <w:r w:rsidR="00307983">
        <w:t>by telephone in the first week.</w:t>
      </w:r>
    </w:p>
    <w:p w:rsidR="00095639" w:rsidRDefault="00095639" w:rsidP="00307983">
      <w:pPr>
        <w:pStyle w:val="TableTitle"/>
      </w:pPr>
      <w:r>
        <w:lastRenderedPageBreak/>
        <w:t>Table 2:</w:t>
      </w:r>
      <w:r w:rsidRPr="004C5C28">
        <w:t xml:space="preserve"> </w:t>
      </w:r>
      <w:proofErr w:type="spellStart"/>
      <w:r w:rsidRPr="00095639">
        <w:t>Reactogenicity</w:t>
      </w:r>
      <w:proofErr w:type="spellEnd"/>
      <w:r w:rsidRPr="00095639">
        <w:t xml:space="preserve"> </w:t>
      </w:r>
      <w:r w:rsidR="00485047">
        <w:t>v</w:t>
      </w:r>
      <w:r w:rsidRPr="00095639">
        <w:t xml:space="preserve">ariables: </w:t>
      </w:r>
      <w:r w:rsidR="00485047" w:rsidRPr="00307983">
        <w:t>s</w:t>
      </w:r>
      <w:r w:rsidRPr="00307983">
        <w:t>olicited</w:t>
      </w:r>
      <w:r w:rsidRPr="00095639">
        <w:t xml:space="preserve"> </w:t>
      </w:r>
      <w:r w:rsidR="00485047">
        <w:t>AEs</w:t>
      </w:r>
      <w:r>
        <w:t>.</w:t>
      </w:r>
    </w:p>
    <w:p w:rsidR="004C545A" w:rsidRDefault="00361D72" w:rsidP="00095639">
      <w:r>
        <w:rPr>
          <w:noProof/>
          <w:lang w:eastAsia="en-AU"/>
        </w:rPr>
        <w:drawing>
          <wp:inline distT="0" distB="0" distL="0" distR="0" wp14:anchorId="6054FF14" wp14:editId="37CA901C">
            <wp:extent cx="5400040" cy="2242517"/>
            <wp:effectExtent l="0" t="0" r="0" b="5715"/>
            <wp:docPr id="2" name="Picture 2" descr="Table 2: Reactogenicity variables: solicited AEs." title="Table 2: Reactogenicity variables: solicited A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400040" cy="2242517"/>
                    </a:xfrm>
                    <a:prstGeom prst="rect">
                      <a:avLst/>
                    </a:prstGeom>
                  </pic:spPr>
                </pic:pic>
              </a:graphicData>
            </a:graphic>
          </wp:inline>
        </w:drawing>
      </w:r>
    </w:p>
    <w:p w:rsidR="00361D72" w:rsidRDefault="00361D72" w:rsidP="00361D72">
      <w:r>
        <w:t xml:space="preserve">In all studies excluding </w:t>
      </w:r>
      <w:r w:rsidR="00683AE9">
        <w:t xml:space="preserve">Study </w:t>
      </w:r>
      <w:r>
        <w:t xml:space="preserve">V58P13, local reactions with the exception of pain at the injection site were graded similarly. For the purposes of this application, data were re-analysed to align with the scale used in </w:t>
      </w:r>
      <w:r w:rsidR="0083291F">
        <w:t xml:space="preserve">Study </w:t>
      </w:r>
      <w:r>
        <w:t>V58P13: none (no reaction), mild to moderate (categories &gt; 0 to 10 mm, &gt; 10 to 25 mm, &gt; 25 to 50 mm, &gt; 50 to 100 mm in diameter) and severe (&gt; 100 mm in diameter). Pain at injection site and all systemic reactions (with the exception of fever) and all unsolicited AEs were graded by the investigator as mild, moderate, or severe as follows:</w:t>
      </w:r>
    </w:p>
    <w:p w:rsidR="00361D72" w:rsidRDefault="00361D72" w:rsidP="00361D72">
      <w:pPr>
        <w:pStyle w:val="ListBullet"/>
      </w:pPr>
      <w:r>
        <w:t>Mild no limitation of normal daily activities</w:t>
      </w:r>
    </w:p>
    <w:p w:rsidR="00361D72" w:rsidRDefault="00361D72" w:rsidP="00361D72">
      <w:pPr>
        <w:pStyle w:val="ListBullet"/>
      </w:pPr>
      <w:r>
        <w:t>Moderate some limitation of normal daily activities</w:t>
      </w:r>
    </w:p>
    <w:p w:rsidR="00361D72" w:rsidRDefault="00361D72" w:rsidP="00361D72">
      <w:pPr>
        <w:pStyle w:val="ListBullet"/>
      </w:pPr>
      <w:r>
        <w:t>Severe unable to perform normal daily activities</w:t>
      </w:r>
    </w:p>
    <w:p w:rsidR="00361D72" w:rsidRDefault="00361D72" w:rsidP="00361D72">
      <w:r>
        <w:t>Measurement of body temperature was axillary in all studies except V58P5 and V58P13, in which oral temperature was collected. Axillary or oral temperature ≥ 38°C was classified as fever and body temperature was further graded as &lt; 38°C, 38°C to 38.9°C, 39°C to 39.9°C, and ≥ 40°C.</w:t>
      </w:r>
    </w:p>
    <w:p w:rsidR="00361D72" w:rsidRDefault="00361D72" w:rsidP="00361D72">
      <w:r>
        <w:t>All unsolicited AEs w</w:t>
      </w:r>
      <w:r w:rsidR="0083291F">
        <w:t xml:space="preserve">ere collected during the follow </w:t>
      </w:r>
      <w:r>
        <w:t xml:space="preserve">up visits and during phone calls. The monitoring period for all unsolicited AEs continued for 21 days after vaccination for all studies with the exception of V58P5 and V58P13, in which they were collected only up to </w:t>
      </w:r>
      <w:r w:rsidR="0083291F">
        <w:t>D</w:t>
      </w:r>
      <w:r>
        <w:t>ay 7. In all studies, serious adverse events (SAEs) and AEs leading to withdrawal were collected for</w:t>
      </w:r>
      <w:r w:rsidR="0083291F">
        <w:t xml:space="preserve"> the entire study period, that is, </w:t>
      </w:r>
      <w:r>
        <w:t xml:space="preserve">approximately 6 months for participants in </w:t>
      </w:r>
      <w:r w:rsidR="0083291F">
        <w:t>St</w:t>
      </w:r>
      <w:r>
        <w:t xml:space="preserve">udies V58P4, V58P4E1, V58P5, V58P9, and V58P13. In </w:t>
      </w:r>
      <w:r w:rsidR="006268FA">
        <w:t>S</w:t>
      </w:r>
      <w:r>
        <w:t>tudies V58P4E1, V58P9 AEs requiring a physician visit were also collected for the 6 months following vaccination, while in study V58P13 the onset of chronic diseases w</w:t>
      </w:r>
      <w:r w:rsidR="006268FA">
        <w:t>as collected for the 6 months.</w:t>
      </w:r>
    </w:p>
    <w:p w:rsidR="00361D72" w:rsidRDefault="00361D72" w:rsidP="00361D72">
      <w:r>
        <w:t>Unsolicited AEs and SAEs were encoded using the Medi</w:t>
      </w:r>
      <w:r w:rsidR="006A29C4">
        <w:t xml:space="preserve">cinal Dictionary for Regulatory </w:t>
      </w:r>
      <w:r>
        <w:t>Activities (</w:t>
      </w:r>
      <w:proofErr w:type="spellStart"/>
      <w:r>
        <w:t>MedDRA</w:t>
      </w:r>
      <w:proofErr w:type="spellEnd"/>
      <w:r>
        <w:t>). All unsolicited AEs were graded mild, moderate, or severe by the investigator. Assessments of causal relationships were made as follows:</w:t>
      </w:r>
    </w:p>
    <w:p w:rsidR="00361D72" w:rsidRPr="00C118E5" w:rsidRDefault="00361D72" w:rsidP="00C118E5">
      <w:pPr>
        <w:pStyle w:val="ListBullet"/>
      </w:pPr>
      <w:r>
        <w:t>Not related if the occurrence is not reasonably related in time, or there are no facts or arguments t</w:t>
      </w:r>
      <w:r w:rsidR="007E79DD">
        <w:t xml:space="preserve">o suggest a causal </w:t>
      </w:r>
      <w:r w:rsidR="007E79DD" w:rsidRPr="00C118E5">
        <w:t>relationship;</w:t>
      </w:r>
    </w:p>
    <w:p w:rsidR="00361D72" w:rsidRPr="00C118E5" w:rsidRDefault="00361D72" w:rsidP="00C118E5">
      <w:pPr>
        <w:pStyle w:val="ListBullet"/>
      </w:pPr>
      <w:r w:rsidRPr="00C118E5">
        <w:t>Possibly related if reasonably related in time and the AE could be explained by causes other than exposure to the investigational product</w:t>
      </w:r>
      <w:r w:rsidR="007E79DD" w:rsidRPr="00C118E5">
        <w:t>;</w:t>
      </w:r>
    </w:p>
    <w:p w:rsidR="00361D72" w:rsidRDefault="00361D72" w:rsidP="00C118E5">
      <w:pPr>
        <w:pStyle w:val="ListBullet"/>
      </w:pPr>
      <w:r w:rsidRPr="00C118E5">
        <w:t>Probably related if reasonably related in time</w:t>
      </w:r>
      <w:r>
        <w:t xml:space="preserve"> and the investigational product is more likely than other causes to be responsible for the AE, or is </w:t>
      </w:r>
      <w:r w:rsidR="007E79DD">
        <w:t>the most likely cause of the AE.</w:t>
      </w:r>
    </w:p>
    <w:p w:rsidR="00361D72" w:rsidRDefault="00361D72" w:rsidP="00C118E5">
      <w:r w:rsidRPr="003D6568">
        <w:t>Laboratory Safety Tests</w:t>
      </w:r>
      <w:r>
        <w:t xml:space="preserve"> were only undertaken in V58P1 and for a subset of </w:t>
      </w:r>
      <w:r w:rsidR="0094691D">
        <w:t>S</w:t>
      </w:r>
      <w:r>
        <w:t xml:space="preserve">tudy V58P5. Blood and urine samples were taken on </w:t>
      </w:r>
      <w:r w:rsidR="00FD2031">
        <w:t>D</w:t>
      </w:r>
      <w:r>
        <w:t xml:space="preserve">ay 1 and </w:t>
      </w:r>
      <w:r w:rsidR="00FD2031">
        <w:t>D</w:t>
      </w:r>
      <w:r>
        <w:t xml:space="preserve">ay 22 in study V58P1. Blood samples </w:t>
      </w:r>
      <w:r>
        <w:lastRenderedPageBreak/>
        <w:t xml:space="preserve">were collected on </w:t>
      </w:r>
      <w:r w:rsidR="00752356">
        <w:t>D</w:t>
      </w:r>
      <w:r>
        <w:t xml:space="preserve">ay 1 and </w:t>
      </w:r>
      <w:r w:rsidR="00752356">
        <w:t>D</w:t>
      </w:r>
      <w:r>
        <w:t xml:space="preserve">ay 8 in </w:t>
      </w:r>
      <w:r w:rsidR="00752356">
        <w:t>S</w:t>
      </w:r>
      <w:r>
        <w:t>tudy V58P5. Values deviating from the normal range were recorded. In both studies, tests on blood samples included creatinine, sodium, potassium, chloride, total protein, alkaline phosphatase, aspartate aminotransferase (AST), alanine aminotransferase (ALT), total bilirubin and blood urea nitrogen (BUN),</w:t>
      </w:r>
      <w:r w:rsidR="007A7CDB">
        <w:t xml:space="preserve"> </w:t>
      </w:r>
      <w:r>
        <w:t>haematocrit, haemoglobin, platelets, and white blood cells (total and differential). Urine tests in V58P1 were performed with a dipstick.</w:t>
      </w:r>
    </w:p>
    <w:p w:rsidR="00361D72" w:rsidRDefault="00361D72" w:rsidP="00C118E5">
      <w:r>
        <w:t>Occurrence of influenza</w:t>
      </w:r>
      <w:r w:rsidR="009F62A0">
        <w:t xml:space="preserve"> </w:t>
      </w:r>
      <w:r>
        <w:t>like</w:t>
      </w:r>
      <w:r w:rsidR="009F62A0">
        <w:t xml:space="preserve"> </w:t>
      </w:r>
      <w:r>
        <w:t xml:space="preserve">illness </w:t>
      </w:r>
      <w:r w:rsidR="00056031">
        <w:t xml:space="preserve">(ILI) </w:t>
      </w:r>
      <w:r>
        <w:t xml:space="preserve">in </w:t>
      </w:r>
      <w:r w:rsidR="009F62A0">
        <w:t>S</w:t>
      </w:r>
      <w:r>
        <w:t xml:space="preserve">tudy V58P9 was monitored from Day 23 till the end of Month 6 in a subset of participants and in all participants enrolled in study V58P5 for the entire study duration. Monitoring of ILI in </w:t>
      </w:r>
      <w:r w:rsidR="00056031">
        <w:t>S</w:t>
      </w:r>
      <w:r>
        <w:t>tudy V58P9 was conducted by means of active surveillance. Participants were asked to contact the study sites if they developed influenza</w:t>
      </w:r>
      <w:r w:rsidR="00397CF0">
        <w:t xml:space="preserve"> </w:t>
      </w:r>
      <w:r>
        <w:t>like symptoms, and to provide nasopharyngeal specimens for laboratory c</w:t>
      </w:r>
      <w:r w:rsidR="00C118E5">
        <w:t>onfirmation of influenza virus.</w:t>
      </w:r>
    </w:p>
    <w:p w:rsidR="00361D72" w:rsidRDefault="00361D72" w:rsidP="00C118E5">
      <w:r>
        <w:t xml:space="preserve">In </w:t>
      </w:r>
      <w:r w:rsidR="00397CF0">
        <w:t>S</w:t>
      </w:r>
      <w:r>
        <w:t xml:space="preserve">tudy V58P9, ILI definition included: sudden onset of fever (axillary temperature ≥38°C), plus at least one systemic symptom such as myalgia, arthralgia, </w:t>
      </w:r>
      <w:proofErr w:type="spellStart"/>
      <w:r>
        <w:t>osteoalgia</w:t>
      </w:r>
      <w:proofErr w:type="spellEnd"/>
      <w:r>
        <w:t xml:space="preserve">, tiredness, weakness, headache, ear ache, eye complaints, or chills, and at least one respiratory symptom such as sore throat, cough, hoarseness, wheezing, runny nose or nasal congestion. In </w:t>
      </w:r>
      <w:r w:rsidR="00397CF0">
        <w:t>S</w:t>
      </w:r>
      <w:r>
        <w:t>tudy V58P5</w:t>
      </w:r>
      <w:r w:rsidR="00397CF0">
        <w:t>,</w:t>
      </w:r>
      <w:r>
        <w:t xml:space="preserve"> ILI cases were </w:t>
      </w:r>
      <w:r w:rsidRPr="00E46A49">
        <w:t>defined as: fever of 38.3°C (101.0°F) or greater, with cough or sore throat and with</w:t>
      </w:r>
      <w:r>
        <w:t xml:space="preserve"> myalgia or chills. In both </w:t>
      </w:r>
      <w:r w:rsidR="00B34339">
        <w:t>S</w:t>
      </w:r>
      <w:r>
        <w:t>tudies V58P9 and V58P5</w:t>
      </w:r>
      <w:r w:rsidR="00B34339">
        <w:t>,</w:t>
      </w:r>
      <w:r>
        <w:t xml:space="preserve"> ILI cases of confirmed influenza were considered vaccine failures and reported as SAEs. In </w:t>
      </w:r>
      <w:r w:rsidR="006A6526">
        <w:t>S</w:t>
      </w:r>
      <w:r>
        <w:t>tudy V58P13</w:t>
      </w:r>
      <w:r w:rsidR="00BB385D">
        <w:t>,</w:t>
      </w:r>
      <w:r>
        <w:t xml:space="preserve"> vaccine ef</w:t>
      </w:r>
      <w:r w:rsidR="00C118E5">
        <w:t>ficacy was the primary outcome.</w:t>
      </w:r>
    </w:p>
    <w:p w:rsidR="00605AD4" w:rsidRPr="00605AD4" w:rsidRDefault="00605AD4" w:rsidP="00C118E5">
      <w:pPr>
        <w:pStyle w:val="Heading4"/>
      </w:pPr>
      <w:r w:rsidRPr="00605AD4">
        <w:t xml:space="preserve">Patient </w:t>
      </w:r>
      <w:r w:rsidRPr="00C118E5">
        <w:t>exposure</w:t>
      </w:r>
    </w:p>
    <w:p w:rsidR="004C545A" w:rsidRDefault="006A6526" w:rsidP="004C545A">
      <w:r>
        <w:t>N/A</w:t>
      </w:r>
    </w:p>
    <w:p w:rsidR="00605AD4" w:rsidRPr="00605AD4" w:rsidRDefault="00605AD4" w:rsidP="00605AD4">
      <w:pPr>
        <w:pStyle w:val="Heading4"/>
      </w:pPr>
      <w:r w:rsidRPr="00605AD4">
        <w:t>Safety issues with the potential for major regulatory impact</w:t>
      </w:r>
    </w:p>
    <w:p w:rsidR="004C545A" w:rsidRDefault="006A6526" w:rsidP="004C545A">
      <w:r>
        <w:t>N/A</w:t>
      </w:r>
    </w:p>
    <w:p w:rsidR="00605AD4" w:rsidRPr="00605AD4" w:rsidRDefault="00605AD4" w:rsidP="00605AD4">
      <w:pPr>
        <w:pStyle w:val="Heading4"/>
      </w:pPr>
      <w:proofErr w:type="spellStart"/>
      <w:r w:rsidRPr="00605AD4">
        <w:t>Postmarketing</w:t>
      </w:r>
      <w:proofErr w:type="spellEnd"/>
      <w:r w:rsidRPr="00605AD4">
        <w:t xml:space="preserve"> data</w:t>
      </w:r>
    </w:p>
    <w:p w:rsidR="001C0301" w:rsidRDefault="001C0301" w:rsidP="00C118E5">
      <w:r>
        <w:t>This vaccine has been registered and it is likely tha</w:t>
      </w:r>
      <w:r w:rsidR="006A6526">
        <w:t xml:space="preserve">t </w:t>
      </w:r>
      <w:proofErr w:type="spellStart"/>
      <w:r w:rsidR="006A6526">
        <w:t>post</w:t>
      </w:r>
      <w:r>
        <w:t>marketing</w:t>
      </w:r>
      <w:proofErr w:type="spellEnd"/>
      <w:r>
        <w:t xml:space="preserve"> information is now available al</w:t>
      </w:r>
      <w:r w:rsidR="00C118E5">
        <w:t>though none has been submitted.</w:t>
      </w:r>
    </w:p>
    <w:p w:rsidR="00605AD4" w:rsidRPr="00605AD4" w:rsidRDefault="00605AD4" w:rsidP="00605AD4">
      <w:pPr>
        <w:pStyle w:val="Heading4"/>
      </w:pPr>
      <w:r w:rsidRPr="00605AD4">
        <w:t>Evaluator’s conclusions on safety</w:t>
      </w:r>
    </w:p>
    <w:p w:rsidR="00BB385D" w:rsidRPr="00BB385D" w:rsidRDefault="00BB385D" w:rsidP="00BB385D">
      <w:r w:rsidRPr="00BB385D">
        <w:t>In the pooled safety</w:t>
      </w:r>
      <w:r w:rsidR="00E7621A">
        <w:t xml:space="preserve"> analysis in the age range 18-</w:t>
      </w:r>
      <w:r w:rsidRPr="00BB385D">
        <w:t xml:space="preserve">64, the risk ratios for injection site pain with RR 1.19 (95% CI 1.12, 1.26) favouring </w:t>
      </w:r>
      <w:proofErr w:type="spellStart"/>
      <w:r w:rsidRPr="00BB385D">
        <w:t>eTIV</w:t>
      </w:r>
      <w:proofErr w:type="spellEnd"/>
      <w:r w:rsidRPr="00BB385D">
        <w:t xml:space="preserve">. There was no accounting for multiplicity in determining the required confidence interval. However, higher frequency of pain following </w:t>
      </w:r>
      <w:proofErr w:type="spellStart"/>
      <w:r w:rsidRPr="00BB385D">
        <w:t>cTIV</w:t>
      </w:r>
      <w:proofErr w:type="spellEnd"/>
      <w:r w:rsidRPr="00BB385D">
        <w:t xml:space="preserve"> vaccination was a consistent finding noted in all studies</w:t>
      </w:r>
      <w:r w:rsidR="00096AF4">
        <w:t xml:space="preserve"> in which </w:t>
      </w:r>
      <w:proofErr w:type="spellStart"/>
      <w:r w:rsidR="00096AF4">
        <w:t>eTIVa</w:t>
      </w:r>
      <w:proofErr w:type="spellEnd"/>
      <w:r w:rsidR="00096AF4">
        <w:t xml:space="preserve"> was the compara</w:t>
      </w:r>
      <w:r w:rsidRPr="00BB385D">
        <w:t xml:space="preserve">tor; however, in </w:t>
      </w:r>
      <w:r w:rsidR="001D4C5D">
        <w:t xml:space="preserve">Study </w:t>
      </w:r>
      <w:r w:rsidRPr="00BB385D">
        <w:t xml:space="preserve">V58P5 in which </w:t>
      </w:r>
      <w:proofErr w:type="spellStart"/>
      <w:r w:rsidRPr="00BB385D">
        <w:t>eTIVf</w:t>
      </w:r>
      <w:proofErr w:type="spellEnd"/>
      <w:r w:rsidRPr="00BB385D">
        <w:t xml:space="preserve"> was the compactor, the incidence of pain </w:t>
      </w:r>
      <w:r w:rsidR="00C118E5">
        <w:t xml:space="preserve">recorded was greater for </w:t>
      </w:r>
      <w:proofErr w:type="spellStart"/>
      <w:r w:rsidR="00C118E5">
        <w:t>eTIVf</w:t>
      </w:r>
      <w:proofErr w:type="spellEnd"/>
      <w:r w:rsidR="00C118E5">
        <w:t>.</w:t>
      </w:r>
    </w:p>
    <w:p w:rsidR="0020693D" w:rsidRDefault="00BB385D" w:rsidP="00C118E5">
      <w:r w:rsidRPr="00BB385D">
        <w:t>Based</w:t>
      </w:r>
      <w:r>
        <w:t xml:space="preserve"> on the submitted data, the s</w:t>
      </w:r>
      <w:r w:rsidRPr="00BB385D">
        <w:t>ponsor’s conclusion</w:t>
      </w:r>
      <w:r w:rsidR="00AF770C">
        <w:t xml:space="preserve"> on safety</w:t>
      </w:r>
      <w:r w:rsidRPr="00BB385D">
        <w:t xml:space="preserve"> is agreed</w:t>
      </w:r>
      <w:r w:rsidR="0020693D">
        <w:t>; this</w:t>
      </w:r>
      <w:r w:rsidR="00AF770C">
        <w:t xml:space="preserve"> is</w:t>
      </w:r>
      <w:r w:rsidR="0020693D">
        <w:t xml:space="preserve"> reproduced below:</w:t>
      </w:r>
    </w:p>
    <w:p w:rsidR="00096AF4" w:rsidRPr="00096AF4" w:rsidRDefault="00096AF4" w:rsidP="00096AF4">
      <w:pPr>
        <w:ind w:left="720"/>
        <w:rPr>
          <w:i/>
        </w:rPr>
      </w:pPr>
      <w:r w:rsidRPr="00096AF4">
        <w:rPr>
          <w:i/>
        </w:rPr>
        <w:t xml:space="preserve">The </w:t>
      </w:r>
      <w:proofErr w:type="spellStart"/>
      <w:r w:rsidRPr="00096AF4">
        <w:rPr>
          <w:i/>
        </w:rPr>
        <w:t>cTIV</w:t>
      </w:r>
      <w:proofErr w:type="spellEnd"/>
      <w:r w:rsidRPr="00096AF4">
        <w:rPr>
          <w:i/>
        </w:rPr>
        <w:t xml:space="preserve"> vaccine was as safe as the control vaccine. The </w:t>
      </w:r>
      <w:proofErr w:type="spellStart"/>
      <w:r w:rsidRPr="00096AF4">
        <w:rPr>
          <w:i/>
        </w:rPr>
        <w:t>reactogenicity</w:t>
      </w:r>
      <w:proofErr w:type="spellEnd"/>
      <w:r w:rsidRPr="00096AF4">
        <w:rPr>
          <w:i/>
        </w:rPr>
        <w:t xml:space="preserve"> of both </w:t>
      </w:r>
      <w:proofErr w:type="spellStart"/>
      <w:r w:rsidRPr="00096AF4">
        <w:rPr>
          <w:i/>
        </w:rPr>
        <w:t>cTIV</w:t>
      </w:r>
      <w:proofErr w:type="spellEnd"/>
      <w:r w:rsidRPr="00096AF4">
        <w:rPr>
          <w:i/>
        </w:rPr>
        <w:t xml:space="preserve"> and control vaccines was similar within each age group. Only pain, of which over 99% was mild or moderate, was more frequently experienced by recipients of the </w:t>
      </w:r>
      <w:proofErr w:type="spellStart"/>
      <w:r w:rsidRPr="00096AF4">
        <w:rPr>
          <w:i/>
        </w:rPr>
        <w:t>cTIV</w:t>
      </w:r>
      <w:proofErr w:type="spellEnd"/>
      <w:r w:rsidRPr="00096AF4">
        <w:rPr>
          <w:i/>
        </w:rPr>
        <w:t xml:space="preserve"> than the control vaccine (adults 22% versus 17%: elderly 9% versus 5%, respe</w:t>
      </w:r>
      <w:r w:rsidR="00ED3246">
        <w:rPr>
          <w:i/>
        </w:rPr>
        <w:t xml:space="preserve">ctively). However, </w:t>
      </w:r>
      <w:r w:rsidRPr="00096AF4">
        <w:rPr>
          <w:i/>
        </w:rPr>
        <w:t xml:space="preserve">the difference in incidence rate was confined to a maximum of 2 days after injection and was not clinically relevant. Most other AEs reported by this study population were unrelated to the vaccines administered in this study. Those judged to be possibly or probably related to vaccination were experienced infrequently and were either ongoing </w:t>
      </w:r>
      <w:r w:rsidR="00ED3246">
        <w:rPr>
          <w:i/>
        </w:rPr>
        <w:t xml:space="preserve">local/systemic reactions (that is, past Day 7) or </w:t>
      </w:r>
      <w:r w:rsidR="00ED3246">
        <w:rPr>
          <w:i/>
        </w:rPr>
        <w:lastRenderedPageBreak/>
        <w:t xml:space="preserve">other common side </w:t>
      </w:r>
      <w:r w:rsidRPr="00096AF4">
        <w:rPr>
          <w:i/>
        </w:rPr>
        <w:t>effects of vaccination. The 3 serious AEs leading to death and 58 other serious AEs reported during this study predominantly occurred in the elderly population: all were unrelated to the study vaccines. The incident rate of serious AEs was as expected for this elderly population, where co-morbidities were very common.</w:t>
      </w:r>
    </w:p>
    <w:p w:rsidR="00605AD4" w:rsidRPr="00605AD4" w:rsidRDefault="00C118E5" w:rsidP="00C118E5">
      <w:pPr>
        <w:pStyle w:val="Heading3"/>
        <w:rPr>
          <w:rFonts w:eastAsia="Cambria"/>
        </w:rPr>
      </w:pPr>
      <w:bookmarkStart w:id="98" w:name="_Toc430081299"/>
      <w:r>
        <w:rPr>
          <w:rFonts w:eastAsia="Cambria"/>
        </w:rPr>
        <w:t>First r</w:t>
      </w:r>
      <w:r w:rsidR="00605AD4" w:rsidRPr="00605AD4">
        <w:rPr>
          <w:rFonts w:eastAsia="Cambria"/>
        </w:rPr>
        <w:t xml:space="preserve">ound </w:t>
      </w:r>
      <w:r>
        <w:rPr>
          <w:rFonts w:eastAsia="Cambria"/>
        </w:rPr>
        <w:t>b</w:t>
      </w:r>
      <w:r w:rsidR="00605AD4" w:rsidRPr="00605AD4">
        <w:rPr>
          <w:rFonts w:eastAsia="Cambria"/>
        </w:rPr>
        <w:t>enefit-</w:t>
      </w:r>
      <w:r>
        <w:rPr>
          <w:rFonts w:eastAsia="Cambria"/>
        </w:rPr>
        <w:t>r</w:t>
      </w:r>
      <w:r w:rsidR="00605AD4" w:rsidRPr="00605AD4">
        <w:rPr>
          <w:rFonts w:eastAsia="Cambria"/>
        </w:rPr>
        <w:t xml:space="preserve">isk </w:t>
      </w:r>
      <w:r w:rsidRPr="00C118E5">
        <w:rPr>
          <w:rFonts w:eastAsia="Cambria"/>
        </w:rPr>
        <w:t>a</w:t>
      </w:r>
      <w:r w:rsidR="00605AD4" w:rsidRPr="00C118E5">
        <w:rPr>
          <w:rFonts w:eastAsia="Cambria"/>
        </w:rPr>
        <w:t>ssessment</w:t>
      </w:r>
      <w:bookmarkEnd w:id="98"/>
    </w:p>
    <w:p w:rsidR="00605AD4" w:rsidRPr="00605AD4" w:rsidRDefault="00605AD4" w:rsidP="00605AD4">
      <w:pPr>
        <w:pStyle w:val="Heading4"/>
      </w:pPr>
      <w:r w:rsidRPr="00605AD4">
        <w:t>First round assessment of benefits</w:t>
      </w:r>
    </w:p>
    <w:p w:rsidR="00EA2C95" w:rsidRPr="00EA2C95" w:rsidRDefault="00EA2C95" w:rsidP="00EA2C95">
      <w:pPr>
        <w:pStyle w:val="ListBullet"/>
      </w:pPr>
      <w:r w:rsidRPr="00EA2C95">
        <w:t>Influenza vaccination remains the mainstay of prevention of influenza</w:t>
      </w:r>
    </w:p>
    <w:p w:rsidR="00EA2C95" w:rsidRPr="00EA2C95" w:rsidRDefault="00EA2C95" w:rsidP="00EA2C95">
      <w:pPr>
        <w:pStyle w:val="ListBullet"/>
      </w:pPr>
      <w:r w:rsidRPr="00EA2C95">
        <w:t xml:space="preserve">Reduced reliance on the supply of </w:t>
      </w:r>
      <w:proofErr w:type="spellStart"/>
      <w:r w:rsidRPr="00EA2C95">
        <w:t>embryonated</w:t>
      </w:r>
      <w:proofErr w:type="spellEnd"/>
      <w:r w:rsidRPr="00EA2C95">
        <w:t xml:space="preserve"> hen eggs</w:t>
      </w:r>
    </w:p>
    <w:p w:rsidR="00EA2C95" w:rsidRPr="00EA2C95" w:rsidRDefault="00EA2C95" w:rsidP="00EA2C95">
      <w:pPr>
        <w:pStyle w:val="ListBullet"/>
      </w:pPr>
      <w:r w:rsidRPr="00EA2C95">
        <w:t>Possibility of increased vaccine availability in case of a pandemic</w:t>
      </w:r>
    </w:p>
    <w:p w:rsidR="00EA2C95" w:rsidRPr="00EA2C95" w:rsidRDefault="00EA2C95" w:rsidP="00EA2C95">
      <w:pPr>
        <w:pStyle w:val="ListBullet"/>
      </w:pPr>
      <w:r w:rsidRPr="00EA2C95">
        <w:t>Similar safety, efficacy and immunogenicity profile to egg</w:t>
      </w:r>
      <w:r w:rsidR="009B01B7">
        <w:t xml:space="preserve"> </w:t>
      </w:r>
      <w:r w:rsidRPr="00EA2C95">
        <w:t>derive</w:t>
      </w:r>
      <w:r w:rsidR="00C118E5">
        <w:t xml:space="preserve">d vaccines, including </w:t>
      </w:r>
      <w:proofErr w:type="spellStart"/>
      <w:r w:rsidR="00C118E5">
        <w:t>Agrippal</w:t>
      </w:r>
      <w:proofErr w:type="spellEnd"/>
      <w:r w:rsidR="00C118E5">
        <w:t>.</w:t>
      </w:r>
    </w:p>
    <w:p w:rsidR="00605AD4" w:rsidRPr="00605AD4" w:rsidRDefault="00605AD4" w:rsidP="00C118E5">
      <w:pPr>
        <w:pStyle w:val="Heading4"/>
      </w:pPr>
      <w:r w:rsidRPr="00605AD4">
        <w:t xml:space="preserve">First round </w:t>
      </w:r>
      <w:r w:rsidRPr="00C118E5">
        <w:t>assessment</w:t>
      </w:r>
      <w:r w:rsidRPr="00605AD4">
        <w:t xml:space="preserve"> of risks</w:t>
      </w:r>
    </w:p>
    <w:p w:rsidR="00EA2C95" w:rsidRDefault="00EA2C95" w:rsidP="00C118E5">
      <w:pPr>
        <w:pStyle w:val="ListBullet"/>
      </w:pPr>
      <w:r>
        <w:t xml:space="preserve">The risk profile in terms of </w:t>
      </w:r>
      <w:r w:rsidRPr="00C118E5">
        <w:t>adverse</w:t>
      </w:r>
      <w:r>
        <w:t xml:space="preserve"> events is considered not materially different from that of the egg</w:t>
      </w:r>
      <w:r w:rsidR="009B01B7">
        <w:t xml:space="preserve"> </w:t>
      </w:r>
      <w:r>
        <w:t xml:space="preserve">derived </w:t>
      </w:r>
      <w:r w:rsidR="00C118E5">
        <w:t xml:space="preserve">vaccines </w:t>
      </w:r>
      <w:proofErr w:type="spellStart"/>
      <w:r w:rsidR="00C118E5">
        <w:t>Agrippal</w:t>
      </w:r>
      <w:proofErr w:type="spellEnd"/>
      <w:r w:rsidR="00C118E5">
        <w:t xml:space="preserve"> and Fluvirin.</w:t>
      </w:r>
    </w:p>
    <w:p w:rsidR="00605AD4" w:rsidRPr="00605AD4" w:rsidRDefault="00605AD4" w:rsidP="00605AD4">
      <w:pPr>
        <w:pStyle w:val="Heading4"/>
      </w:pPr>
      <w:r w:rsidRPr="00605AD4">
        <w:t>First round assessment of benefit-risk balance</w:t>
      </w:r>
    </w:p>
    <w:p w:rsidR="00EA2C95" w:rsidRDefault="00EA2C95" w:rsidP="00C118E5">
      <w:r>
        <w:t>The balance is considered to lie on the side of benefit</w:t>
      </w:r>
      <w:r w:rsidR="00C118E5">
        <w:t>.</w:t>
      </w:r>
    </w:p>
    <w:p w:rsidR="00EA2C95" w:rsidRDefault="00EA2C95" w:rsidP="00EA2C95">
      <w:r>
        <w:t xml:space="preserve">It is recommended that the results of the planned </w:t>
      </w:r>
      <w:proofErr w:type="spellStart"/>
      <w:r>
        <w:t>postmarket</w:t>
      </w:r>
      <w:proofErr w:type="spellEnd"/>
      <w:r>
        <w:t xml:space="preserve"> studies are submitted to the </w:t>
      </w:r>
      <w:r w:rsidR="009B01B7">
        <w:t>TGA</w:t>
      </w:r>
      <w:r>
        <w:t xml:space="preserve"> on completion</w:t>
      </w:r>
      <w:r w:rsidR="009B01B7">
        <w:t>.</w:t>
      </w:r>
    </w:p>
    <w:p w:rsidR="00605AD4" w:rsidRPr="00605AD4" w:rsidRDefault="00C118E5" w:rsidP="00605AD4">
      <w:pPr>
        <w:pStyle w:val="Heading3"/>
        <w:rPr>
          <w:rFonts w:eastAsia="Cambria"/>
        </w:rPr>
      </w:pPr>
      <w:bookmarkStart w:id="99" w:name="_Toc430081300"/>
      <w:r>
        <w:rPr>
          <w:rFonts w:eastAsia="Cambria"/>
        </w:rPr>
        <w:t>Clinical q</w:t>
      </w:r>
      <w:r w:rsidR="00605AD4" w:rsidRPr="00605AD4">
        <w:rPr>
          <w:rFonts w:eastAsia="Cambria"/>
        </w:rPr>
        <w:t>uestions</w:t>
      </w:r>
      <w:bookmarkEnd w:id="99"/>
    </w:p>
    <w:p w:rsidR="00A11049" w:rsidRPr="00016DAB" w:rsidRDefault="00A11049" w:rsidP="00C118E5">
      <w:r>
        <w:t xml:space="preserve">Below are the questions from the clinical evaluator. </w:t>
      </w:r>
      <w:r w:rsidRPr="00016DAB">
        <w:t>For details of the sponsor’s responses and the evaluator’s comments on the sponsor’s responses</w:t>
      </w:r>
      <w:r>
        <w:t>,</w:t>
      </w:r>
      <w:r w:rsidRPr="00016DAB">
        <w:t xml:space="preserve"> see Attachment 2</w:t>
      </w:r>
      <w:r>
        <w:t xml:space="preserve"> of this </w:t>
      </w:r>
      <w:proofErr w:type="spellStart"/>
      <w:r>
        <w:t>AusPAR</w:t>
      </w:r>
      <w:proofErr w:type="spellEnd"/>
      <w:r>
        <w:t>.</w:t>
      </w:r>
    </w:p>
    <w:p w:rsidR="0053443A" w:rsidRDefault="0053443A" w:rsidP="00C118E5">
      <w:pPr>
        <w:pStyle w:val="Heading4"/>
      </w:pPr>
      <w:r w:rsidRPr="00C118E5">
        <w:t>Question</w:t>
      </w:r>
      <w:r>
        <w:t xml:space="preserve"> 1</w:t>
      </w:r>
    </w:p>
    <w:p w:rsidR="0053443A" w:rsidRDefault="003B0C64" w:rsidP="0053443A">
      <w:r>
        <w:t xml:space="preserve">The </w:t>
      </w:r>
      <w:r w:rsidR="0053443A">
        <w:t xml:space="preserve">Overview of Clinical Pharmacology states that all studies except </w:t>
      </w:r>
      <w:r w:rsidR="000717BE">
        <w:t xml:space="preserve">Study </w:t>
      </w:r>
      <w:r w:rsidR="0053443A">
        <w:t xml:space="preserve">V58P13 were complicated by </w:t>
      </w:r>
      <w:proofErr w:type="spellStart"/>
      <w:r w:rsidR="0053443A">
        <w:t>pipettor</w:t>
      </w:r>
      <w:proofErr w:type="spellEnd"/>
      <w:r w:rsidR="0053443A">
        <w:t xml:space="preserve"> problems requiring reanalys</w:t>
      </w:r>
      <w:r>
        <w:t xml:space="preserve">is and presentation of only egg </w:t>
      </w:r>
      <w:r w:rsidR="0053443A">
        <w:t xml:space="preserve">derived antigen assessments. The CSR for </w:t>
      </w:r>
      <w:r>
        <w:t xml:space="preserve">Study V58P1 includes results for egg and cell </w:t>
      </w:r>
      <w:r w:rsidR="0053443A">
        <w:t xml:space="preserve">derived antigen HI testing, </w:t>
      </w:r>
      <w:r w:rsidR="00737636">
        <w:t xml:space="preserve">but </w:t>
      </w:r>
      <w:r w:rsidR="0053443A">
        <w:t xml:space="preserve">it does not mention the pipette problem and the CSR is not specified as being Version 2, as was the case for other study reports of affected studies. Was there a pipette problem in </w:t>
      </w:r>
      <w:r w:rsidR="00567D0B">
        <w:t xml:space="preserve">Study </w:t>
      </w:r>
      <w:r w:rsidR="0053443A">
        <w:t>V58P1?</w:t>
      </w:r>
    </w:p>
    <w:p w:rsidR="0053443A" w:rsidRDefault="0053443A" w:rsidP="0053443A">
      <w:pPr>
        <w:pStyle w:val="Heading4"/>
      </w:pPr>
      <w:bookmarkStart w:id="100" w:name="_Ref403381596"/>
      <w:r>
        <w:t>Question 2</w:t>
      </w:r>
      <w:bookmarkEnd w:id="100"/>
    </w:p>
    <w:p w:rsidR="0053443A" w:rsidRDefault="0053443A" w:rsidP="0053443A">
      <w:r>
        <w:t>There was a marked difference in performance of the HI and SRH assays for the B strain in Study V58P2. The explanation provided was that this is consistent with pre</w:t>
      </w:r>
      <w:r w:rsidR="00E42CEE">
        <w:t>vious literature reports (Monto et al.)</w:t>
      </w:r>
      <w:r>
        <w:t>. No article with Monto as lead contributor was found in the reference list. The only Monto article located in the dossier did not discuss SRH assays.</w:t>
      </w:r>
      <w:r w:rsidR="00AF4A5C">
        <w:rPr>
          <w:rStyle w:val="FootnoteReference"/>
        </w:rPr>
        <w:footnoteReference w:id="21"/>
      </w:r>
      <w:r>
        <w:t xml:space="preserve"> The </w:t>
      </w:r>
      <w:r w:rsidR="00AF4A5C">
        <w:t>s</w:t>
      </w:r>
      <w:r>
        <w:t>ponsor is requested to supply a more detailed exp</w:t>
      </w:r>
      <w:r w:rsidR="00C118E5">
        <w:t>lanation for the discrepancies.</w:t>
      </w:r>
    </w:p>
    <w:p w:rsidR="0053443A" w:rsidRDefault="0053443A" w:rsidP="0053443A">
      <w:pPr>
        <w:pStyle w:val="Heading4"/>
      </w:pPr>
      <w:bookmarkStart w:id="101" w:name="_Ref403383118"/>
      <w:r>
        <w:lastRenderedPageBreak/>
        <w:t>Question 3</w:t>
      </w:r>
      <w:bookmarkEnd w:id="101"/>
    </w:p>
    <w:p w:rsidR="0053443A" w:rsidRDefault="0053443A" w:rsidP="0053443A">
      <w:r>
        <w:t>It was stat</w:t>
      </w:r>
      <w:r w:rsidR="001D17B4">
        <w:t xml:space="preserve">ed in the Investigational Plan of Study </w:t>
      </w:r>
      <w:r>
        <w:t xml:space="preserve">V58P5 CSR that </w:t>
      </w:r>
      <w:r w:rsidR="001D17B4">
        <w:t>ILI</w:t>
      </w:r>
      <w:r>
        <w:t xml:space="preserve"> would be assessed in Study V58P5. There was no discussion of ILI results found in the text of the CSR. The </w:t>
      </w:r>
      <w:r w:rsidR="001D17B4">
        <w:t>s</w:t>
      </w:r>
      <w:r>
        <w:t xml:space="preserve">ponsor is asked to comment on </w:t>
      </w:r>
      <w:r w:rsidR="00AF73F1">
        <w:t>ILI</w:t>
      </w:r>
      <w:r>
        <w:t xml:space="preserve"> assessm</w:t>
      </w:r>
      <w:r w:rsidR="00C118E5">
        <w:t>ent and findings in this study.</w:t>
      </w:r>
    </w:p>
    <w:p w:rsidR="0053443A" w:rsidRDefault="0053443A" w:rsidP="0053443A">
      <w:pPr>
        <w:pStyle w:val="Heading4"/>
      </w:pPr>
      <w:r>
        <w:t>Question 4</w:t>
      </w:r>
    </w:p>
    <w:p w:rsidR="007D1A3F" w:rsidRDefault="0053443A" w:rsidP="0053443A">
      <w:r>
        <w:t xml:space="preserve">The US </w:t>
      </w:r>
      <w:r w:rsidR="007D1A3F">
        <w:t>PI states:</w:t>
      </w:r>
    </w:p>
    <w:p w:rsidR="0053443A" w:rsidRPr="007D1A3F" w:rsidRDefault="007D1A3F" w:rsidP="007D1A3F">
      <w:pPr>
        <w:ind w:left="720"/>
        <w:rPr>
          <w:i/>
        </w:rPr>
      </w:pPr>
      <w:r w:rsidRPr="007D1A3F">
        <w:rPr>
          <w:i/>
        </w:rPr>
        <w:t>“</w:t>
      </w:r>
      <w:r w:rsidR="0053443A" w:rsidRPr="007D1A3F">
        <w:rPr>
          <w:i/>
        </w:rPr>
        <w:t>The tip caps of the pre-filled syringes may contain natural rubber latex which may cause allergic reactions in latex-sens</w:t>
      </w:r>
      <w:r w:rsidRPr="007D1A3F">
        <w:rPr>
          <w:i/>
        </w:rPr>
        <w:t>itive individuals.”</w:t>
      </w:r>
    </w:p>
    <w:p w:rsidR="007D1A3F" w:rsidRDefault="0053443A" w:rsidP="0053443A">
      <w:r>
        <w:t xml:space="preserve">The Australian </w:t>
      </w:r>
      <w:r w:rsidR="00DC704C">
        <w:t>PI</w:t>
      </w:r>
      <w:r>
        <w:t xml:space="preserve"> states in the </w:t>
      </w:r>
      <w:r w:rsidR="00DC704C">
        <w:t>‘</w:t>
      </w:r>
      <w:r>
        <w:t>Precautions</w:t>
      </w:r>
      <w:r w:rsidR="00DC704C">
        <w:t>’</w:t>
      </w:r>
      <w:r>
        <w:t xml:space="preserve"> </w:t>
      </w:r>
      <w:r w:rsidR="00DC704C">
        <w:t>s</w:t>
      </w:r>
      <w:r w:rsidR="007D1A3F">
        <w:t>ection:</w:t>
      </w:r>
    </w:p>
    <w:p w:rsidR="0053443A" w:rsidRPr="007D1A3F" w:rsidRDefault="00DC704C" w:rsidP="007D1A3F">
      <w:pPr>
        <w:ind w:left="720"/>
        <w:rPr>
          <w:i/>
        </w:rPr>
      </w:pPr>
      <w:r w:rsidRPr="007D1A3F">
        <w:rPr>
          <w:i/>
        </w:rPr>
        <w:t>“</w:t>
      </w:r>
      <w:r w:rsidR="0053443A" w:rsidRPr="007D1A3F">
        <w:rPr>
          <w:i/>
        </w:rPr>
        <w:t xml:space="preserve">Although no natural rubber latex is detected in the syringe tip cap, the safe use of </w:t>
      </w:r>
      <w:proofErr w:type="spellStart"/>
      <w:r w:rsidR="0053443A" w:rsidRPr="007D1A3F">
        <w:rPr>
          <w:i/>
        </w:rPr>
        <w:t>Optaflu</w:t>
      </w:r>
      <w:proofErr w:type="spellEnd"/>
      <w:r w:rsidR="0053443A" w:rsidRPr="007D1A3F">
        <w:rPr>
          <w:i/>
        </w:rPr>
        <w:t xml:space="preserve"> in latex-sensitive indivi</w:t>
      </w:r>
      <w:r w:rsidRPr="007D1A3F">
        <w:rPr>
          <w:i/>
        </w:rPr>
        <w:t>duals has not been established.”</w:t>
      </w:r>
    </w:p>
    <w:p w:rsidR="0053443A" w:rsidRDefault="0053443A" w:rsidP="00C118E5">
      <w:r>
        <w:t xml:space="preserve">Which </w:t>
      </w:r>
      <w:r w:rsidR="00DC704C">
        <w:t>PI</w:t>
      </w:r>
      <w:r>
        <w:t xml:space="preserve"> contains</w:t>
      </w:r>
      <w:r w:rsidR="00C118E5">
        <w:t xml:space="preserve"> the most accurate information?</w:t>
      </w:r>
    </w:p>
    <w:p w:rsidR="0053443A" w:rsidRDefault="0053443A" w:rsidP="0053443A">
      <w:pPr>
        <w:pStyle w:val="Heading4"/>
      </w:pPr>
      <w:r>
        <w:t>Question 5</w:t>
      </w:r>
    </w:p>
    <w:p w:rsidR="0053443A" w:rsidRDefault="0053443A" w:rsidP="0053443A">
      <w:r>
        <w:t>Regarding presentation of immunogenicity re</w:t>
      </w:r>
      <w:r w:rsidR="00ED694E">
        <w:t>sults in the PI:</w:t>
      </w:r>
    </w:p>
    <w:p w:rsidR="0053443A" w:rsidRDefault="0053443A" w:rsidP="0053443A">
      <w:r>
        <w:t xml:space="preserve">In all studies except </w:t>
      </w:r>
      <w:r w:rsidR="00900959">
        <w:t xml:space="preserve">Study </w:t>
      </w:r>
      <w:r>
        <w:t xml:space="preserve">V58P13, immunogenicity results were assessed against CPMP/BWP214/96 which has been formally adopted by the </w:t>
      </w:r>
      <w:r w:rsidR="00500B0E">
        <w:t>TGA</w:t>
      </w:r>
      <w:r>
        <w:t xml:space="preserve">. The clinical study reports include results in age categories 18 to 60 and &gt; 60 years. The only exception, </w:t>
      </w:r>
      <w:r w:rsidR="007D1A3F">
        <w:t>S</w:t>
      </w:r>
      <w:r w:rsidR="00706819">
        <w:t xml:space="preserve">tudy V58P13 </w:t>
      </w:r>
      <w:r>
        <w:t xml:space="preserve">included participants </w:t>
      </w:r>
      <w:r w:rsidR="00706819">
        <w:t xml:space="preserve">aged 18 to 49 years and had pre </w:t>
      </w:r>
      <w:r>
        <w:t>planned as</w:t>
      </w:r>
      <w:r w:rsidR="00C118E5">
        <w:t>sessment against CBER criteria.</w:t>
      </w:r>
    </w:p>
    <w:p w:rsidR="0053443A" w:rsidRDefault="00900959" w:rsidP="0053443A">
      <w:r>
        <w:t>P</w:t>
      </w:r>
      <w:r w:rsidR="0053443A">
        <w:t>articipants in the studies assessed against CPMP criteria were re-c</w:t>
      </w:r>
      <w:r w:rsidR="003409FA">
        <w:t>ategorised into age groups 18-</w:t>
      </w:r>
      <w:r w:rsidR="0053443A">
        <w:t>64 and &gt; 64 years and re-assessed against CBER criteria, which admittedly are more stringent than the CPMP criteria. These post</w:t>
      </w:r>
      <w:r w:rsidR="008E5536">
        <w:t xml:space="preserve"> </w:t>
      </w:r>
      <w:r w:rsidR="0053443A">
        <w:t xml:space="preserve">hoc results are the results proposed for inclusion in the </w:t>
      </w:r>
      <w:r w:rsidR="003F6326">
        <w:t>PI</w:t>
      </w:r>
      <w:r w:rsidR="0053443A">
        <w:t>. As no hypotheses were tested in these instances and as the imposed criteria are more stringent, there is no objection to inclusion of results based on descriptive statistics although reporting according to protocol definitions would b</w:t>
      </w:r>
      <w:r w:rsidR="00C118E5">
        <w:t>e preferred.</w:t>
      </w:r>
    </w:p>
    <w:p w:rsidR="0053443A" w:rsidRDefault="0053443A" w:rsidP="0053443A">
      <w:r>
        <w:t xml:space="preserve">With respect to the </w:t>
      </w:r>
      <w:proofErr w:type="spellStart"/>
      <w:r>
        <w:t>non</w:t>
      </w:r>
      <w:r w:rsidR="003F6326">
        <w:t xml:space="preserve"> </w:t>
      </w:r>
      <w:r>
        <w:t>inferiority</w:t>
      </w:r>
      <w:proofErr w:type="spellEnd"/>
      <w:r>
        <w:t xml:space="preserve">, hypothesis based, secondary objective of </w:t>
      </w:r>
      <w:r w:rsidR="004B2EC4">
        <w:t>S</w:t>
      </w:r>
      <w:r>
        <w:t xml:space="preserve">tudy V58P4, upon which the study sample size was calculated, the results have also been recalculated for revised age groups for presentation in the </w:t>
      </w:r>
      <w:r w:rsidR="003F6326">
        <w:t>PI</w:t>
      </w:r>
      <w:r>
        <w:t xml:space="preserve">. Table 4 of the proposed </w:t>
      </w:r>
      <w:r w:rsidR="001011BA">
        <w:t>PI</w:t>
      </w:r>
      <w:r w:rsidR="00E604F0">
        <w:t xml:space="preserve"> includes two sub </w:t>
      </w:r>
      <w:r>
        <w:t>analyses by revised age categories, neither of which was pre</w:t>
      </w:r>
      <w:r w:rsidR="008514C2">
        <w:t xml:space="preserve"> </w:t>
      </w:r>
      <w:r>
        <w:t xml:space="preserve">specified. It is not recommended that these results are included in the </w:t>
      </w:r>
      <w:r w:rsidR="008514C2">
        <w:t>PI</w:t>
      </w:r>
      <w:r>
        <w:t xml:space="preserve">. It is recommended that the results of the </w:t>
      </w:r>
      <w:proofErr w:type="spellStart"/>
      <w:r>
        <w:t>non</w:t>
      </w:r>
      <w:r w:rsidR="00E604F0">
        <w:t xml:space="preserve"> </w:t>
      </w:r>
      <w:r>
        <w:t>inferiority</w:t>
      </w:r>
      <w:proofErr w:type="spellEnd"/>
      <w:r>
        <w:t xml:space="preserve">, analysis of </w:t>
      </w:r>
      <w:r w:rsidR="008514C2">
        <w:t xml:space="preserve">Study </w:t>
      </w:r>
      <w:r>
        <w:t>V58P4 are presented in accordance with sp</w:t>
      </w:r>
      <w:r w:rsidR="00050CDD">
        <w:t>ecification in the protocol, that is</w:t>
      </w:r>
      <w:r>
        <w:t>, in age groups 18 to 60 years and &gt; 60 years. With respect to hypothesis driven results it is considered more important to accurately report the study than to manipulate results in order to pre</w:t>
      </w:r>
      <w:r w:rsidR="00C118E5">
        <w:t>sent consistency of age groups.</w:t>
      </w:r>
    </w:p>
    <w:p w:rsidR="0053443A" w:rsidRDefault="0053443A" w:rsidP="00C118E5">
      <w:r>
        <w:t xml:space="preserve">With respect to Study V58P5, the results of this study do not fit neatly into the proposed short paragraph that follows Table 4 and the proposed text is not recommended. Assessment of </w:t>
      </w:r>
      <w:proofErr w:type="spellStart"/>
      <w:r>
        <w:t>non</w:t>
      </w:r>
      <w:r w:rsidR="00AF46F4">
        <w:t xml:space="preserve"> </w:t>
      </w:r>
      <w:r>
        <w:t>inferiority</w:t>
      </w:r>
      <w:proofErr w:type="spellEnd"/>
      <w:r>
        <w:t xml:space="preserve"> was the primary objective of this study and results of primary objectives are most suitable for the </w:t>
      </w:r>
      <w:r w:rsidR="00717252">
        <w:t>PI</w:t>
      </w:r>
      <w:r>
        <w:t>. The obje</w:t>
      </w:r>
      <w:r w:rsidR="00422259">
        <w:t xml:space="preserve">ctive was not met using the pre </w:t>
      </w:r>
      <w:r>
        <w:t>specified ANOVA approach for A/H3N3 using the egg</w:t>
      </w:r>
      <w:r w:rsidR="00717252">
        <w:t xml:space="preserve"> </w:t>
      </w:r>
      <w:r>
        <w:t>derived assay; it was met by a margin of 0.00329 using the cell</w:t>
      </w:r>
      <w:r w:rsidR="00AF46F4">
        <w:t xml:space="preserve"> </w:t>
      </w:r>
      <w:r>
        <w:t>derived antigen assay. Results were then re-analysed post</w:t>
      </w:r>
      <w:r w:rsidR="00422259">
        <w:t xml:space="preserve"> </w:t>
      </w:r>
      <w:r>
        <w:t>hoc, controlling for centre, baseline results and vaccine group using ANCOVA, with results that met non</w:t>
      </w:r>
      <w:r w:rsidR="00422259">
        <w:t xml:space="preserve"> </w:t>
      </w:r>
      <w:r>
        <w:t>inferiority criteria.</w:t>
      </w:r>
    </w:p>
    <w:p w:rsidR="0053443A" w:rsidRDefault="0053443A" w:rsidP="0053443A">
      <w:r>
        <w:t>It is recommended that the results of assessments using the egg</w:t>
      </w:r>
      <w:r w:rsidR="003F6326">
        <w:t xml:space="preserve"> </w:t>
      </w:r>
      <w:r>
        <w:t xml:space="preserve">derived antigen are reported for </w:t>
      </w:r>
      <w:r w:rsidR="003F6326">
        <w:t xml:space="preserve">Study </w:t>
      </w:r>
      <w:r>
        <w:t xml:space="preserve">V58P5 as for the other studies, or else qualify the HI antigen derivation for each of the studies. There is no objection to also including the ANCOVA results in </w:t>
      </w:r>
      <w:r>
        <w:lastRenderedPageBreak/>
        <w:t>addition providing the reader is informed that the analysis was post</w:t>
      </w:r>
      <w:r w:rsidR="003F6326">
        <w:t xml:space="preserve"> </w:t>
      </w:r>
      <w:r>
        <w:t>hoc and undertaken to control</w:t>
      </w:r>
      <w:r w:rsidR="003F6326">
        <w:t xml:space="preserve"> for difference in centres, pre </w:t>
      </w:r>
      <w:r w:rsidR="00C118E5">
        <w:t>vaccination.</w:t>
      </w:r>
    </w:p>
    <w:p w:rsidR="0053443A" w:rsidRDefault="0053443A" w:rsidP="00C118E5">
      <w:pPr>
        <w:pStyle w:val="Heading4"/>
      </w:pPr>
      <w:r w:rsidRPr="00C118E5">
        <w:t>Question</w:t>
      </w:r>
      <w:r>
        <w:t xml:space="preserve"> 6</w:t>
      </w:r>
    </w:p>
    <w:p w:rsidR="0053443A" w:rsidRDefault="0053443A" w:rsidP="0053443A">
      <w:r>
        <w:t xml:space="preserve">The </w:t>
      </w:r>
      <w:proofErr w:type="spellStart"/>
      <w:r>
        <w:t>Agrippal</w:t>
      </w:r>
      <w:proofErr w:type="spellEnd"/>
      <w:r>
        <w:t xml:space="preserve"> </w:t>
      </w:r>
      <w:r w:rsidR="00874B42">
        <w:t>PI</w:t>
      </w:r>
      <w:r>
        <w:t xml:space="preserve"> states the following. Is this correct?</w:t>
      </w:r>
    </w:p>
    <w:p w:rsidR="0053443A" w:rsidRPr="00CF73E1" w:rsidRDefault="0053443A" w:rsidP="00CF73E1">
      <w:pPr>
        <w:spacing w:before="60"/>
        <w:ind w:left="720"/>
        <w:rPr>
          <w:i/>
        </w:rPr>
      </w:pPr>
      <w:r w:rsidRPr="00CF73E1">
        <w:rPr>
          <w:i/>
        </w:rPr>
        <w:t>“Elderly patients on long</w:t>
      </w:r>
      <w:r w:rsidR="00CF73E1" w:rsidRPr="00CF73E1">
        <w:rPr>
          <w:i/>
        </w:rPr>
        <w:t xml:space="preserve"> </w:t>
      </w:r>
      <w:r w:rsidRPr="00CF73E1">
        <w:rPr>
          <w:i/>
        </w:rPr>
        <w:t>term warfarin therapy may experience an increase of International Normalised Ratio (INR) after influenza vaccination. Therefore</w:t>
      </w:r>
      <w:r w:rsidR="00CF73E1" w:rsidRPr="00CF73E1">
        <w:rPr>
          <w:i/>
        </w:rPr>
        <w:t>,</w:t>
      </w:r>
      <w:r w:rsidRPr="00CF73E1">
        <w:rPr>
          <w:i/>
        </w:rPr>
        <w:t xml:space="preserve"> more frequent monitoring for six weeks after receiving influenza vaccine may be advisable.”</w:t>
      </w:r>
    </w:p>
    <w:p w:rsidR="00605AD4" w:rsidRPr="00605AD4" w:rsidRDefault="00605AD4" w:rsidP="00C118E5">
      <w:pPr>
        <w:pStyle w:val="Heading3"/>
        <w:rPr>
          <w:rFonts w:eastAsia="Cambria"/>
        </w:rPr>
      </w:pPr>
      <w:bookmarkStart w:id="102" w:name="_Toc430081301"/>
      <w:r w:rsidRPr="00605AD4">
        <w:rPr>
          <w:rFonts w:eastAsia="Cambria"/>
        </w:rPr>
        <w:t xml:space="preserve">Second </w:t>
      </w:r>
      <w:r w:rsidR="00C118E5">
        <w:rPr>
          <w:rFonts w:eastAsia="Cambria"/>
        </w:rPr>
        <w:t>r</w:t>
      </w:r>
      <w:r w:rsidRPr="00605AD4">
        <w:rPr>
          <w:rFonts w:eastAsia="Cambria"/>
        </w:rPr>
        <w:t xml:space="preserve">ound </w:t>
      </w:r>
      <w:r w:rsidR="00C118E5" w:rsidRPr="00C118E5">
        <w:rPr>
          <w:rFonts w:eastAsia="Cambria"/>
        </w:rPr>
        <w:t>e</w:t>
      </w:r>
      <w:r w:rsidRPr="00C118E5">
        <w:rPr>
          <w:rFonts w:eastAsia="Cambria"/>
        </w:rPr>
        <w:t>valuation</w:t>
      </w:r>
      <w:bookmarkEnd w:id="102"/>
    </w:p>
    <w:p w:rsidR="004C545A" w:rsidRDefault="00456195" w:rsidP="004C545A">
      <w:r w:rsidRPr="00456195">
        <w:t>There is no change to the assessments stated</w:t>
      </w:r>
      <w:r>
        <w:t xml:space="preserve"> in </w:t>
      </w:r>
      <w:r w:rsidR="00112BBD">
        <w:t>the first round</w:t>
      </w:r>
      <w:r>
        <w:t>.</w:t>
      </w:r>
    </w:p>
    <w:p w:rsidR="00605AD4" w:rsidRPr="00605AD4" w:rsidRDefault="00C118E5" w:rsidP="00546154">
      <w:pPr>
        <w:pStyle w:val="Heading3"/>
        <w:rPr>
          <w:rFonts w:eastAsia="Cambria"/>
        </w:rPr>
      </w:pPr>
      <w:bookmarkStart w:id="103" w:name="_Toc430081302"/>
      <w:r>
        <w:rPr>
          <w:rFonts w:eastAsia="Cambria"/>
        </w:rPr>
        <w:t>Second r</w:t>
      </w:r>
      <w:r w:rsidR="00605AD4" w:rsidRPr="00605AD4">
        <w:rPr>
          <w:rFonts w:eastAsia="Cambria"/>
        </w:rPr>
        <w:t xml:space="preserve">ound </w:t>
      </w:r>
      <w:r>
        <w:rPr>
          <w:rFonts w:eastAsia="Cambria"/>
        </w:rPr>
        <w:t>b</w:t>
      </w:r>
      <w:r w:rsidR="00605AD4" w:rsidRPr="00605AD4">
        <w:rPr>
          <w:rFonts w:eastAsia="Cambria"/>
        </w:rPr>
        <w:t>enefit-</w:t>
      </w:r>
      <w:r>
        <w:rPr>
          <w:rFonts w:eastAsia="Cambria"/>
        </w:rPr>
        <w:t>r</w:t>
      </w:r>
      <w:r w:rsidR="00605AD4" w:rsidRPr="00605AD4">
        <w:rPr>
          <w:rFonts w:eastAsia="Cambria"/>
        </w:rPr>
        <w:t xml:space="preserve">isk </w:t>
      </w:r>
      <w:r>
        <w:rPr>
          <w:rFonts w:eastAsia="Cambria"/>
        </w:rPr>
        <w:t>a</w:t>
      </w:r>
      <w:r w:rsidR="00605AD4" w:rsidRPr="00605AD4">
        <w:rPr>
          <w:rFonts w:eastAsia="Cambria"/>
        </w:rPr>
        <w:t>ssessment</w:t>
      </w:r>
      <w:bookmarkEnd w:id="103"/>
    </w:p>
    <w:p w:rsidR="004C545A" w:rsidRDefault="00E12011" w:rsidP="00C118E5">
      <w:r>
        <w:t xml:space="preserve">Based on the clinical efficacy, immunogenicity and safety data supplied in the clinical dossier, registration of Novartis Inactivated influenza virus vaccine (surface antigen) prepared in cell cultures </w:t>
      </w:r>
      <w:proofErr w:type="spellStart"/>
      <w:r w:rsidR="00C477B9">
        <w:t>Optaflu</w:t>
      </w:r>
      <w:proofErr w:type="spellEnd"/>
      <w:r>
        <w:t xml:space="preserve"> is recommended.</w:t>
      </w:r>
    </w:p>
    <w:p w:rsidR="008E7846" w:rsidRPr="00E41208" w:rsidRDefault="008E7846" w:rsidP="00C118E5">
      <w:pPr>
        <w:pStyle w:val="Heading2"/>
      </w:pPr>
      <w:bookmarkStart w:id="104" w:name="_Toc430081303"/>
      <w:r w:rsidRPr="00E41208">
        <w:t xml:space="preserve">V. Pharmacovigilance </w:t>
      </w:r>
      <w:r>
        <w:t>f</w:t>
      </w:r>
      <w:r w:rsidRPr="00E41208">
        <w:t>indings</w:t>
      </w:r>
      <w:bookmarkEnd w:id="94"/>
      <w:bookmarkEnd w:id="95"/>
      <w:bookmarkEnd w:id="104"/>
    </w:p>
    <w:p w:rsidR="008E7846" w:rsidRDefault="00386150" w:rsidP="00C118E5">
      <w:pPr>
        <w:pStyle w:val="Heading3"/>
        <w:rPr>
          <w:lang w:eastAsia="en-AU"/>
        </w:rPr>
      </w:pPr>
      <w:bookmarkStart w:id="105" w:name="_Toc247691526"/>
      <w:bookmarkStart w:id="106" w:name="_Toc314842509"/>
      <w:bookmarkStart w:id="107" w:name="_Toc430081304"/>
      <w:r>
        <w:rPr>
          <w:lang w:eastAsia="en-AU"/>
        </w:rPr>
        <w:t xml:space="preserve">Risk </w:t>
      </w:r>
      <w:r w:rsidRPr="00C118E5">
        <w:t>m</w:t>
      </w:r>
      <w:r w:rsidR="008E7846" w:rsidRPr="00C118E5">
        <w:t>anagement</w:t>
      </w:r>
      <w:r w:rsidR="008E7846">
        <w:rPr>
          <w:lang w:eastAsia="en-AU"/>
        </w:rPr>
        <w:t xml:space="preserve"> </w:t>
      </w:r>
      <w:r>
        <w:rPr>
          <w:lang w:eastAsia="en-AU"/>
        </w:rPr>
        <w:t>p</w:t>
      </w:r>
      <w:r w:rsidR="008E7846">
        <w:rPr>
          <w:lang w:eastAsia="en-AU"/>
        </w:rPr>
        <w:t>lan</w:t>
      </w:r>
      <w:bookmarkEnd w:id="105"/>
      <w:bookmarkEnd w:id="106"/>
      <w:bookmarkEnd w:id="107"/>
    </w:p>
    <w:p w:rsidR="008E7846" w:rsidRDefault="008E7846" w:rsidP="008E7846">
      <w:pPr>
        <w:rPr>
          <w:lang w:eastAsia="en-AU"/>
        </w:rPr>
      </w:pPr>
      <w:r>
        <w:rPr>
          <w:lang w:eastAsia="en-AU"/>
        </w:rPr>
        <w:t>The sponsor submitted a Risk Management Plan</w:t>
      </w:r>
      <w:r w:rsidR="006F25B8">
        <w:rPr>
          <w:lang w:eastAsia="en-AU"/>
        </w:rPr>
        <w:t xml:space="preserve"> </w:t>
      </w:r>
      <w:r w:rsidR="006F25B8" w:rsidRPr="006F25B8">
        <w:rPr>
          <w:lang w:eastAsia="en-AU"/>
        </w:rPr>
        <w:t>(</w:t>
      </w:r>
      <w:r w:rsidR="00FB68E2">
        <w:rPr>
          <w:lang w:eastAsia="en-AU"/>
        </w:rPr>
        <w:t xml:space="preserve">EU-RMP) </w:t>
      </w:r>
      <w:r w:rsidR="00220CCF" w:rsidRPr="00220CCF">
        <w:rPr>
          <w:lang w:eastAsia="en-AU"/>
        </w:rPr>
        <w:t>version 3.1</w:t>
      </w:r>
      <w:r w:rsidR="00FB68E2">
        <w:rPr>
          <w:lang w:eastAsia="en-AU"/>
        </w:rPr>
        <w:t xml:space="preserve"> release date 15 November 2013 (</w:t>
      </w:r>
      <w:r w:rsidR="00220CCF" w:rsidRPr="00220CCF">
        <w:rPr>
          <w:lang w:eastAsia="en-AU"/>
        </w:rPr>
        <w:t>d</w:t>
      </w:r>
      <w:r w:rsidR="001C0157">
        <w:rPr>
          <w:lang w:eastAsia="en-AU"/>
        </w:rPr>
        <w:t>ata lock point 30 April 2013) and Australian S</w:t>
      </w:r>
      <w:r w:rsidR="00220CCF" w:rsidRPr="00220CCF">
        <w:rPr>
          <w:lang w:eastAsia="en-AU"/>
        </w:rPr>
        <w:t xml:space="preserve">pecific Annex </w:t>
      </w:r>
      <w:r w:rsidR="001C0157">
        <w:rPr>
          <w:lang w:eastAsia="en-AU"/>
        </w:rPr>
        <w:t xml:space="preserve">(ASA) </w:t>
      </w:r>
      <w:r w:rsidR="00220CCF" w:rsidRPr="00220CCF">
        <w:rPr>
          <w:lang w:eastAsia="en-AU"/>
        </w:rPr>
        <w:t>(version 1.0 release date 5 March 2014</w:t>
      </w:r>
      <w:r w:rsidR="001C0157">
        <w:rPr>
          <w:lang w:eastAsia="en-AU"/>
        </w:rPr>
        <w:t xml:space="preserve">, </w:t>
      </w:r>
      <w:r>
        <w:rPr>
          <w:lang w:eastAsia="en-AU"/>
        </w:rPr>
        <w:t>which was reviewed by the TGA’s Office of Product Review (OPR).</w:t>
      </w:r>
    </w:p>
    <w:p w:rsidR="008E7846" w:rsidRDefault="003A7F6C" w:rsidP="00C118E5">
      <w:pPr>
        <w:pStyle w:val="Heading4"/>
        <w:rPr>
          <w:lang w:eastAsia="en-AU"/>
        </w:rPr>
      </w:pPr>
      <w:r>
        <w:rPr>
          <w:lang w:eastAsia="en-AU"/>
        </w:rPr>
        <w:t xml:space="preserve">Safety </w:t>
      </w:r>
      <w:r w:rsidRPr="00C118E5">
        <w:t>s</w:t>
      </w:r>
      <w:r w:rsidR="008E7846" w:rsidRPr="00C118E5">
        <w:t>pecification</w:t>
      </w:r>
    </w:p>
    <w:p w:rsidR="008E7846" w:rsidRDefault="008E7846" w:rsidP="008E7846">
      <w:pPr>
        <w:rPr>
          <w:lang w:eastAsia="en-AU"/>
        </w:rPr>
      </w:pPr>
      <w:r>
        <w:rPr>
          <w:lang w:eastAsia="en-AU"/>
        </w:rPr>
        <w:t>The</w:t>
      </w:r>
      <w:r w:rsidR="006F25B8">
        <w:rPr>
          <w:lang w:eastAsia="en-AU"/>
        </w:rPr>
        <w:t xml:space="preserve"> sponsor provided a summary of o</w:t>
      </w:r>
      <w:r w:rsidR="00FE7E04">
        <w:rPr>
          <w:lang w:eastAsia="en-AU"/>
        </w:rPr>
        <w:t>ng</w:t>
      </w:r>
      <w:r>
        <w:rPr>
          <w:lang w:eastAsia="en-AU"/>
        </w:rPr>
        <w:t xml:space="preserve">oing safety </w:t>
      </w:r>
      <w:r w:rsidR="006F25B8">
        <w:rPr>
          <w:lang w:eastAsia="en-AU"/>
        </w:rPr>
        <w:t>c</w:t>
      </w:r>
      <w:r>
        <w:rPr>
          <w:lang w:eastAsia="en-AU"/>
        </w:rPr>
        <w:t xml:space="preserve">oncerns which are shown at Table </w:t>
      </w:r>
      <w:r w:rsidR="00CD5786">
        <w:rPr>
          <w:lang w:eastAsia="en-AU"/>
        </w:rPr>
        <w:t>3</w:t>
      </w:r>
      <w:r>
        <w:rPr>
          <w:lang w:eastAsia="en-AU"/>
        </w:rPr>
        <w:t>.</w:t>
      </w:r>
    </w:p>
    <w:p w:rsidR="00CD5786" w:rsidRDefault="00CD5786" w:rsidP="00CD5786">
      <w:pPr>
        <w:pStyle w:val="TableTitle"/>
      </w:pPr>
      <w:proofErr w:type="gramStart"/>
      <w:r>
        <w:lastRenderedPageBreak/>
        <w:t>Table 3:</w:t>
      </w:r>
      <w:r w:rsidRPr="004C5C28">
        <w:t xml:space="preserve"> </w:t>
      </w:r>
      <w:r w:rsidR="00C118E5">
        <w:t>Ongoing safety concerns</w:t>
      </w:r>
      <w:r w:rsidR="002229D2">
        <w:t>.</w:t>
      </w:r>
      <w:proofErr w:type="gramEnd"/>
    </w:p>
    <w:p w:rsidR="00CD5786" w:rsidRDefault="00CD5786" w:rsidP="00C15A91">
      <w:pPr>
        <w:rPr>
          <w:lang w:eastAsia="en-AU"/>
        </w:rPr>
      </w:pPr>
      <w:r>
        <w:rPr>
          <w:noProof/>
          <w:lang w:eastAsia="en-AU"/>
        </w:rPr>
        <w:drawing>
          <wp:inline distT="0" distB="0" distL="0" distR="0" wp14:anchorId="710766F3" wp14:editId="44055DE1">
            <wp:extent cx="3994189" cy="2851408"/>
            <wp:effectExtent l="0" t="0" r="6350" b="6350"/>
            <wp:docPr id="3" name="Picture 3" descr="Table 3: Ongoing safety concerns." title="Table 3: Ongoing safety concer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3995313" cy="2852211"/>
                    </a:xfrm>
                    <a:prstGeom prst="rect">
                      <a:avLst/>
                    </a:prstGeom>
                  </pic:spPr>
                </pic:pic>
              </a:graphicData>
            </a:graphic>
          </wp:inline>
        </w:drawing>
      </w:r>
    </w:p>
    <w:p w:rsidR="008E7846" w:rsidRDefault="008E7846" w:rsidP="008E7846">
      <w:pPr>
        <w:pStyle w:val="Heading4"/>
        <w:rPr>
          <w:lang w:eastAsia="en-AU"/>
        </w:rPr>
      </w:pPr>
      <w:r>
        <w:rPr>
          <w:lang w:eastAsia="en-AU"/>
        </w:rPr>
        <w:t xml:space="preserve">Pharmacovigilance </w:t>
      </w:r>
      <w:r w:rsidR="003A7F6C">
        <w:rPr>
          <w:lang w:eastAsia="en-AU"/>
        </w:rPr>
        <w:t>p</w:t>
      </w:r>
      <w:r>
        <w:rPr>
          <w:lang w:eastAsia="en-AU"/>
        </w:rPr>
        <w:t>lan</w:t>
      </w:r>
    </w:p>
    <w:p w:rsidR="00CD5786" w:rsidRPr="00CD5786" w:rsidRDefault="00CD5786" w:rsidP="00CD5786">
      <w:r w:rsidRPr="00CD5786">
        <w:t>Routine pharmacovigilance is proposed to monitor the ongoing safety concerns.</w:t>
      </w:r>
      <w:r w:rsidR="007A7CDB">
        <w:t xml:space="preserve"> </w:t>
      </w:r>
      <w:r w:rsidRPr="00CD5786">
        <w:t xml:space="preserve">The sponsor has provided an assurance in the ASA that </w:t>
      </w:r>
      <w:r w:rsidR="00FF01DC">
        <w:t>AE</w:t>
      </w:r>
      <w:r w:rsidRPr="00CD5786">
        <w:t xml:space="preserve"> reports will be handled in line with “Australian requirements and recommendations for pharmacovigilance responsibilities of sponsors of medici</w:t>
      </w:r>
      <w:r>
        <w:t xml:space="preserve">nes version 1.2, August 2013”. </w:t>
      </w:r>
      <w:r w:rsidRPr="00CD5786">
        <w:t>The sponsor is advised that this document has been recently updated (version 1.3, June 2014) and the reference in the ASA should be amended accordingly.</w:t>
      </w:r>
    </w:p>
    <w:p w:rsidR="00CD5786" w:rsidRPr="00CD5786" w:rsidRDefault="00CD5786" w:rsidP="00CD5786">
      <w:r w:rsidRPr="00CD5786">
        <w:t>Additional pharmacovigilance activities</w:t>
      </w:r>
      <w:r w:rsidR="000D51B8">
        <w:t xml:space="preserve"> are proposed as outlined in Table 4.</w:t>
      </w:r>
    </w:p>
    <w:p w:rsidR="000D51B8" w:rsidRDefault="00276C61" w:rsidP="000D51B8">
      <w:pPr>
        <w:pStyle w:val="TableTitle"/>
      </w:pPr>
      <w:proofErr w:type="gramStart"/>
      <w:r>
        <w:lastRenderedPageBreak/>
        <w:t>Table 4</w:t>
      </w:r>
      <w:r w:rsidR="000D51B8">
        <w:t>:</w:t>
      </w:r>
      <w:r w:rsidR="000D51B8" w:rsidRPr="004C5C28">
        <w:t xml:space="preserve"> </w:t>
      </w:r>
      <w:r w:rsidRPr="00CD5786">
        <w:t>Additional pharmacovigilance activities</w:t>
      </w:r>
      <w:r w:rsidR="002229D2">
        <w:t>.</w:t>
      </w:r>
      <w:proofErr w:type="gramEnd"/>
    </w:p>
    <w:p w:rsidR="008E7846" w:rsidRPr="00CD5786" w:rsidRDefault="00276C61" w:rsidP="00C15A91">
      <w:r>
        <w:rPr>
          <w:noProof/>
          <w:lang w:eastAsia="en-AU"/>
        </w:rPr>
        <w:drawing>
          <wp:inline distT="0" distB="0" distL="0" distR="0" wp14:anchorId="1CEF6645" wp14:editId="27331D44">
            <wp:extent cx="4159408" cy="6103480"/>
            <wp:effectExtent l="0" t="0" r="0" b="0"/>
            <wp:docPr id="5" name="Picture 5" descr="Table 4: Additional pharmacovigilance activities." title="Table 4: Additional pharmacovigilance activ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4161853" cy="6107068"/>
                    </a:xfrm>
                    <a:prstGeom prst="rect">
                      <a:avLst/>
                    </a:prstGeom>
                  </pic:spPr>
                </pic:pic>
              </a:graphicData>
            </a:graphic>
          </wp:inline>
        </w:drawing>
      </w:r>
    </w:p>
    <w:p w:rsidR="008E7846" w:rsidRDefault="008E7846" w:rsidP="008E7846">
      <w:pPr>
        <w:pStyle w:val="Heading4"/>
        <w:rPr>
          <w:lang w:eastAsia="en-AU"/>
        </w:rPr>
      </w:pPr>
      <w:r>
        <w:rPr>
          <w:lang w:eastAsia="en-AU"/>
        </w:rPr>
        <w:t xml:space="preserve">Risk </w:t>
      </w:r>
      <w:r w:rsidR="003A7F6C">
        <w:rPr>
          <w:lang w:eastAsia="en-AU"/>
        </w:rPr>
        <w:t>m</w:t>
      </w:r>
      <w:r>
        <w:rPr>
          <w:lang w:eastAsia="en-AU"/>
        </w:rPr>
        <w:t xml:space="preserve">inimisation </w:t>
      </w:r>
      <w:r w:rsidR="003A7F6C">
        <w:rPr>
          <w:lang w:eastAsia="en-AU"/>
        </w:rPr>
        <w:t>a</w:t>
      </w:r>
      <w:r>
        <w:rPr>
          <w:lang w:eastAsia="en-AU"/>
        </w:rPr>
        <w:t>ctivities</w:t>
      </w:r>
    </w:p>
    <w:p w:rsidR="00DD7C70" w:rsidRPr="00DD7C70" w:rsidRDefault="00DD7C70" w:rsidP="00DD7C70">
      <w:bookmarkStart w:id="108" w:name="_Toc247691527"/>
      <w:r w:rsidRPr="00DD7C70">
        <w:t>The sponsor has concluded tha</w:t>
      </w:r>
      <w:r w:rsidR="00E12B1E">
        <w:t xml:space="preserve">t routine risk minimisation (that is, </w:t>
      </w:r>
      <w:r w:rsidRPr="00DD7C70">
        <w:t>product labelling) only is sufficient to mitigate the r</w:t>
      </w:r>
      <w:r w:rsidR="005949DB">
        <w:t xml:space="preserve">isks associated with </w:t>
      </w:r>
      <w:proofErr w:type="spellStart"/>
      <w:r w:rsidR="005949DB">
        <w:t>Optaflu</w:t>
      </w:r>
      <w:proofErr w:type="spellEnd"/>
      <w:r w:rsidR="005949DB">
        <w:t xml:space="preserve">. </w:t>
      </w:r>
      <w:r w:rsidRPr="00DD7C70">
        <w:t>No additional risk minimisation activities are proposed.</w:t>
      </w:r>
    </w:p>
    <w:p w:rsidR="006F25B8" w:rsidRDefault="006F25B8" w:rsidP="006F25B8">
      <w:pPr>
        <w:pStyle w:val="Heading4"/>
        <w:rPr>
          <w:lang w:eastAsia="en-AU"/>
        </w:rPr>
      </w:pPr>
      <w:r w:rsidRPr="006F25B8">
        <w:rPr>
          <w:lang w:eastAsia="en-AU"/>
        </w:rPr>
        <w:t>Reconciliation of is</w:t>
      </w:r>
      <w:r w:rsidR="00C15A91">
        <w:rPr>
          <w:lang w:eastAsia="en-AU"/>
        </w:rPr>
        <w:t>sues outlined in the RMP report</w:t>
      </w:r>
    </w:p>
    <w:p w:rsidR="00DD7C70" w:rsidRDefault="00DD7C70" w:rsidP="00DD7C70">
      <w:pPr>
        <w:pStyle w:val="ListBullet"/>
        <w:numPr>
          <w:ilvl w:val="0"/>
          <w:numId w:val="0"/>
        </w:numPr>
      </w:pPr>
      <w:r w:rsidRPr="005D63DD">
        <w:t>Reconciliation of issues outlined in the RMP report</w:t>
      </w:r>
      <w:r>
        <w:t xml:space="preserve"> is as follows.</w:t>
      </w:r>
    </w:p>
    <w:p w:rsidR="00DD7C70" w:rsidRDefault="00DD7C70" w:rsidP="00DD7C70">
      <w:pPr>
        <w:pStyle w:val="Heading5"/>
      </w:pPr>
      <w:r w:rsidRPr="00A24C10">
        <w:t xml:space="preserve">Recommendation </w:t>
      </w:r>
      <w:r>
        <w:t xml:space="preserve">#1 </w:t>
      </w:r>
      <w:r w:rsidRPr="00A24C10">
        <w:t>in RMP evaluation report</w:t>
      </w:r>
    </w:p>
    <w:p w:rsidR="00DD7C70" w:rsidRPr="000B2059" w:rsidRDefault="00DA2F0C" w:rsidP="000B2059">
      <w:r w:rsidRPr="000B2059">
        <w:t xml:space="preserve">Safety considerations may be raised by the nonclinical and clinical evaluators through the consolidated </w:t>
      </w:r>
      <w:r w:rsidR="00FF01DC">
        <w:t>Section 31 request and/or the n</w:t>
      </w:r>
      <w:r w:rsidRPr="000B2059">
        <w:t xml:space="preserve">onclinical and </w:t>
      </w:r>
      <w:r w:rsidR="00FF01DC">
        <w:t>c</w:t>
      </w:r>
      <w:r w:rsidRPr="000B2059">
        <w:t xml:space="preserve">linical </w:t>
      </w:r>
      <w:r w:rsidR="00FF01DC">
        <w:t>e</w:t>
      </w:r>
      <w:r w:rsidRPr="000B2059">
        <w:t xml:space="preserve">valuation </w:t>
      </w:r>
      <w:r w:rsidR="00FF01DC">
        <w:t>r</w:t>
      </w:r>
      <w:r w:rsidRPr="000B2059">
        <w:t>eports</w:t>
      </w:r>
      <w:r w:rsidR="00C03489">
        <w:t>,</w:t>
      </w:r>
      <w:r w:rsidR="00BC074A">
        <w:t xml:space="preserve"> respectively. </w:t>
      </w:r>
      <w:r w:rsidRPr="000B2059">
        <w:t xml:space="preserve">It is important to ensure that the information provided in response to these includes consideration of the relevance for the </w:t>
      </w:r>
      <w:r w:rsidR="00137509">
        <w:t>RMP</w:t>
      </w:r>
      <w:r w:rsidRPr="000B2059">
        <w:t xml:space="preserve">, and any specific information needed </w:t>
      </w:r>
      <w:r w:rsidRPr="000B2059">
        <w:lastRenderedPageBreak/>
        <w:t>to address this issue in the RMP.</w:t>
      </w:r>
      <w:r w:rsidR="007A7CDB">
        <w:t xml:space="preserve"> </w:t>
      </w:r>
      <w:r w:rsidRPr="000B2059">
        <w:t>For any safety considerations so raised, the sponsor should provide information that is relevant and necessary to address the issue in the RMP.</w:t>
      </w:r>
    </w:p>
    <w:p w:rsidR="00DD7C70" w:rsidRDefault="00DD7C70" w:rsidP="00DD7C70">
      <w:pPr>
        <w:pStyle w:val="Heading5"/>
      </w:pPr>
      <w:r>
        <w:t>Sponsor response</w:t>
      </w:r>
    </w:p>
    <w:p w:rsidR="00DD7C70" w:rsidRPr="00C14DAD" w:rsidRDefault="000B2059" w:rsidP="00DD7C70">
      <w:r w:rsidRPr="000B2059">
        <w:t xml:space="preserve">No safety concerns warranting Novartis to provide additional information were raised by the </w:t>
      </w:r>
      <w:r w:rsidR="006F78EE">
        <w:t>c</w:t>
      </w:r>
      <w:r w:rsidRPr="000B2059">
        <w:t xml:space="preserve">linical and </w:t>
      </w:r>
      <w:r w:rsidR="006F78EE">
        <w:t>n</w:t>
      </w:r>
      <w:r w:rsidRPr="000B2059">
        <w:t>onclinical evaluators.</w:t>
      </w:r>
    </w:p>
    <w:p w:rsidR="00DD7C70" w:rsidRDefault="00DD7C70" w:rsidP="00DD7C70">
      <w:pPr>
        <w:pStyle w:val="Heading5"/>
      </w:pPr>
      <w:r>
        <w:t>OPR evaluator’s comment</w:t>
      </w:r>
    </w:p>
    <w:p w:rsidR="00DD7C70" w:rsidRDefault="00787B97" w:rsidP="006F25B8">
      <w:pPr>
        <w:rPr>
          <w:lang w:eastAsia="en-AU"/>
        </w:rPr>
      </w:pPr>
      <w:r>
        <w:rPr>
          <w:rFonts w:asciiTheme="minorHAnsi" w:hAnsiTheme="minorHAnsi"/>
          <w:lang w:eastAsia="en-AU"/>
        </w:rPr>
        <w:t xml:space="preserve">It is noted that the </w:t>
      </w:r>
      <w:r w:rsidR="006F78EE">
        <w:t>nonclinical evaluation report</w:t>
      </w:r>
      <w:r>
        <w:rPr>
          <w:rFonts w:asciiTheme="minorHAnsi" w:hAnsiTheme="minorHAnsi"/>
          <w:lang w:eastAsia="en-AU"/>
        </w:rPr>
        <w:t xml:space="preserve"> states that there were study quality issues and deficiencies.</w:t>
      </w:r>
      <w:r w:rsidR="007A7CDB">
        <w:rPr>
          <w:rFonts w:asciiTheme="minorHAnsi" w:hAnsiTheme="minorHAnsi"/>
          <w:lang w:eastAsia="en-AU"/>
        </w:rPr>
        <w:t xml:space="preserve"> </w:t>
      </w:r>
      <w:r>
        <w:rPr>
          <w:rFonts w:asciiTheme="minorHAnsi" w:hAnsiTheme="minorHAnsi"/>
          <w:lang w:eastAsia="en-AU"/>
        </w:rPr>
        <w:t>The sponsor should ensure that any impact of these upon the RMP is appropriately addressed.</w:t>
      </w:r>
    </w:p>
    <w:p w:rsidR="00307FF0" w:rsidRDefault="00307FF0" w:rsidP="00307FF0">
      <w:pPr>
        <w:pStyle w:val="Heading5"/>
      </w:pPr>
      <w:r w:rsidRPr="00A24C10">
        <w:t xml:space="preserve">Recommendation </w:t>
      </w:r>
      <w:r>
        <w:t xml:space="preserve">#2 </w:t>
      </w:r>
      <w:r w:rsidRPr="00A24C10">
        <w:t>in RMP evaluation report</w:t>
      </w:r>
    </w:p>
    <w:p w:rsidR="00307FF0" w:rsidRPr="00D752A8" w:rsidRDefault="00D60E23" w:rsidP="00307FF0">
      <w:r w:rsidRPr="00FA2786">
        <w:rPr>
          <w:rFonts w:asciiTheme="minorHAnsi" w:hAnsiTheme="minorHAnsi"/>
        </w:rPr>
        <w:t xml:space="preserve">The sponsor is requested to provide justification as to why </w:t>
      </w:r>
      <w:proofErr w:type="spellStart"/>
      <w:r w:rsidRPr="00FA2786">
        <w:rPr>
          <w:rFonts w:asciiTheme="minorHAnsi" w:hAnsiTheme="minorHAnsi"/>
        </w:rPr>
        <w:t>tumorigenicity</w:t>
      </w:r>
      <w:proofErr w:type="spellEnd"/>
      <w:r w:rsidRPr="00FA2786">
        <w:rPr>
          <w:rFonts w:asciiTheme="minorHAnsi" w:hAnsiTheme="minorHAnsi"/>
        </w:rPr>
        <w:t>, infectivity and oncogenic potential are not considered as potential safety concerns in the RMP</w:t>
      </w:r>
      <w:r>
        <w:rPr>
          <w:rFonts w:asciiTheme="minorHAnsi" w:hAnsiTheme="minorHAnsi"/>
        </w:rPr>
        <w:t>.</w:t>
      </w:r>
    </w:p>
    <w:p w:rsidR="00307FF0" w:rsidRDefault="00307FF0" w:rsidP="00307FF0">
      <w:pPr>
        <w:pStyle w:val="Heading5"/>
      </w:pPr>
      <w:r>
        <w:t>Sponsor response</w:t>
      </w:r>
    </w:p>
    <w:p w:rsidR="00003830" w:rsidRDefault="007D5EB5" w:rsidP="00307FF0">
      <w:r w:rsidRPr="007D5EB5">
        <w:t xml:space="preserve">Theoretical and potential safety issues regarding the use of immortalised tumorigenic cell lines, </w:t>
      </w:r>
      <w:r w:rsidR="00785F4C">
        <w:t>like MDCK</w:t>
      </w:r>
      <w:r w:rsidRPr="007D5EB5">
        <w:t xml:space="preserve"> cells, were considered during the early stages of development of </w:t>
      </w:r>
      <w:proofErr w:type="spellStart"/>
      <w:r w:rsidRPr="007D5EB5">
        <w:t>Optaflu</w:t>
      </w:r>
      <w:proofErr w:type="spellEnd"/>
      <w:r w:rsidRPr="007D5EB5">
        <w:t xml:space="preserve">. Consistent with current global expectations for the qualification of a new cell line as a platform for vaccine production, Novartis has performed studies with intact MDCK cells, lysates of MDCK cells, and purified DNA obtained from MDCK cells. </w:t>
      </w:r>
      <w:proofErr w:type="spellStart"/>
      <w:r w:rsidRPr="007D5EB5">
        <w:t>Tumorigenicity</w:t>
      </w:r>
      <w:proofErr w:type="spellEnd"/>
      <w:r w:rsidRPr="007D5EB5">
        <w:t xml:space="preserve"> (intact MDCK cells) or </w:t>
      </w:r>
      <w:proofErr w:type="spellStart"/>
      <w:r w:rsidRPr="007D5EB5">
        <w:t>oncogenicity</w:t>
      </w:r>
      <w:proofErr w:type="spellEnd"/>
      <w:r w:rsidRPr="007D5EB5">
        <w:t xml:space="preserve"> (cell lysates and purified DNA) testing in rodents demonstrated that only intact MDCK cells (adapted to protein</w:t>
      </w:r>
      <w:r w:rsidR="009666D2">
        <w:t xml:space="preserve"> </w:t>
      </w:r>
      <w:r w:rsidRPr="007D5EB5">
        <w:t>free growth in suspension) were tumorigenic in immunocompromised (nude) adult mice. Cell lysates and purified MDCK cell DNA were not oncogenic in the thre</w:t>
      </w:r>
      <w:r w:rsidR="00003830">
        <w:t>e infant rodent species tested.</w:t>
      </w:r>
    </w:p>
    <w:p w:rsidR="008F2345" w:rsidRDefault="007D5EB5" w:rsidP="00307FF0">
      <w:r w:rsidRPr="007D5EB5">
        <w:t xml:space="preserve">MDCK cell removal throughout the manufacturing process has been formally demonstrated through a series of process evaluation and validation studies. In addition, the comprehensive adventitious agent management program for </w:t>
      </w:r>
      <w:proofErr w:type="spellStart"/>
      <w:r w:rsidRPr="007D5EB5">
        <w:t>Optaflu</w:t>
      </w:r>
      <w:proofErr w:type="spellEnd"/>
      <w:r w:rsidRPr="007D5EB5">
        <w:t xml:space="preserve"> reflects the ICH recommended complementary approach to control potential viral contamination of biotechnology products. The MDCK cell line, seed virus and other raw materials, including media components, have been selected and tested for the absence of undesirable viruses which may be infectious or pathogenic to humans. The manufacturing process has been assessed for its capacity to clear infectious viruses. Product intermediates and the final container are tested at appropriate intervals to assure absence of co</w:t>
      </w:r>
      <w:r w:rsidR="008F2345">
        <w:t>ntaminating infectious viruses.</w:t>
      </w:r>
    </w:p>
    <w:p w:rsidR="00307FF0" w:rsidRPr="00C14DAD" w:rsidRDefault="007D5EB5" w:rsidP="00307FF0">
      <w:r w:rsidRPr="007D5EB5">
        <w:t xml:space="preserve">Because whole MDCK cells are reliably excluded from the vaccine during multiple steps of the manufacturing process, and MDCK cell lysates and DNA demonstrated no </w:t>
      </w:r>
      <w:proofErr w:type="spellStart"/>
      <w:r w:rsidRPr="007D5EB5">
        <w:t>oncogenicity</w:t>
      </w:r>
      <w:proofErr w:type="spellEnd"/>
      <w:r w:rsidRPr="007D5EB5">
        <w:t xml:space="preserve"> in sensitive animal models, and because a comprehensive adventitious agent management program is in place, Novartis concludes that the theoretical safety risks of </w:t>
      </w:r>
      <w:proofErr w:type="spellStart"/>
      <w:r w:rsidRPr="007D5EB5">
        <w:t>tumorigenicity</w:t>
      </w:r>
      <w:proofErr w:type="spellEnd"/>
      <w:r w:rsidRPr="007D5EB5">
        <w:t xml:space="preserve">, oncogenic potential, and infectivity to a </w:t>
      </w:r>
      <w:proofErr w:type="spellStart"/>
      <w:r w:rsidRPr="007D5EB5">
        <w:t>vaccinee</w:t>
      </w:r>
      <w:proofErr w:type="spellEnd"/>
      <w:r w:rsidRPr="007D5EB5">
        <w:t xml:space="preserve"> receiving an annual dose of </w:t>
      </w:r>
      <w:proofErr w:type="spellStart"/>
      <w:r w:rsidRPr="007D5EB5">
        <w:t>Optaflu</w:t>
      </w:r>
      <w:proofErr w:type="spellEnd"/>
      <w:r w:rsidRPr="007D5EB5">
        <w:t xml:space="preserve"> are exceedingly low, and are therefore not addressed in the RMP.</w:t>
      </w:r>
    </w:p>
    <w:p w:rsidR="00307FF0" w:rsidRDefault="00307FF0" w:rsidP="00307FF0">
      <w:pPr>
        <w:pStyle w:val="Heading5"/>
      </w:pPr>
      <w:r>
        <w:t>OPR evaluator’s comment</w:t>
      </w:r>
    </w:p>
    <w:p w:rsidR="00BD0C2E" w:rsidRDefault="00BD0C2E" w:rsidP="00307FF0">
      <w:pPr>
        <w:rPr>
          <w:lang w:eastAsia="en-AU"/>
        </w:rPr>
      </w:pPr>
      <w:r w:rsidRPr="00BD0C2E">
        <w:rPr>
          <w:lang w:eastAsia="en-AU"/>
        </w:rPr>
        <w:t xml:space="preserve">The evaluator accepts that the risks of </w:t>
      </w:r>
      <w:proofErr w:type="spellStart"/>
      <w:r w:rsidRPr="00BD0C2E">
        <w:rPr>
          <w:lang w:eastAsia="en-AU"/>
        </w:rPr>
        <w:t>tumorigenicity</w:t>
      </w:r>
      <w:proofErr w:type="spellEnd"/>
      <w:r w:rsidRPr="00BD0C2E">
        <w:rPr>
          <w:lang w:eastAsia="en-AU"/>
        </w:rPr>
        <w:t>, infectivity and oncogenic potential are very low but not absolutely absent. This is in accord</w:t>
      </w:r>
      <w:r w:rsidR="008503A9">
        <w:rPr>
          <w:lang w:eastAsia="en-AU"/>
        </w:rPr>
        <w:t>ance</w:t>
      </w:r>
      <w:r w:rsidRPr="00BD0C2E">
        <w:rPr>
          <w:lang w:eastAsia="en-AU"/>
        </w:rPr>
        <w:t xml:space="preserve"> with comments on carcinogenicity </w:t>
      </w:r>
      <w:r w:rsidR="004C6BFA">
        <w:rPr>
          <w:lang w:eastAsia="en-AU"/>
        </w:rPr>
        <w:t>in the nonclinical evaluation report</w:t>
      </w:r>
      <w:r>
        <w:rPr>
          <w:lang w:eastAsia="en-AU"/>
        </w:rPr>
        <w:t>.</w:t>
      </w:r>
    </w:p>
    <w:p w:rsidR="00BD0C2E" w:rsidRDefault="004C6BFA" w:rsidP="00307FF0">
      <w:pPr>
        <w:rPr>
          <w:lang w:eastAsia="en-AU"/>
        </w:rPr>
      </w:pPr>
      <w:r>
        <w:rPr>
          <w:lang w:eastAsia="en-AU"/>
        </w:rPr>
        <w:t xml:space="preserve">The </w:t>
      </w:r>
      <w:r w:rsidRPr="004C6BFA">
        <w:rPr>
          <w:lang w:eastAsia="en-AU"/>
        </w:rPr>
        <w:t xml:space="preserve">Advisory Committee on the Safety of Vaccines </w:t>
      </w:r>
      <w:r>
        <w:rPr>
          <w:lang w:eastAsia="en-AU"/>
        </w:rPr>
        <w:t>(</w:t>
      </w:r>
      <w:r w:rsidR="00BD0C2E" w:rsidRPr="00BD0C2E">
        <w:rPr>
          <w:lang w:eastAsia="en-AU"/>
        </w:rPr>
        <w:t>ACSOV</w:t>
      </w:r>
      <w:r>
        <w:rPr>
          <w:lang w:eastAsia="en-AU"/>
        </w:rPr>
        <w:t>)</w:t>
      </w:r>
      <w:r w:rsidR="00BD0C2E" w:rsidRPr="00BD0C2E">
        <w:rPr>
          <w:lang w:eastAsia="en-AU"/>
        </w:rPr>
        <w:t xml:space="preserve"> stated that “with vaccines manufactured in CCL there is the potential for </w:t>
      </w:r>
      <w:proofErr w:type="spellStart"/>
      <w:r w:rsidR="00BD0C2E" w:rsidRPr="00BD0C2E">
        <w:rPr>
          <w:lang w:eastAsia="en-AU"/>
        </w:rPr>
        <w:t>tumorigenicity</w:t>
      </w:r>
      <w:proofErr w:type="spellEnd"/>
      <w:r w:rsidR="00BD0C2E" w:rsidRPr="00BD0C2E">
        <w:rPr>
          <w:lang w:eastAsia="en-AU"/>
        </w:rPr>
        <w:t>” and concluded that the current evidence neither supports nor refutes the addition of these safety concerns</w:t>
      </w:r>
      <w:r w:rsidR="008503A9">
        <w:rPr>
          <w:lang w:eastAsia="en-AU"/>
        </w:rPr>
        <w:t xml:space="preserve"> to the RMP</w:t>
      </w:r>
      <w:r w:rsidR="00BD0C2E">
        <w:rPr>
          <w:lang w:eastAsia="en-AU"/>
        </w:rPr>
        <w:t>.</w:t>
      </w:r>
    </w:p>
    <w:p w:rsidR="00BD0C2E" w:rsidRDefault="00BD0C2E" w:rsidP="00307FF0">
      <w:pPr>
        <w:rPr>
          <w:lang w:eastAsia="en-AU"/>
        </w:rPr>
      </w:pPr>
      <w:r w:rsidRPr="00BD0C2E">
        <w:rPr>
          <w:lang w:eastAsia="en-AU"/>
        </w:rPr>
        <w:t>On balance, the evaluator considers that the inclusion of these safety concerns as important potential risks</w:t>
      </w:r>
      <w:r>
        <w:rPr>
          <w:lang w:eastAsia="en-AU"/>
        </w:rPr>
        <w:t xml:space="preserve"> is not warranted at this time.</w:t>
      </w:r>
    </w:p>
    <w:p w:rsidR="00BD0C2E" w:rsidRDefault="00BD0C2E" w:rsidP="00307FF0">
      <w:pPr>
        <w:rPr>
          <w:lang w:eastAsia="en-AU"/>
        </w:rPr>
      </w:pPr>
      <w:r w:rsidRPr="00BD0C2E">
        <w:rPr>
          <w:lang w:eastAsia="en-AU"/>
        </w:rPr>
        <w:lastRenderedPageBreak/>
        <w:t>However it is recommended to the Delegate that the risks of ‘</w:t>
      </w:r>
      <w:proofErr w:type="spellStart"/>
      <w:r w:rsidRPr="00BD0C2E">
        <w:rPr>
          <w:lang w:eastAsia="en-AU"/>
        </w:rPr>
        <w:t>tumorigenicity</w:t>
      </w:r>
      <w:proofErr w:type="spellEnd"/>
      <w:r w:rsidRPr="00BD0C2E">
        <w:rPr>
          <w:lang w:eastAsia="en-AU"/>
        </w:rPr>
        <w:t>’, ‘infectivity’ and ‘oncogenic potential’ are added as missing information to the RMP and/or ASA. This would be assumed to include the unknown effects of repeat dosi</w:t>
      </w:r>
      <w:r>
        <w:rPr>
          <w:lang w:eastAsia="en-AU"/>
        </w:rPr>
        <w:t>ng on this missing information.</w:t>
      </w:r>
    </w:p>
    <w:p w:rsidR="00BD0C2E" w:rsidRDefault="00BD0C2E" w:rsidP="00307FF0">
      <w:pPr>
        <w:rPr>
          <w:lang w:eastAsia="en-AU"/>
        </w:rPr>
      </w:pPr>
      <w:r w:rsidRPr="00BD0C2E">
        <w:rPr>
          <w:lang w:eastAsia="en-AU"/>
        </w:rPr>
        <w:t>In noting the challenges of monitoring these risks, ACSOV queried the feasibility of a study to monitor them given the time delay to onset and likely confounding factors. Routine pharmacovigilance would th</w:t>
      </w:r>
      <w:r>
        <w:rPr>
          <w:lang w:eastAsia="en-AU"/>
        </w:rPr>
        <w:t>erefore be considered adequate.</w:t>
      </w:r>
    </w:p>
    <w:p w:rsidR="00307FF0" w:rsidRDefault="00BD0C2E" w:rsidP="00307FF0">
      <w:pPr>
        <w:rPr>
          <w:lang w:eastAsia="en-AU"/>
        </w:rPr>
      </w:pPr>
      <w:r w:rsidRPr="00BD0C2E">
        <w:rPr>
          <w:lang w:eastAsia="en-AU"/>
        </w:rPr>
        <w:t>ACSOV advised that to further quantify the risk in relation to these safety issues more information was required including a</w:t>
      </w:r>
      <w:r w:rsidR="00C07754">
        <w:rPr>
          <w:lang w:eastAsia="en-AU"/>
        </w:rPr>
        <w:t xml:space="preserve">vailable </w:t>
      </w:r>
      <w:r w:rsidR="007A51C2" w:rsidRPr="007A51C2">
        <w:rPr>
          <w:lang w:eastAsia="en-AU"/>
        </w:rPr>
        <w:t>Periodic Safety Update Report</w:t>
      </w:r>
      <w:r w:rsidR="007A51C2">
        <w:rPr>
          <w:lang w:eastAsia="en-AU"/>
        </w:rPr>
        <w:t>s (</w:t>
      </w:r>
      <w:r w:rsidR="00C07754">
        <w:rPr>
          <w:lang w:eastAsia="en-AU"/>
        </w:rPr>
        <w:t>PSURs</w:t>
      </w:r>
      <w:r w:rsidR="007A51C2">
        <w:rPr>
          <w:lang w:eastAsia="en-AU"/>
        </w:rPr>
        <w:t>)</w:t>
      </w:r>
      <w:r w:rsidRPr="00BD0C2E">
        <w:rPr>
          <w:lang w:eastAsia="en-AU"/>
        </w:rPr>
        <w:t>.</w:t>
      </w:r>
    </w:p>
    <w:p w:rsidR="00307FF0" w:rsidRDefault="00307FF0" w:rsidP="00307FF0">
      <w:pPr>
        <w:pStyle w:val="Heading5"/>
      </w:pPr>
      <w:r w:rsidRPr="00A24C10">
        <w:t xml:space="preserve">Recommendation </w:t>
      </w:r>
      <w:r>
        <w:t xml:space="preserve">#3 </w:t>
      </w:r>
      <w:r w:rsidRPr="00A24C10">
        <w:t>in RMP evaluation report</w:t>
      </w:r>
    </w:p>
    <w:p w:rsidR="00307FF0" w:rsidRPr="00D752A8" w:rsidRDefault="00CA30B8" w:rsidP="00307FF0">
      <w:r w:rsidRPr="00FA2786">
        <w:rPr>
          <w:rFonts w:asciiTheme="minorHAnsi" w:hAnsiTheme="minorHAnsi"/>
        </w:rPr>
        <w:t>At the time of approval in the EU</w:t>
      </w:r>
      <w:r w:rsidR="00D32C9C">
        <w:rPr>
          <w:rFonts w:asciiTheme="minorHAnsi" w:hAnsiTheme="minorHAnsi"/>
        </w:rPr>
        <w:t>,</w:t>
      </w:r>
      <w:r w:rsidRPr="00FA2786">
        <w:rPr>
          <w:rFonts w:asciiTheme="minorHAnsi" w:hAnsiTheme="minorHAnsi"/>
        </w:rPr>
        <w:t xml:space="preserve"> the European Public Assessment Report (</w:t>
      </w:r>
      <w:r w:rsidR="00D32C9C">
        <w:rPr>
          <w:rFonts w:asciiTheme="minorHAnsi" w:hAnsiTheme="minorHAnsi"/>
        </w:rPr>
        <w:t xml:space="preserve">EPAR; </w:t>
      </w:r>
      <w:r w:rsidRPr="00FA2786">
        <w:rPr>
          <w:rFonts w:asciiTheme="minorHAnsi" w:hAnsiTheme="minorHAnsi"/>
        </w:rPr>
        <w:t>available online) lists two additional identified risks: “Severe systemic reactions associated with repeated dosing” and “Increased frequency of injection site pain compared to egg</w:t>
      </w:r>
      <w:r w:rsidR="00D32C9C">
        <w:rPr>
          <w:rFonts w:asciiTheme="minorHAnsi" w:hAnsiTheme="minorHAnsi"/>
        </w:rPr>
        <w:t xml:space="preserve"> </w:t>
      </w:r>
      <w:r w:rsidRPr="00FA2786">
        <w:rPr>
          <w:rFonts w:asciiTheme="minorHAnsi" w:hAnsiTheme="minorHAnsi"/>
        </w:rPr>
        <w:t>based vaccines”.</w:t>
      </w:r>
      <w:r w:rsidR="007A7CDB">
        <w:rPr>
          <w:rFonts w:asciiTheme="minorHAnsi" w:hAnsiTheme="minorHAnsi"/>
        </w:rPr>
        <w:t xml:space="preserve"> </w:t>
      </w:r>
      <w:r w:rsidRPr="00FA2786">
        <w:rPr>
          <w:rFonts w:asciiTheme="minorHAnsi" w:hAnsiTheme="minorHAnsi"/>
        </w:rPr>
        <w:t>These risks no longer appear in the most recent version of the EU-RMP provided to the TGA.</w:t>
      </w:r>
      <w:r w:rsidR="007A7CDB">
        <w:rPr>
          <w:rFonts w:asciiTheme="minorHAnsi" w:hAnsiTheme="minorHAnsi"/>
        </w:rPr>
        <w:t xml:space="preserve"> </w:t>
      </w:r>
      <w:r w:rsidRPr="00FA2786">
        <w:rPr>
          <w:rFonts w:asciiTheme="minorHAnsi" w:hAnsiTheme="minorHAnsi"/>
        </w:rPr>
        <w:t>The sponsor is requested to provide the justification for the r</w:t>
      </w:r>
      <w:r w:rsidR="00D32C9C">
        <w:rPr>
          <w:rFonts w:asciiTheme="minorHAnsi" w:hAnsiTheme="minorHAnsi"/>
        </w:rPr>
        <w:t xml:space="preserve">emoval of these risks in their Section </w:t>
      </w:r>
      <w:r w:rsidRPr="00FA2786">
        <w:rPr>
          <w:rFonts w:asciiTheme="minorHAnsi" w:hAnsiTheme="minorHAnsi"/>
        </w:rPr>
        <w:t>31 response</w:t>
      </w:r>
      <w:r>
        <w:rPr>
          <w:rFonts w:asciiTheme="minorHAnsi" w:hAnsiTheme="minorHAnsi"/>
        </w:rPr>
        <w:t>.</w:t>
      </w:r>
    </w:p>
    <w:p w:rsidR="00307FF0" w:rsidRDefault="00307FF0" w:rsidP="00307FF0">
      <w:pPr>
        <w:pStyle w:val="Heading5"/>
      </w:pPr>
      <w:r>
        <w:t>Sponsor response</w:t>
      </w:r>
    </w:p>
    <w:p w:rsidR="00307FF0" w:rsidRPr="00C14DAD" w:rsidRDefault="00DD5310" w:rsidP="00307FF0">
      <w:r w:rsidRPr="003B4D32">
        <w:rPr>
          <w:rFonts w:asciiTheme="minorHAnsi" w:hAnsiTheme="minorHAnsi"/>
          <w:lang w:eastAsia="en-AU"/>
        </w:rPr>
        <w:t xml:space="preserve">The sponsor has provided the requested justification </w:t>
      </w:r>
      <w:r w:rsidR="002B6F74">
        <w:rPr>
          <w:rFonts w:asciiTheme="minorHAnsi" w:hAnsiTheme="minorHAnsi"/>
          <w:lang w:eastAsia="en-AU"/>
        </w:rPr>
        <w:t>in their Section 3</w:t>
      </w:r>
      <w:r w:rsidRPr="003B4D32">
        <w:rPr>
          <w:rFonts w:asciiTheme="minorHAnsi" w:hAnsiTheme="minorHAnsi"/>
          <w:lang w:eastAsia="en-AU"/>
        </w:rPr>
        <w:t>1 response</w:t>
      </w:r>
      <w:r>
        <w:rPr>
          <w:rFonts w:asciiTheme="minorHAnsi" w:hAnsiTheme="minorHAnsi"/>
          <w:lang w:eastAsia="en-AU"/>
        </w:rPr>
        <w:t>.</w:t>
      </w:r>
    </w:p>
    <w:p w:rsidR="00307FF0" w:rsidRDefault="00307FF0" w:rsidP="00307FF0">
      <w:pPr>
        <w:pStyle w:val="Heading5"/>
      </w:pPr>
      <w:r>
        <w:t>OPR evaluator’s comment</w:t>
      </w:r>
    </w:p>
    <w:p w:rsidR="00307FF0" w:rsidRDefault="00782E8C" w:rsidP="00307FF0">
      <w:pPr>
        <w:rPr>
          <w:lang w:eastAsia="en-AU"/>
        </w:rPr>
      </w:pPr>
      <w:r>
        <w:rPr>
          <w:rFonts w:asciiTheme="minorHAnsi" w:hAnsiTheme="minorHAnsi"/>
          <w:lang w:eastAsia="en-AU"/>
        </w:rPr>
        <w:t>The sponsor’s justification is acceptable.</w:t>
      </w:r>
    </w:p>
    <w:p w:rsidR="00307FF0" w:rsidRDefault="00307FF0" w:rsidP="00307FF0">
      <w:pPr>
        <w:pStyle w:val="Heading5"/>
      </w:pPr>
      <w:r w:rsidRPr="00A24C10">
        <w:t xml:space="preserve">Recommendation </w:t>
      </w:r>
      <w:r>
        <w:t xml:space="preserve">#4 </w:t>
      </w:r>
      <w:r w:rsidRPr="00A24C10">
        <w:t>in RMP evaluation report</w:t>
      </w:r>
    </w:p>
    <w:p w:rsidR="00307FF0" w:rsidRPr="00D752A8" w:rsidRDefault="00930F8C" w:rsidP="00307FF0">
      <w:r w:rsidRPr="00FA2786">
        <w:rPr>
          <w:rFonts w:asciiTheme="minorHAnsi" w:hAnsiTheme="minorHAnsi"/>
        </w:rPr>
        <w:t xml:space="preserve">The sponsor has provided an assurance in the ASA that </w:t>
      </w:r>
      <w:r w:rsidR="001143DA">
        <w:rPr>
          <w:rFonts w:asciiTheme="minorHAnsi" w:hAnsiTheme="minorHAnsi"/>
        </w:rPr>
        <w:t>AE</w:t>
      </w:r>
      <w:r w:rsidRPr="00FA2786">
        <w:rPr>
          <w:rFonts w:asciiTheme="minorHAnsi" w:hAnsiTheme="minorHAnsi"/>
        </w:rPr>
        <w:t xml:space="preserve"> reports will be handled in line with “Australian requirements and recommendations for pharmacovigilance responsibilities of sponsors of medicines version 1.2, August 2013”.</w:t>
      </w:r>
      <w:r w:rsidR="007A7CDB">
        <w:rPr>
          <w:rFonts w:asciiTheme="minorHAnsi" w:hAnsiTheme="minorHAnsi"/>
        </w:rPr>
        <w:t xml:space="preserve"> </w:t>
      </w:r>
      <w:r w:rsidRPr="00FA2786">
        <w:rPr>
          <w:rFonts w:asciiTheme="minorHAnsi" w:hAnsiTheme="minorHAnsi"/>
        </w:rPr>
        <w:t>The sponsor is advised that this document has been recently updated (version 1.3, June 2014) and the reference in the ASA should be amended accordingly</w:t>
      </w:r>
      <w:r>
        <w:rPr>
          <w:rFonts w:asciiTheme="minorHAnsi" w:hAnsiTheme="minorHAnsi"/>
        </w:rPr>
        <w:t>.</w:t>
      </w:r>
    </w:p>
    <w:p w:rsidR="00307FF0" w:rsidRDefault="00307FF0" w:rsidP="00307FF0">
      <w:pPr>
        <w:pStyle w:val="Heading5"/>
      </w:pPr>
      <w:r>
        <w:t>Sponsor response</w:t>
      </w:r>
    </w:p>
    <w:p w:rsidR="00307FF0" w:rsidRPr="00C14DAD" w:rsidRDefault="00952798" w:rsidP="00307FF0">
      <w:r w:rsidRPr="00952798">
        <w:t>Novartis acknowledges this request. The reference in the ASA for “Australian requirements and recommendations for pharmacovigilance responsibilities of sponsors of medicines” has been updated to current version 1.3, June 2014. Please find updated ASA</w:t>
      </w:r>
      <w:r>
        <w:t>.</w:t>
      </w:r>
    </w:p>
    <w:p w:rsidR="00307FF0" w:rsidRDefault="00307FF0" w:rsidP="00307FF0">
      <w:pPr>
        <w:pStyle w:val="Heading5"/>
      </w:pPr>
      <w:r>
        <w:t>OPR evaluator’s comment</w:t>
      </w:r>
    </w:p>
    <w:p w:rsidR="00307FF0" w:rsidRDefault="00350E3F" w:rsidP="00307FF0">
      <w:pPr>
        <w:rPr>
          <w:lang w:eastAsia="en-AU"/>
        </w:rPr>
      </w:pPr>
      <w:r>
        <w:t>This is acceptable.</w:t>
      </w:r>
    </w:p>
    <w:p w:rsidR="00307FF0" w:rsidRDefault="00307FF0" w:rsidP="00307FF0">
      <w:pPr>
        <w:pStyle w:val="Heading5"/>
      </w:pPr>
      <w:r w:rsidRPr="00A24C10">
        <w:t xml:space="preserve">Recommendation </w:t>
      </w:r>
      <w:r>
        <w:t xml:space="preserve">#5 </w:t>
      </w:r>
      <w:r w:rsidRPr="00A24C10">
        <w:t>in RMP evaluation report</w:t>
      </w:r>
    </w:p>
    <w:p w:rsidR="00307FF0" w:rsidRPr="00D752A8" w:rsidRDefault="00C948D1" w:rsidP="00307FF0">
      <w:r w:rsidRPr="00FA2786">
        <w:rPr>
          <w:rFonts w:asciiTheme="minorHAnsi" w:eastAsia="MS Mincho" w:hAnsiTheme="minorHAnsi"/>
          <w:lang w:eastAsia="en-AU"/>
        </w:rPr>
        <w:t>The ongoing pharmacovigilance studies will either generate safety data that will simply support the known safety profile of the medicine or generate data that will provoke applications to amend the Australian registration details. It is recommended that all interim reports and final reports for each activity are provided to the TGA accordingly</w:t>
      </w:r>
      <w:r>
        <w:rPr>
          <w:rFonts w:asciiTheme="minorHAnsi" w:eastAsia="MS Mincho" w:hAnsiTheme="minorHAnsi"/>
          <w:lang w:eastAsia="en-AU"/>
        </w:rPr>
        <w:t>.</w:t>
      </w:r>
    </w:p>
    <w:p w:rsidR="00307FF0" w:rsidRDefault="00307FF0" w:rsidP="00307FF0">
      <w:pPr>
        <w:pStyle w:val="Heading5"/>
      </w:pPr>
      <w:r>
        <w:t>Sponsor response</w:t>
      </w:r>
    </w:p>
    <w:p w:rsidR="00307FF0" w:rsidRPr="00C14DAD" w:rsidRDefault="003D6CD0" w:rsidP="00307FF0">
      <w:r w:rsidRPr="003D6CD0">
        <w:t>There is no planned submission of interim and final reports to the TGA, but they are available upon request. Novartis confirms that any change to</w:t>
      </w:r>
      <w:r w:rsidR="00124E82">
        <w:t xml:space="preserve"> the risk/benefit profile (that is, </w:t>
      </w:r>
      <w:r w:rsidRPr="003D6CD0">
        <w:t>new safety information) that would become available from these studies would be added to the PSUR. They may also be submitted to the TGA via safety related notifications.</w:t>
      </w:r>
    </w:p>
    <w:p w:rsidR="00307FF0" w:rsidRDefault="00307FF0" w:rsidP="00307FF0">
      <w:pPr>
        <w:pStyle w:val="Heading5"/>
      </w:pPr>
      <w:r>
        <w:t>OPR evaluator’s comment</w:t>
      </w:r>
    </w:p>
    <w:p w:rsidR="00307FF0" w:rsidRDefault="00AE348E" w:rsidP="00307FF0">
      <w:pPr>
        <w:rPr>
          <w:lang w:eastAsia="en-AU"/>
        </w:rPr>
      </w:pPr>
      <w:r>
        <w:rPr>
          <w:rFonts w:asciiTheme="minorHAnsi" w:hAnsiTheme="minorHAnsi"/>
          <w:lang w:eastAsia="en-AU"/>
        </w:rPr>
        <w:t>The sponsor’s response is noted.</w:t>
      </w:r>
      <w:r w:rsidR="007A7CDB">
        <w:rPr>
          <w:rFonts w:asciiTheme="minorHAnsi" w:hAnsiTheme="minorHAnsi"/>
          <w:lang w:eastAsia="en-AU"/>
        </w:rPr>
        <w:t xml:space="preserve"> </w:t>
      </w:r>
      <w:r>
        <w:rPr>
          <w:rFonts w:asciiTheme="minorHAnsi" w:hAnsiTheme="minorHAnsi"/>
          <w:lang w:eastAsia="en-AU"/>
        </w:rPr>
        <w:t>Results of any study, performed as part of the pharmacovigilance plan, are expected to be summarised in the PSUR.</w:t>
      </w:r>
    </w:p>
    <w:p w:rsidR="00307FF0" w:rsidRDefault="00307FF0" w:rsidP="00307FF0">
      <w:pPr>
        <w:pStyle w:val="Heading5"/>
      </w:pPr>
      <w:r w:rsidRPr="00A24C10">
        <w:lastRenderedPageBreak/>
        <w:t xml:space="preserve">Recommendation </w:t>
      </w:r>
      <w:r>
        <w:t xml:space="preserve">#6 </w:t>
      </w:r>
      <w:r w:rsidRPr="00A24C10">
        <w:t>in RMP evaluation report</w:t>
      </w:r>
    </w:p>
    <w:p w:rsidR="00307FF0" w:rsidRPr="00D752A8" w:rsidRDefault="00114F4D" w:rsidP="00307FF0">
      <w:r w:rsidRPr="00FA2786">
        <w:rPr>
          <w:rFonts w:asciiTheme="minorHAnsi" w:hAnsiTheme="minorHAnsi"/>
        </w:rPr>
        <w:t xml:space="preserve">The sponsor has concluded that no risk minimisation activities are required for the important potential risks ‘Neuritis’, ‘Encephalitis’ and ‘Immune </w:t>
      </w:r>
      <w:proofErr w:type="spellStart"/>
      <w:r w:rsidRPr="00FA2786">
        <w:rPr>
          <w:rFonts w:asciiTheme="minorHAnsi" w:hAnsiTheme="minorHAnsi"/>
        </w:rPr>
        <w:t>thrombocytopaenia</w:t>
      </w:r>
      <w:proofErr w:type="spellEnd"/>
      <w:r w:rsidRPr="00FA2786">
        <w:rPr>
          <w:rFonts w:asciiTheme="minorHAnsi" w:hAnsiTheme="minorHAnsi"/>
        </w:rPr>
        <w:t>’.</w:t>
      </w:r>
      <w:r w:rsidR="007A7CDB">
        <w:rPr>
          <w:rFonts w:asciiTheme="minorHAnsi" w:hAnsiTheme="minorHAnsi"/>
        </w:rPr>
        <w:t xml:space="preserve"> </w:t>
      </w:r>
      <w:r w:rsidRPr="00FA2786">
        <w:rPr>
          <w:rFonts w:asciiTheme="minorHAnsi" w:hAnsiTheme="minorHAnsi"/>
        </w:rPr>
        <w:t xml:space="preserve">However encephalomyelitis, neuritis, vasculitis and </w:t>
      </w:r>
      <w:proofErr w:type="spellStart"/>
      <w:r w:rsidRPr="00FA2786">
        <w:rPr>
          <w:rFonts w:asciiTheme="minorHAnsi" w:hAnsiTheme="minorHAnsi"/>
        </w:rPr>
        <w:t>thrombocytopaenia</w:t>
      </w:r>
      <w:proofErr w:type="spellEnd"/>
      <w:r w:rsidRPr="00FA2786">
        <w:rPr>
          <w:rFonts w:asciiTheme="minorHAnsi" w:hAnsiTheme="minorHAnsi"/>
        </w:rPr>
        <w:t xml:space="preserve"> all appear in the summary of adverse reactions table in the EU Summary of Product Characteristics (</w:t>
      </w:r>
      <w:proofErr w:type="spellStart"/>
      <w:r w:rsidRPr="00FA2786">
        <w:rPr>
          <w:rFonts w:asciiTheme="minorHAnsi" w:hAnsiTheme="minorHAnsi"/>
        </w:rPr>
        <w:t>SmPC</w:t>
      </w:r>
      <w:proofErr w:type="spellEnd"/>
      <w:r w:rsidRPr="00FA2786">
        <w:rPr>
          <w:rFonts w:asciiTheme="minorHAnsi" w:hAnsiTheme="minorHAnsi"/>
        </w:rPr>
        <w:t>).</w:t>
      </w:r>
      <w:r w:rsidR="007A7CDB">
        <w:rPr>
          <w:rFonts w:asciiTheme="minorHAnsi" w:hAnsiTheme="minorHAnsi"/>
        </w:rPr>
        <w:t xml:space="preserve"> </w:t>
      </w:r>
      <w:r w:rsidRPr="00FA2786">
        <w:rPr>
          <w:rFonts w:asciiTheme="minorHAnsi" w:hAnsiTheme="minorHAnsi"/>
        </w:rPr>
        <w:t>The sponsor is requested to clarify the reason for the inclusion of these risks in the EU document on the basis that the justification for not including them in the Australian labelling is that there were no corresponding adverse reaction</w:t>
      </w:r>
      <w:r w:rsidR="0001338C">
        <w:rPr>
          <w:rFonts w:asciiTheme="minorHAnsi" w:hAnsiTheme="minorHAnsi"/>
        </w:rPr>
        <w:t xml:space="preserve">s from clinical studies or </w:t>
      </w:r>
      <w:proofErr w:type="spellStart"/>
      <w:r w:rsidR="0001338C">
        <w:rPr>
          <w:rFonts w:asciiTheme="minorHAnsi" w:hAnsiTheme="minorHAnsi"/>
        </w:rPr>
        <w:t>post</w:t>
      </w:r>
      <w:r w:rsidRPr="00FA2786">
        <w:rPr>
          <w:rFonts w:asciiTheme="minorHAnsi" w:hAnsiTheme="minorHAnsi"/>
        </w:rPr>
        <w:t>marketing</w:t>
      </w:r>
      <w:proofErr w:type="spellEnd"/>
      <w:r w:rsidRPr="00FA2786">
        <w:rPr>
          <w:rFonts w:asciiTheme="minorHAnsi" w:hAnsiTheme="minorHAnsi"/>
        </w:rPr>
        <w:t xml:space="preserve"> studies</w:t>
      </w:r>
      <w:r>
        <w:rPr>
          <w:rFonts w:asciiTheme="minorHAnsi" w:hAnsiTheme="minorHAnsi"/>
        </w:rPr>
        <w:t>.</w:t>
      </w:r>
    </w:p>
    <w:p w:rsidR="00307FF0" w:rsidRDefault="00307FF0" w:rsidP="00307FF0">
      <w:pPr>
        <w:pStyle w:val="Heading5"/>
      </w:pPr>
      <w:r>
        <w:t>Sponsor response</w:t>
      </w:r>
    </w:p>
    <w:p w:rsidR="00307FF0" w:rsidRPr="00F812C7" w:rsidRDefault="003229C8" w:rsidP="00F812C7">
      <w:r w:rsidRPr="00F812C7">
        <w:t xml:space="preserve">The potential risks encephalomyelitis, neuritis, vasculitis and </w:t>
      </w:r>
      <w:proofErr w:type="spellStart"/>
      <w:r w:rsidRPr="00F812C7">
        <w:t>thrombocytopaenia</w:t>
      </w:r>
      <w:proofErr w:type="spellEnd"/>
      <w:r w:rsidRPr="00F812C7">
        <w:t xml:space="preserve"> are included in the EU </w:t>
      </w:r>
      <w:proofErr w:type="spellStart"/>
      <w:r w:rsidRPr="00F812C7">
        <w:t>SmPC</w:t>
      </w:r>
      <w:proofErr w:type="spellEnd"/>
      <w:r w:rsidRPr="00F812C7">
        <w:t xml:space="preserve"> because they have been reported in association with egg-based influenza vaccines. We did not include them in the proposed Australian label because, based on the current clinical trial and </w:t>
      </w:r>
      <w:proofErr w:type="spellStart"/>
      <w:r w:rsidRPr="00F812C7">
        <w:t>postmarket</w:t>
      </w:r>
      <w:proofErr w:type="spellEnd"/>
      <w:r w:rsidRPr="00F812C7">
        <w:t xml:space="preserve"> adverse effects data, there is insufficient evidence to conclude a causal relationship between these events and </w:t>
      </w:r>
      <w:proofErr w:type="spellStart"/>
      <w:r w:rsidRPr="00F812C7">
        <w:t>Optaflu</w:t>
      </w:r>
      <w:proofErr w:type="spellEnd"/>
      <w:r w:rsidRPr="00F812C7">
        <w:t>.</w:t>
      </w:r>
    </w:p>
    <w:p w:rsidR="00307FF0" w:rsidRDefault="00307FF0" w:rsidP="00307FF0">
      <w:pPr>
        <w:pStyle w:val="Heading5"/>
      </w:pPr>
      <w:r>
        <w:t>OPR evaluator’s comment</w:t>
      </w:r>
    </w:p>
    <w:p w:rsidR="00E81CE3" w:rsidRPr="00A73C19" w:rsidRDefault="00E81CE3" w:rsidP="00A73C19">
      <w:r w:rsidRPr="00A73C19">
        <w:t xml:space="preserve">The evaluator does not consider that these risks are presented in the EU </w:t>
      </w:r>
      <w:proofErr w:type="spellStart"/>
      <w:r w:rsidRPr="00A73C19">
        <w:t>SmPC</w:t>
      </w:r>
      <w:proofErr w:type="spellEnd"/>
      <w:r w:rsidRPr="00A73C19">
        <w:t xml:space="preserve"> as pertaining to egg</w:t>
      </w:r>
      <w:r w:rsidR="00190E2A">
        <w:t xml:space="preserve"> </w:t>
      </w:r>
      <w:r w:rsidRPr="00A73C19">
        <w:t>based vaccines.</w:t>
      </w:r>
      <w:r w:rsidR="007A7CDB">
        <w:t xml:space="preserve"> </w:t>
      </w:r>
      <w:r w:rsidRPr="00A73C19">
        <w:t>‘Encephalomyelitis’, ‘neuritis’ and ‘</w:t>
      </w:r>
      <w:proofErr w:type="spellStart"/>
      <w:r w:rsidRPr="00A73C19">
        <w:t>thrombocytopaenia</w:t>
      </w:r>
      <w:proofErr w:type="spellEnd"/>
      <w:r w:rsidRPr="00A73C19">
        <w:t xml:space="preserve">’ appear the EU </w:t>
      </w:r>
      <w:proofErr w:type="spellStart"/>
      <w:r w:rsidRPr="00A73C19">
        <w:t>SmPC</w:t>
      </w:r>
      <w:proofErr w:type="spellEnd"/>
      <w:r w:rsidRPr="00A73C19">
        <w:t xml:space="preserve"> which relates to adverse events seen with </w:t>
      </w:r>
      <w:proofErr w:type="spellStart"/>
      <w:r w:rsidRPr="00A73C19">
        <w:t>Optaflu</w:t>
      </w:r>
      <w:proofErr w:type="spellEnd"/>
      <w:r w:rsidRPr="00A73C19">
        <w:t>.</w:t>
      </w:r>
      <w:r w:rsidR="007A7CDB">
        <w:t xml:space="preserve"> </w:t>
      </w:r>
      <w:r w:rsidRPr="00A73C19">
        <w:t>Preceding this table there is no mention of the association with egg</w:t>
      </w:r>
      <w:r w:rsidR="00000BEB">
        <w:t xml:space="preserve"> </w:t>
      </w:r>
      <w:r w:rsidRPr="00A73C19">
        <w:t>based vaccines.</w:t>
      </w:r>
    </w:p>
    <w:p w:rsidR="00E81CE3" w:rsidRPr="00A73C19" w:rsidRDefault="00E81CE3" w:rsidP="00A73C19">
      <w:r w:rsidRPr="00A73C19">
        <w:t>Insufficient evidence to conclude a causal relationship does not necessarily erase the need for inclusion of a particular risk in the PI, particularly when that risk is clinically important and has been reported.</w:t>
      </w:r>
      <w:r w:rsidR="007A7CDB">
        <w:t xml:space="preserve"> </w:t>
      </w:r>
      <w:r w:rsidRPr="00A73C19">
        <w:t>Such risks, appropriately qualified, could be listed in the post-marketing adverse events section for example.</w:t>
      </w:r>
    </w:p>
    <w:p w:rsidR="00307FF0" w:rsidRPr="00A73C19" w:rsidRDefault="00E81CE3" w:rsidP="00A73C19">
      <w:r w:rsidRPr="00A73C19">
        <w:t>Nevertheless</w:t>
      </w:r>
      <w:r w:rsidR="00000BEB">
        <w:t>,</w:t>
      </w:r>
      <w:r w:rsidRPr="00A73C19">
        <w:t xml:space="preserve"> inclusion of these risks in the PI is subject to decision by the Delegate.</w:t>
      </w:r>
    </w:p>
    <w:p w:rsidR="00307FF0" w:rsidRDefault="00307FF0" w:rsidP="00307FF0">
      <w:pPr>
        <w:pStyle w:val="Heading5"/>
      </w:pPr>
      <w:r w:rsidRPr="00A24C10">
        <w:t xml:space="preserve">Recommendation </w:t>
      </w:r>
      <w:r>
        <w:t xml:space="preserve">#7 </w:t>
      </w:r>
      <w:r w:rsidRPr="00A24C10">
        <w:t>in RMP evaluation report</w:t>
      </w:r>
    </w:p>
    <w:p w:rsidR="00307FF0" w:rsidRPr="009B694E" w:rsidRDefault="00612FFA" w:rsidP="00C15A91">
      <w:proofErr w:type="spellStart"/>
      <w:r w:rsidRPr="009B694E">
        <w:t>Optaflu</w:t>
      </w:r>
      <w:proofErr w:type="spellEnd"/>
      <w:r w:rsidRPr="009B694E">
        <w:t xml:space="preserve"> has the advantage of being available for use in egg</w:t>
      </w:r>
      <w:r w:rsidR="00BC6720">
        <w:t xml:space="preserve"> </w:t>
      </w:r>
      <w:r w:rsidRPr="009B694E">
        <w:t>allergic individuals.</w:t>
      </w:r>
      <w:r w:rsidR="007A7CDB">
        <w:t xml:space="preserve"> </w:t>
      </w:r>
      <w:r w:rsidRPr="009B694E">
        <w:t xml:space="preserve">Logically there is a potential for susceptible individuals to be at an increased risk of hypersensitivity due to the possible presence of dog allergens in </w:t>
      </w:r>
      <w:proofErr w:type="spellStart"/>
      <w:r w:rsidRPr="009B694E">
        <w:t>Optaflu</w:t>
      </w:r>
      <w:proofErr w:type="spellEnd"/>
      <w:r w:rsidRPr="009B694E">
        <w:t>.</w:t>
      </w:r>
      <w:r w:rsidR="007A7CDB">
        <w:t xml:space="preserve"> </w:t>
      </w:r>
      <w:r w:rsidRPr="009B694E">
        <w:t>The sponsor is requested to respond to this in the context that this fact is not sufficiently addressed in the product labelling.</w:t>
      </w:r>
    </w:p>
    <w:p w:rsidR="00307FF0" w:rsidRDefault="00307FF0" w:rsidP="00307FF0">
      <w:pPr>
        <w:pStyle w:val="Heading5"/>
      </w:pPr>
      <w:r>
        <w:t>Sponsor response</w:t>
      </w:r>
    </w:p>
    <w:p w:rsidR="00307FF0" w:rsidRPr="00C14DAD" w:rsidRDefault="00BC6720" w:rsidP="00307FF0">
      <w:proofErr w:type="spellStart"/>
      <w:r>
        <w:t>Optaflu</w:t>
      </w:r>
      <w:proofErr w:type="spellEnd"/>
      <w:r w:rsidR="009B694E" w:rsidRPr="009B694E">
        <w:t xml:space="preserve"> is an inactivated subunit trivalent influenza virus vaccine prepared from vi</w:t>
      </w:r>
      <w:r w:rsidR="00660F3C">
        <w:t xml:space="preserve">rus propagated in MDCK (EU </w:t>
      </w:r>
      <w:proofErr w:type="spellStart"/>
      <w:r w:rsidR="00660F3C">
        <w:t>SmPC</w:t>
      </w:r>
      <w:proofErr w:type="spellEnd"/>
      <w:r w:rsidR="009B694E" w:rsidRPr="009B694E">
        <w:t xml:space="preserve">). MDCK cells do not express known major canine allergens associated with hypersensitivity reactions; however, minor canine allergens may be present posing a hypothetical concern with hypersensitivity reactions. A post hoc review was performed using the </w:t>
      </w:r>
      <w:proofErr w:type="spellStart"/>
      <w:r w:rsidR="009B694E" w:rsidRPr="009B694E">
        <w:t>Optaflu</w:t>
      </w:r>
      <w:proofErr w:type="spellEnd"/>
      <w:r w:rsidR="009B694E" w:rsidRPr="009B694E">
        <w:t xml:space="preserve"> clinical trials dat</w:t>
      </w:r>
      <w:r w:rsidR="006D7BA3">
        <w:t>abase. There were a total of 10</w:t>
      </w:r>
      <w:r w:rsidR="009B694E" w:rsidRPr="009B694E">
        <w:t xml:space="preserve">065 </w:t>
      </w:r>
      <w:proofErr w:type="spellStart"/>
      <w:r w:rsidR="009B694E" w:rsidRPr="009B694E">
        <w:t>Optaflu</w:t>
      </w:r>
      <w:proofErr w:type="spellEnd"/>
      <w:r w:rsidR="009B694E" w:rsidRPr="009B694E">
        <w:t xml:space="preserve"> recipients, of which, ten individuals who reported a dog allergy did not report any hypersensitivity reactions. Limitations of this review include: the nature of the specific dog allergy was not well defined, the prevalence of dog allergy observed in </w:t>
      </w:r>
      <w:proofErr w:type="spellStart"/>
      <w:r w:rsidR="009B694E" w:rsidRPr="009B694E">
        <w:t>Optaflu</w:t>
      </w:r>
      <w:proofErr w:type="spellEnd"/>
      <w:r w:rsidR="009B694E" w:rsidRPr="009B694E">
        <w:t xml:space="preserve"> clinical trials was lower than expected in the general population and the number of subjects who had dog allergy was too small to be statistically significant or to see a definitive trend. In an in vitro study, rat basophil </w:t>
      </w:r>
      <w:proofErr w:type="spellStart"/>
      <w:r w:rsidR="009B694E" w:rsidRPr="009B694E">
        <w:t>leukemia</w:t>
      </w:r>
      <w:proofErr w:type="spellEnd"/>
      <w:r w:rsidR="009B694E" w:rsidRPr="009B694E">
        <w:t xml:space="preserve"> (RBL) cells expressing the human </w:t>
      </w:r>
      <w:proofErr w:type="spellStart"/>
      <w:r w:rsidR="009B694E" w:rsidRPr="009B694E">
        <w:t>IgE</w:t>
      </w:r>
      <w:proofErr w:type="spellEnd"/>
      <w:r w:rsidR="009B694E" w:rsidRPr="009B694E">
        <w:t xml:space="preserve"> receptor-1 were sensitised by exposure to sera from 30 confirmed dog allergic individuals to evaluate </w:t>
      </w:r>
      <w:proofErr w:type="spellStart"/>
      <w:r w:rsidR="009B694E" w:rsidRPr="009B694E">
        <w:t>allergenicity</w:t>
      </w:r>
      <w:proofErr w:type="spellEnd"/>
      <w:r w:rsidR="009B694E" w:rsidRPr="009B694E">
        <w:t xml:space="preserve"> of </w:t>
      </w:r>
      <w:proofErr w:type="spellStart"/>
      <w:r w:rsidR="009B694E" w:rsidRPr="009B694E">
        <w:t>Optaflu</w:t>
      </w:r>
      <w:proofErr w:type="spellEnd"/>
      <w:r w:rsidR="009B694E" w:rsidRPr="009B694E">
        <w:t xml:space="preserve"> using a mediator release assay. This type of assay can detect low levels of allergens. Participants selected all had convincing symptoms of immediate hypersensitivity on exposure to dogs, such as </w:t>
      </w:r>
      <w:proofErr w:type="spellStart"/>
      <w:r w:rsidR="009B694E" w:rsidRPr="009B694E">
        <w:t>rhinorrhea</w:t>
      </w:r>
      <w:proofErr w:type="spellEnd"/>
      <w:r w:rsidR="009B694E" w:rsidRPr="009B694E">
        <w:t xml:space="preserve">, nasal congestion, nasal pruritus, ocular pruritus, ocular discharge, ocular injection, cough, wheezing, shortness of breath or cutaneous symptoms and both a positive skin prick test and defined serum </w:t>
      </w:r>
      <w:proofErr w:type="spellStart"/>
      <w:r w:rsidR="009B694E" w:rsidRPr="009B694E">
        <w:t>IgE</w:t>
      </w:r>
      <w:proofErr w:type="spellEnd"/>
      <w:r w:rsidR="009B694E" w:rsidRPr="009B694E">
        <w:t xml:space="preserve"> antibody </w:t>
      </w:r>
      <w:r w:rsidR="009B694E" w:rsidRPr="009B694E">
        <w:lastRenderedPageBreak/>
        <w:t>level to dog dander and epithelium. None of the 30 dog</w:t>
      </w:r>
      <w:r w:rsidR="00281259">
        <w:t xml:space="preserve"> </w:t>
      </w:r>
      <w:r w:rsidR="009B694E" w:rsidRPr="009B694E">
        <w:t>allergic patients’ sera produced rat basophil degranulation when exposed to vaccine. The results of the bioassay performed in individuals documented to have dog protein allergy</w:t>
      </w:r>
      <w:r w:rsidR="00260A7B">
        <w:t xml:space="preserve"> were all negative</w:t>
      </w:r>
      <w:r w:rsidR="009B694E" w:rsidRPr="009B694E">
        <w:t>.</w:t>
      </w:r>
      <w:r w:rsidR="00260A7B">
        <w:rPr>
          <w:rStyle w:val="FootnoteReference"/>
        </w:rPr>
        <w:footnoteReference w:id="22"/>
      </w:r>
    </w:p>
    <w:p w:rsidR="00307FF0" w:rsidRDefault="00307FF0" w:rsidP="00307FF0">
      <w:pPr>
        <w:pStyle w:val="Heading5"/>
      </w:pPr>
      <w:r>
        <w:t>OPR evaluator’s comment</w:t>
      </w:r>
    </w:p>
    <w:p w:rsidR="00307FF0" w:rsidRDefault="004F7D3F" w:rsidP="00307FF0">
      <w:pPr>
        <w:rPr>
          <w:lang w:eastAsia="en-AU"/>
        </w:rPr>
      </w:pPr>
      <w:r>
        <w:rPr>
          <w:rFonts w:asciiTheme="minorHAnsi" w:hAnsiTheme="minorHAnsi"/>
          <w:lang w:eastAsia="en-AU"/>
        </w:rPr>
        <w:t>The sponsor’s response is noted.</w:t>
      </w:r>
      <w:r w:rsidR="007A7CDB">
        <w:rPr>
          <w:rFonts w:asciiTheme="minorHAnsi" w:hAnsiTheme="minorHAnsi"/>
          <w:lang w:eastAsia="en-AU"/>
        </w:rPr>
        <w:t xml:space="preserve"> </w:t>
      </w:r>
      <w:r>
        <w:rPr>
          <w:rFonts w:asciiTheme="minorHAnsi" w:hAnsiTheme="minorHAnsi"/>
          <w:lang w:eastAsia="en-AU"/>
        </w:rPr>
        <w:t xml:space="preserve">The final decision as to whether there should be guidance in the PI regarding use of </w:t>
      </w:r>
      <w:proofErr w:type="spellStart"/>
      <w:r>
        <w:rPr>
          <w:rFonts w:asciiTheme="minorHAnsi" w:hAnsiTheme="minorHAnsi"/>
          <w:lang w:eastAsia="en-AU"/>
        </w:rPr>
        <w:t>Optaflu</w:t>
      </w:r>
      <w:proofErr w:type="spellEnd"/>
      <w:r>
        <w:rPr>
          <w:rFonts w:asciiTheme="minorHAnsi" w:hAnsiTheme="minorHAnsi"/>
          <w:lang w:eastAsia="en-AU"/>
        </w:rPr>
        <w:t xml:space="preserve"> in dog</w:t>
      </w:r>
      <w:r w:rsidR="006C0927">
        <w:rPr>
          <w:rFonts w:asciiTheme="minorHAnsi" w:hAnsiTheme="minorHAnsi"/>
          <w:lang w:eastAsia="en-AU"/>
        </w:rPr>
        <w:t xml:space="preserve"> </w:t>
      </w:r>
      <w:r>
        <w:rPr>
          <w:rFonts w:asciiTheme="minorHAnsi" w:hAnsiTheme="minorHAnsi"/>
          <w:lang w:eastAsia="en-AU"/>
        </w:rPr>
        <w:t>allergic patients is referred to the Delegate.</w:t>
      </w:r>
    </w:p>
    <w:p w:rsidR="008E7846" w:rsidRDefault="008E7846" w:rsidP="008E7846">
      <w:pPr>
        <w:pStyle w:val="Heading4"/>
        <w:rPr>
          <w:lang w:eastAsia="en-AU"/>
        </w:rPr>
      </w:pPr>
      <w:r>
        <w:rPr>
          <w:lang w:eastAsia="en-AU"/>
        </w:rPr>
        <w:t xml:space="preserve">Summary of </w:t>
      </w:r>
      <w:r w:rsidR="003A7F6C">
        <w:rPr>
          <w:lang w:eastAsia="en-AU"/>
        </w:rPr>
        <w:t>r</w:t>
      </w:r>
      <w:r>
        <w:rPr>
          <w:lang w:eastAsia="en-AU"/>
        </w:rPr>
        <w:t>ecommendations</w:t>
      </w:r>
    </w:p>
    <w:p w:rsidR="009D0F8A" w:rsidRPr="00107999" w:rsidRDefault="009D0F8A" w:rsidP="009D0F8A">
      <w:pPr>
        <w:pStyle w:val="Heading5"/>
      </w:pPr>
      <w:r w:rsidRPr="00107999">
        <w:t>Outstanding issues</w:t>
      </w:r>
    </w:p>
    <w:p w:rsidR="009D0F8A" w:rsidRDefault="009D0F8A" w:rsidP="009D0F8A">
      <w:pPr>
        <w:pStyle w:val="Heading6"/>
      </w:pPr>
      <w:r>
        <w:t>Issues in relation to the RMP</w:t>
      </w:r>
    </w:p>
    <w:p w:rsidR="00627886" w:rsidRPr="00627886" w:rsidRDefault="00627886" w:rsidP="00627886">
      <w:r w:rsidRPr="00627886">
        <w:t>It is recommended to the Delegate that ‘</w:t>
      </w:r>
      <w:proofErr w:type="spellStart"/>
      <w:r w:rsidRPr="00627886">
        <w:t>tumorigenicity</w:t>
      </w:r>
      <w:proofErr w:type="spellEnd"/>
      <w:r w:rsidRPr="00627886">
        <w:t>’, ‘infectivity’ and ‘oncogenic potential’ are added as missing information to th</w:t>
      </w:r>
      <w:r w:rsidR="005A71D6">
        <w:t>e RMP and/or ASA</w:t>
      </w:r>
      <w:r w:rsidRPr="00627886">
        <w:t>.</w:t>
      </w:r>
    </w:p>
    <w:p w:rsidR="00627886" w:rsidRPr="00627886" w:rsidRDefault="00627886" w:rsidP="00627886">
      <w:r w:rsidRPr="00627886">
        <w:t>The following outstanding issues regarding routine risk minimisation are referred to the Delegate for final consideration:</w:t>
      </w:r>
    </w:p>
    <w:p w:rsidR="00627886" w:rsidRPr="00627886" w:rsidRDefault="00627886" w:rsidP="00627886">
      <w:pPr>
        <w:pStyle w:val="ListBullet"/>
      </w:pPr>
      <w:r w:rsidRPr="00627886">
        <w:t xml:space="preserve">Inclusion of important potential risks ‘neuritis’, ‘encephalitis’ and ‘immune </w:t>
      </w:r>
      <w:proofErr w:type="spellStart"/>
      <w:r w:rsidRPr="00627886">
        <w:t>thrombocytopaenia</w:t>
      </w:r>
      <w:proofErr w:type="spellEnd"/>
      <w:r w:rsidRPr="00627886">
        <w:t>’ as a</w:t>
      </w:r>
      <w:r w:rsidR="00FC481E">
        <w:t>dverse effects in the draft PI</w:t>
      </w:r>
      <w:r w:rsidRPr="00627886">
        <w:t>.</w:t>
      </w:r>
    </w:p>
    <w:p w:rsidR="00627886" w:rsidRPr="00627886" w:rsidRDefault="00627886" w:rsidP="00627886">
      <w:pPr>
        <w:pStyle w:val="ListBullet"/>
      </w:pPr>
      <w:r w:rsidRPr="00627886">
        <w:t xml:space="preserve">Inclusion of information in the PI regarding use of </w:t>
      </w:r>
      <w:proofErr w:type="spellStart"/>
      <w:r w:rsidRPr="00627886">
        <w:t>Optaflu</w:t>
      </w:r>
      <w:proofErr w:type="spellEnd"/>
      <w:r w:rsidRPr="00627886">
        <w:t xml:space="preserve"> in dog-allergic individuals.</w:t>
      </w:r>
    </w:p>
    <w:p w:rsidR="00627886" w:rsidRPr="00627886" w:rsidRDefault="00627886" w:rsidP="00627886">
      <w:pPr>
        <w:pStyle w:val="ListBullet"/>
      </w:pPr>
      <w:r w:rsidRPr="00627886">
        <w:t>Inclusion of ‘abdominal pain’, ‘diarrhoea’ and ‘dyspepsia’ as a</w:t>
      </w:r>
      <w:r w:rsidR="00FC481E">
        <w:t>dverse effects in the draft PI.</w:t>
      </w:r>
    </w:p>
    <w:p w:rsidR="00627886" w:rsidRPr="00627886" w:rsidRDefault="00627886" w:rsidP="00627886">
      <w:pPr>
        <w:pStyle w:val="ListBullet"/>
      </w:pPr>
      <w:r w:rsidRPr="00627886">
        <w:t>Inclusion of consumer-appropriate information in the CMI on how the vaccine is manufactured given it differs from comparator vaccines.</w:t>
      </w:r>
    </w:p>
    <w:p w:rsidR="009D0F8A" w:rsidRPr="00E43D78" w:rsidRDefault="00BB7944" w:rsidP="009D0F8A">
      <w:pPr>
        <w:pStyle w:val="Heading6"/>
      </w:pPr>
      <w:r w:rsidRPr="00BB7944">
        <w:t>Advice from the Advisory Committee on the Safety of Vaccines (ACSOV)</w:t>
      </w:r>
    </w:p>
    <w:p w:rsidR="00BB7944" w:rsidRPr="00BB7944" w:rsidRDefault="00BB7944" w:rsidP="00BB7944">
      <w:r w:rsidRPr="00BB7944">
        <w:t>Advice was obtained from ACSOV regarding th</w:t>
      </w:r>
      <w:r w:rsidR="00FC481E">
        <w:t xml:space="preserve">e </w:t>
      </w:r>
      <w:proofErr w:type="spellStart"/>
      <w:r w:rsidR="00FC481E">
        <w:t>Optaflu</w:t>
      </w:r>
      <w:proofErr w:type="spellEnd"/>
      <w:r w:rsidR="00FC481E">
        <w:t xml:space="preserve"> RMP</w:t>
      </w:r>
      <w:r w:rsidRPr="00BB7944">
        <w:t>.</w:t>
      </w:r>
      <w:r w:rsidR="007A7CDB">
        <w:t xml:space="preserve"> </w:t>
      </w:r>
      <w:r w:rsidRPr="00BB7944">
        <w:t>This advice is incorporated into this report, where appropriate.</w:t>
      </w:r>
    </w:p>
    <w:p w:rsidR="00BB7944" w:rsidRPr="00BB7944" w:rsidRDefault="00BB7944" w:rsidP="00BB7944">
      <w:r w:rsidRPr="00BB7944">
        <w:t xml:space="preserve">ACSOV advised that to further quantify the risk in relation to </w:t>
      </w:r>
      <w:proofErr w:type="spellStart"/>
      <w:r w:rsidRPr="00BB7944">
        <w:t>tumorigenicity</w:t>
      </w:r>
      <w:proofErr w:type="spellEnd"/>
      <w:r w:rsidRPr="00BB7944">
        <w:t>, infectivity and oncogenic potential they required more information including available PSURs (see attachment 1).</w:t>
      </w:r>
    </w:p>
    <w:p w:rsidR="009D0F8A" w:rsidRPr="00E24D4B" w:rsidRDefault="009D0F8A" w:rsidP="009D0F8A">
      <w:pPr>
        <w:pStyle w:val="Heading5"/>
      </w:pPr>
      <w:r w:rsidRPr="00E24D4B">
        <w:t>Comments on the safety specification of the RMP</w:t>
      </w:r>
    </w:p>
    <w:p w:rsidR="009D0F8A" w:rsidRPr="00C15A91" w:rsidRDefault="009D0F8A" w:rsidP="00C15A91">
      <w:pPr>
        <w:pStyle w:val="Heading6"/>
      </w:pPr>
      <w:r w:rsidRPr="00E24D4B">
        <w:t xml:space="preserve">Clinical </w:t>
      </w:r>
      <w:r w:rsidR="006E6CA1">
        <w:t>e</w:t>
      </w:r>
      <w:r w:rsidRPr="00E24D4B">
        <w:t xml:space="preserve">valuation </w:t>
      </w:r>
      <w:r w:rsidR="006E6CA1">
        <w:t>r</w:t>
      </w:r>
      <w:r w:rsidR="00C15A91">
        <w:t>eport</w:t>
      </w:r>
    </w:p>
    <w:p w:rsidR="005B6473" w:rsidRPr="005B6473" w:rsidRDefault="00FC481E" w:rsidP="005B6473">
      <w:r>
        <w:t>The clinical evaluation report</w:t>
      </w:r>
      <w:r w:rsidR="005B6473" w:rsidRPr="005B6473">
        <w:t xml:space="preserve"> includes the following comments regarding the safety specification in the RMP:</w:t>
      </w:r>
    </w:p>
    <w:p w:rsidR="005B6473" w:rsidRPr="00F16757" w:rsidRDefault="005B6473" w:rsidP="005B6473">
      <w:pPr>
        <w:ind w:left="720"/>
        <w:rPr>
          <w:b/>
          <w:i/>
        </w:rPr>
      </w:pPr>
      <w:r w:rsidRPr="00F16757">
        <w:rPr>
          <w:b/>
          <w:i/>
        </w:rPr>
        <w:t xml:space="preserve">Identified </w:t>
      </w:r>
      <w:r w:rsidR="00FD35E1">
        <w:rPr>
          <w:b/>
          <w:i/>
        </w:rPr>
        <w:t>R</w:t>
      </w:r>
      <w:r w:rsidRPr="00F16757">
        <w:rPr>
          <w:b/>
          <w:i/>
        </w:rPr>
        <w:t>isk</w:t>
      </w:r>
    </w:p>
    <w:p w:rsidR="005B6473" w:rsidRPr="00F16757" w:rsidRDefault="005B6473" w:rsidP="005B6473">
      <w:pPr>
        <w:ind w:left="720"/>
        <w:rPr>
          <w:i/>
        </w:rPr>
      </w:pPr>
      <w:r w:rsidRPr="00F16757">
        <w:rPr>
          <w:i/>
        </w:rPr>
        <w:t xml:space="preserve">Risks in terms of safety are considered similar to those of </w:t>
      </w:r>
      <w:proofErr w:type="spellStart"/>
      <w:r w:rsidRPr="00F16757">
        <w:rPr>
          <w:i/>
        </w:rPr>
        <w:t>Agrippal</w:t>
      </w:r>
      <w:proofErr w:type="spellEnd"/>
      <w:r w:rsidRPr="00F16757">
        <w:rPr>
          <w:i/>
        </w:rPr>
        <w:t xml:space="preserve"> and </w:t>
      </w:r>
      <w:proofErr w:type="gramStart"/>
      <w:r w:rsidRPr="00F16757">
        <w:rPr>
          <w:i/>
        </w:rPr>
        <w:t>Fluvirin,</w:t>
      </w:r>
      <w:proofErr w:type="gramEnd"/>
      <w:r w:rsidRPr="00F16757">
        <w:rPr>
          <w:i/>
        </w:rPr>
        <w:t xml:space="preserve"> both registered in Australia and considered an appropriated comparator for Australian purposes. It is possible that </w:t>
      </w:r>
      <w:proofErr w:type="spellStart"/>
      <w:r w:rsidRPr="00F16757">
        <w:rPr>
          <w:i/>
        </w:rPr>
        <w:t>cTIV</w:t>
      </w:r>
      <w:proofErr w:type="spellEnd"/>
      <w:r w:rsidRPr="00F16757">
        <w:rPr>
          <w:i/>
        </w:rPr>
        <w:t xml:space="preserve"> vaccination may result in a higher incidence of pain (pooled safety popula</w:t>
      </w:r>
      <w:r w:rsidR="00652DEA">
        <w:rPr>
          <w:i/>
        </w:rPr>
        <w:t>tion RR 1.19 [95% CI 1.12, 1.26]</w:t>
      </w:r>
      <w:r w:rsidR="00FD35E1">
        <w:rPr>
          <w:i/>
        </w:rPr>
        <w:t xml:space="preserve"> favouring </w:t>
      </w:r>
      <w:proofErr w:type="spellStart"/>
      <w:r w:rsidR="00FD35E1">
        <w:rPr>
          <w:i/>
        </w:rPr>
        <w:t>eTIV</w:t>
      </w:r>
      <w:proofErr w:type="spellEnd"/>
      <w:r w:rsidR="00FD35E1">
        <w:rPr>
          <w:i/>
        </w:rPr>
        <w:t>).</w:t>
      </w:r>
    </w:p>
    <w:p w:rsidR="005B6473" w:rsidRPr="00F16757" w:rsidRDefault="005B6473" w:rsidP="005B6473">
      <w:pPr>
        <w:ind w:left="720"/>
        <w:rPr>
          <w:b/>
          <w:i/>
        </w:rPr>
      </w:pPr>
      <w:r w:rsidRPr="00F16757">
        <w:rPr>
          <w:b/>
          <w:i/>
        </w:rPr>
        <w:t>Limitation of the Research</w:t>
      </w:r>
    </w:p>
    <w:p w:rsidR="005B6473" w:rsidRPr="00F16757" w:rsidRDefault="005B6473" w:rsidP="005B6473">
      <w:pPr>
        <w:ind w:left="720"/>
        <w:rPr>
          <w:i/>
        </w:rPr>
      </w:pPr>
      <w:r w:rsidRPr="00F16757">
        <w:rPr>
          <w:i/>
        </w:rPr>
        <w:t>The research presented fulfils requirements of the Th</w:t>
      </w:r>
      <w:r w:rsidR="00FD35E1">
        <w:rPr>
          <w:i/>
        </w:rPr>
        <w:t>erapeutic Goods Administration.</w:t>
      </w:r>
    </w:p>
    <w:p w:rsidR="005B6473" w:rsidRPr="00F16757" w:rsidRDefault="005B6473" w:rsidP="00FD35E1">
      <w:pPr>
        <w:pageBreakBefore/>
        <w:ind w:left="720"/>
        <w:rPr>
          <w:b/>
          <w:i/>
        </w:rPr>
      </w:pPr>
      <w:r w:rsidRPr="00F16757">
        <w:rPr>
          <w:b/>
          <w:i/>
        </w:rPr>
        <w:lastRenderedPageBreak/>
        <w:t>Areas of Uncertainly</w:t>
      </w:r>
    </w:p>
    <w:p w:rsidR="005B6473" w:rsidRPr="00A72C0A" w:rsidRDefault="005B6473" w:rsidP="00A72C0A">
      <w:pPr>
        <w:pStyle w:val="ListBullet3"/>
        <w:rPr>
          <w:i/>
        </w:rPr>
      </w:pPr>
      <w:r w:rsidRPr="00A72C0A">
        <w:rPr>
          <w:i/>
        </w:rPr>
        <w:t>Use in pregnancy and lactation, chronic illness, immunodeficiency states, and in ethnic groups either not represented or represented in small numbers such as Asians an</w:t>
      </w:r>
      <w:r w:rsidR="00FD35E1">
        <w:rPr>
          <w:i/>
        </w:rPr>
        <w:t>d Australian Indigenous groups.</w:t>
      </w:r>
    </w:p>
    <w:p w:rsidR="005B6473" w:rsidRPr="00A72C0A" w:rsidRDefault="005B6473" w:rsidP="00A72C0A">
      <w:pPr>
        <w:pStyle w:val="ListBullet3"/>
        <w:rPr>
          <w:i/>
        </w:rPr>
      </w:pPr>
      <w:r w:rsidRPr="00A72C0A">
        <w:rPr>
          <w:i/>
        </w:rPr>
        <w:t>Rare, as yet unidentified adverse events may require greater numbers to be vaccinated</w:t>
      </w:r>
      <w:r w:rsidR="008154C4">
        <w:rPr>
          <w:i/>
        </w:rPr>
        <w:t>.</w:t>
      </w:r>
    </w:p>
    <w:p w:rsidR="005B6473" w:rsidRPr="00F16757" w:rsidRDefault="005B6473" w:rsidP="005B6473">
      <w:pPr>
        <w:ind w:left="720"/>
        <w:rPr>
          <w:b/>
          <w:i/>
        </w:rPr>
      </w:pPr>
      <w:r w:rsidRPr="00F16757">
        <w:rPr>
          <w:b/>
          <w:i/>
        </w:rPr>
        <w:t>Pharmacovigilance</w:t>
      </w:r>
    </w:p>
    <w:p w:rsidR="005B6473" w:rsidRPr="00F16757" w:rsidRDefault="005B6473" w:rsidP="005B6473">
      <w:pPr>
        <w:ind w:left="720"/>
        <w:rPr>
          <w:i/>
        </w:rPr>
      </w:pPr>
      <w:r w:rsidRPr="00F16757">
        <w:rPr>
          <w:i/>
        </w:rPr>
        <w:t>Spontaneous reporting is proposed in line with global and local Novartis procedures and with the “Australian requirements and recommendations for pharmacovigilance responsibi</w:t>
      </w:r>
      <w:r w:rsidR="006E6CA1">
        <w:rPr>
          <w:i/>
        </w:rPr>
        <w:t>lities of sponsors of medicines</w:t>
      </w:r>
      <w:r w:rsidRPr="00F16757">
        <w:rPr>
          <w:i/>
        </w:rPr>
        <w:t xml:space="preserve"> version 1.2, August 2013”.</w:t>
      </w:r>
    </w:p>
    <w:p w:rsidR="005B6473" w:rsidRPr="00F16757" w:rsidRDefault="005B6473" w:rsidP="005B6473">
      <w:pPr>
        <w:ind w:left="720"/>
        <w:rPr>
          <w:b/>
          <w:i/>
        </w:rPr>
      </w:pPr>
      <w:r w:rsidRPr="00F16757">
        <w:rPr>
          <w:b/>
          <w:i/>
        </w:rPr>
        <w:t>Planned Post Market Research</w:t>
      </w:r>
    </w:p>
    <w:p w:rsidR="005B6473" w:rsidRPr="00F16757" w:rsidRDefault="005B6473" w:rsidP="005B6473">
      <w:pPr>
        <w:ind w:left="720"/>
        <w:rPr>
          <w:i/>
        </w:rPr>
      </w:pPr>
      <w:r w:rsidRPr="00F16757">
        <w:rPr>
          <w:i/>
        </w:rPr>
        <w:t xml:space="preserve">Novartis Vaccines and Diagnostics presented the following protocols for post-market trials </w:t>
      </w:r>
    </w:p>
    <w:p w:rsidR="005B6473" w:rsidRPr="00F16757" w:rsidRDefault="005B6473" w:rsidP="005B6473">
      <w:pPr>
        <w:ind w:left="720"/>
        <w:rPr>
          <w:i/>
        </w:rPr>
      </w:pPr>
      <w:r w:rsidRPr="00F16757">
        <w:rPr>
          <w:i/>
        </w:rPr>
        <w:t xml:space="preserve">Study V58P23 a phase III, multicentre, randomized double-blind, controlled study to evaluate the safety and immunogenicity of </w:t>
      </w:r>
      <w:proofErr w:type="spellStart"/>
      <w:r w:rsidRPr="00F16757">
        <w:rPr>
          <w:i/>
        </w:rPr>
        <w:t>cTIV</w:t>
      </w:r>
      <w:proofErr w:type="spellEnd"/>
      <w:r w:rsidRPr="00F16757">
        <w:rPr>
          <w:i/>
        </w:rPr>
        <w:t xml:space="preserve"> and </w:t>
      </w:r>
      <w:proofErr w:type="spellStart"/>
      <w:r w:rsidRPr="00F16757">
        <w:rPr>
          <w:i/>
        </w:rPr>
        <w:t>eTIVf</w:t>
      </w:r>
      <w:proofErr w:type="spellEnd"/>
      <w:r w:rsidRPr="00F16757">
        <w:rPr>
          <w:i/>
        </w:rPr>
        <w:t xml:space="preserve"> in healthy adults. This study is a post marketing commitment requested by CBER and is designed to demonstrate the immunologic equivalence, immunogenicity safety and tolerability between three consecutive lots of </w:t>
      </w:r>
      <w:proofErr w:type="spellStart"/>
      <w:r w:rsidRPr="00F16757">
        <w:rPr>
          <w:i/>
        </w:rPr>
        <w:t>TIVc</w:t>
      </w:r>
      <w:proofErr w:type="spellEnd"/>
      <w:r w:rsidRPr="00F16757">
        <w:rPr>
          <w:i/>
        </w:rPr>
        <w:t xml:space="preserve"> according to CBER criteria.</w:t>
      </w:r>
    </w:p>
    <w:p w:rsidR="005B6473" w:rsidRPr="00F16757" w:rsidRDefault="005B6473" w:rsidP="005B6473">
      <w:pPr>
        <w:ind w:left="720"/>
        <w:rPr>
          <w:i/>
        </w:rPr>
      </w:pPr>
      <w:r w:rsidRPr="00F16757">
        <w:rPr>
          <w:i/>
        </w:rPr>
        <w:t xml:space="preserve">Study V58P30 Post-licensure observational safety study after </w:t>
      </w:r>
      <w:proofErr w:type="spellStart"/>
      <w:r w:rsidRPr="00F16757">
        <w:rPr>
          <w:i/>
        </w:rPr>
        <w:t>Optaflu</w:t>
      </w:r>
      <w:proofErr w:type="spellEnd"/>
      <w:r w:rsidRPr="00F16757">
        <w:rPr>
          <w:i/>
        </w:rPr>
        <w:t xml:space="preserve"> vaccination among adults in The Health Improvement Network (THIN) database of routine UK primary care records</w:t>
      </w:r>
    </w:p>
    <w:p w:rsidR="005B6473" w:rsidRPr="00F16757" w:rsidRDefault="005B6473" w:rsidP="005B6473">
      <w:pPr>
        <w:ind w:left="720"/>
        <w:rPr>
          <w:i/>
        </w:rPr>
      </w:pPr>
      <w:r w:rsidRPr="00F16757">
        <w:rPr>
          <w:i/>
        </w:rPr>
        <w:t xml:space="preserve">Registry V5836OB: The objective of the </w:t>
      </w:r>
      <w:proofErr w:type="spellStart"/>
      <w:r w:rsidRPr="00F16757">
        <w:rPr>
          <w:i/>
        </w:rPr>
        <w:t>Flucelvax</w:t>
      </w:r>
      <w:proofErr w:type="spellEnd"/>
      <w:r w:rsidRPr="00F16757">
        <w:rPr>
          <w:i/>
        </w:rPr>
        <w:t xml:space="preserve"> (</w:t>
      </w:r>
      <w:proofErr w:type="spellStart"/>
      <w:r w:rsidRPr="00F16757">
        <w:rPr>
          <w:i/>
        </w:rPr>
        <w:t>cTIV</w:t>
      </w:r>
      <w:proofErr w:type="spellEnd"/>
      <w:r w:rsidRPr="00F16757">
        <w:rPr>
          <w:i/>
        </w:rPr>
        <w:t xml:space="preserve"> registered name in the US) Pregnancy Registry is to evaluate pregnancy outcomes among women immunized with the </w:t>
      </w:r>
      <w:proofErr w:type="spellStart"/>
      <w:r w:rsidRPr="00F16757">
        <w:rPr>
          <w:i/>
        </w:rPr>
        <w:t>Flucelvax</w:t>
      </w:r>
      <w:proofErr w:type="spellEnd"/>
      <w:r w:rsidRPr="00F16757">
        <w:rPr>
          <w:i/>
        </w:rPr>
        <w:t xml:space="preserve"> vaccine during pregnancy. The primary outcomes of interest include major congenital malformation, preterm birth, and low birth weight.</w:t>
      </w:r>
    </w:p>
    <w:p w:rsidR="00733E8D" w:rsidRPr="00733E8D" w:rsidRDefault="00733E8D" w:rsidP="002229D2">
      <w:pPr>
        <w:pStyle w:val="Heading5"/>
      </w:pPr>
      <w:r w:rsidRPr="00733E8D">
        <w:t>O</w:t>
      </w:r>
      <w:r w:rsidR="00FD35E1">
        <w:t>PR e</w:t>
      </w:r>
      <w:r>
        <w:t>valuator’s comments</w:t>
      </w:r>
    </w:p>
    <w:p w:rsidR="00733E8D" w:rsidRPr="00733E8D" w:rsidRDefault="00733E8D" w:rsidP="00733E8D">
      <w:r w:rsidRPr="00733E8D">
        <w:t>‘Use in pregnant women’ and ‘safety in subjects with underlying diseases or immunocompromised patients’ are included as missing information in the RMP.</w:t>
      </w:r>
      <w:r w:rsidR="007A7CDB">
        <w:t xml:space="preserve"> </w:t>
      </w:r>
      <w:r w:rsidRPr="00733E8D">
        <w:t>‘Use in ethnic groups not studied’ is not currently included, however routine pharmacovigilance for this risk would be considered appropriate.</w:t>
      </w:r>
    </w:p>
    <w:p w:rsidR="009D0F8A" w:rsidRPr="004A71C1" w:rsidRDefault="009D0F8A" w:rsidP="009D0F8A">
      <w:pPr>
        <w:pStyle w:val="Heading6"/>
      </w:pPr>
      <w:r>
        <w:t>Nonc</w:t>
      </w:r>
      <w:r w:rsidRPr="004A71C1">
        <w:t xml:space="preserve">linical </w:t>
      </w:r>
      <w:r w:rsidR="006E6CA1">
        <w:t>e</w:t>
      </w:r>
      <w:r w:rsidRPr="004A71C1">
        <w:t xml:space="preserve">valuation </w:t>
      </w:r>
      <w:r w:rsidR="006E6CA1">
        <w:t>r</w:t>
      </w:r>
      <w:r w:rsidR="002229D2">
        <w:t>eport</w:t>
      </w:r>
    </w:p>
    <w:p w:rsidR="0067217B" w:rsidRPr="0067217B" w:rsidRDefault="006E6CA1" w:rsidP="0067217B">
      <w:r>
        <w:t>The nonclinical evaluation report</w:t>
      </w:r>
      <w:r w:rsidR="0067217B" w:rsidRPr="0067217B">
        <w:t xml:space="preserve"> includes the following comments regarding the safety specification in the RMP:</w:t>
      </w:r>
    </w:p>
    <w:p w:rsidR="0067217B" w:rsidRPr="003F6D2E" w:rsidRDefault="0067217B" w:rsidP="003F6D2E">
      <w:pPr>
        <w:ind w:left="720"/>
        <w:rPr>
          <w:i/>
        </w:rPr>
      </w:pPr>
      <w:r w:rsidRPr="003F6D2E">
        <w:rPr>
          <w:i/>
        </w:rPr>
        <w:t>The overall results and conclusions drawn from in this section of the risk management plan are in general concordance with those of the nonclinical evaluator except for the study quality issues an</w:t>
      </w:r>
      <w:r w:rsidR="002229D2">
        <w:rPr>
          <w:i/>
        </w:rPr>
        <w:t>d deficiencies described above.</w:t>
      </w:r>
    </w:p>
    <w:p w:rsidR="0067217B" w:rsidRPr="0067217B" w:rsidRDefault="0067217B" w:rsidP="0067217B">
      <w:r w:rsidRPr="0067217B">
        <w:t>Regarding neoplastic potential</w:t>
      </w:r>
      <w:r w:rsidR="00811C49">
        <w:t>,</w:t>
      </w:r>
      <w:r w:rsidRPr="0067217B">
        <w:t xml:space="preserve"> the </w:t>
      </w:r>
      <w:r w:rsidR="00811C49">
        <w:t>nonclinical evaluation report</w:t>
      </w:r>
      <w:r w:rsidRPr="0067217B">
        <w:t xml:space="preserve"> contains the following comment:</w:t>
      </w:r>
    </w:p>
    <w:p w:rsidR="0067217B" w:rsidRPr="003F6D2E" w:rsidRDefault="0067217B" w:rsidP="003F6D2E">
      <w:pPr>
        <w:ind w:left="720"/>
        <w:rPr>
          <w:i/>
        </w:rPr>
      </w:pPr>
      <w:r w:rsidRPr="003F6D2E">
        <w:rPr>
          <w:i/>
        </w:rPr>
        <w:t>Critically it should be clearly noted that the MDCK cell line used by the sponsor cannot be described as minimally tumorigenic in vivo, in relevant (i.e. T-cell depleted) animal models.</w:t>
      </w:r>
      <w:r w:rsidR="007A7CDB">
        <w:rPr>
          <w:i/>
        </w:rPr>
        <w:t xml:space="preserve"> </w:t>
      </w:r>
      <w:r w:rsidRPr="003F6D2E">
        <w:rPr>
          <w:i/>
        </w:rPr>
        <w:t xml:space="preserve">However based on the currently available data, the overall risk of de novo neoplastic disease due to the use of </w:t>
      </w:r>
      <w:proofErr w:type="spellStart"/>
      <w:r w:rsidR="00C477B9">
        <w:rPr>
          <w:i/>
        </w:rPr>
        <w:t>Optaflu</w:t>
      </w:r>
      <w:proofErr w:type="spellEnd"/>
      <w:r w:rsidRPr="003F6D2E">
        <w:rPr>
          <w:i/>
        </w:rPr>
        <w:t xml:space="preserve"> is considered to be extremely low due to the lack of viable cells in the final product and lack of carcinogenicity/neoplastic potential of MDCK cell-free lysate, of beta-</w:t>
      </w:r>
      <w:proofErr w:type="spellStart"/>
      <w:r w:rsidRPr="003F6D2E">
        <w:rPr>
          <w:i/>
        </w:rPr>
        <w:t>propiolactone</w:t>
      </w:r>
      <w:proofErr w:type="spellEnd"/>
      <w:r w:rsidRPr="003F6D2E">
        <w:rPr>
          <w:i/>
        </w:rPr>
        <w:t xml:space="preserve"> treated MDCK cell-free lysate, and of MDCK cell DNA.</w:t>
      </w:r>
    </w:p>
    <w:p w:rsidR="0067217B" w:rsidRPr="0067217B" w:rsidRDefault="0067217B" w:rsidP="0067217B">
      <w:r w:rsidRPr="0067217B">
        <w:lastRenderedPageBreak/>
        <w:t xml:space="preserve">The </w:t>
      </w:r>
      <w:r w:rsidR="00035B9A">
        <w:t>non</w:t>
      </w:r>
      <w:r w:rsidRPr="0067217B">
        <w:t xml:space="preserve">clinical evaluator has also recommended adding statements to the PI that </w:t>
      </w:r>
      <w:proofErr w:type="spellStart"/>
      <w:r w:rsidRPr="0067217B">
        <w:t>Optaflu</w:t>
      </w:r>
      <w:proofErr w:type="spellEnd"/>
      <w:r w:rsidRPr="0067217B">
        <w:t xml:space="preserve"> has not been evaluated for </w:t>
      </w:r>
      <w:proofErr w:type="spellStart"/>
      <w:r w:rsidRPr="0067217B">
        <w:t>genotoxicity</w:t>
      </w:r>
      <w:proofErr w:type="spellEnd"/>
      <w:r w:rsidRPr="0067217B">
        <w:t xml:space="preserve"> and carcinogenicity.</w:t>
      </w:r>
    </w:p>
    <w:p w:rsidR="008B1938" w:rsidRPr="00E24D4B" w:rsidRDefault="008B1938" w:rsidP="002229D2">
      <w:pPr>
        <w:pStyle w:val="Heading5"/>
      </w:pPr>
      <w:r w:rsidRPr="008B1938">
        <w:t xml:space="preserve">Key changes to </w:t>
      </w:r>
      <w:r w:rsidRPr="002229D2">
        <w:t>the</w:t>
      </w:r>
      <w:r w:rsidRPr="008B1938">
        <w:t xml:space="preserve"> updated ASA</w:t>
      </w:r>
    </w:p>
    <w:p w:rsidR="00AF2132" w:rsidRDefault="00393C4E" w:rsidP="00AF2132">
      <w:r>
        <w:t xml:space="preserve">In the Section </w:t>
      </w:r>
      <w:r w:rsidR="00AF2132" w:rsidRPr="00AF2132">
        <w:t>31 response, the sponsor provided an updated ASA (version 2.0, release date 29 October 2014) which contained the following amendments</w:t>
      </w:r>
      <w:r w:rsidR="005F21C0">
        <w:t xml:space="preserve"> as shown in Table </w:t>
      </w:r>
      <w:r w:rsidR="00205363">
        <w:t>5.</w:t>
      </w:r>
    </w:p>
    <w:p w:rsidR="005A29F6" w:rsidRDefault="005A29F6" w:rsidP="005A29F6">
      <w:pPr>
        <w:pStyle w:val="TableTitle"/>
      </w:pPr>
      <w:proofErr w:type="gramStart"/>
      <w:r>
        <w:t>Table 5:</w:t>
      </w:r>
      <w:r w:rsidRPr="004C5C28">
        <w:t xml:space="preserve"> </w:t>
      </w:r>
      <w:r w:rsidR="001D0E0D">
        <w:t>A</w:t>
      </w:r>
      <w:r w:rsidR="009C2FB7" w:rsidRPr="00AF2132">
        <w:t>mendments</w:t>
      </w:r>
      <w:r w:rsidR="009C2FB7">
        <w:t xml:space="preserve"> in the updated ASA</w:t>
      </w:r>
      <w:r w:rsidR="002229D2">
        <w:t>.</w:t>
      </w:r>
      <w:proofErr w:type="gramEnd"/>
    </w:p>
    <w:p w:rsidR="009D0F8A" w:rsidRDefault="00DE772F" w:rsidP="00AF2132">
      <w:r>
        <w:rPr>
          <w:noProof/>
          <w:lang w:eastAsia="en-AU"/>
        </w:rPr>
        <w:drawing>
          <wp:inline distT="0" distB="0" distL="0" distR="0" wp14:anchorId="6EF67605" wp14:editId="001A8020">
            <wp:extent cx="4830052" cy="747729"/>
            <wp:effectExtent l="0" t="0" r="0" b="0"/>
            <wp:docPr id="6" name="Picture 6" descr="Table 5: Amendments in the updated ASA." title="Table 5: Amendments in the updated A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4830665" cy="747824"/>
                    </a:xfrm>
                    <a:prstGeom prst="rect">
                      <a:avLst/>
                    </a:prstGeom>
                  </pic:spPr>
                </pic:pic>
              </a:graphicData>
            </a:graphic>
          </wp:inline>
        </w:drawing>
      </w:r>
    </w:p>
    <w:p w:rsidR="005A29F6" w:rsidRPr="006D46CB" w:rsidRDefault="005A29F6" w:rsidP="006D46CB">
      <w:pPr>
        <w:ind w:left="720"/>
        <w:rPr>
          <w:i/>
        </w:rPr>
      </w:pPr>
      <w:r w:rsidRPr="006D46CB">
        <w:rPr>
          <w:i/>
        </w:rPr>
        <w:t>O</w:t>
      </w:r>
      <w:r w:rsidR="006D46CB">
        <w:rPr>
          <w:i/>
        </w:rPr>
        <w:t>PR e</w:t>
      </w:r>
      <w:r w:rsidR="006D46CB" w:rsidRPr="006D46CB">
        <w:rPr>
          <w:i/>
        </w:rPr>
        <w:t xml:space="preserve">valuator’s comments: </w:t>
      </w:r>
      <w:r w:rsidRPr="006D46CB">
        <w:rPr>
          <w:i/>
        </w:rPr>
        <w:t>The evaluator has no objection to the above changes and recommends to the Delegate that the updated version is implemented (see below).</w:t>
      </w:r>
    </w:p>
    <w:p w:rsidR="009D0F8A" w:rsidRPr="0065641D" w:rsidRDefault="009D0F8A" w:rsidP="009D0F8A">
      <w:pPr>
        <w:pStyle w:val="Heading5"/>
      </w:pPr>
      <w:r w:rsidRPr="0065641D">
        <w:t>Suggested wording</w:t>
      </w:r>
      <w:r w:rsidR="002229D2">
        <w:t xml:space="preserve"> for conditions of registration</w:t>
      </w:r>
    </w:p>
    <w:p w:rsidR="009D0F8A" w:rsidRPr="0065641D" w:rsidRDefault="009D0F8A" w:rsidP="009D0F8A">
      <w:pPr>
        <w:pStyle w:val="Heading6"/>
      </w:pPr>
      <w:r w:rsidRPr="0065641D">
        <w:t>RMP</w:t>
      </w:r>
    </w:p>
    <w:p w:rsidR="009D0F8A" w:rsidRPr="0065641D" w:rsidRDefault="005831FA" w:rsidP="009D0F8A">
      <w:r w:rsidRPr="005831FA">
        <w:t>Implement EU-RMP (version 3.1 release date 15 November 2013, data lock point 30 April 2013) with Australian Specific Annex (version 2.0, release date 29 October 2014) revised to the agreement of the TGA (with respect to the outstanding issues listed).</w:t>
      </w:r>
    </w:p>
    <w:p w:rsidR="008E7846" w:rsidRPr="00792A32" w:rsidRDefault="008E7846" w:rsidP="002229D2">
      <w:pPr>
        <w:pStyle w:val="Heading2"/>
      </w:pPr>
      <w:bookmarkStart w:id="109" w:name="_Toc314842510"/>
      <w:bookmarkStart w:id="110" w:name="_Toc430081305"/>
      <w:r>
        <w:t xml:space="preserve">VI. </w:t>
      </w:r>
      <w:r w:rsidRPr="002229D2">
        <w:t>Overall</w:t>
      </w:r>
      <w:r w:rsidRPr="00792A32">
        <w:t xml:space="preserve"> </w:t>
      </w:r>
      <w:r>
        <w:t>c</w:t>
      </w:r>
      <w:r w:rsidRPr="00792A32">
        <w:t xml:space="preserve">onclusion and </w:t>
      </w:r>
      <w:r>
        <w:t>r</w:t>
      </w:r>
      <w:r w:rsidRPr="00792A32">
        <w:t>isk/</w:t>
      </w:r>
      <w:r>
        <w:t>b</w:t>
      </w:r>
      <w:r w:rsidRPr="00792A32">
        <w:t xml:space="preserve">enefit </w:t>
      </w:r>
      <w:r>
        <w:t>a</w:t>
      </w:r>
      <w:r w:rsidRPr="00792A32">
        <w:t>ssessment</w:t>
      </w:r>
      <w:bookmarkEnd w:id="96"/>
      <w:bookmarkEnd w:id="108"/>
      <w:bookmarkEnd w:id="109"/>
      <w:bookmarkEnd w:id="110"/>
    </w:p>
    <w:p w:rsidR="008E7846" w:rsidRDefault="008E7846" w:rsidP="008E7846">
      <w:bookmarkStart w:id="111" w:name="_Toc247691528"/>
      <w:r>
        <w:t xml:space="preserve">The submission was summarised in the following </w:t>
      </w:r>
      <w:r w:rsidRPr="00EF5C48">
        <w:t xml:space="preserve">Delegate’s </w:t>
      </w:r>
      <w:r>
        <w:t>overview</w:t>
      </w:r>
      <w:r w:rsidRPr="00EF5C48">
        <w:t xml:space="preserve"> and recommendation</w:t>
      </w:r>
      <w:r>
        <w:t>s:</w:t>
      </w:r>
    </w:p>
    <w:p w:rsidR="008E7846" w:rsidRDefault="008E7846" w:rsidP="002229D2">
      <w:pPr>
        <w:pStyle w:val="Heading3"/>
      </w:pPr>
      <w:bookmarkStart w:id="112" w:name="_Toc314842511"/>
      <w:bookmarkStart w:id="113" w:name="_Toc430081306"/>
      <w:r w:rsidRPr="002229D2">
        <w:t>Quality</w:t>
      </w:r>
      <w:bookmarkEnd w:id="111"/>
      <w:bookmarkEnd w:id="112"/>
      <w:bookmarkEnd w:id="113"/>
    </w:p>
    <w:p w:rsidR="008F5FB7" w:rsidRPr="008F5FB7" w:rsidRDefault="008F5FB7" w:rsidP="008F5FB7">
      <w:r w:rsidRPr="008F5FB7">
        <w:t>The</w:t>
      </w:r>
      <w:r w:rsidR="00882766">
        <w:t xml:space="preserve"> evaluator</w:t>
      </w:r>
      <w:r w:rsidRPr="008F5FB7">
        <w:t xml:space="preserve"> recommended that </w:t>
      </w:r>
      <w:proofErr w:type="spellStart"/>
      <w:r w:rsidR="00C477B9">
        <w:t>Optaflu</w:t>
      </w:r>
      <w:proofErr w:type="spellEnd"/>
      <w:r w:rsidRPr="008F5FB7">
        <w:t xml:space="preserve"> inactivated influenza virus vaccine (surface antigens), prepared</w:t>
      </w:r>
      <w:r w:rsidR="00882766">
        <w:t xml:space="preserve"> in cell cultures injection pre</w:t>
      </w:r>
      <w:r w:rsidRPr="008F5FB7">
        <w:t xml:space="preserve">filled syringe (with needle and without </w:t>
      </w:r>
      <w:proofErr w:type="gramStart"/>
      <w:r w:rsidRPr="008F5FB7">
        <w:t>needle</w:t>
      </w:r>
      <w:proofErr w:type="gramEnd"/>
      <w:r w:rsidRPr="008F5FB7">
        <w:t>) should be approved.</w:t>
      </w:r>
    </w:p>
    <w:p w:rsidR="008F5FB7" w:rsidRPr="008F5FB7" w:rsidRDefault="008F5FB7" w:rsidP="008F5FB7">
      <w:r w:rsidRPr="008F5FB7">
        <w:t xml:space="preserve">The administrative, product usage, chemical, pharmaceutical, microbiological data submitted were evaluated in accordance with the Australian legislation, </w:t>
      </w:r>
      <w:proofErr w:type="spellStart"/>
      <w:r w:rsidRPr="008F5FB7">
        <w:t>pharmacopoeial</w:t>
      </w:r>
      <w:proofErr w:type="spellEnd"/>
      <w:r w:rsidRPr="008F5FB7">
        <w:t xml:space="preserve"> standards and relevant technical guidelines adopted by the TGA. A few minor issues are still being addressed and will require resolution prior to supply.</w:t>
      </w:r>
    </w:p>
    <w:p w:rsidR="008E7846" w:rsidRDefault="008E7846" w:rsidP="008E7846">
      <w:pPr>
        <w:pStyle w:val="Heading3"/>
      </w:pPr>
      <w:bookmarkStart w:id="114" w:name="_Toc314842512"/>
      <w:bookmarkStart w:id="115" w:name="_Toc430081307"/>
      <w:r>
        <w:t>Nonclinical</w:t>
      </w:r>
      <w:bookmarkEnd w:id="114"/>
      <w:bookmarkEnd w:id="115"/>
    </w:p>
    <w:p w:rsidR="008F5FB7" w:rsidRPr="008F5FB7" w:rsidRDefault="008F5FB7" w:rsidP="008F5FB7">
      <w:r w:rsidRPr="008F5FB7">
        <w:t xml:space="preserve">There were no nonclinical objections to registration of the inactivated, trivalent influenza vaccine, </w:t>
      </w:r>
      <w:proofErr w:type="spellStart"/>
      <w:r w:rsidR="00C477B9">
        <w:t>Optaflu</w:t>
      </w:r>
      <w:proofErr w:type="spellEnd"/>
      <w:r w:rsidR="00882766">
        <w:t xml:space="preserve">, at a dose </w:t>
      </w:r>
      <w:proofErr w:type="gramStart"/>
      <w:r w:rsidR="00882766">
        <w:t xml:space="preserve">of 15 µg/strain </w:t>
      </w:r>
      <w:r w:rsidRPr="008F5FB7">
        <w:t>in adults</w:t>
      </w:r>
      <w:proofErr w:type="gramEnd"/>
      <w:r w:rsidRPr="008F5FB7">
        <w:t>.</w:t>
      </w:r>
    </w:p>
    <w:p w:rsidR="008F5FB7" w:rsidRPr="008F5FB7" w:rsidRDefault="008F5FB7" w:rsidP="008F5FB7">
      <w:r w:rsidRPr="008F5FB7">
        <w:t>There were no nonclinical Section 31 questions. The sponsor reworded several of the nonclinical PI statements recommended. These were accepted by the TGA.</w:t>
      </w:r>
    </w:p>
    <w:p w:rsidR="008F5FB7" w:rsidRPr="008F5FB7" w:rsidRDefault="008F5FB7" w:rsidP="008F5FB7">
      <w:r w:rsidRPr="008F5FB7">
        <w:t xml:space="preserve">The sponsor has proposed Category B1 in the </w:t>
      </w:r>
      <w:r w:rsidR="000E152B">
        <w:t>PI</w:t>
      </w:r>
      <w:r w:rsidRPr="008F5FB7">
        <w:t>.</w:t>
      </w:r>
      <w:r w:rsidR="007A7CDB">
        <w:t xml:space="preserve"> </w:t>
      </w:r>
      <w:r w:rsidRPr="008F5FB7">
        <w:t>This classification is support</w:t>
      </w:r>
      <w:r w:rsidR="00431443">
        <w:t>ed by a lack of evidence of pre</w:t>
      </w:r>
      <w:r w:rsidRPr="008F5FB7">
        <w:t>natal or postnatal effects in a single species (rabbit) reproductive and developmental toxicity study. Potential effects in males were not evaluated.</w:t>
      </w:r>
    </w:p>
    <w:p w:rsidR="008F5FB7" w:rsidRPr="008F5FB7" w:rsidRDefault="00DC7EF0" w:rsidP="008F5FB7">
      <w:r>
        <w:t>The non</w:t>
      </w:r>
      <w:r w:rsidR="008F5FB7" w:rsidRPr="008F5FB7">
        <w:t xml:space="preserve">clinical evaluator commented that </w:t>
      </w:r>
      <w:proofErr w:type="spellStart"/>
      <w:r>
        <w:t>Optaflu</w:t>
      </w:r>
      <w:proofErr w:type="spellEnd"/>
      <w:r w:rsidR="008F5FB7" w:rsidRPr="008F5FB7">
        <w:t xml:space="preserve"> has not been evaluated for prion disease potential or for the prese</w:t>
      </w:r>
      <w:r w:rsidR="0075435B">
        <w:t xml:space="preserve">nce of modified prion proteins; </w:t>
      </w:r>
      <w:r w:rsidR="008F5FB7" w:rsidRPr="008F5FB7">
        <w:t>however</w:t>
      </w:r>
      <w:r w:rsidR="0075435B">
        <w:t>,</w:t>
      </w:r>
      <w:r w:rsidR="008F5FB7" w:rsidRPr="008F5FB7">
        <w:t xml:space="preserve"> the current international regulatory consensus is that vaccines such as </w:t>
      </w:r>
      <w:proofErr w:type="spellStart"/>
      <w:r w:rsidR="00C477B9">
        <w:t>Optaflu</w:t>
      </w:r>
      <w:proofErr w:type="spellEnd"/>
      <w:r w:rsidR="008F5FB7" w:rsidRPr="008F5FB7">
        <w:t xml:space="preserve"> are very unlikely to cause transmissible spongiform </w:t>
      </w:r>
      <w:proofErr w:type="spellStart"/>
      <w:r w:rsidR="008F5FB7" w:rsidRPr="008F5FB7">
        <w:t>encephalopathies</w:t>
      </w:r>
      <w:proofErr w:type="spellEnd"/>
      <w:r w:rsidR="008F5FB7" w:rsidRPr="008F5FB7">
        <w:t xml:space="preserve"> in humans.</w:t>
      </w:r>
    </w:p>
    <w:p w:rsidR="008E7846" w:rsidRDefault="008E7846" w:rsidP="002229D2">
      <w:pPr>
        <w:pStyle w:val="Heading3"/>
      </w:pPr>
      <w:bookmarkStart w:id="116" w:name="_Toc247691530"/>
      <w:bookmarkStart w:id="117" w:name="_Toc314842513"/>
      <w:bookmarkStart w:id="118" w:name="_Toc430081308"/>
      <w:r w:rsidRPr="002229D2">
        <w:lastRenderedPageBreak/>
        <w:t>Clinical</w:t>
      </w:r>
      <w:bookmarkEnd w:id="116"/>
      <w:bookmarkEnd w:id="117"/>
      <w:bookmarkEnd w:id="118"/>
    </w:p>
    <w:p w:rsidR="007B6132" w:rsidRDefault="009A77EC" w:rsidP="007B6132">
      <w:bookmarkStart w:id="119" w:name="_Toc314842514"/>
      <w:r>
        <w:t>Table 6</w:t>
      </w:r>
      <w:r w:rsidR="00604BE9">
        <w:t xml:space="preserve"> shows an overview of clinical studies.</w:t>
      </w:r>
    </w:p>
    <w:p w:rsidR="009A77EC" w:rsidRDefault="009A77EC" w:rsidP="002229D2">
      <w:pPr>
        <w:pStyle w:val="TableTitle"/>
      </w:pPr>
      <w:proofErr w:type="gramStart"/>
      <w:r>
        <w:t>Table 6:</w:t>
      </w:r>
      <w:r w:rsidRPr="004C5C28">
        <w:t xml:space="preserve"> </w:t>
      </w:r>
      <w:r w:rsidR="00E00DE5" w:rsidRPr="002229D2">
        <w:t>Overview</w:t>
      </w:r>
      <w:r w:rsidR="00E00DE5">
        <w:t xml:space="preserve"> of clinical studies</w:t>
      </w:r>
      <w:r>
        <w:t>.</w:t>
      </w:r>
      <w:proofErr w:type="gramEnd"/>
    </w:p>
    <w:p w:rsidR="009A77EC" w:rsidRDefault="00037C4C" w:rsidP="007B6132">
      <w:r>
        <w:rPr>
          <w:noProof/>
          <w:lang w:eastAsia="en-AU"/>
        </w:rPr>
        <w:drawing>
          <wp:inline distT="0" distB="0" distL="0" distR="0" wp14:anchorId="1E6FB6BC" wp14:editId="3EC2026B">
            <wp:extent cx="4757287" cy="2813712"/>
            <wp:effectExtent l="0" t="0" r="5715" b="5715"/>
            <wp:docPr id="7" name="Picture 7" descr="Table 6: Overview of clinical studies." title="Table 6: Overview of clinical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4755338" cy="2812559"/>
                    </a:xfrm>
                    <a:prstGeom prst="rect">
                      <a:avLst/>
                    </a:prstGeom>
                  </pic:spPr>
                </pic:pic>
              </a:graphicData>
            </a:graphic>
          </wp:inline>
        </w:drawing>
      </w:r>
    </w:p>
    <w:p w:rsidR="009D70D3" w:rsidRPr="00633167" w:rsidRDefault="009D70D3" w:rsidP="00D76075">
      <w:pPr>
        <w:pStyle w:val="TableDescription"/>
      </w:pPr>
      <w:r w:rsidRPr="00633167">
        <w:t>CHMP: Committee for Medicinal products for Human Use</w:t>
      </w:r>
    </w:p>
    <w:p w:rsidR="009D70D3" w:rsidRPr="00633167" w:rsidRDefault="009D70D3" w:rsidP="00D76075">
      <w:pPr>
        <w:pStyle w:val="TableDescription"/>
      </w:pPr>
      <w:proofErr w:type="spellStart"/>
      <w:proofErr w:type="gramStart"/>
      <w:r w:rsidRPr="00633167">
        <w:t>cTIV</w:t>
      </w:r>
      <w:proofErr w:type="spellEnd"/>
      <w:proofErr w:type="gramEnd"/>
      <w:r w:rsidRPr="00633167">
        <w:t>: cell culture-derived influenza vaccine</w:t>
      </w:r>
    </w:p>
    <w:p w:rsidR="009D70D3" w:rsidRPr="00633167" w:rsidRDefault="009D70D3" w:rsidP="00D76075">
      <w:pPr>
        <w:pStyle w:val="TableDescription"/>
      </w:pPr>
      <w:proofErr w:type="spellStart"/>
      <w:proofErr w:type="gramStart"/>
      <w:r w:rsidRPr="00633167">
        <w:t>eTIV</w:t>
      </w:r>
      <w:proofErr w:type="spellEnd"/>
      <w:r w:rsidRPr="00633167">
        <w:t>-f</w:t>
      </w:r>
      <w:proofErr w:type="gramEnd"/>
      <w:r w:rsidRPr="00633167">
        <w:t>: egg-derived influenza vaccine. Fluvirin</w:t>
      </w:r>
    </w:p>
    <w:p w:rsidR="009D70D3" w:rsidRPr="00633167" w:rsidRDefault="009D70D3" w:rsidP="00D76075">
      <w:pPr>
        <w:pStyle w:val="TableDescription"/>
      </w:pPr>
      <w:proofErr w:type="spellStart"/>
      <w:proofErr w:type="gramStart"/>
      <w:r w:rsidRPr="00633167">
        <w:t>eTIV</w:t>
      </w:r>
      <w:proofErr w:type="spellEnd"/>
      <w:r w:rsidRPr="00633167">
        <w:t>-</w:t>
      </w:r>
      <w:proofErr w:type="gramEnd"/>
      <w:r w:rsidRPr="00633167">
        <w:t xml:space="preserve">a: egg-derived influenza vaccine. </w:t>
      </w:r>
      <w:proofErr w:type="spellStart"/>
      <w:r w:rsidRPr="00633167">
        <w:t>Agriflu</w:t>
      </w:r>
      <w:proofErr w:type="spellEnd"/>
      <w:r w:rsidRPr="00633167">
        <w:t>/</w:t>
      </w:r>
      <w:proofErr w:type="spellStart"/>
      <w:r w:rsidRPr="00633167">
        <w:t>Agrippal</w:t>
      </w:r>
      <w:proofErr w:type="spellEnd"/>
    </w:p>
    <w:p w:rsidR="009D70D3" w:rsidRPr="009D70D3" w:rsidRDefault="009D70D3" w:rsidP="009D70D3">
      <w:r w:rsidRPr="009D70D3">
        <w:t>All studies included with the submission were completed.</w:t>
      </w:r>
    </w:p>
    <w:p w:rsidR="009D70D3" w:rsidRPr="009D70D3" w:rsidRDefault="009D70D3" w:rsidP="009D70D3">
      <w:proofErr w:type="spellStart"/>
      <w:r w:rsidRPr="009D70D3">
        <w:t>Agrippal</w:t>
      </w:r>
      <w:proofErr w:type="spellEnd"/>
      <w:r w:rsidRPr="009D70D3">
        <w:t xml:space="preserve"> (</w:t>
      </w:r>
      <w:proofErr w:type="spellStart"/>
      <w:r w:rsidRPr="009D70D3">
        <w:t>eTIVa</w:t>
      </w:r>
      <w:proofErr w:type="spellEnd"/>
      <w:r w:rsidRPr="009D70D3">
        <w:t xml:space="preserve">) was used as the control vaccine in five studies and as a second investigational vaccine in the placebo controlled efficacy study, V58P13. It is available in Australia. Fluvirin was used as the control vaccine for the </w:t>
      </w:r>
      <w:proofErr w:type="spellStart"/>
      <w:r w:rsidRPr="009D70D3">
        <w:t>noninferiority</w:t>
      </w:r>
      <w:proofErr w:type="spellEnd"/>
      <w:r w:rsidRPr="009D70D3">
        <w:t xml:space="preserve"> study, V58P5. It is currently marketed in 15 countries, but not in Australia</w:t>
      </w:r>
      <w:r w:rsidR="00A24FE6">
        <w:t>.</w:t>
      </w:r>
    </w:p>
    <w:p w:rsidR="0000015D" w:rsidRDefault="009D70D3" w:rsidP="0000015D">
      <w:r w:rsidRPr="009D70D3">
        <w:t>For the studies submitted for registration in the EU, assessment of immunogenicity adhered to CPMP/BWP/214/96 requirements a</w:t>
      </w:r>
      <w:r w:rsidR="00706ADA">
        <w:t xml:space="preserve">s shown in </w:t>
      </w:r>
      <w:r w:rsidR="003F58EA">
        <w:t>Figure 1.</w:t>
      </w:r>
    </w:p>
    <w:p w:rsidR="00706ADA" w:rsidRDefault="006E09F1" w:rsidP="00D76075">
      <w:pPr>
        <w:pStyle w:val="FigureTitle"/>
      </w:pPr>
      <w:r>
        <w:t>Figure 1</w:t>
      </w:r>
      <w:r w:rsidR="00706ADA">
        <w:t>:</w:t>
      </w:r>
      <w:r w:rsidR="00706ADA" w:rsidRPr="004C5C28">
        <w:t xml:space="preserve"> </w:t>
      </w:r>
      <w:r w:rsidR="00472B66" w:rsidRPr="00472B66">
        <w:t>CPMP/BWP/214/96 Immunogenicity criteria for evaluation of influenza vaccines</w:t>
      </w:r>
      <w:r w:rsidR="00706ADA">
        <w:t>.</w:t>
      </w:r>
    </w:p>
    <w:p w:rsidR="0000015D" w:rsidRDefault="003F0060" w:rsidP="0000015D">
      <w:r>
        <w:rPr>
          <w:noProof/>
          <w:lang w:eastAsia="en-AU"/>
        </w:rPr>
        <w:drawing>
          <wp:inline distT="0" distB="0" distL="0" distR="0" wp14:anchorId="33E39E96" wp14:editId="3E47A08E">
            <wp:extent cx="5400040" cy="1341933"/>
            <wp:effectExtent l="0" t="0" r="0" b="0"/>
            <wp:docPr id="8" name="Picture 8" descr="Figure 1: CPMP/BWP/214/96 Immunogenicity criteria for evaluation of influenza vaccines." title="Figure 1: CPMP/BWP/214/96 Immunogenicity criteria for evaluation of influenza vacc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400040" cy="1341933"/>
                    </a:xfrm>
                    <a:prstGeom prst="rect">
                      <a:avLst/>
                    </a:prstGeom>
                  </pic:spPr>
                </pic:pic>
              </a:graphicData>
            </a:graphic>
          </wp:inline>
        </w:drawing>
      </w:r>
    </w:p>
    <w:p w:rsidR="00B04BE8" w:rsidRDefault="009E7562" w:rsidP="00D76075">
      <w:pPr>
        <w:pStyle w:val="FigureDescription"/>
      </w:pPr>
      <w:r>
        <w:t xml:space="preserve">SRH: single radial </w:t>
      </w:r>
      <w:r w:rsidRPr="00467BD9">
        <w:t>haemolysis</w:t>
      </w:r>
      <w:r>
        <w:t xml:space="preserve">, </w:t>
      </w:r>
      <w:r w:rsidRPr="00467BD9">
        <w:t xml:space="preserve">HI: </w:t>
      </w:r>
      <w:proofErr w:type="spellStart"/>
      <w:r w:rsidRPr="00467BD9">
        <w:t>haemagglutinin</w:t>
      </w:r>
      <w:proofErr w:type="spellEnd"/>
      <w:r w:rsidRPr="00467BD9">
        <w:t xml:space="preserve"> inhibition</w:t>
      </w:r>
      <w:r>
        <w:t>.</w:t>
      </w:r>
    </w:p>
    <w:p w:rsidR="009E7562" w:rsidRPr="00130C4B" w:rsidRDefault="00B04BE8" w:rsidP="00D76075">
      <w:pPr>
        <w:pStyle w:val="FigureDescription"/>
        <w:spacing w:before="0"/>
      </w:pPr>
      <w:r>
        <w:t xml:space="preserve">* </w:t>
      </w:r>
      <w:r w:rsidR="009E7562">
        <w:t>In most SRH test systems, a zone area of 25mm</w:t>
      </w:r>
      <w:r w:rsidR="009E7562" w:rsidRPr="00130C4B">
        <w:rPr>
          <w:vertAlign w:val="superscript"/>
        </w:rPr>
        <w:t>2</w:t>
      </w:r>
      <w:r w:rsidR="009E7562">
        <w:rPr>
          <w:vertAlign w:val="superscript"/>
        </w:rPr>
        <w:t xml:space="preserve"> </w:t>
      </w:r>
      <w:r w:rsidR="009E7562">
        <w:t xml:space="preserve">is approximately equivalent to </w:t>
      </w:r>
      <w:r w:rsidR="00C05C27">
        <w:t xml:space="preserve">an HI titre of 1:40. </w:t>
      </w:r>
      <w:r w:rsidR="009E7562">
        <w:t>However, this relationship can be affected by experimental conditions and should be re-examined in each laboratory so as to calibrate the test system adequately.</w:t>
      </w:r>
    </w:p>
    <w:p w:rsidR="0000015D" w:rsidRDefault="0000015D" w:rsidP="00D76075">
      <w:r w:rsidRPr="0000015D">
        <w:t xml:space="preserve">Studies V58P5 and V58P13 also adhered to the FDA </w:t>
      </w:r>
      <w:r w:rsidR="00885DEE">
        <w:t>CBER criteria</w:t>
      </w:r>
      <w:r w:rsidRPr="0000015D">
        <w:t>, which spe</w:t>
      </w:r>
      <w:r w:rsidR="003A6BC3">
        <w:t xml:space="preserve">cify the lower limit of the two </w:t>
      </w:r>
      <w:r w:rsidRPr="0000015D">
        <w:t xml:space="preserve">sided 95% confidence interval </w:t>
      </w:r>
      <w:r w:rsidR="00885DEE">
        <w:t xml:space="preserve">(CI) </w:t>
      </w:r>
      <w:r w:rsidRPr="0000015D">
        <w:t xml:space="preserve">for the percentage of subjects achieving </w:t>
      </w:r>
      <w:proofErr w:type="spellStart"/>
      <w:r w:rsidRPr="0000015D">
        <w:t>seroconversion</w:t>
      </w:r>
      <w:proofErr w:type="spellEnd"/>
      <w:r w:rsidRPr="0000015D">
        <w:t xml:space="preserve"> for HI antibody and for achieving an HI titre ≥ 1:40</w:t>
      </w:r>
      <w:r w:rsidR="005D50F4">
        <w:t xml:space="preserve"> as outlined</w:t>
      </w:r>
      <w:r w:rsidR="005777EC">
        <w:t xml:space="preserve"> in Figures 2 and 3</w:t>
      </w:r>
      <w:r w:rsidR="005D50F4">
        <w:t>.</w:t>
      </w:r>
    </w:p>
    <w:p w:rsidR="005777EC" w:rsidRDefault="005777EC" w:rsidP="00854859">
      <w:pPr>
        <w:pStyle w:val="FigureTitle"/>
      </w:pPr>
      <w:r>
        <w:lastRenderedPageBreak/>
        <w:t xml:space="preserve">Figure </w:t>
      </w:r>
      <w:r w:rsidR="008B1629">
        <w:t>2</w:t>
      </w:r>
      <w:r>
        <w:t>:</w:t>
      </w:r>
      <w:r w:rsidRPr="004C5C28">
        <w:t xml:space="preserve"> </w:t>
      </w:r>
      <w:r w:rsidR="008B1629" w:rsidRPr="008B1629">
        <w:t xml:space="preserve">FDA CBER </w:t>
      </w:r>
      <w:r w:rsidR="00904453">
        <w:t>i</w:t>
      </w:r>
      <w:r w:rsidR="008B1629" w:rsidRPr="008B1629">
        <w:t>mmunogenicity criteria for evaluation of influenza vaccines</w:t>
      </w:r>
      <w:r>
        <w:t>.</w:t>
      </w:r>
    </w:p>
    <w:p w:rsidR="005D50F4" w:rsidRDefault="00450386" w:rsidP="0000015D">
      <w:r>
        <w:rPr>
          <w:noProof/>
          <w:lang w:eastAsia="en-AU"/>
        </w:rPr>
        <w:drawing>
          <wp:inline distT="0" distB="0" distL="0" distR="0" wp14:anchorId="5CE74D0A" wp14:editId="3083503A">
            <wp:extent cx="5400040" cy="2223478"/>
            <wp:effectExtent l="0" t="0" r="0" b="5715"/>
            <wp:docPr id="9" name="Picture 9" descr="Figure 2: FDA CBER immunogenicity criteria for evaluation of influenza vaccines." title="Figure 2: FDA CBER immunogenicity criteria for evaluation of influenza vacc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400040" cy="2223478"/>
                    </a:xfrm>
                    <a:prstGeom prst="rect">
                      <a:avLst/>
                    </a:prstGeom>
                  </pic:spPr>
                </pic:pic>
              </a:graphicData>
            </a:graphic>
          </wp:inline>
        </w:drawing>
      </w:r>
    </w:p>
    <w:p w:rsidR="005C1FCE" w:rsidRDefault="005C1FCE" w:rsidP="00854859">
      <w:pPr>
        <w:pStyle w:val="FigureTitle"/>
      </w:pPr>
      <w:r>
        <w:t>Figure 3:</w:t>
      </w:r>
      <w:r w:rsidRPr="004C5C28">
        <w:t xml:space="preserve"> </w:t>
      </w:r>
      <w:r w:rsidRPr="008B1629">
        <w:t xml:space="preserve">FDA </w:t>
      </w:r>
      <w:r w:rsidR="00A77DC3" w:rsidRPr="00A77DC3">
        <w:t>CB</w:t>
      </w:r>
      <w:r w:rsidR="00904453">
        <w:t xml:space="preserve">ER immunogenicity criteria for </w:t>
      </w:r>
      <w:proofErr w:type="spellStart"/>
      <w:r w:rsidR="00904453">
        <w:t xml:space="preserve">non </w:t>
      </w:r>
      <w:r w:rsidR="00A77DC3" w:rsidRPr="00A77DC3">
        <w:t>inferiority</w:t>
      </w:r>
      <w:proofErr w:type="spellEnd"/>
      <w:r w:rsidR="00A77DC3" w:rsidRPr="00A77DC3">
        <w:t xml:space="preserve"> and </w:t>
      </w:r>
      <w:r w:rsidR="00904453">
        <w:t>l</w:t>
      </w:r>
      <w:r w:rsidR="00A77DC3" w:rsidRPr="00A77DC3">
        <w:t>ot consistency</w:t>
      </w:r>
      <w:r>
        <w:t>.</w:t>
      </w:r>
    </w:p>
    <w:p w:rsidR="005C1FCE" w:rsidRDefault="00FF6B16" w:rsidP="0000015D">
      <w:r>
        <w:rPr>
          <w:noProof/>
          <w:lang w:eastAsia="en-AU"/>
        </w:rPr>
        <w:drawing>
          <wp:inline distT="0" distB="0" distL="0" distR="0" wp14:anchorId="38A98182" wp14:editId="59DA3A28">
            <wp:extent cx="5400040" cy="1656935"/>
            <wp:effectExtent l="0" t="0" r="0" b="635"/>
            <wp:docPr id="10" name="Picture 10" descr="Figure 3: FDA CBER immunogenicity criteria for non inferiority and lot consistency." title="Figure 3: FDA CBER immunogenicity criteria for non inferiority and lot consiste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400040" cy="1656935"/>
                    </a:xfrm>
                    <a:prstGeom prst="rect">
                      <a:avLst/>
                    </a:prstGeom>
                  </pic:spPr>
                </pic:pic>
              </a:graphicData>
            </a:graphic>
          </wp:inline>
        </w:drawing>
      </w:r>
    </w:p>
    <w:p w:rsidR="00225D81" w:rsidRPr="00225D81" w:rsidRDefault="00225D81" w:rsidP="00854859">
      <w:pPr>
        <w:pStyle w:val="Heading4"/>
      </w:pPr>
      <w:r w:rsidRPr="00854859">
        <w:t>E</w:t>
      </w:r>
      <w:r w:rsidR="00490B13" w:rsidRPr="00854859">
        <w:t>fficacy</w:t>
      </w:r>
    </w:p>
    <w:p w:rsidR="00225D81" w:rsidRPr="00225D81" w:rsidRDefault="00225D81" w:rsidP="00533A97">
      <w:pPr>
        <w:pStyle w:val="Heading5"/>
      </w:pPr>
      <w:r w:rsidRPr="00225D81">
        <w:t>V58P13, FDA review</w:t>
      </w:r>
    </w:p>
    <w:p w:rsidR="00225D81" w:rsidRPr="00225D81" w:rsidRDefault="00904453" w:rsidP="00225D81">
      <w:r>
        <w:t>V58P13 was a P</w:t>
      </w:r>
      <w:r w:rsidR="00225D81" w:rsidRPr="00225D81">
        <w:t>hase III, randomi</w:t>
      </w:r>
      <w:r>
        <w:t>s</w:t>
      </w:r>
      <w:r w:rsidR="00225D81" w:rsidRPr="00225D81">
        <w:t>ed, observer</w:t>
      </w:r>
      <w:r>
        <w:t xml:space="preserve"> </w:t>
      </w:r>
      <w:r w:rsidR="00225D81" w:rsidRPr="00225D81">
        <w:t>blind, placebo</w:t>
      </w:r>
      <w:r>
        <w:t xml:space="preserve"> </w:t>
      </w:r>
      <w:r w:rsidR="00225D81" w:rsidRPr="00225D81">
        <w:t xml:space="preserve">controlled, </w:t>
      </w:r>
      <w:proofErr w:type="gramStart"/>
      <w:r w:rsidR="00225D81" w:rsidRPr="00225D81">
        <w:t>multicentre</w:t>
      </w:r>
      <w:proofErr w:type="gramEnd"/>
      <w:r w:rsidR="00225D81" w:rsidRPr="00225D81">
        <w:t xml:space="preserve"> study of efficacy, immunogenicity, safety and tolerability of </w:t>
      </w:r>
      <w:proofErr w:type="spellStart"/>
      <w:r w:rsidR="00225D81" w:rsidRPr="00225D81">
        <w:t>cTIV</w:t>
      </w:r>
      <w:proofErr w:type="spellEnd"/>
      <w:r w:rsidR="00225D81" w:rsidRPr="00225D81">
        <w:t xml:space="preserve"> compared to </w:t>
      </w:r>
      <w:proofErr w:type="spellStart"/>
      <w:r w:rsidR="00225D81" w:rsidRPr="00225D81">
        <w:t>eTIVa</w:t>
      </w:r>
      <w:proofErr w:type="spellEnd"/>
      <w:r w:rsidR="00225D81" w:rsidRPr="00225D81">
        <w:t xml:space="preserve"> in healthy adults aged 18-49 years. It was completed in July 2008.</w:t>
      </w:r>
    </w:p>
    <w:p w:rsidR="00225D81" w:rsidRPr="00225D81" w:rsidRDefault="00225D81" w:rsidP="00225D81">
      <w:r w:rsidRPr="00225D81">
        <w:t xml:space="preserve">The primary objective was to demonstrate protection of </w:t>
      </w:r>
      <w:proofErr w:type="spellStart"/>
      <w:r w:rsidRPr="00225D81">
        <w:t>cTIV</w:t>
      </w:r>
      <w:proofErr w:type="spellEnd"/>
      <w:r w:rsidRPr="00225D81">
        <w:t xml:space="preserve"> and </w:t>
      </w:r>
      <w:proofErr w:type="spellStart"/>
      <w:r w:rsidRPr="00225D81">
        <w:t>eTIV</w:t>
      </w:r>
      <w:proofErr w:type="spellEnd"/>
      <w:r w:rsidRPr="00225D81">
        <w:t xml:space="preserve"> versus placebo against illness caused by virus-confirmed community</w:t>
      </w:r>
      <w:r w:rsidR="001D1054">
        <w:t xml:space="preserve"> </w:t>
      </w:r>
      <w:r w:rsidRPr="00225D81">
        <w:t xml:space="preserve">acquired influenza wild type strains </w:t>
      </w:r>
      <w:proofErr w:type="spellStart"/>
      <w:r w:rsidRPr="00225D81">
        <w:t>antigenically</w:t>
      </w:r>
      <w:proofErr w:type="spellEnd"/>
      <w:r w:rsidRPr="00225D81">
        <w:t xml:space="preserve"> similar to those in the vaccines. The two influenza vaccines were evaluated separately; both were compared to placebo and not to each other.</w:t>
      </w:r>
    </w:p>
    <w:p w:rsidR="00225D81" w:rsidRPr="00225D81" w:rsidRDefault="00225D81" w:rsidP="00225D81">
      <w:r w:rsidRPr="00225D81">
        <w:t xml:space="preserve">Secondary efficacy objectives evaluated </w:t>
      </w:r>
      <w:proofErr w:type="spellStart"/>
      <w:r w:rsidRPr="00225D81">
        <w:t>cTIV</w:t>
      </w:r>
      <w:proofErr w:type="spellEnd"/>
      <w:r w:rsidRPr="00225D81">
        <w:t xml:space="preserve"> and </w:t>
      </w:r>
      <w:proofErr w:type="spellStart"/>
      <w:r w:rsidRPr="00225D81">
        <w:t>eTIVa</w:t>
      </w:r>
      <w:proofErr w:type="spellEnd"/>
      <w:r w:rsidRPr="00225D81">
        <w:t xml:space="preserve"> separately, each compared to pl</w:t>
      </w:r>
      <w:r w:rsidR="001D1054">
        <w:t>acebo</w:t>
      </w:r>
      <w:r w:rsidRPr="00225D81">
        <w:t xml:space="preserve">. Secondary immunogenicity objectives evaluated percentages with </w:t>
      </w:r>
      <w:proofErr w:type="spellStart"/>
      <w:r w:rsidRPr="00225D81">
        <w:t>seroprotection</w:t>
      </w:r>
      <w:proofErr w:type="spellEnd"/>
      <w:r w:rsidRPr="00225D81">
        <w:t xml:space="preserve"> and </w:t>
      </w:r>
      <w:proofErr w:type="spellStart"/>
      <w:r w:rsidRPr="00225D81">
        <w:t>seroconversion</w:t>
      </w:r>
      <w:proofErr w:type="spellEnd"/>
      <w:r w:rsidRPr="00225D81">
        <w:t xml:space="preserve"> or significant increase in titre in a subset of participants acco</w:t>
      </w:r>
      <w:r w:rsidR="00854859">
        <w:t>rding to the FDA CBER criteria.</w:t>
      </w:r>
    </w:p>
    <w:p w:rsidR="00225D81" w:rsidRPr="00225D81" w:rsidRDefault="00225D81" w:rsidP="00225D81">
      <w:r w:rsidRPr="00225D81">
        <w:t>Subjects were randomised in a 1:1:1 ratio to</w:t>
      </w:r>
      <w:r w:rsidR="00FF0E9F">
        <w:t xml:space="preserve"> receive </w:t>
      </w:r>
      <w:proofErr w:type="spellStart"/>
      <w:r w:rsidR="00FF0E9F">
        <w:t>cTIV</w:t>
      </w:r>
      <w:proofErr w:type="spellEnd"/>
      <w:r w:rsidR="00FF0E9F">
        <w:t xml:space="preserve">, </w:t>
      </w:r>
      <w:proofErr w:type="spellStart"/>
      <w:r w:rsidR="00FF0E9F">
        <w:t>eTIVa</w:t>
      </w:r>
      <w:proofErr w:type="spellEnd"/>
      <w:r w:rsidR="00FF0E9F">
        <w:t xml:space="preserve"> (</w:t>
      </w:r>
      <w:proofErr w:type="spellStart"/>
      <w:r w:rsidR="00FF0E9F">
        <w:t>Aggripal</w:t>
      </w:r>
      <w:proofErr w:type="spellEnd"/>
      <w:r w:rsidRPr="00225D81">
        <w:t xml:space="preserve">), or </w:t>
      </w:r>
      <w:r w:rsidR="00F64187">
        <w:t>PBS</w:t>
      </w:r>
      <w:r w:rsidRPr="00225D81">
        <w:t xml:space="preserve"> placebo. Active and passive surveillance for influenza-like illnesses was conducted throughout </w:t>
      </w:r>
      <w:r w:rsidR="001475D0">
        <w:t>the 2007-2008 influenza season.</w:t>
      </w:r>
    </w:p>
    <w:p w:rsidR="00225D81" w:rsidRPr="00225D81" w:rsidRDefault="00225D81" w:rsidP="001475D0">
      <w:r w:rsidRPr="00225D81">
        <w:t>A subset of subjects enrolled at US study sites were enrolled in an immunogenicit</w:t>
      </w:r>
      <w:r w:rsidR="00F64187">
        <w:t xml:space="preserve">y subset to support the </w:t>
      </w:r>
      <w:proofErr w:type="spellStart"/>
      <w:r w:rsidR="00F64187">
        <w:t>Agriflu</w:t>
      </w:r>
      <w:proofErr w:type="spellEnd"/>
      <w:r w:rsidR="00F64187">
        <w:t>/</w:t>
      </w:r>
      <w:proofErr w:type="spellStart"/>
      <w:r w:rsidR="00F64187">
        <w:t>Aggripal</w:t>
      </w:r>
      <w:proofErr w:type="spellEnd"/>
      <w:r w:rsidR="00F64187">
        <w:t xml:space="preserve"> </w:t>
      </w:r>
      <w:r w:rsidRPr="00225D81">
        <w:t>(</w:t>
      </w:r>
      <w:proofErr w:type="spellStart"/>
      <w:r w:rsidRPr="00225D81">
        <w:t>eTIVa</w:t>
      </w:r>
      <w:proofErr w:type="spellEnd"/>
      <w:r w:rsidRPr="00225D81">
        <w:t>) Biologics License Application: the first</w:t>
      </w:r>
      <w:r w:rsidR="006D7BA3">
        <w:t xml:space="preserve"> 240 subjects who received </w:t>
      </w:r>
      <w:proofErr w:type="spellStart"/>
      <w:r w:rsidR="006D7BA3">
        <w:t>cTIV</w:t>
      </w:r>
      <w:proofErr w:type="spellEnd"/>
      <w:r w:rsidRPr="00225D81">
        <w:t xml:space="preserve">, the first 750 subjects who received </w:t>
      </w:r>
      <w:proofErr w:type="spellStart"/>
      <w:proofErr w:type="gramStart"/>
      <w:r w:rsidRPr="00225D81">
        <w:t>eTIVa</w:t>
      </w:r>
      <w:proofErr w:type="spellEnd"/>
      <w:r w:rsidRPr="00225D81">
        <w:t xml:space="preserve"> ,</w:t>
      </w:r>
      <w:proofErr w:type="gramEnd"/>
      <w:r w:rsidRPr="00225D81">
        <w:t xml:space="preserve"> and the first 60 who received placebo. The FDA reviewer commented that there was an imbalance in the size of the immunogenicity subsets, because the sponsor used the results of the study to support the size of the database supporting </w:t>
      </w:r>
      <w:proofErr w:type="spellStart"/>
      <w:r w:rsidRPr="00225D81">
        <w:t>eTIVa</w:t>
      </w:r>
      <w:proofErr w:type="spellEnd"/>
      <w:r w:rsidRPr="00225D81">
        <w:t xml:space="preserve"> immunogenicity, while there were several previously completed studies to support the immunogenicity of </w:t>
      </w:r>
      <w:proofErr w:type="spellStart"/>
      <w:r w:rsidRPr="00225D81">
        <w:t>cTIV</w:t>
      </w:r>
      <w:proofErr w:type="spellEnd"/>
      <w:r w:rsidRPr="00225D81">
        <w:t>.</w:t>
      </w:r>
    </w:p>
    <w:p w:rsidR="00225D81" w:rsidRPr="00225D81" w:rsidRDefault="00225D81" w:rsidP="00225D81">
      <w:r w:rsidRPr="00225D81">
        <w:lastRenderedPageBreak/>
        <w:t xml:space="preserve">In total, 11404 participants were enrolled and randomised into three groups, 3828 received the </w:t>
      </w:r>
      <w:proofErr w:type="spellStart"/>
      <w:r w:rsidRPr="00225D81">
        <w:t>cTIV</w:t>
      </w:r>
      <w:proofErr w:type="spellEnd"/>
      <w:r w:rsidRPr="00225D81">
        <w:t xml:space="preserve"> vaccine, 3676 received the </w:t>
      </w:r>
      <w:proofErr w:type="spellStart"/>
      <w:r w:rsidRPr="00225D81">
        <w:t>eTIVa</w:t>
      </w:r>
      <w:proofErr w:type="spellEnd"/>
      <w:r w:rsidRPr="00225D81">
        <w:t xml:space="preserve"> and 3900 received placebo. Overall, 10844 completed the study. The mean age in the three groups was 32.7 - 33 years, with the majority of participants in all groups Caucasian (84% - 85%).</w:t>
      </w:r>
    </w:p>
    <w:p w:rsidR="00561CF3" w:rsidRDefault="00561CF3" w:rsidP="001475D0">
      <w:pPr>
        <w:pStyle w:val="TableTitle"/>
      </w:pPr>
      <w:r>
        <w:t>Table 7:</w:t>
      </w:r>
      <w:r w:rsidRPr="004C5C28">
        <w:t xml:space="preserve"> </w:t>
      </w:r>
      <w:r w:rsidR="00C72AEB">
        <w:t>V58P13 p</w:t>
      </w:r>
      <w:r w:rsidR="001A2327" w:rsidRPr="001A2327">
        <w:t xml:space="preserve">articipant </w:t>
      </w:r>
      <w:r w:rsidR="001A2327" w:rsidRPr="001475D0">
        <w:t>numbers</w:t>
      </w:r>
      <w:r w:rsidR="001A2327" w:rsidRPr="001A2327">
        <w:t xml:space="preserve"> planned and enrolled</w:t>
      </w:r>
      <w:r>
        <w:t>.</w:t>
      </w:r>
    </w:p>
    <w:p w:rsidR="00FF6B16" w:rsidRDefault="00934AF8" w:rsidP="00225D81">
      <w:r>
        <w:rPr>
          <w:noProof/>
          <w:lang w:eastAsia="en-AU"/>
        </w:rPr>
        <w:drawing>
          <wp:inline distT="0" distB="0" distL="0" distR="0" wp14:anchorId="23F5F9E2" wp14:editId="2E80156A">
            <wp:extent cx="5400040" cy="2120208"/>
            <wp:effectExtent l="0" t="0" r="0" b="0"/>
            <wp:docPr id="11" name="Picture 11" descr="Table 7: V58P13 participant numbers planned and enrolled." title="Table 7: V58P13 participant numbers planned and enrol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400040" cy="2120208"/>
                    </a:xfrm>
                    <a:prstGeom prst="rect">
                      <a:avLst/>
                    </a:prstGeom>
                  </pic:spPr>
                </pic:pic>
              </a:graphicData>
            </a:graphic>
          </wp:inline>
        </w:drawing>
      </w:r>
    </w:p>
    <w:p w:rsidR="00183A13" w:rsidRPr="00183A13" w:rsidRDefault="00183A13" w:rsidP="00183A13">
      <w:r w:rsidRPr="00183A13">
        <w:t>The primary objective was met for bo</w:t>
      </w:r>
      <w:r>
        <w:t>th vaccines, as described below.</w:t>
      </w:r>
    </w:p>
    <w:p w:rsidR="00183A13" w:rsidRPr="00D01C88" w:rsidRDefault="00183A13" w:rsidP="00391ED3">
      <w:pPr>
        <w:pStyle w:val="Heading6"/>
      </w:pPr>
      <w:proofErr w:type="spellStart"/>
      <w:proofErr w:type="gramStart"/>
      <w:r w:rsidRPr="00D01C88">
        <w:t>cTIV</w:t>
      </w:r>
      <w:proofErr w:type="spellEnd"/>
      <w:proofErr w:type="gramEnd"/>
      <w:r w:rsidRPr="00D01C88">
        <w:t xml:space="preserve"> vaccine</w:t>
      </w:r>
    </w:p>
    <w:p w:rsidR="00183A13" w:rsidRPr="00391ED3" w:rsidRDefault="00183A13" w:rsidP="00391ED3">
      <w:r w:rsidRPr="00391ED3">
        <w:t>The rates of culture</w:t>
      </w:r>
      <w:r w:rsidR="00223138">
        <w:t xml:space="preserve"> </w:t>
      </w:r>
      <w:r w:rsidRPr="00391ED3">
        <w:t>confirmed influenza caused by vaccine</w:t>
      </w:r>
      <w:r w:rsidR="00A91A5F">
        <w:t xml:space="preserve"> </w:t>
      </w:r>
      <w:r w:rsidRPr="00391ED3">
        <w:t xml:space="preserve">like strains in the per protocol efficacy population were 0.0019 (7/3776) for </w:t>
      </w:r>
      <w:proofErr w:type="spellStart"/>
      <w:r w:rsidRPr="00391ED3">
        <w:t>cTIV</w:t>
      </w:r>
      <w:proofErr w:type="spellEnd"/>
      <w:r w:rsidRPr="00391ED3">
        <w:t xml:space="preserve"> and 0.0114 (44/3843) for placebo. Overall vaccine efficacy (LL 97.5% C</w:t>
      </w:r>
      <w:r w:rsidR="001475D0">
        <w:t>I) was 83.8% (61%); p = 0.0005.</w:t>
      </w:r>
    </w:p>
    <w:p w:rsidR="00183A13" w:rsidRPr="00D01C88" w:rsidRDefault="00183A13" w:rsidP="00391ED3">
      <w:pPr>
        <w:pStyle w:val="Heading6"/>
      </w:pPr>
      <w:proofErr w:type="spellStart"/>
      <w:proofErr w:type="gramStart"/>
      <w:r w:rsidRPr="00D01C88">
        <w:t>eTIVa</w:t>
      </w:r>
      <w:proofErr w:type="spellEnd"/>
      <w:proofErr w:type="gramEnd"/>
      <w:r w:rsidRPr="00D01C88">
        <w:t xml:space="preserve"> vaccine</w:t>
      </w:r>
    </w:p>
    <w:p w:rsidR="00183A13" w:rsidRPr="00391ED3" w:rsidRDefault="00183A13" w:rsidP="00391ED3">
      <w:r w:rsidRPr="00391ED3">
        <w:t>The rates of culture</w:t>
      </w:r>
      <w:r w:rsidR="00A91A5F">
        <w:t xml:space="preserve"> </w:t>
      </w:r>
      <w:r w:rsidRPr="00391ED3">
        <w:t>confirmed influenza caused by vaccine</w:t>
      </w:r>
      <w:r w:rsidR="00A91A5F">
        <w:t xml:space="preserve"> </w:t>
      </w:r>
      <w:r w:rsidRPr="00391ED3">
        <w:t xml:space="preserve">like strains in the per protocol efficacy population were 0.0025 (9/3638) for </w:t>
      </w:r>
      <w:proofErr w:type="spellStart"/>
      <w:r w:rsidRPr="00391ED3">
        <w:t>eTIVa</w:t>
      </w:r>
      <w:proofErr w:type="spellEnd"/>
      <w:r w:rsidRPr="00391ED3">
        <w:t xml:space="preserve"> and 0.0114 (44/3843) for placebo. Overall vaccine efficacy (LL 97.5% CI) was 78.4% (52.1%); p = 0.0035.</w:t>
      </w:r>
    </w:p>
    <w:p w:rsidR="00183A13" w:rsidRPr="00391ED3" w:rsidRDefault="00183A13" w:rsidP="00391ED3">
      <w:r w:rsidRPr="00391ED3">
        <w:t>It was concluded that the primary objective was met for both vaccines.</w:t>
      </w:r>
    </w:p>
    <w:p w:rsidR="00183A13" w:rsidRPr="00391ED3" w:rsidRDefault="00183A13" w:rsidP="00391ED3">
      <w:r w:rsidRPr="00391ED3">
        <w:t>F</w:t>
      </w:r>
      <w:r w:rsidR="00A559E7">
        <w:t xml:space="preserve">or vaccine efficacy against </w:t>
      </w:r>
      <w:proofErr w:type="spellStart"/>
      <w:r w:rsidR="00A559E7">
        <w:t xml:space="preserve">non </w:t>
      </w:r>
      <w:r w:rsidRPr="00391ED3">
        <w:t>vaccine</w:t>
      </w:r>
      <w:proofErr w:type="spellEnd"/>
      <w:r w:rsidRPr="00391ED3">
        <w:t xml:space="preserve"> strains for both vaccine groups, results were not statistically compliant with CBER criteria for assessing vaccine efficacy against placebo.</w:t>
      </w:r>
    </w:p>
    <w:p w:rsidR="00183A13" w:rsidRPr="00391ED3" w:rsidRDefault="00183A13" w:rsidP="00391ED3">
      <w:r w:rsidRPr="00391ED3">
        <w:t xml:space="preserve">The CBER criteria for </w:t>
      </w:r>
      <w:proofErr w:type="spellStart"/>
      <w:r w:rsidRPr="00391ED3">
        <w:t>seroconversion</w:t>
      </w:r>
      <w:proofErr w:type="spellEnd"/>
      <w:r w:rsidRPr="00391ED3">
        <w:t xml:space="preserve"> and </w:t>
      </w:r>
      <w:proofErr w:type="spellStart"/>
      <w:r w:rsidRPr="00391ED3">
        <w:t>seroprotection</w:t>
      </w:r>
      <w:proofErr w:type="spellEnd"/>
      <w:r w:rsidRPr="00391ED3">
        <w:t xml:space="preserve"> were all met for each of the three strains for both </w:t>
      </w:r>
      <w:proofErr w:type="spellStart"/>
      <w:r w:rsidRPr="00391ED3">
        <w:t>cTIV</w:t>
      </w:r>
      <w:proofErr w:type="spellEnd"/>
      <w:r w:rsidRPr="00391ED3">
        <w:t xml:space="preserve"> and </w:t>
      </w:r>
      <w:proofErr w:type="spellStart"/>
      <w:r w:rsidRPr="00391ED3">
        <w:t>eTIV</w:t>
      </w:r>
      <w:proofErr w:type="spellEnd"/>
      <w:r w:rsidRPr="00391ED3">
        <w:t xml:space="preserve"> but not for placebo. The EU CPMP criteria were also met for all strains for the active vaccine groups.</w:t>
      </w:r>
    </w:p>
    <w:p w:rsidR="00183A13" w:rsidRDefault="00183A13" w:rsidP="00490B13">
      <w:pPr>
        <w:pStyle w:val="Heading4"/>
      </w:pPr>
      <w:r>
        <w:t>I</w:t>
      </w:r>
      <w:r w:rsidRPr="00B062DF">
        <w:t>mmunogenicity</w:t>
      </w:r>
    </w:p>
    <w:p w:rsidR="00183A13" w:rsidRDefault="00183A13" w:rsidP="00490B13">
      <w:pPr>
        <w:pStyle w:val="Heading5"/>
      </w:pPr>
      <w:r w:rsidRPr="00B062DF">
        <w:t>V58P4</w:t>
      </w:r>
    </w:p>
    <w:p w:rsidR="00183A13" w:rsidRPr="00490B13" w:rsidRDefault="00110B6E" w:rsidP="00490B13">
      <w:r>
        <w:t>V58P4 was a P</w:t>
      </w:r>
      <w:r w:rsidR="00183A13" w:rsidRPr="00490B13">
        <w:t>hase III, observer</w:t>
      </w:r>
      <w:r>
        <w:t xml:space="preserve"> </w:t>
      </w:r>
      <w:r w:rsidR="00183A13" w:rsidRPr="00490B13">
        <w:t xml:space="preserve">blind, randomised, </w:t>
      </w:r>
      <w:proofErr w:type="spellStart"/>
      <w:r w:rsidR="00183A13" w:rsidRPr="00490B13">
        <w:t>multi</w:t>
      </w:r>
      <w:r>
        <w:t xml:space="preserve"> </w:t>
      </w:r>
      <w:r w:rsidR="00183A13" w:rsidRPr="00490B13">
        <w:t>centre</w:t>
      </w:r>
      <w:proofErr w:type="spellEnd"/>
      <w:r w:rsidR="00183A13" w:rsidRPr="00490B13">
        <w:t xml:space="preserve"> study evaluating safety, tolerability and immunogenicity </w:t>
      </w:r>
      <w:proofErr w:type="spellStart"/>
      <w:r w:rsidR="00183A13" w:rsidRPr="00490B13">
        <w:t>cTIV</w:t>
      </w:r>
      <w:proofErr w:type="spellEnd"/>
      <w:r w:rsidR="00183A13" w:rsidRPr="00490B13">
        <w:t xml:space="preserve"> compared to </w:t>
      </w:r>
      <w:proofErr w:type="spellStart"/>
      <w:r w:rsidR="00183A13" w:rsidRPr="00490B13">
        <w:t>eTIVa</w:t>
      </w:r>
      <w:proofErr w:type="spellEnd"/>
      <w:r w:rsidR="008D3E9C">
        <w:t xml:space="preserve"> in healthy adults aged 18-</w:t>
      </w:r>
      <w:r w:rsidR="00183A13" w:rsidRPr="00490B13">
        <w:t>60 years and &gt; 60 years, conducted in five centres in Poland. It was completed in May 2005.</w:t>
      </w:r>
    </w:p>
    <w:p w:rsidR="00183A13" w:rsidRPr="00490B13" w:rsidRDefault="00183A13" w:rsidP="00490B13">
      <w:r w:rsidRPr="00490B13">
        <w:t xml:space="preserve">The primary objective was to evaluate immunogenicity of </w:t>
      </w:r>
      <w:proofErr w:type="spellStart"/>
      <w:r w:rsidRPr="00490B13">
        <w:t>cTIV</w:t>
      </w:r>
      <w:proofErr w:type="spellEnd"/>
      <w:r w:rsidRPr="00490B13">
        <w:t xml:space="preserve"> versus </w:t>
      </w:r>
      <w:proofErr w:type="spellStart"/>
      <w:r w:rsidRPr="00490B13">
        <w:t>eTIVa</w:t>
      </w:r>
      <w:proofErr w:type="spellEnd"/>
      <w:r w:rsidRPr="00490B13">
        <w:t xml:space="preserve"> according to the EU CPMP criteria (outlined previously).</w:t>
      </w:r>
    </w:p>
    <w:p w:rsidR="00183A13" w:rsidRPr="00490B13" w:rsidRDefault="00183A13" w:rsidP="00490B13">
      <w:r w:rsidRPr="00490B13">
        <w:t>The secondary o</w:t>
      </w:r>
      <w:r w:rsidR="00986B97">
        <w:t xml:space="preserve">bjective was to demonstrate non </w:t>
      </w:r>
      <w:r w:rsidRPr="00490B13">
        <w:t>inferiority of the correlates of protection (</w:t>
      </w:r>
      <w:proofErr w:type="spellStart"/>
      <w:r w:rsidRPr="00490B13">
        <w:t>seroprotection</w:t>
      </w:r>
      <w:proofErr w:type="spellEnd"/>
      <w:r w:rsidRPr="00490B13">
        <w:t xml:space="preserve">, </w:t>
      </w:r>
      <w:proofErr w:type="spellStart"/>
      <w:r w:rsidRPr="00490B13">
        <w:t>seroconversion</w:t>
      </w:r>
      <w:proofErr w:type="spellEnd"/>
      <w:r w:rsidRPr="00490B13">
        <w:t xml:space="preserve"> and sufficient increase in geometric mean titre) of a single dose of </w:t>
      </w:r>
      <w:proofErr w:type="spellStart"/>
      <w:r w:rsidRPr="00490B13">
        <w:t>cTIV</w:t>
      </w:r>
      <w:proofErr w:type="spellEnd"/>
      <w:r w:rsidRPr="00490B13">
        <w:t xml:space="preserve"> compared to </w:t>
      </w:r>
      <w:proofErr w:type="spellStart"/>
      <w:r w:rsidRPr="00490B13">
        <w:t>eTIVa</w:t>
      </w:r>
      <w:proofErr w:type="spellEnd"/>
      <w:r w:rsidRPr="00490B13">
        <w:t>.</w:t>
      </w:r>
    </w:p>
    <w:p w:rsidR="00183A13" w:rsidRPr="00490B13" w:rsidRDefault="00183A13" w:rsidP="001475D0">
      <w:r w:rsidRPr="00490B13">
        <w:t xml:space="preserve">A total of 2654 participants were enrolled, randomised, and vaccinated: 1330 in the </w:t>
      </w:r>
      <w:proofErr w:type="spellStart"/>
      <w:r w:rsidRPr="00490B13">
        <w:t>cTIV</w:t>
      </w:r>
      <w:proofErr w:type="spellEnd"/>
      <w:r w:rsidRPr="00490B13">
        <w:t xml:space="preserve"> arm and 1324 in the </w:t>
      </w:r>
      <w:proofErr w:type="spellStart"/>
      <w:r w:rsidRPr="00490B13">
        <w:t>eTIVa</w:t>
      </w:r>
      <w:proofErr w:type="spellEnd"/>
      <w:r w:rsidRPr="00490B13">
        <w:t xml:space="preserve"> arm. Of these, 1300 were aged 18 to 60 years and 1354 aged &gt;60 years. More than 97% of subjects in each study arm comple</w:t>
      </w:r>
      <w:r w:rsidR="00986B97">
        <w:t>ted the study</w:t>
      </w:r>
      <w:r w:rsidR="001475D0">
        <w:t>.</w:t>
      </w:r>
    </w:p>
    <w:p w:rsidR="00183A13" w:rsidRPr="00490B13" w:rsidRDefault="00742A5F" w:rsidP="00490B13">
      <w:r>
        <w:lastRenderedPageBreak/>
        <w:t>In the age group 18-</w:t>
      </w:r>
      <w:r w:rsidR="00183A13" w:rsidRPr="00490B13">
        <w:t xml:space="preserve">60 years, the average ages in the </w:t>
      </w:r>
      <w:proofErr w:type="spellStart"/>
      <w:r w:rsidR="00183A13" w:rsidRPr="00490B13">
        <w:t>cTIV</w:t>
      </w:r>
      <w:proofErr w:type="spellEnd"/>
      <w:r w:rsidR="00183A13" w:rsidRPr="00490B13">
        <w:t xml:space="preserve"> and </w:t>
      </w:r>
      <w:proofErr w:type="spellStart"/>
      <w:r w:rsidR="00183A13" w:rsidRPr="00490B13">
        <w:t>eTIVa</w:t>
      </w:r>
      <w:proofErr w:type="spellEnd"/>
      <w:r w:rsidR="00183A13" w:rsidRPr="00490B13">
        <w:t xml:space="preserve"> groups</w:t>
      </w:r>
      <w:r w:rsidR="009E0915">
        <w:t xml:space="preserve"> were 38.7 years and 38.3 years, </w:t>
      </w:r>
      <w:r w:rsidR="00183A13" w:rsidRPr="00490B13">
        <w:t>r</w:t>
      </w:r>
      <w:r w:rsidR="009E0915">
        <w:t>espectively. In the age group &gt;</w:t>
      </w:r>
      <w:r w:rsidR="00183A13" w:rsidRPr="00490B13">
        <w:t xml:space="preserve">60 years, the average ages in the </w:t>
      </w:r>
      <w:proofErr w:type="spellStart"/>
      <w:r w:rsidR="00183A13" w:rsidRPr="00490B13">
        <w:t>cTIV</w:t>
      </w:r>
      <w:proofErr w:type="spellEnd"/>
      <w:r w:rsidR="00183A13" w:rsidRPr="00490B13">
        <w:t xml:space="preserve"> and </w:t>
      </w:r>
      <w:proofErr w:type="spellStart"/>
      <w:r w:rsidR="00183A13" w:rsidRPr="00490B13">
        <w:t>eTIVa</w:t>
      </w:r>
      <w:proofErr w:type="spellEnd"/>
      <w:r w:rsidR="00183A13" w:rsidRPr="00490B13">
        <w:t xml:space="preserve"> groups were 69.1 years and 68.8 years respectively. For both age groups, all participants were Caucasian.</w:t>
      </w:r>
    </w:p>
    <w:p w:rsidR="00183A13" w:rsidRPr="00CE5720" w:rsidRDefault="00183A13" w:rsidP="00490B13">
      <w:pPr>
        <w:pStyle w:val="Heading6"/>
      </w:pPr>
      <w:r w:rsidRPr="00CE5720">
        <w:t>Results</w:t>
      </w:r>
    </w:p>
    <w:p w:rsidR="00183A13" w:rsidRPr="00490B13" w:rsidRDefault="00183A13" w:rsidP="00490B13">
      <w:r w:rsidRPr="00490B13">
        <w:t xml:space="preserve">Primary objective: </w:t>
      </w:r>
      <w:proofErr w:type="spellStart"/>
      <w:r w:rsidRPr="00490B13">
        <w:t>cTIV</w:t>
      </w:r>
      <w:proofErr w:type="spellEnd"/>
      <w:r w:rsidRPr="00490B13">
        <w:t xml:space="preserve"> and </w:t>
      </w:r>
      <w:proofErr w:type="spellStart"/>
      <w:r w:rsidRPr="00490B13">
        <w:t>eTIV</w:t>
      </w:r>
      <w:proofErr w:type="spellEnd"/>
      <w:r w:rsidRPr="00490B13">
        <w:t xml:space="preserve"> met all three CPMP criteria against the three strains in </w:t>
      </w:r>
      <w:r w:rsidR="009E0915">
        <w:t>both age groups (Table 8</w:t>
      </w:r>
      <w:r w:rsidRPr="00490B13">
        <w:t>).</w:t>
      </w:r>
    </w:p>
    <w:p w:rsidR="00FE24D0" w:rsidRPr="001475D0" w:rsidRDefault="00FE24D0" w:rsidP="001475D0">
      <w:pPr>
        <w:pStyle w:val="TableTitle"/>
      </w:pPr>
      <w:r>
        <w:t>Table 8:</w:t>
      </w:r>
      <w:r w:rsidRPr="004C5C28">
        <w:t xml:space="preserve"> </w:t>
      </w:r>
      <w:r w:rsidR="008768FA">
        <w:t>Study V58P4 – r</w:t>
      </w:r>
      <w:r w:rsidR="00921B62" w:rsidRPr="00921B62">
        <w:t>esults (</w:t>
      </w:r>
      <w:r w:rsidR="008768FA">
        <w:t>p</w:t>
      </w:r>
      <w:r w:rsidR="00921B62" w:rsidRPr="00921B62">
        <w:t xml:space="preserve">oint estimates) for </w:t>
      </w:r>
      <w:proofErr w:type="spellStart"/>
      <w:r w:rsidR="008768FA">
        <w:t>s</w:t>
      </w:r>
      <w:r w:rsidR="00921B62" w:rsidRPr="00921B62">
        <w:t>eroconversion</w:t>
      </w:r>
      <w:proofErr w:type="spellEnd"/>
      <w:r w:rsidR="00921B62" w:rsidRPr="00921B62">
        <w:t xml:space="preserve"> </w:t>
      </w:r>
      <w:r w:rsidR="008768FA">
        <w:t>r</w:t>
      </w:r>
      <w:r w:rsidR="00921B62" w:rsidRPr="00921B62">
        <w:t xml:space="preserve">ate, </w:t>
      </w:r>
      <w:r w:rsidR="008768FA">
        <w:t>p</w:t>
      </w:r>
      <w:r w:rsidR="00921B62" w:rsidRPr="00921B62">
        <w:t xml:space="preserve">ercentage of </w:t>
      </w:r>
      <w:r w:rsidR="008768FA">
        <w:t>subjects with H</w:t>
      </w:r>
      <w:r w:rsidR="00921B62" w:rsidRPr="00921B62">
        <w:t xml:space="preserve">I </w:t>
      </w:r>
      <w:proofErr w:type="spellStart"/>
      <w:r w:rsidR="008768FA">
        <w:t>t</w:t>
      </w:r>
      <w:r w:rsidR="00A871CD">
        <w:t>iters</w:t>
      </w:r>
      <w:proofErr w:type="spellEnd"/>
      <w:r w:rsidR="00A871CD">
        <w:t xml:space="preserve"> ≥ 1:40</w:t>
      </w:r>
      <w:r w:rsidR="0058435E">
        <w:t xml:space="preserve">, </w:t>
      </w:r>
      <w:r w:rsidR="00921B62" w:rsidRPr="00921B62">
        <w:t xml:space="preserve">and </w:t>
      </w:r>
      <w:r w:rsidR="00A871CD">
        <w:t>g</w:t>
      </w:r>
      <w:r w:rsidR="00921B62" w:rsidRPr="00921B62">
        <w:t xml:space="preserve">eometric </w:t>
      </w:r>
      <w:r w:rsidR="00A871CD">
        <w:t>m</w:t>
      </w:r>
      <w:r w:rsidR="00921B62" w:rsidRPr="00921B62">
        <w:t xml:space="preserve">ean </w:t>
      </w:r>
      <w:r w:rsidR="00A871CD">
        <w:t>r</w:t>
      </w:r>
      <w:r w:rsidR="00921B62" w:rsidRPr="00921B62">
        <w:t xml:space="preserve">atio (Per Protocol </w:t>
      </w:r>
      <w:r w:rsidR="00A871CD">
        <w:t>p</w:t>
      </w:r>
      <w:r w:rsidR="00921B62" w:rsidRPr="00921B62">
        <w:t>opulation)</w:t>
      </w:r>
      <w:r>
        <w:t>.</w:t>
      </w:r>
    </w:p>
    <w:p w:rsidR="009A58E4" w:rsidRDefault="005231CF" w:rsidP="00490B13">
      <w:r>
        <w:rPr>
          <w:noProof/>
          <w:lang w:eastAsia="en-AU"/>
        </w:rPr>
        <w:drawing>
          <wp:inline distT="0" distB="0" distL="0" distR="0" wp14:anchorId="02C253D6" wp14:editId="7416E16D">
            <wp:extent cx="5060054" cy="2969538"/>
            <wp:effectExtent l="0" t="0" r="7620" b="2540"/>
            <wp:docPr id="12" name="Picture 12" descr="Table 8: Study V58P4 – results (point estimates) for seroconversion rate, percentage of subjects with HI titers ≥ 1:40, and geometric mean ratio (Per Protocol population)." title="Table 8: Study V58P4 – results (point estimates) for seroconversion rate, percentage of subjects with HI titers ≥ 1:40, and geometric mean ratio (Per Protocol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059281" cy="2969085"/>
                    </a:xfrm>
                    <a:prstGeom prst="rect">
                      <a:avLst/>
                    </a:prstGeom>
                  </pic:spPr>
                </pic:pic>
              </a:graphicData>
            </a:graphic>
          </wp:inline>
        </w:drawing>
      </w:r>
    </w:p>
    <w:p w:rsidR="009A58E4" w:rsidRPr="001A1F5E" w:rsidRDefault="009A58E4" w:rsidP="001475D0">
      <w:pPr>
        <w:pStyle w:val="TableDescription"/>
      </w:pPr>
      <w:r>
        <w:t xml:space="preserve">* </w:t>
      </w:r>
      <w:r w:rsidRPr="001A1F5E">
        <w:t>Secondary objectives</w:t>
      </w:r>
      <w:r>
        <w:t>:</w:t>
      </w:r>
      <w:r w:rsidRPr="001A1F5E">
        <w:t xml:space="preserve"> the non-inferiority objective was met for both the 18 to 60 years and the &gt;60 years</w:t>
      </w:r>
      <w:r>
        <w:t xml:space="preserve"> age groups</w:t>
      </w:r>
      <w:r w:rsidRPr="001A1F5E">
        <w:t xml:space="preserve"> </w:t>
      </w:r>
      <w:r>
        <w:t>and summarised on pp 27-28 of the CER.</w:t>
      </w:r>
    </w:p>
    <w:p w:rsidR="00B52585" w:rsidRDefault="00B52585" w:rsidP="001475D0">
      <w:r w:rsidRPr="00490B13">
        <w:t xml:space="preserve">Secondary objective: The </w:t>
      </w:r>
      <w:proofErr w:type="spellStart"/>
      <w:r w:rsidRPr="00490B13">
        <w:t>non</w:t>
      </w:r>
      <w:r>
        <w:t xml:space="preserve"> </w:t>
      </w:r>
      <w:r w:rsidRPr="00490B13">
        <w:t>inferiority</w:t>
      </w:r>
      <w:proofErr w:type="spellEnd"/>
      <w:r w:rsidRPr="00490B13">
        <w:t xml:space="preserve"> criteria were met for all thr</w:t>
      </w:r>
      <w:r>
        <w:t>ee strains for both age groups.</w:t>
      </w:r>
    </w:p>
    <w:p w:rsidR="00125319" w:rsidRDefault="00125319" w:rsidP="00125319">
      <w:pPr>
        <w:pStyle w:val="Heading5"/>
        <w:rPr>
          <w:szCs w:val="22"/>
        </w:rPr>
      </w:pPr>
      <w:r w:rsidRPr="004D076A">
        <w:rPr>
          <w:szCs w:val="22"/>
        </w:rPr>
        <w:t>V58P4E1</w:t>
      </w:r>
      <w:r>
        <w:t>: Revaccination at one year</w:t>
      </w:r>
    </w:p>
    <w:p w:rsidR="00125319" w:rsidRPr="00125319" w:rsidRDefault="00125319" w:rsidP="00125319">
      <w:r w:rsidRPr="00125319">
        <w:t xml:space="preserve">This was a 6 month extension study of V58P4, evaluating safety, tolerability and immunogenicity in a subset, of a repeat dose of </w:t>
      </w:r>
      <w:proofErr w:type="spellStart"/>
      <w:r w:rsidRPr="00125319">
        <w:t>cTIV</w:t>
      </w:r>
      <w:proofErr w:type="spellEnd"/>
      <w:r w:rsidRPr="00125319">
        <w:t xml:space="preserve"> or </w:t>
      </w:r>
      <w:proofErr w:type="spellStart"/>
      <w:r w:rsidRPr="00125319">
        <w:t>eTIVa</w:t>
      </w:r>
      <w:proofErr w:type="spellEnd"/>
      <w:r w:rsidRPr="00125319">
        <w:t xml:space="preserve"> one year after vaccination.</w:t>
      </w:r>
    </w:p>
    <w:p w:rsidR="00125319" w:rsidRPr="00125319" w:rsidRDefault="00125319" w:rsidP="00125319">
      <w:r w:rsidRPr="00125319">
        <w:t xml:space="preserve">Participants were randomised 1:1 and stratified by the age at enrolment and the vaccine received in </w:t>
      </w:r>
      <w:r w:rsidR="0058435E">
        <w:t>S</w:t>
      </w:r>
      <w:r w:rsidRPr="00125319">
        <w:t xml:space="preserve">tudy V58P4. Those who had previously received </w:t>
      </w:r>
      <w:proofErr w:type="spellStart"/>
      <w:r w:rsidRPr="00125319">
        <w:t>cTIV</w:t>
      </w:r>
      <w:proofErr w:type="spellEnd"/>
      <w:r w:rsidRPr="00125319">
        <w:t xml:space="preserve"> or </w:t>
      </w:r>
      <w:proofErr w:type="spellStart"/>
      <w:r w:rsidRPr="00125319">
        <w:t>eTIVa</w:t>
      </w:r>
      <w:proofErr w:type="spellEnd"/>
      <w:r w:rsidRPr="00125319">
        <w:t xml:space="preserve"> were randomly allocated to receive either </w:t>
      </w:r>
      <w:proofErr w:type="spellStart"/>
      <w:r w:rsidRPr="00125319">
        <w:t>cTIV</w:t>
      </w:r>
      <w:proofErr w:type="spellEnd"/>
      <w:r w:rsidRPr="00125319">
        <w:t xml:space="preserve"> or </w:t>
      </w:r>
      <w:proofErr w:type="spellStart"/>
      <w:r w:rsidRPr="00125319">
        <w:t>eTIVa</w:t>
      </w:r>
      <w:proofErr w:type="spellEnd"/>
      <w:r w:rsidRPr="00125319">
        <w:t>, resulting in a total of 8 vaccination groups as shown below:</w:t>
      </w:r>
    </w:p>
    <w:p w:rsidR="00125319" w:rsidRPr="00125319" w:rsidRDefault="0058435E" w:rsidP="00125319">
      <w:pPr>
        <w:pStyle w:val="ListBullet"/>
      </w:pPr>
      <w:r>
        <w:t>Age 18-</w:t>
      </w:r>
      <w:r w:rsidR="00125319" w:rsidRPr="00125319">
        <w:t xml:space="preserve">60 years: </w:t>
      </w:r>
      <w:proofErr w:type="spellStart"/>
      <w:r w:rsidR="00125319" w:rsidRPr="00125319">
        <w:t>cTIV</w:t>
      </w:r>
      <w:proofErr w:type="spellEnd"/>
      <w:r w:rsidR="00125319" w:rsidRPr="00125319">
        <w:t>/</w:t>
      </w:r>
      <w:proofErr w:type="spellStart"/>
      <w:r w:rsidR="00125319" w:rsidRPr="00125319">
        <w:t>cTIV</w:t>
      </w:r>
      <w:proofErr w:type="spellEnd"/>
      <w:r w:rsidR="00125319" w:rsidRPr="00125319">
        <w:t xml:space="preserve">, </w:t>
      </w:r>
      <w:proofErr w:type="spellStart"/>
      <w:r w:rsidR="00125319" w:rsidRPr="00125319">
        <w:t>cTIV</w:t>
      </w:r>
      <w:proofErr w:type="spellEnd"/>
      <w:r w:rsidR="00125319" w:rsidRPr="00125319">
        <w:t>/control, control/control, and control/</w:t>
      </w:r>
      <w:proofErr w:type="spellStart"/>
      <w:r w:rsidR="00125319" w:rsidRPr="00125319">
        <w:t>cTIV</w:t>
      </w:r>
      <w:proofErr w:type="spellEnd"/>
      <w:r w:rsidR="00125319" w:rsidRPr="00125319">
        <w:t>.</w:t>
      </w:r>
    </w:p>
    <w:p w:rsidR="00125319" w:rsidRPr="00125319" w:rsidRDefault="00125319" w:rsidP="00125319">
      <w:pPr>
        <w:pStyle w:val="ListBullet"/>
      </w:pPr>
      <w:r w:rsidRPr="00125319">
        <w:t xml:space="preserve">Age &gt; 60 years: </w:t>
      </w:r>
      <w:proofErr w:type="spellStart"/>
      <w:r w:rsidRPr="00125319">
        <w:t>cTIV</w:t>
      </w:r>
      <w:proofErr w:type="spellEnd"/>
      <w:r w:rsidRPr="00125319">
        <w:t>/</w:t>
      </w:r>
      <w:proofErr w:type="spellStart"/>
      <w:r w:rsidRPr="00125319">
        <w:t>cTIV</w:t>
      </w:r>
      <w:proofErr w:type="spellEnd"/>
      <w:r w:rsidRPr="00125319">
        <w:t xml:space="preserve">, </w:t>
      </w:r>
      <w:proofErr w:type="spellStart"/>
      <w:r w:rsidRPr="00125319">
        <w:t>cTIV</w:t>
      </w:r>
      <w:proofErr w:type="spellEnd"/>
      <w:r w:rsidRPr="00125319">
        <w:t>/control, control/control, and control/</w:t>
      </w:r>
      <w:proofErr w:type="spellStart"/>
      <w:r w:rsidRPr="00125319">
        <w:t>cTIV</w:t>
      </w:r>
      <w:proofErr w:type="spellEnd"/>
      <w:r w:rsidR="001475D0">
        <w:t>.</w:t>
      </w:r>
    </w:p>
    <w:p w:rsidR="00125319" w:rsidRPr="00125319" w:rsidRDefault="00125319" w:rsidP="00125319">
      <w:r w:rsidRPr="00125319">
        <w:t>Antibody titres were obtained in a subgroup of 480 subjects, 240 in each age subgroup. The immunogenicity subset was defined as the first 120 subjects who enrolled in each age subgroup at two of the study centres (01 and 05) and the sample size for the immunogenicity subgroups of each group (n</w:t>
      </w:r>
      <w:r w:rsidR="008D7C6C">
        <w:t xml:space="preserve"> </w:t>
      </w:r>
      <w:r w:rsidRPr="00125319">
        <w:t>=</w:t>
      </w:r>
      <w:r w:rsidR="008D7C6C">
        <w:t xml:space="preserve"> </w:t>
      </w:r>
      <w:r w:rsidRPr="00125319">
        <w:t>54) complied with CPMP/BWP/214/96 criteria.</w:t>
      </w:r>
    </w:p>
    <w:p w:rsidR="00125319" w:rsidRPr="00125319" w:rsidRDefault="00125319" w:rsidP="001475D0">
      <w:pPr>
        <w:pageBreakBefore/>
      </w:pPr>
      <w:r w:rsidRPr="00125319">
        <w:lastRenderedPageBreak/>
        <w:t xml:space="preserve">The study design was almost identical to </w:t>
      </w:r>
      <w:r w:rsidR="008D7C6C">
        <w:t xml:space="preserve">Study </w:t>
      </w:r>
      <w:r w:rsidRPr="00125319">
        <w:t>V58P4E1</w:t>
      </w:r>
      <w:r>
        <w:t>, with the following exceptions:</w:t>
      </w:r>
    </w:p>
    <w:p w:rsidR="00125319" w:rsidRPr="00125319" w:rsidRDefault="00125319" w:rsidP="00125319">
      <w:pPr>
        <w:pStyle w:val="ListBullet"/>
      </w:pPr>
      <w:r w:rsidRPr="00125319">
        <w:t>The influenza strains included in the study vaccines in V58P4E1 were those recommended for the 2005-2006 influenza season in the Northern Hemisphere, with the H1N1 and B strains identical to those in Study V58P4, but the H3N2 strain was</w:t>
      </w:r>
      <w:r w:rsidR="0045517F">
        <w:t xml:space="preserve"> changed to A/California/7/2004; and</w:t>
      </w:r>
    </w:p>
    <w:p w:rsidR="00125319" w:rsidRPr="00125319" w:rsidRDefault="00125319" w:rsidP="00E47617">
      <w:pPr>
        <w:pStyle w:val="ListBullet"/>
      </w:pPr>
      <w:r w:rsidRPr="00125319">
        <w:t xml:space="preserve">Immunogenicity was only </w:t>
      </w:r>
      <w:r w:rsidRPr="00E47617">
        <w:t>performed</w:t>
      </w:r>
      <w:r w:rsidRPr="00125319">
        <w:t xml:space="preserve"> in a subset of participants</w:t>
      </w:r>
      <w:r w:rsidR="0045517F">
        <w:t>.</w:t>
      </w:r>
    </w:p>
    <w:p w:rsidR="00125319" w:rsidRPr="00125319" w:rsidRDefault="00125319" w:rsidP="00125319">
      <w:r w:rsidRPr="00125319">
        <w:t xml:space="preserve">Of those enrolled in </w:t>
      </w:r>
      <w:r w:rsidR="00D5081C">
        <w:t xml:space="preserve">Study </w:t>
      </w:r>
      <w:r w:rsidRPr="00125319">
        <w:t xml:space="preserve">V58P4, 82% of those aged 18 to 60 years and 86% of those &gt; 60 years entered the extension study. A total of 2235 participants, 1067 aged 18 to 60 years and 1168 aged &gt; 60 years, were enrolled, 1105 were vaccinated with </w:t>
      </w:r>
      <w:proofErr w:type="spellStart"/>
      <w:r w:rsidRPr="00125319">
        <w:t>cTIV</w:t>
      </w:r>
      <w:proofErr w:type="spellEnd"/>
      <w:r w:rsidRPr="00125319">
        <w:t xml:space="preserve"> and 1130 with </w:t>
      </w:r>
      <w:proofErr w:type="spellStart"/>
      <w:r w:rsidRPr="00125319">
        <w:t>eTIVa</w:t>
      </w:r>
      <w:proofErr w:type="spellEnd"/>
      <w:r w:rsidRPr="00125319">
        <w:t>.</w:t>
      </w:r>
    </w:p>
    <w:p w:rsidR="00125319" w:rsidRPr="00125319" w:rsidRDefault="00125319" w:rsidP="00125319">
      <w:r w:rsidRPr="00125319">
        <w:t xml:space="preserve">For the 18-60 year age group, </w:t>
      </w:r>
      <w:proofErr w:type="spellStart"/>
      <w:r w:rsidRPr="00125319">
        <w:t>cTIV</w:t>
      </w:r>
      <w:proofErr w:type="spellEnd"/>
      <w:r w:rsidRPr="00125319">
        <w:t xml:space="preserve"> and </w:t>
      </w:r>
      <w:proofErr w:type="spellStart"/>
      <w:r w:rsidRPr="00125319">
        <w:t>eTIVa</w:t>
      </w:r>
      <w:proofErr w:type="spellEnd"/>
      <w:r w:rsidRPr="00125319">
        <w:t xml:space="preserve"> groups met all CPMP criteria against A/H3N2. CPMP </w:t>
      </w:r>
      <w:proofErr w:type="spellStart"/>
      <w:r w:rsidRPr="00125319">
        <w:t>seroprotection</w:t>
      </w:r>
      <w:proofErr w:type="spellEnd"/>
      <w:r w:rsidRPr="00125319">
        <w:t xml:space="preserve"> criteria were met for A/H1N1 and B vaccines but not </w:t>
      </w:r>
      <w:proofErr w:type="spellStart"/>
      <w:r w:rsidRPr="00125319">
        <w:t>seroconversion</w:t>
      </w:r>
      <w:proofErr w:type="spellEnd"/>
      <w:r w:rsidRPr="00125319">
        <w:t xml:space="preserve"> rates or geometric titres, given these subjects had previously received the same H1N1 and B strains in study V58P4.</w:t>
      </w:r>
    </w:p>
    <w:p w:rsidR="00125319" w:rsidRPr="00125319" w:rsidRDefault="00125319" w:rsidP="00125319">
      <w:r w:rsidRPr="00125319">
        <w:t>For the &gt;60 year age group, the CHMP criteria were met for all 3 strains for both vaccines.</w:t>
      </w:r>
    </w:p>
    <w:p w:rsidR="00125319" w:rsidRDefault="00125319" w:rsidP="001F7084">
      <w:pPr>
        <w:pStyle w:val="Heading5"/>
      </w:pPr>
      <w:r w:rsidRPr="004D076A">
        <w:t>V58P9</w:t>
      </w:r>
      <w:r w:rsidR="00BB7AC8">
        <w:t>:</w:t>
      </w:r>
      <w:r w:rsidR="00D5081C">
        <w:t xml:space="preserve"> Supportive study, s</w:t>
      </w:r>
      <w:r>
        <w:t>afety, l</w:t>
      </w:r>
      <w:r w:rsidR="001F7084">
        <w:t>ot consistency</w:t>
      </w:r>
    </w:p>
    <w:p w:rsidR="00125319" w:rsidRPr="001F7084" w:rsidRDefault="00125319" w:rsidP="001F7084">
      <w:r w:rsidRPr="001F7084">
        <w:t xml:space="preserve">V58P9 was a </w:t>
      </w:r>
      <w:r w:rsidR="00D5081C">
        <w:t>P</w:t>
      </w:r>
      <w:r w:rsidRPr="001F7084">
        <w:t>hase III, randomi</w:t>
      </w:r>
      <w:r w:rsidR="00D5081C">
        <w:t>s</w:t>
      </w:r>
      <w:r w:rsidRPr="001F7084">
        <w:t>ed, controlled, observer</w:t>
      </w:r>
      <w:r w:rsidR="00D5081C">
        <w:t xml:space="preserve"> </w:t>
      </w:r>
      <w:r w:rsidRPr="001F7084">
        <w:t xml:space="preserve">blind, multicentre study in healthy adults aged 18 to 60 years, conducted in two centres in Lithuania, comparing three lots of </w:t>
      </w:r>
      <w:proofErr w:type="spellStart"/>
      <w:r w:rsidRPr="001F7084">
        <w:t>cTIV</w:t>
      </w:r>
      <w:proofErr w:type="spellEnd"/>
      <w:r w:rsidRPr="001F7084">
        <w:t xml:space="preserve"> with </w:t>
      </w:r>
      <w:proofErr w:type="spellStart"/>
      <w:r w:rsidRPr="001F7084">
        <w:t>eTIVa</w:t>
      </w:r>
      <w:proofErr w:type="spellEnd"/>
      <w:r w:rsidRPr="001F7084">
        <w:t>.</w:t>
      </w:r>
      <w:r w:rsidR="007A7CDB">
        <w:t xml:space="preserve"> </w:t>
      </w:r>
      <w:r w:rsidRPr="001F7084">
        <w:t>It was completed in 2006.</w:t>
      </w:r>
    </w:p>
    <w:p w:rsidR="00125319" w:rsidRPr="001F7084" w:rsidRDefault="00125319" w:rsidP="001F7084">
      <w:r w:rsidRPr="001F7084">
        <w:t>The primary objective was to evaluate immunogenicity of the two vaccines and of each cell</w:t>
      </w:r>
      <w:r w:rsidR="002D24A7">
        <w:t xml:space="preserve"> </w:t>
      </w:r>
      <w:r w:rsidRPr="001F7084">
        <w:t>derived vaccine lot, three weeks after a single dose of vaccine, accordin</w:t>
      </w:r>
      <w:r w:rsidR="00E47617">
        <w:t>g to CPMP/BWP/2014/96 criteria.</w:t>
      </w:r>
    </w:p>
    <w:p w:rsidR="001F7084" w:rsidRDefault="001F7084" w:rsidP="00C814F6">
      <w:pPr>
        <w:pStyle w:val="Heading6"/>
      </w:pPr>
      <w:r>
        <w:t>Efficacy</w:t>
      </w:r>
    </w:p>
    <w:p w:rsidR="00125319" w:rsidRPr="001F7084" w:rsidRDefault="00125319" w:rsidP="001F7084">
      <w:r w:rsidRPr="001F7084">
        <w:t>A subset including approximately 520 participants was to be included in an influenza-like illness surveillance program.</w:t>
      </w:r>
    </w:p>
    <w:p w:rsidR="00125319" w:rsidRPr="001F7084" w:rsidRDefault="00125319" w:rsidP="001F7084">
      <w:r w:rsidRPr="001F7084">
        <w:t>The FDA reviewer</w:t>
      </w:r>
      <w:r w:rsidR="001F7084" w:rsidRPr="001F7084">
        <w:t xml:space="preserve"> </w:t>
      </w:r>
      <w:r w:rsidRPr="001F7084">
        <w:t>expressed concern that the clinical study report stated that the study was designed primarily as a descriptive assessment of safety. Criteria for assessment of lot consistency were not included in the protocol, but defined post</w:t>
      </w:r>
      <w:r w:rsidR="0063714E">
        <w:t xml:space="preserve"> </w:t>
      </w:r>
      <w:r w:rsidRPr="001F7084">
        <w:t>hoc after immunogenicity results were known. One of the sites in Lithuania was audited by Lithuanian regulatory authorities in 2007 due to concerns with the conduct of a s</w:t>
      </w:r>
      <w:r w:rsidR="00E47617">
        <w:t>eparate Novartis study (V87P4).</w:t>
      </w:r>
    </w:p>
    <w:p w:rsidR="00125319" w:rsidRPr="001F7084" w:rsidRDefault="00125319" w:rsidP="001F7084">
      <w:r w:rsidRPr="001F7084">
        <w:t xml:space="preserve">Given the above concerns, the TGA clinical evaluator commented that follow-up analysis of this site’s data did not indicate grounds for concluding that data from that site should be excluded from consideration in the study analyses. In addition, safety, tolerability and immunogenicity analyses were retrospectively performed without site 2 and compared in the addendum to the results of the overall population (site 1 and 2). Differences were reported to be small and did not change the overall assessment of </w:t>
      </w:r>
      <w:proofErr w:type="spellStart"/>
      <w:r w:rsidR="00FA4D8A">
        <w:t>cTIV</w:t>
      </w:r>
      <w:proofErr w:type="spellEnd"/>
      <w:r w:rsidR="00FA4D8A">
        <w:t xml:space="preserve"> compared to </w:t>
      </w:r>
      <w:proofErr w:type="spellStart"/>
      <w:r w:rsidR="00FA4D8A">
        <w:t>eTIV</w:t>
      </w:r>
      <w:proofErr w:type="spellEnd"/>
      <w:r w:rsidR="00FA4D8A">
        <w:t>.</w:t>
      </w:r>
    </w:p>
    <w:p w:rsidR="00125319" w:rsidRPr="001F7084" w:rsidRDefault="00125319" w:rsidP="001F7084">
      <w:r w:rsidRPr="001F7084">
        <w:t xml:space="preserve">A total of 1199 </w:t>
      </w:r>
      <w:r w:rsidR="00FA4D8A">
        <w:t xml:space="preserve">subjects </w:t>
      </w:r>
      <w:r w:rsidRPr="001F7084">
        <w:t xml:space="preserve">were vaccinated: 342 Lot A, 344 Lot </w:t>
      </w:r>
      <w:proofErr w:type="gramStart"/>
      <w:r w:rsidRPr="001F7084">
        <w:t>B,</w:t>
      </w:r>
      <w:proofErr w:type="gramEnd"/>
      <w:r w:rsidRPr="001F7084">
        <w:t xml:space="preserve"> and 343 Lot C (1029 total in </w:t>
      </w:r>
      <w:proofErr w:type="spellStart"/>
      <w:r w:rsidRPr="001F7084">
        <w:t>cTIV</w:t>
      </w:r>
      <w:proofErr w:type="spellEnd"/>
      <w:r w:rsidRPr="001F7084">
        <w:t xml:space="preserve"> group) and 171 </w:t>
      </w:r>
      <w:proofErr w:type="spellStart"/>
      <w:r w:rsidRPr="001F7084">
        <w:t>eTIVa</w:t>
      </w:r>
      <w:proofErr w:type="spellEnd"/>
      <w:r w:rsidRPr="001F7084">
        <w:t xml:space="preserve">. A total of 1166 participants completed the study (998 in the pooled </w:t>
      </w:r>
      <w:proofErr w:type="spellStart"/>
      <w:r w:rsidRPr="001F7084">
        <w:t>cTIV</w:t>
      </w:r>
      <w:proofErr w:type="spellEnd"/>
      <w:r w:rsidRPr="001F7084">
        <w:t xml:space="preserve"> groups and 168 in the comparator groups). Baseline characteristics were similar for the pooled </w:t>
      </w:r>
      <w:proofErr w:type="spellStart"/>
      <w:r w:rsidRPr="001F7084">
        <w:t>cTIV</w:t>
      </w:r>
      <w:proofErr w:type="spellEnd"/>
      <w:r w:rsidRPr="001F7084">
        <w:t xml:space="preserve"> group and control </w:t>
      </w:r>
      <w:proofErr w:type="gramStart"/>
      <w:r w:rsidRPr="001F7084">
        <w:t>group,</w:t>
      </w:r>
      <w:proofErr w:type="gramEnd"/>
      <w:r w:rsidRPr="001F7084">
        <w:t xml:space="preserve"> all participants were Caucasian, for the four groups, mean age ranged from 32. 4 to 32.6 years.</w:t>
      </w:r>
    </w:p>
    <w:p w:rsidR="00125319" w:rsidRDefault="00C814F6" w:rsidP="00C814F6">
      <w:pPr>
        <w:pStyle w:val="Heading6"/>
      </w:pPr>
      <w:r>
        <w:t>Results</w:t>
      </w:r>
    </w:p>
    <w:p w:rsidR="00125319" w:rsidRPr="002764E4" w:rsidRDefault="00125319" w:rsidP="002764E4">
      <w:pPr>
        <w:pStyle w:val="Heading7"/>
        <w:rPr>
          <w:sz w:val="20"/>
          <w:szCs w:val="20"/>
        </w:rPr>
      </w:pPr>
      <w:r w:rsidRPr="002764E4">
        <w:rPr>
          <w:sz w:val="20"/>
          <w:szCs w:val="20"/>
        </w:rPr>
        <w:t>Immunogenicity</w:t>
      </w:r>
    </w:p>
    <w:p w:rsidR="00125319" w:rsidRPr="00C814F6" w:rsidRDefault="00125319" w:rsidP="00C814F6">
      <w:r w:rsidRPr="00C814F6">
        <w:t xml:space="preserve">Each of the three </w:t>
      </w:r>
      <w:proofErr w:type="spellStart"/>
      <w:r w:rsidRPr="00C814F6">
        <w:t>cTIV</w:t>
      </w:r>
      <w:proofErr w:type="spellEnd"/>
      <w:r w:rsidRPr="00C814F6">
        <w:t xml:space="preserve"> lot groups, the total </w:t>
      </w:r>
      <w:proofErr w:type="spellStart"/>
      <w:r w:rsidRPr="00C814F6">
        <w:t>cTIV</w:t>
      </w:r>
      <w:proofErr w:type="spellEnd"/>
      <w:r w:rsidRPr="00C814F6">
        <w:t xml:space="preserve"> group and the control vaccine groups met all CPMP/BWP/214/96 criteria for all three antigen strains.</w:t>
      </w:r>
    </w:p>
    <w:p w:rsidR="00125319" w:rsidRPr="002764E4" w:rsidRDefault="00125319" w:rsidP="002764E4">
      <w:pPr>
        <w:pStyle w:val="Heading7"/>
        <w:rPr>
          <w:sz w:val="20"/>
          <w:szCs w:val="20"/>
        </w:rPr>
      </w:pPr>
      <w:r w:rsidRPr="002764E4">
        <w:rPr>
          <w:sz w:val="20"/>
          <w:szCs w:val="20"/>
        </w:rPr>
        <w:lastRenderedPageBreak/>
        <w:t>Lot consistency</w:t>
      </w:r>
    </w:p>
    <w:p w:rsidR="00125319" w:rsidRPr="00C814F6" w:rsidRDefault="00125319" w:rsidP="00C814F6">
      <w:r w:rsidRPr="00C814F6">
        <w:t xml:space="preserve">Lot consistence in terms of geometric mean titres was shown in accordance with the chosen limits of 0.5 to 2 and also fell between the FDA </w:t>
      </w:r>
      <w:r w:rsidR="00D33BFF">
        <w:t>g</w:t>
      </w:r>
      <w:r w:rsidRPr="00C814F6">
        <w:t>uidance</w:t>
      </w:r>
      <w:r w:rsidR="00A44E8B">
        <w:rPr>
          <w:rStyle w:val="FootnoteReference"/>
        </w:rPr>
        <w:footnoteReference w:id="23"/>
      </w:r>
      <w:r w:rsidRPr="00C814F6">
        <w:t xml:space="preserve"> limits of 0.67 and 1.5 for each strain tested.</w:t>
      </w:r>
    </w:p>
    <w:p w:rsidR="00125319" w:rsidRPr="002764E4" w:rsidRDefault="002764E4" w:rsidP="002764E4">
      <w:pPr>
        <w:pStyle w:val="Heading7"/>
        <w:rPr>
          <w:sz w:val="20"/>
          <w:szCs w:val="20"/>
        </w:rPr>
      </w:pPr>
      <w:r w:rsidRPr="002764E4">
        <w:rPr>
          <w:sz w:val="20"/>
          <w:szCs w:val="20"/>
        </w:rPr>
        <w:t>ILI</w:t>
      </w:r>
    </w:p>
    <w:p w:rsidR="00125319" w:rsidRPr="00517F1F" w:rsidRDefault="00125319" w:rsidP="00517F1F">
      <w:r w:rsidRPr="00517F1F">
        <w:t xml:space="preserve">A subset of 494 participants was included in the </w:t>
      </w:r>
      <w:r w:rsidR="00186E5C">
        <w:t>ILI</w:t>
      </w:r>
      <w:r w:rsidRPr="00517F1F">
        <w:t xml:space="preserve"> surveillance program. Five subjects in the </w:t>
      </w:r>
      <w:proofErr w:type="spellStart"/>
      <w:r w:rsidRPr="00517F1F">
        <w:t>cTIV</w:t>
      </w:r>
      <w:proofErr w:type="spellEnd"/>
      <w:r w:rsidRPr="00517F1F">
        <w:t xml:space="preserve"> group and two subjects in the control group had laboratory confirmed influenza, all of which were caused by the type B viral strain.</w:t>
      </w:r>
    </w:p>
    <w:p w:rsidR="00A8344E" w:rsidRDefault="00A8344E" w:rsidP="00E47617">
      <w:pPr>
        <w:pStyle w:val="TableTitle"/>
      </w:pPr>
      <w:r>
        <w:t>Table 9:</w:t>
      </w:r>
      <w:r w:rsidRPr="004C5C28">
        <w:t xml:space="preserve"> </w:t>
      </w:r>
      <w:r w:rsidR="00CA3F04">
        <w:t>V58P9 i</w:t>
      </w:r>
      <w:r w:rsidRPr="00A8344E">
        <w:t xml:space="preserve">mmune </w:t>
      </w:r>
      <w:r w:rsidR="00CA3F04" w:rsidRPr="00E47617">
        <w:t>r</w:t>
      </w:r>
      <w:r w:rsidRPr="00E47617">
        <w:t>esponses</w:t>
      </w:r>
      <w:r w:rsidRPr="00A8344E">
        <w:t xml:space="preserve"> against the B </w:t>
      </w:r>
      <w:r w:rsidR="00CA3F04">
        <w:t>s</w:t>
      </w:r>
      <w:r w:rsidRPr="00A8344E">
        <w:t xml:space="preserve">train in </w:t>
      </w:r>
      <w:r w:rsidR="00CA3F04">
        <w:t>p</w:t>
      </w:r>
      <w:r w:rsidRPr="00A8344E">
        <w:t xml:space="preserve">articipants with </w:t>
      </w:r>
      <w:r w:rsidR="00CA3F04">
        <w:t>v</w:t>
      </w:r>
      <w:r w:rsidRPr="00A8344E">
        <w:t xml:space="preserve">accine </w:t>
      </w:r>
      <w:r w:rsidR="00CA3F04">
        <w:t>f</w:t>
      </w:r>
      <w:r w:rsidRPr="00A8344E">
        <w:t>ailure</w:t>
      </w:r>
      <w:r>
        <w:t>.</w:t>
      </w:r>
      <w:r w:rsidR="002E50EF">
        <w:rPr>
          <w:rStyle w:val="FootnoteReference"/>
        </w:rPr>
        <w:footnoteReference w:id="24"/>
      </w:r>
    </w:p>
    <w:p w:rsidR="00EC7BC0" w:rsidRPr="00C814F6" w:rsidRDefault="00A8344E" w:rsidP="00C814F6">
      <w:r>
        <w:rPr>
          <w:noProof/>
          <w:lang w:eastAsia="en-AU"/>
        </w:rPr>
        <w:drawing>
          <wp:inline distT="0" distB="0" distL="0" distR="0" wp14:anchorId="2CD304A4" wp14:editId="3665E384">
            <wp:extent cx="4134435" cy="1391590"/>
            <wp:effectExtent l="0" t="0" r="0" b="0"/>
            <wp:docPr id="13" name="Picture 13" descr="Table 9: V58P9 immune responses against the B strain in participants with vaccine failure." title="Table 9: V58P9 immune responses against the B strain in participants with vaccine fail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4134435" cy="1391590"/>
                    </a:xfrm>
                    <a:prstGeom prst="rect">
                      <a:avLst/>
                    </a:prstGeom>
                  </pic:spPr>
                </pic:pic>
              </a:graphicData>
            </a:graphic>
          </wp:inline>
        </w:drawing>
      </w:r>
    </w:p>
    <w:p w:rsidR="0007291F" w:rsidRPr="00EC7BC0" w:rsidRDefault="0007291F" w:rsidP="00EC7BC0">
      <w:r w:rsidRPr="00EC7BC0">
        <w:t xml:space="preserve">After </w:t>
      </w:r>
      <w:r w:rsidR="00226CD2">
        <w:t>D</w:t>
      </w:r>
      <w:r w:rsidRPr="00EC7BC0">
        <w:t xml:space="preserve">ay 22, only three participants demonstrated further rises in titres, suggesting these participants might have been exposed subsequently to B/Shanghai/361/2002 or to an </w:t>
      </w:r>
      <w:proofErr w:type="spellStart"/>
      <w:r w:rsidRPr="00EC7BC0">
        <w:t>antigenically</w:t>
      </w:r>
      <w:proofErr w:type="spellEnd"/>
      <w:r w:rsidRPr="00EC7BC0">
        <w:t xml:space="preserve"> similar strain.</w:t>
      </w:r>
    </w:p>
    <w:p w:rsidR="0007291F" w:rsidRPr="00EC7BC0" w:rsidRDefault="0007291F" w:rsidP="00EC7BC0">
      <w:r w:rsidRPr="00EC7BC0">
        <w:t>The sponsor commented that laboratory identification of influenza viruses was targeted to detect the different influenza type strains (A and B), but it was not able to further investigate the antigenic or genetic characteristics. Although more than 90% of all the isolated strains in Lithuania were of type B, no further information on the antigenic strain characterisation was available.</w:t>
      </w:r>
    </w:p>
    <w:p w:rsidR="0007291F" w:rsidRPr="00EC7BC0" w:rsidRDefault="0007291F" w:rsidP="00EC7BC0">
      <w:r w:rsidRPr="00EC7BC0">
        <w:t>Results for antibody persistence and lot consistency at 6 months are summarised in the CER.</w:t>
      </w:r>
    </w:p>
    <w:p w:rsidR="0007291F" w:rsidRPr="00E47617" w:rsidRDefault="0007291F" w:rsidP="00EC7BC0">
      <w:pPr>
        <w:pStyle w:val="Heading5"/>
        <w:rPr>
          <w:color w:val="auto"/>
        </w:rPr>
      </w:pPr>
      <w:r w:rsidRPr="004D076A">
        <w:t>V58P5</w:t>
      </w:r>
      <w:r w:rsidR="0098573A">
        <w:t xml:space="preserve"> (Phase II</w:t>
      </w:r>
      <w:r>
        <w:t xml:space="preserve">, </w:t>
      </w:r>
      <w:proofErr w:type="spellStart"/>
      <w:r>
        <w:t>non</w:t>
      </w:r>
      <w:r w:rsidR="0098573A">
        <w:t xml:space="preserve"> </w:t>
      </w:r>
      <w:r>
        <w:t>inferiority</w:t>
      </w:r>
      <w:proofErr w:type="spellEnd"/>
      <w:r>
        <w:t xml:space="preserve"> study</w:t>
      </w:r>
      <w:r w:rsidRPr="00F22083">
        <w:t>)</w:t>
      </w:r>
    </w:p>
    <w:p w:rsidR="0007291F" w:rsidRPr="00EC7BC0" w:rsidRDefault="0098573A" w:rsidP="00EC7BC0">
      <w:r>
        <w:t>This was a Phase II</w:t>
      </w:r>
      <w:r w:rsidR="0007291F" w:rsidRPr="00EC7BC0">
        <w:t>, observer</w:t>
      </w:r>
      <w:r>
        <w:t xml:space="preserve"> </w:t>
      </w:r>
      <w:r w:rsidR="0007291F" w:rsidRPr="00EC7BC0">
        <w:t>blinded, randomised, multicentre non</w:t>
      </w:r>
      <w:r>
        <w:t xml:space="preserve"> </w:t>
      </w:r>
      <w:r w:rsidR="0007291F" w:rsidRPr="00EC7BC0">
        <w:t>inferiority study in adults. It was conducted in the US and was the only study to use the egg</w:t>
      </w:r>
      <w:r>
        <w:t xml:space="preserve"> </w:t>
      </w:r>
      <w:r w:rsidR="0007291F" w:rsidRPr="00EC7BC0">
        <w:t>deri</w:t>
      </w:r>
      <w:r w:rsidR="00A3300A">
        <w:t>ved influenza vaccine, Fluvirin</w:t>
      </w:r>
      <w:r w:rsidR="0007291F" w:rsidRPr="00EC7BC0">
        <w:t>, as the control vaccine. T</w:t>
      </w:r>
      <w:r w:rsidR="00E47617">
        <w:t>he study was completed in 2006.</w:t>
      </w:r>
    </w:p>
    <w:p w:rsidR="0007291F" w:rsidRPr="00EC7BC0" w:rsidRDefault="0007291F" w:rsidP="00EC7BC0">
      <w:r w:rsidRPr="00EC7BC0">
        <w:t xml:space="preserve">The study compared the immunogenicity of a single dose of </w:t>
      </w:r>
      <w:proofErr w:type="spellStart"/>
      <w:r w:rsidRPr="00EC7BC0">
        <w:t>cTIV</w:t>
      </w:r>
      <w:proofErr w:type="spellEnd"/>
      <w:r w:rsidRPr="00EC7BC0">
        <w:t xml:space="preserve"> with </w:t>
      </w:r>
      <w:proofErr w:type="spellStart"/>
      <w:r w:rsidRPr="00EC7BC0">
        <w:t>eTIVf</w:t>
      </w:r>
      <w:proofErr w:type="spellEnd"/>
      <w:r w:rsidRPr="00EC7BC0">
        <w:t xml:space="preserve">. Assessment of </w:t>
      </w:r>
      <w:proofErr w:type="spellStart"/>
      <w:r w:rsidRPr="00EC7BC0">
        <w:t>non</w:t>
      </w:r>
      <w:r w:rsidR="0098573A">
        <w:t xml:space="preserve"> </w:t>
      </w:r>
      <w:r w:rsidRPr="00EC7BC0">
        <w:t>inferiority</w:t>
      </w:r>
      <w:proofErr w:type="spellEnd"/>
      <w:r w:rsidRPr="00EC7BC0">
        <w:t xml:space="preserve"> was the only stated immunogenicity objective of this study.</w:t>
      </w:r>
    </w:p>
    <w:p w:rsidR="0007291F" w:rsidRPr="00EC7BC0" w:rsidRDefault="0007291F" w:rsidP="00EC7BC0">
      <w:r w:rsidRPr="00EC7BC0">
        <w:t>Non</w:t>
      </w:r>
      <w:r w:rsidR="0098573A">
        <w:t xml:space="preserve"> </w:t>
      </w:r>
      <w:r w:rsidRPr="00EC7BC0">
        <w:t>inferiority was concluded for A/H1N1 and the B strain. Non</w:t>
      </w:r>
      <w:r w:rsidR="0098573A">
        <w:t xml:space="preserve"> </w:t>
      </w:r>
      <w:r w:rsidRPr="00EC7BC0">
        <w:t>inferiority was not met for A/H3N3 using the pre</w:t>
      </w:r>
      <w:r w:rsidR="00A44E8B">
        <w:t xml:space="preserve"> </w:t>
      </w:r>
      <w:r w:rsidRPr="00EC7BC0">
        <w:t>specified ANOVA approach using the egg</w:t>
      </w:r>
      <w:r w:rsidR="0098573A">
        <w:t xml:space="preserve"> </w:t>
      </w:r>
      <w:r w:rsidRPr="00EC7BC0">
        <w:t>derived assay; it was met by a margin of 0.00329 using the cell</w:t>
      </w:r>
      <w:r w:rsidR="0098573A">
        <w:t xml:space="preserve"> </w:t>
      </w:r>
      <w:r w:rsidRPr="00EC7BC0">
        <w:t>derived antigen assay. Results were then re-analysed post</w:t>
      </w:r>
      <w:r w:rsidR="00A44E8B">
        <w:t xml:space="preserve"> </w:t>
      </w:r>
      <w:r w:rsidRPr="00EC7BC0">
        <w:t>hoc, controlling for centre, baseline results and vaccine group using ANCOVA, with results that met non</w:t>
      </w:r>
      <w:r w:rsidR="0098573A">
        <w:t xml:space="preserve"> </w:t>
      </w:r>
      <w:r w:rsidRPr="00EC7BC0">
        <w:t xml:space="preserve">inferiority criteria. </w:t>
      </w:r>
      <w:proofErr w:type="spellStart"/>
      <w:r w:rsidRPr="00EC7BC0">
        <w:t>Seroprotection</w:t>
      </w:r>
      <w:proofErr w:type="spellEnd"/>
      <w:r w:rsidRPr="00EC7BC0">
        <w:t xml:space="preserve"> and </w:t>
      </w:r>
      <w:proofErr w:type="spellStart"/>
      <w:r w:rsidRPr="00EC7BC0">
        <w:t>seroconversion</w:t>
      </w:r>
      <w:proofErr w:type="spellEnd"/>
      <w:r w:rsidRPr="00EC7BC0">
        <w:t xml:space="preserve"> results using both antigen ass</w:t>
      </w:r>
      <w:r w:rsidR="00E47617">
        <w:t>ays met CBER and CPMP criteria.</w:t>
      </w:r>
    </w:p>
    <w:p w:rsidR="0007291F" w:rsidRPr="00EC7BC0" w:rsidRDefault="0007291F" w:rsidP="00EC7BC0">
      <w:r w:rsidRPr="00EC7BC0">
        <w:t xml:space="preserve">The concerns expressed by the clinical evaluator with respect to these analyses were adequately addressed with the </w:t>
      </w:r>
      <w:r w:rsidR="00521A3E">
        <w:t>S</w:t>
      </w:r>
      <w:r w:rsidRPr="00EC7BC0">
        <w:t>ection 31 response, with the PI updated accordingly.</w:t>
      </w:r>
    </w:p>
    <w:p w:rsidR="0007291F" w:rsidRDefault="0007291F" w:rsidP="00EC7BC0">
      <w:pPr>
        <w:pStyle w:val="Heading5"/>
      </w:pPr>
      <w:r w:rsidRPr="004D076A">
        <w:lastRenderedPageBreak/>
        <w:t>V58P2</w:t>
      </w:r>
      <w:r w:rsidR="004931F7">
        <w:t xml:space="preserve"> (Phase II</w:t>
      </w:r>
      <w:r w:rsidR="00E47617">
        <w:t>, exploratory study)</w:t>
      </w:r>
    </w:p>
    <w:p w:rsidR="0007291F" w:rsidRPr="00EC7BC0" w:rsidRDefault="004931F7" w:rsidP="00EC7BC0">
      <w:r>
        <w:t>V58P2 was a P</w:t>
      </w:r>
      <w:r w:rsidR="0007291F" w:rsidRPr="00EC7BC0">
        <w:t>hase II, observer</w:t>
      </w:r>
      <w:r>
        <w:t xml:space="preserve"> </w:t>
      </w:r>
      <w:r w:rsidR="0007291F" w:rsidRPr="00EC7BC0">
        <w:t xml:space="preserve">blind, randomised, single centre study of immunogenicity in terms of CPMP criteria, safety and </w:t>
      </w:r>
      <w:proofErr w:type="spellStart"/>
      <w:r w:rsidR="0007291F" w:rsidRPr="00EC7BC0">
        <w:t>reactogenicity</w:t>
      </w:r>
      <w:proofErr w:type="spellEnd"/>
      <w:r w:rsidR="0007291F" w:rsidRPr="00EC7BC0">
        <w:t xml:space="preserve"> of </w:t>
      </w:r>
      <w:proofErr w:type="spellStart"/>
      <w:r w:rsidR="0007291F" w:rsidRPr="00EC7BC0">
        <w:t>cTIV</w:t>
      </w:r>
      <w:proofErr w:type="spellEnd"/>
      <w:r w:rsidR="0007291F" w:rsidRPr="00EC7BC0">
        <w:t xml:space="preserve"> compared to </w:t>
      </w:r>
      <w:proofErr w:type="spellStart"/>
      <w:r w:rsidR="0007291F" w:rsidRPr="00EC7BC0">
        <w:t>eTIVa</w:t>
      </w:r>
      <w:proofErr w:type="spellEnd"/>
      <w:r w:rsidR="0007291F" w:rsidRPr="00EC7BC0">
        <w:t>. It was conducted in New Zealand and completed in 2003.</w:t>
      </w:r>
    </w:p>
    <w:p w:rsidR="0007291F" w:rsidRPr="00EC7BC0" w:rsidRDefault="0007291F" w:rsidP="00EC7BC0">
      <w:r w:rsidRPr="00EC7BC0">
        <w:t>Healthy adu</w:t>
      </w:r>
      <w:r w:rsidR="00C52985">
        <w:t>lts age 18 to 60 (n =113) and &gt;</w:t>
      </w:r>
      <w:r w:rsidR="001828A9">
        <w:t xml:space="preserve"> </w:t>
      </w:r>
      <w:r w:rsidRPr="00EC7BC0">
        <w:t xml:space="preserve">60 years (n =110) were enrolled, the majority were Caucasian. Previous vaccination had been recorded for 82% of </w:t>
      </w:r>
      <w:proofErr w:type="spellStart"/>
      <w:r w:rsidRPr="00EC7BC0">
        <w:t>cTIV</w:t>
      </w:r>
      <w:proofErr w:type="spellEnd"/>
      <w:r w:rsidRPr="00EC7BC0">
        <w:t xml:space="preserve"> and 72% of </w:t>
      </w:r>
      <w:proofErr w:type="spellStart"/>
      <w:r w:rsidRPr="00EC7BC0">
        <w:t>eTIVa</w:t>
      </w:r>
      <w:proofErr w:type="spellEnd"/>
      <w:r w:rsidRPr="00EC7BC0">
        <w:t xml:space="preserve"> groups aged 18 to 6</w:t>
      </w:r>
      <w:r w:rsidR="00C52985">
        <w:t>0 and 94 to 96% of those aged &gt;</w:t>
      </w:r>
      <w:r w:rsidR="001828A9">
        <w:t xml:space="preserve"> </w:t>
      </w:r>
      <w:r w:rsidRPr="00EC7BC0">
        <w:t>60 years.</w:t>
      </w:r>
    </w:p>
    <w:p w:rsidR="0007291F" w:rsidRPr="00EC7BC0" w:rsidRDefault="0007291F" w:rsidP="00EC7BC0">
      <w:r w:rsidRPr="00EC7BC0">
        <w:t>Results were similar for each vaccine and met at least one CPMP criterion. The FDA reviewer</w:t>
      </w:r>
      <w:r w:rsidR="00EC7BC0">
        <w:t xml:space="preserve"> </w:t>
      </w:r>
      <w:r w:rsidRPr="00EC7BC0">
        <w:t xml:space="preserve">commented that the low </w:t>
      </w:r>
      <w:proofErr w:type="spellStart"/>
      <w:r w:rsidRPr="00EC7BC0">
        <w:t>seroconversion</w:t>
      </w:r>
      <w:proofErr w:type="spellEnd"/>
      <w:r w:rsidRPr="00EC7BC0">
        <w:t xml:space="preserve"> rates observed after vaccination with the influenza A antigens were most likely related to the high antibody titres present at baseline, given the majority of adult subjects (82% in the </w:t>
      </w:r>
      <w:proofErr w:type="spellStart"/>
      <w:r w:rsidRPr="00EC7BC0">
        <w:t>cTIV</w:t>
      </w:r>
      <w:proofErr w:type="spellEnd"/>
      <w:r w:rsidRPr="00EC7BC0">
        <w:t xml:space="preserve"> arm and 72% in the </w:t>
      </w:r>
      <w:proofErr w:type="spellStart"/>
      <w:r w:rsidRPr="00EC7BC0">
        <w:t>eTIVa</w:t>
      </w:r>
      <w:proofErr w:type="spellEnd"/>
      <w:r w:rsidRPr="00EC7BC0">
        <w:t xml:space="preserve"> arm) had previously received an influenza vaccine.</w:t>
      </w:r>
    </w:p>
    <w:p w:rsidR="0007291F" w:rsidRPr="00EC7BC0" w:rsidRDefault="0007291F" w:rsidP="00EC7BC0">
      <w:r w:rsidRPr="00EC7BC0">
        <w:t xml:space="preserve">The </w:t>
      </w:r>
      <w:proofErr w:type="spellStart"/>
      <w:r w:rsidRPr="00EC7BC0">
        <w:t>seroconversion</w:t>
      </w:r>
      <w:proofErr w:type="spellEnd"/>
      <w:r w:rsidRPr="00EC7BC0">
        <w:t xml:space="preserve"> rates and percentage of subjects with post</w:t>
      </w:r>
      <w:r w:rsidR="00124421">
        <w:t xml:space="preserve"> </w:t>
      </w:r>
      <w:r w:rsidRPr="00EC7BC0">
        <w:t xml:space="preserve">vaccination HAI titres of 1:40 or higher at baseline and at Day 22 were all lower to the influenza B strain. However, the antibody response to influenza B did meet the CPMP criteria demonstration of immunogenicity due to geometric mean ratios greater than 2.5 in both the </w:t>
      </w:r>
      <w:proofErr w:type="spellStart"/>
      <w:r w:rsidRPr="00EC7BC0">
        <w:t>cTIV</w:t>
      </w:r>
      <w:proofErr w:type="spellEnd"/>
      <w:r w:rsidRPr="00EC7BC0">
        <w:t xml:space="preserve"> and </w:t>
      </w:r>
      <w:proofErr w:type="spellStart"/>
      <w:r w:rsidRPr="00EC7BC0">
        <w:t>eTIVa</w:t>
      </w:r>
      <w:proofErr w:type="spellEnd"/>
      <w:r w:rsidRPr="00EC7BC0">
        <w:t xml:space="preserve"> arm.</w:t>
      </w:r>
    </w:p>
    <w:p w:rsidR="0007291F" w:rsidRDefault="00C52985" w:rsidP="002B73C7">
      <w:pPr>
        <w:pStyle w:val="Heading5"/>
      </w:pPr>
      <w:r>
        <w:t>V58P1 (Phase I/II</w:t>
      </w:r>
      <w:r w:rsidR="0007291F">
        <w:t>)</w:t>
      </w:r>
    </w:p>
    <w:p w:rsidR="0007291F" w:rsidRPr="00A8344E" w:rsidRDefault="00C52985" w:rsidP="00A8344E">
      <w:r>
        <w:t>V58P1 was a P</w:t>
      </w:r>
      <w:r w:rsidR="0007291F" w:rsidRPr="00A8344E">
        <w:t>hase I/II, observer</w:t>
      </w:r>
      <w:r>
        <w:t xml:space="preserve"> </w:t>
      </w:r>
      <w:r w:rsidR="0007291F" w:rsidRPr="00A8344E">
        <w:t>blind, randomised 1:1, single</w:t>
      </w:r>
      <w:r>
        <w:t xml:space="preserve"> </w:t>
      </w:r>
      <w:r w:rsidR="0007291F" w:rsidRPr="00A8344E">
        <w:t xml:space="preserve">centre, sequential cohort study conducted in Germany, comparing safety, tolerability and immunogenicity of </w:t>
      </w:r>
      <w:proofErr w:type="spellStart"/>
      <w:r w:rsidR="0007291F" w:rsidRPr="00A8344E">
        <w:t>cTIV</w:t>
      </w:r>
      <w:proofErr w:type="spellEnd"/>
      <w:r w:rsidR="0007291F" w:rsidRPr="00A8344E">
        <w:t xml:space="preserve"> compared and </w:t>
      </w:r>
      <w:proofErr w:type="spellStart"/>
      <w:r w:rsidR="0007291F" w:rsidRPr="00A8344E">
        <w:t>eTIVa</w:t>
      </w:r>
      <w:proofErr w:type="spellEnd"/>
      <w:r w:rsidR="0007291F" w:rsidRPr="00A8344E">
        <w:t xml:space="preserve"> in healthy adults. It was completed in 2002.</w:t>
      </w:r>
    </w:p>
    <w:p w:rsidR="0007291F" w:rsidRPr="00A8344E" w:rsidRDefault="0007291F" w:rsidP="00A8344E">
      <w:r w:rsidRPr="00A8344E">
        <w:t>Phase I was a preliminary safety study of 4 weeks, including 40 participants aged 18 to 40 years and Phase II included 200 p</w:t>
      </w:r>
      <w:r w:rsidR="001828A9">
        <w:t>articipants in age cohorts 18-</w:t>
      </w:r>
      <w:r w:rsidRPr="00A8344E">
        <w:t>60 and ≥ 61 years. Immunogenicity was assessed in compliance with CPMP/BWP/214/96.</w:t>
      </w:r>
    </w:p>
    <w:p w:rsidR="0007291F" w:rsidRPr="00A8344E" w:rsidRDefault="0007291F" w:rsidP="00A8344E">
      <w:r w:rsidRPr="00A8344E">
        <w:t>The study was affected by a malfunctioning handheld electronic pipette leading to a systematic under-measurement of the volume of serum, resulting in underestimation of antibody titres. The data were not retested for this study.</w:t>
      </w:r>
    </w:p>
    <w:p w:rsidR="0007291F" w:rsidRPr="00A8344E" w:rsidRDefault="0007291F" w:rsidP="00A8344E">
      <w:r w:rsidRPr="00A8344E">
        <w:t xml:space="preserve">For age 18 to 40 years, results for </w:t>
      </w:r>
      <w:proofErr w:type="spellStart"/>
      <w:r w:rsidRPr="00A8344E">
        <w:t>cTIV</w:t>
      </w:r>
      <w:proofErr w:type="spellEnd"/>
      <w:r w:rsidRPr="00A8344E">
        <w:t xml:space="preserve"> met CPMP criteria for each strain.</w:t>
      </w:r>
    </w:p>
    <w:p w:rsidR="0007291F" w:rsidRPr="00A8344E" w:rsidRDefault="0007291F" w:rsidP="00A8344E">
      <w:r w:rsidRPr="00A8344E">
        <w:t xml:space="preserve">For pooled Phase I and II ages 18 to 60 years, results for </w:t>
      </w:r>
      <w:proofErr w:type="spellStart"/>
      <w:r w:rsidRPr="00A8344E">
        <w:t>cTIV</w:t>
      </w:r>
      <w:proofErr w:type="spellEnd"/>
      <w:r w:rsidRPr="00A8344E">
        <w:t xml:space="preserve"> met CPMP criteria for each strain. For age &gt; 60 years, results for </w:t>
      </w:r>
      <w:proofErr w:type="spellStart"/>
      <w:r w:rsidRPr="00A8344E">
        <w:t>cTIV</w:t>
      </w:r>
      <w:proofErr w:type="spellEnd"/>
      <w:r w:rsidRPr="00A8344E">
        <w:t xml:space="preserve"> met CPMP criteria for each strain.</w:t>
      </w:r>
    </w:p>
    <w:p w:rsidR="0007291F" w:rsidRDefault="0007291F" w:rsidP="00E47617">
      <w:pPr>
        <w:pStyle w:val="Heading4"/>
      </w:pPr>
      <w:r>
        <w:t xml:space="preserve">Overall conclusion regarding efficacy and </w:t>
      </w:r>
      <w:r w:rsidRPr="00E47617">
        <w:t>immunogenicity</w:t>
      </w:r>
    </w:p>
    <w:p w:rsidR="0007291F" w:rsidRPr="002B73C7" w:rsidRDefault="0007291F" w:rsidP="002B73C7">
      <w:r w:rsidRPr="002B73C7">
        <w:t>The clinical evaluator highlighte</w:t>
      </w:r>
      <w:r w:rsidR="00124421">
        <w:t>d the following issues</w:t>
      </w:r>
      <w:r w:rsidRPr="002B73C7">
        <w:t xml:space="preserve">. Overall, the studies provided a database that was sufficient to demonstrate immunogenicity of </w:t>
      </w:r>
      <w:proofErr w:type="spellStart"/>
      <w:r w:rsidRPr="002B73C7">
        <w:t>cTIV</w:t>
      </w:r>
      <w:proofErr w:type="spellEnd"/>
      <w:r w:rsidRPr="002B73C7">
        <w:t xml:space="preserve"> in comparison to vaccines produced in </w:t>
      </w:r>
      <w:proofErr w:type="spellStart"/>
      <w:r w:rsidR="00124421">
        <w:t>embryonated</w:t>
      </w:r>
      <w:proofErr w:type="spellEnd"/>
      <w:r w:rsidR="00124421">
        <w:t xml:space="preserve"> hens</w:t>
      </w:r>
      <w:r w:rsidR="007F4637">
        <w:t>’</w:t>
      </w:r>
      <w:r w:rsidR="00124421">
        <w:t xml:space="preserve"> eggs, </w:t>
      </w:r>
      <w:proofErr w:type="spellStart"/>
      <w:r w:rsidR="00124421">
        <w:t>Agrippal</w:t>
      </w:r>
      <w:proofErr w:type="spellEnd"/>
      <w:r w:rsidR="00124421">
        <w:t xml:space="preserve"> and Fluvirin</w:t>
      </w:r>
      <w:r w:rsidRPr="002B73C7">
        <w:t xml:space="preserve">. In addition, lot consistency and antibody </w:t>
      </w:r>
      <w:r w:rsidR="00E47617">
        <w:t>persistence were demonstrated.</w:t>
      </w:r>
    </w:p>
    <w:p w:rsidR="0007291F" w:rsidRPr="002B73C7" w:rsidRDefault="0007291F" w:rsidP="002B73C7">
      <w:r w:rsidRPr="002B73C7">
        <w:t xml:space="preserve">The evaluator expressed concern that results in the dossier had undergone a significant </w:t>
      </w:r>
      <w:r w:rsidR="007F4637">
        <w:t xml:space="preserve">amount of recalculation, </w:t>
      </w:r>
      <w:r w:rsidRPr="002B73C7">
        <w:t>with all studies except V58P13 including immunogenicity results a</w:t>
      </w:r>
      <w:r w:rsidR="00E47617">
        <w:t>ffected by a pipetting problem.</w:t>
      </w:r>
    </w:p>
    <w:p w:rsidR="0007291F" w:rsidRPr="002B73C7" w:rsidRDefault="0007291F" w:rsidP="002B73C7">
      <w:r w:rsidRPr="002B73C7">
        <w:t>There was a marked difference in performance of the HI an</w:t>
      </w:r>
      <w:r w:rsidR="007F4637">
        <w:t>d SRH</w:t>
      </w:r>
      <w:r w:rsidRPr="002B73C7">
        <w:t xml:space="preserve"> assays for the B strain in Study V58P2. The explanation provided by the sponsor with the </w:t>
      </w:r>
      <w:r w:rsidR="007F4637">
        <w:t>S</w:t>
      </w:r>
      <w:r w:rsidRPr="002B73C7">
        <w:t>e</w:t>
      </w:r>
      <w:r w:rsidR="007F4637">
        <w:t xml:space="preserve">ction 31 response </w:t>
      </w:r>
      <w:r w:rsidRPr="002B73C7">
        <w:t>cited several published reports describing this issue and concluded that th</w:t>
      </w:r>
      <w:r w:rsidR="007F4637">
        <w:t xml:space="preserve">e SRH test for post </w:t>
      </w:r>
      <w:r w:rsidRPr="002B73C7">
        <w:t>vaccination studies with influenza B viruses appears to be more sensitive than the HI test.</w:t>
      </w:r>
    </w:p>
    <w:p w:rsidR="0007291F" w:rsidRDefault="0007291F" w:rsidP="002B73C7">
      <w:pPr>
        <w:pStyle w:val="Heading4"/>
      </w:pPr>
      <w:r w:rsidRPr="003F08CF">
        <w:t>Safety</w:t>
      </w:r>
    </w:p>
    <w:p w:rsidR="0007291F" w:rsidRPr="002B73C7" w:rsidRDefault="0007291F" w:rsidP="002B73C7">
      <w:r w:rsidRPr="002B73C7">
        <w:t xml:space="preserve">A pooled safety analysis performed across studies included 6710 </w:t>
      </w:r>
      <w:proofErr w:type="spellStart"/>
      <w:r w:rsidRPr="002B73C7">
        <w:t>cTIV</w:t>
      </w:r>
      <w:proofErr w:type="spellEnd"/>
      <w:r w:rsidRPr="002B73C7">
        <w:t xml:space="preserve"> participants (6138 aged 18 to 64 years and 572 ≥ 65 years), but excluded participants in the extension study </w:t>
      </w:r>
      <w:r w:rsidRPr="002B73C7">
        <w:lastRenderedPageBreak/>
        <w:t xml:space="preserve">V58P4E and those in the placebo arm of </w:t>
      </w:r>
      <w:r w:rsidR="004B25A9">
        <w:t>S</w:t>
      </w:r>
      <w:r w:rsidRPr="002B73C7">
        <w:t xml:space="preserve">tudy V58P13. Safety results for </w:t>
      </w:r>
      <w:r w:rsidR="004B25A9">
        <w:t>S</w:t>
      </w:r>
      <w:r w:rsidRPr="002B73C7">
        <w:t>tudy V58P4E were reported.</w:t>
      </w:r>
    </w:p>
    <w:p w:rsidR="0007291F" w:rsidRPr="002B73C7" w:rsidRDefault="0007291F" w:rsidP="002B73C7">
      <w:r w:rsidRPr="002B73C7">
        <w:t>The clinical evaluator commented that age categories for the pooled analysis were not those included in the individual study analyses and therefore re-analysis of study results was required.</w:t>
      </w:r>
    </w:p>
    <w:p w:rsidR="0007291F" w:rsidRPr="002B73C7" w:rsidRDefault="0007291F" w:rsidP="002B73C7">
      <w:r w:rsidRPr="002B73C7">
        <w:t xml:space="preserve">Safety endpoints for all studies included record of solicited AEs, local and systemic reactions and other indicators of </w:t>
      </w:r>
      <w:proofErr w:type="spellStart"/>
      <w:r w:rsidRPr="002B73C7">
        <w:t>reactogenicity</w:t>
      </w:r>
      <w:proofErr w:type="spellEnd"/>
      <w:r w:rsidRPr="002B73C7">
        <w:t xml:space="preserve"> from </w:t>
      </w:r>
      <w:r w:rsidR="004B25A9">
        <w:t>D</w:t>
      </w:r>
      <w:r w:rsidRPr="002B73C7">
        <w:t xml:space="preserve">ay 1 to </w:t>
      </w:r>
      <w:r w:rsidR="004B25A9">
        <w:t>D</w:t>
      </w:r>
      <w:r w:rsidRPr="002B73C7">
        <w:t>ay 7. Unsolicited AEs were recorded for the duration of study.</w:t>
      </w:r>
    </w:p>
    <w:p w:rsidR="0007291F" w:rsidRDefault="0007291F" w:rsidP="002B73C7">
      <w:pPr>
        <w:pStyle w:val="Heading5"/>
      </w:pPr>
      <w:r w:rsidRPr="007876CA">
        <w:t>Participants aged 18 to 64 years</w:t>
      </w:r>
    </w:p>
    <w:p w:rsidR="0007291F" w:rsidRPr="002B73C7" w:rsidRDefault="0007291F" w:rsidP="002B73C7">
      <w:r w:rsidRPr="002B73C7">
        <w:t>With regards to solicited adverse events, in the pooled safety analysis for</w:t>
      </w:r>
      <w:r w:rsidR="002B73C7">
        <w:t xml:space="preserve"> the age range 18-</w:t>
      </w:r>
      <w:r w:rsidRPr="002B73C7">
        <w:t xml:space="preserve">64 years, injection site pain and erythema were the most commonly reported solicited local AEs. Headache, malaise, fatigue and myalgia were the most common solicited systemic AEs. The risk ratios for each solicited AEs included 1, except for injection site pain with RR 1.19 (95% </w:t>
      </w:r>
      <w:r w:rsidR="0042698B">
        <w:t xml:space="preserve">CI 1.12, 1.26) favouring </w:t>
      </w:r>
      <w:proofErr w:type="spellStart"/>
      <w:r w:rsidR="0042698B">
        <w:t>eTIV</w:t>
      </w:r>
      <w:proofErr w:type="spellEnd"/>
      <w:r w:rsidR="0042698B">
        <w:t xml:space="preserve">. </w:t>
      </w:r>
      <w:r w:rsidRPr="002B73C7">
        <w:t xml:space="preserve">A higher frequency of pain following </w:t>
      </w:r>
      <w:proofErr w:type="spellStart"/>
      <w:r w:rsidRPr="002B73C7">
        <w:t>cTIV</w:t>
      </w:r>
      <w:proofErr w:type="spellEnd"/>
      <w:r w:rsidRPr="002B73C7">
        <w:t xml:space="preserve"> vaccination was a consistent finding noted in all </w:t>
      </w:r>
      <w:r w:rsidR="00164DAF">
        <w:t xml:space="preserve">studies in which </w:t>
      </w:r>
      <w:proofErr w:type="spellStart"/>
      <w:proofErr w:type="gramStart"/>
      <w:r w:rsidR="00164DAF">
        <w:t>eTIVa</w:t>
      </w:r>
      <w:proofErr w:type="spellEnd"/>
      <w:r w:rsidR="00164DAF">
        <w:t>(</w:t>
      </w:r>
      <w:proofErr w:type="spellStart"/>
      <w:proofErr w:type="gramEnd"/>
      <w:r w:rsidR="00164DAF">
        <w:t>Aggripal</w:t>
      </w:r>
      <w:proofErr w:type="spellEnd"/>
      <w:r w:rsidRPr="002B73C7">
        <w:t>) was the comparator; however, in</w:t>
      </w:r>
      <w:r w:rsidR="00164DAF">
        <w:t xml:space="preserve"> </w:t>
      </w:r>
      <w:r w:rsidR="0042698B">
        <w:t xml:space="preserve">Study </w:t>
      </w:r>
      <w:r w:rsidR="00164DAF">
        <w:t xml:space="preserve">V58P5 in which </w:t>
      </w:r>
      <w:proofErr w:type="spellStart"/>
      <w:r w:rsidR="00164DAF">
        <w:t>eTIVf</w:t>
      </w:r>
      <w:proofErr w:type="spellEnd"/>
      <w:r w:rsidR="00164DAF">
        <w:t xml:space="preserve"> (Fluvirin</w:t>
      </w:r>
      <w:r w:rsidRPr="002B73C7">
        <w:t>) was the comparator, the incidence of pain recorded</w:t>
      </w:r>
      <w:r w:rsidR="00164DAF">
        <w:t xml:space="preserve"> was greater for </w:t>
      </w:r>
      <w:proofErr w:type="spellStart"/>
      <w:r w:rsidR="00164DAF">
        <w:t>eTIVf</w:t>
      </w:r>
      <w:proofErr w:type="spellEnd"/>
      <w:r w:rsidR="00164DAF">
        <w:t>.</w:t>
      </w:r>
    </w:p>
    <w:p w:rsidR="0007291F" w:rsidRDefault="0007291F" w:rsidP="00E47617">
      <w:pPr>
        <w:pStyle w:val="Heading5"/>
      </w:pPr>
      <w:r w:rsidRPr="0004292B">
        <w:t>Participants aged ≥ 65 years</w:t>
      </w:r>
    </w:p>
    <w:p w:rsidR="0007291F" w:rsidRDefault="0007291F" w:rsidP="0007291F">
      <w:pPr>
        <w:rPr>
          <w:rFonts w:asciiTheme="minorHAnsi" w:hAnsiTheme="minorHAnsi"/>
        </w:rPr>
      </w:pPr>
      <w:r w:rsidRPr="00483C60">
        <w:rPr>
          <w:rFonts w:asciiTheme="minorHAnsi" w:hAnsiTheme="minorHAnsi"/>
        </w:rPr>
        <w:t>For adults ≥ 65 years, erythema and injection site pain were the most commonly r</w:t>
      </w:r>
      <w:r>
        <w:rPr>
          <w:rFonts w:asciiTheme="minorHAnsi" w:hAnsiTheme="minorHAnsi"/>
        </w:rPr>
        <w:t>eported solicited local AEs. H</w:t>
      </w:r>
      <w:r w:rsidRPr="00483C60">
        <w:rPr>
          <w:rFonts w:asciiTheme="minorHAnsi" w:hAnsiTheme="minorHAnsi"/>
        </w:rPr>
        <w:t xml:space="preserve">eadache and fatigue were the most commonly reported solicited systemic AEs. All </w:t>
      </w:r>
      <w:r w:rsidRPr="00663D4B">
        <w:rPr>
          <w:rFonts w:asciiTheme="minorHAnsi" w:hAnsiTheme="minorHAnsi"/>
        </w:rPr>
        <w:t xml:space="preserve">risk ratios </w:t>
      </w:r>
      <w:r w:rsidRPr="00483C60">
        <w:rPr>
          <w:rFonts w:asciiTheme="minorHAnsi" w:hAnsiTheme="minorHAnsi"/>
        </w:rPr>
        <w:t>included 1. Local AEs were reported less often by those age ≥ 65 years. Headache and myalgia were reported less often than in the younger age group but the difference otherwise in systemic AEs was not</w:t>
      </w:r>
      <w:r w:rsidR="00452426">
        <w:rPr>
          <w:rFonts w:asciiTheme="minorHAnsi" w:hAnsiTheme="minorHAnsi"/>
        </w:rPr>
        <w:t xml:space="preserve"> obviously remarkable</w:t>
      </w:r>
      <w:r>
        <w:rPr>
          <w:rFonts w:asciiTheme="minorHAnsi" w:hAnsiTheme="minorHAnsi"/>
        </w:rPr>
        <w:t>.</w:t>
      </w:r>
    </w:p>
    <w:p w:rsidR="0007291F" w:rsidRDefault="0007291F" w:rsidP="0007291F">
      <w:pPr>
        <w:rPr>
          <w:rFonts w:asciiTheme="minorHAnsi" w:hAnsiTheme="minorHAnsi"/>
        </w:rPr>
      </w:pPr>
      <w:r>
        <w:rPr>
          <w:rFonts w:asciiTheme="minorHAnsi" w:hAnsiTheme="minorHAnsi"/>
        </w:rPr>
        <w:t xml:space="preserve">With respect to unsolicited AEs and possibly/probably related AEs, these were noted to occur at a similar frequency for </w:t>
      </w:r>
      <w:proofErr w:type="spellStart"/>
      <w:r>
        <w:rPr>
          <w:rFonts w:asciiTheme="minorHAnsi" w:hAnsiTheme="minorHAnsi"/>
        </w:rPr>
        <w:t>cTIV</w:t>
      </w:r>
      <w:proofErr w:type="spellEnd"/>
      <w:r>
        <w:rPr>
          <w:rFonts w:asciiTheme="minorHAnsi" w:hAnsiTheme="minorHAnsi"/>
        </w:rPr>
        <w:t xml:space="preserve"> and control vaccines.</w:t>
      </w:r>
    </w:p>
    <w:p w:rsidR="0007291F" w:rsidRPr="00C875B1" w:rsidRDefault="0007291F" w:rsidP="007C1584">
      <w:pPr>
        <w:pStyle w:val="Heading5"/>
      </w:pPr>
      <w:r w:rsidRPr="00C875B1">
        <w:t>D</w:t>
      </w:r>
      <w:r w:rsidR="007C1584">
        <w:t xml:space="preserve">eaths and serious </w:t>
      </w:r>
      <w:r w:rsidR="00633CD6">
        <w:t>AEs</w:t>
      </w:r>
    </w:p>
    <w:p w:rsidR="0007291F" w:rsidRPr="00A8344E" w:rsidRDefault="0007291F" w:rsidP="00A8344E">
      <w:r w:rsidRPr="00A8344E">
        <w:t xml:space="preserve">In the pooled studies, a total of 13 deaths occurred, six in the 18 to 64 year age group (4 </w:t>
      </w:r>
      <w:proofErr w:type="spellStart"/>
      <w:r w:rsidRPr="00A8344E">
        <w:t>cTIV</w:t>
      </w:r>
      <w:proofErr w:type="spellEnd"/>
      <w:r w:rsidRPr="00A8344E">
        <w:t xml:space="preserve"> recipients, 1 </w:t>
      </w:r>
      <w:proofErr w:type="spellStart"/>
      <w:r w:rsidRPr="00A8344E">
        <w:t>eTIV</w:t>
      </w:r>
      <w:proofErr w:type="spellEnd"/>
      <w:r w:rsidRPr="00A8344E">
        <w:t xml:space="preserve">-a recipients and 1 in the placebo group of study V58P13) and seven in the ≥ 65 year age group (3 for </w:t>
      </w:r>
      <w:proofErr w:type="spellStart"/>
      <w:r w:rsidRPr="00A8344E">
        <w:t>cTIV</w:t>
      </w:r>
      <w:proofErr w:type="spellEnd"/>
      <w:r w:rsidRPr="00A8344E">
        <w:t xml:space="preserve"> and 4 for </w:t>
      </w:r>
      <w:proofErr w:type="spellStart"/>
      <w:r w:rsidRPr="00A8344E">
        <w:t>eTIV</w:t>
      </w:r>
      <w:proofErr w:type="spellEnd"/>
      <w:r w:rsidRPr="00A8344E">
        <w:t>-a). All deaths were considered unrelated to vaccination.</w:t>
      </w:r>
    </w:p>
    <w:p w:rsidR="0007291F" w:rsidRPr="00A8344E" w:rsidRDefault="0007291F" w:rsidP="00A8344E">
      <w:r w:rsidRPr="00A8344E">
        <w:t>In total, 221 participants experienced a total of 270 SAEs within the 3</w:t>
      </w:r>
      <w:r w:rsidR="008726F3">
        <w:t xml:space="preserve"> </w:t>
      </w:r>
      <w:r w:rsidRPr="00A8344E">
        <w:t>week reporting period for studies V58P1 and V58P2 or at any time during studies with 6</w:t>
      </w:r>
      <w:r w:rsidR="008726F3">
        <w:t xml:space="preserve"> </w:t>
      </w:r>
      <w:r w:rsidRPr="00A8344E">
        <w:t>month follow</w:t>
      </w:r>
      <w:r w:rsidR="008726F3">
        <w:t xml:space="preserve"> </w:t>
      </w:r>
      <w:r w:rsidRPr="00A8344E">
        <w:t>up periods (V58P4, V58P4E1, V58P5, V58P9 and V58P13). (Note: this total includes participants in both age groups who received active treatment. In addition, 42 SAEs were reported for 37 participants (1%) 18 to 64 years of age who received placebo in study V58P13.)</w:t>
      </w:r>
    </w:p>
    <w:p w:rsidR="0007291F" w:rsidRPr="00A8344E" w:rsidRDefault="0007291F" w:rsidP="00A8344E">
      <w:r w:rsidRPr="00A8344E">
        <w:t xml:space="preserve">Most SAEs were experienced by adults 18 to 64 years (166 SAEs in 141 participants, 1% [85] of </w:t>
      </w:r>
      <w:proofErr w:type="spellStart"/>
      <w:r w:rsidRPr="00A8344E">
        <w:t>cTIV</w:t>
      </w:r>
      <w:proofErr w:type="spellEnd"/>
      <w:r w:rsidRPr="00A8344E">
        <w:t xml:space="preserve"> recipients and 1</w:t>
      </w:r>
      <w:r w:rsidR="00E47617">
        <w:t xml:space="preserve">% [56] of </w:t>
      </w:r>
      <w:proofErr w:type="spellStart"/>
      <w:r w:rsidR="00E47617">
        <w:t>eTIV</w:t>
      </w:r>
      <w:proofErr w:type="spellEnd"/>
      <w:r w:rsidR="00E47617">
        <w:t>-a/f recipients).</w:t>
      </w:r>
    </w:p>
    <w:p w:rsidR="0007291F" w:rsidRPr="00A8344E" w:rsidRDefault="008207CE" w:rsidP="00A8344E">
      <w:r>
        <w:t xml:space="preserve">There were </w:t>
      </w:r>
      <w:r w:rsidR="006D6A53">
        <w:t>104 SAEs</w:t>
      </w:r>
      <w:r w:rsidR="0007291F" w:rsidRPr="00A8344E">
        <w:t xml:space="preserve"> reported for 80 adults ≥ 65 years of age (4% [36] of </w:t>
      </w:r>
      <w:proofErr w:type="spellStart"/>
      <w:r w:rsidR="0007291F" w:rsidRPr="00A8344E">
        <w:t>cTIV</w:t>
      </w:r>
      <w:proofErr w:type="spellEnd"/>
      <w:r w:rsidR="0007291F" w:rsidRPr="00A8344E">
        <w:t xml:space="preserve"> recipients and</w:t>
      </w:r>
      <w:r w:rsidR="00E47617">
        <w:t xml:space="preserve"> 4% [44] of </w:t>
      </w:r>
      <w:proofErr w:type="spellStart"/>
      <w:r w:rsidR="00E47617">
        <w:t>eTIV</w:t>
      </w:r>
      <w:proofErr w:type="spellEnd"/>
      <w:r w:rsidR="00E47617">
        <w:t>-a recipients).</w:t>
      </w:r>
    </w:p>
    <w:p w:rsidR="0007291F" w:rsidRPr="00A8344E" w:rsidRDefault="0007291F" w:rsidP="00A8344E">
      <w:r w:rsidRPr="00A8344E">
        <w:t>No SAE was considered related to the vaccines.</w:t>
      </w:r>
    </w:p>
    <w:p w:rsidR="0007291F" w:rsidRPr="00A8344E" w:rsidRDefault="006E5474" w:rsidP="00A8344E">
      <w:r>
        <w:t xml:space="preserve">There were </w:t>
      </w:r>
      <w:r w:rsidR="0007291F" w:rsidRPr="00A8344E">
        <w:t xml:space="preserve">10 SAEs </w:t>
      </w:r>
      <w:r>
        <w:t xml:space="preserve">that </w:t>
      </w:r>
      <w:r w:rsidR="0007291F" w:rsidRPr="00A8344E">
        <w:t xml:space="preserve">resulted from influenza infection. Of these, eight cases (all seven in </w:t>
      </w:r>
      <w:r w:rsidR="006D6A53">
        <w:t>S</w:t>
      </w:r>
      <w:r w:rsidR="0007291F" w:rsidRPr="00A8344E">
        <w:t xml:space="preserve">tudy V58P9 and one in study V58P5) were identified as influenza B (five </w:t>
      </w:r>
      <w:proofErr w:type="spellStart"/>
      <w:proofErr w:type="gramStart"/>
      <w:r w:rsidR="0007291F" w:rsidRPr="00A8344E">
        <w:t>cTIV</w:t>
      </w:r>
      <w:proofErr w:type="spellEnd"/>
      <w:r w:rsidR="0007291F" w:rsidRPr="00A8344E">
        <w:t xml:space="preserve"> ;</w:t>
      </w:r>
      <w:proofErr w:type="gramEnd"/>
      <w:r w:rsidR="0007291F" w:rsidRPr="00A8344E">
        <w:t xml:space="preserve"> three control ) and two cases (both in V58P5) were identified as A/H3N2 influenza (one </w:t>
      </w:r>
      <w:proofErr w:type="spellStart"/>
      <w:r w:rsidR="0007291F" w:rsidRPr="00A8344E">
        <w:t>cTI</w:t>
      </w:r>
      <w:r w:rsidR="00E47617">
        <w:t>V</w:t>
      </w:r>
      <w:proofErr w:type="spellEnd"/>
      <w:r w:rsidR="00E47617">
        <w:t>, one control).</w:t>
      </w:r>
    </w:p>
    <w:p w:rsidR="0007291F" w:rsidRPr="00A8344E" w:rsidRDefault="00A3300A" w:rsidP="00A8344E">
      <w:r>
        <w:t xml:space="preserve">There were </w:t>
      </w:r>
      <w:r w:rsidR="0007291F" w:rsidRPr="00A8344E">
        <w:t xml:space="preserve">17 SAEs, including the 13 </w:t>
      </w:r>
      <w:proofErr w:type="gramStart"/>
      <w:r w:rsidR="0007291F" w:rsidRPr="00A8344E">
        <w:t xml:space="preserve">deaths, </w:t>
      </w:r>
      <w:r>
        <w:t>that</w:t>
      </w:r>
      <w:proofErr w:type="gramEnd"/>
      <w:r>
        <w:t xml:space="preserve"> </w:t>
      </w:r>
      <w:r w:rsidR="0007291F" w:rsidRPr="00A8344E">
        <w:t>led to withdrawal from the study.</w:t>
      </w:r>
    </w:p>
    <w:p w:rsidR="0007291F" w:rsidRDefault="0007291F" w:rsidP="00E47617">
      <w:pPr>
        <w:pStyle w:val="Heading3"/>
      </w:pPr>
      <w:bookmarkStart w:id="120" w:name="_Toc430081309"/>
      <w:bookmarkEnd w:id="119"/>
      <w:r w:rsidRPr="003F08CF">
        <w:lastRenderedPageBreak/>
        <w:t xml:space="preserve">RMP </w:t>
      </w:r>
      <w:r w:rsidRPr="00E47617">
        <w:t>evaluation</w:t>
      </w:r>
      <w:bookmarkEnd w:id="120"/>
    </w:p>
    <w:p w:rsidR="0007291F" w:rsidRPr="0007291F" w:rsidRDefault="0007291F" w:rsidP="0007291F">
      <w:r w:rsidRPr="0007291F">
        <w:t xml:space="preserve">The application was considered by ACSOV in September 2014. With regards to the potential for </w:t>
      </w:r>
      <w:proofErr w:type="spellStart"/>
      <w:r w:rsidRPr="0007291F">
        <w:t>tumorigenicity</w:t>
      </w:r>
      <w:proofErr w:type="spellEnd"/>
      <w:r w:rsidRPr="0007291F">
        <w:t>, ACSOV concluded that the current evidence neither supported nor refuted the addition of these safety concerns to the RMP.</w:t>
      </w:r>
      <w:r w:rsidR="008310A7">
        <w:t xml:space="preserve"> Following the sponsor’s response</w:t>
      </w:r>
      <w:r w:rsidRPr="0007291F">
        <w:t>, the RMP evaluator considered that the inclusion of these safety concerns as important potential risks was not warranted at this time. However, it was recommended that the risks of ‘</w:t>
      </w:r>
      <w:proofErr w:type="spellStart"/>
      <w:r w:rsidRPr="0007291F">
        <w:t>tumorigenicity</w:t>
      </w:r>
      <w:proofErr w:type="spellEnd"/>
      <w:r w:rsidRPr="0007291F">
        <w:t>’, ‘infectivity’ and ‘oncogenic potential’ be added as missing information to the RMP and/or ASA.</w:t>
      </w:r>
    </w:p>
    <w:p w:rsidR="0007291F" w:rsidRPr="0007291F" w:rsidRDefault="0007291F" w:rsidP="0007291F">
      <w:r w:rsidRPr="0007291F">
        <w:t>The following outstanding issues regarding routine risk minimisation were also highlighted by the RMP evaluator:</w:t>
      </w:r>
    </w:p>
    <w:p w:rsidR="0007291F" w:rsidRPr="0007291F" w:rsidRDefault="0007291F" w:rsidP="0007291F">
      <w:pPr>
        <w:pStyle w:val="ListBullet"/>
      </w:pPr>
      <w:r w:rsidRPr="0007291F">
        <w:t>Inclusion of important potential risks ‘neuritis’, ‘encephalitis’ and ‘immune</w:t>
      </w:r>
      <w:r>
        <w:t xml:space="preserve"> </w:t>
      </w:r>
      <w:r w:rsidRPr="0007291F">
        <w:t>thrombocytopeni</w:t>
      </w:r>
      <w:r w:rsidR="00E47617">
        <w:t>a’ as adverse effects in the PI</w:t>
      </w:r>
    </w:p>
    <w:p w:rsidR="0007291F" w:rsidRPr="0007291F" w:rsidRDefault="0007291F" w:rsidP="0007291F">
      <w:pPr>
        <w:pStyle w:val="ListBullet"/>
      </w:pPr>
      <w:r w:rsidRPr="0007291F">
        <w:t xml:space="preserve">Information in the PI regarding use of </w:t>
      </w:r>
      <w:proofErr w:type="spellStart"/>
      <w:r w:rsidR="00C477B9">
        <w:t>Optaflu</w:t>
      </w:r>
      <w:proofErr w:type="spellEnd"/>
      <w:r w:rsidRPr="0007291F">
        <w:t xml:space="preserve"> in dog</w:t>
      </w:r>
      <w:r w:rsidR="006C138F">
        <w:t xml:space="preserve"> </w:t>
      </w:r>
      <w:r w:rsidR="00E47617">
        <w:t>allergic individuals</w:t>
      </w:r>
    </w:p>
    <w:p w:rsidR="0007291F" w:rsidRPr="0007291F" w:rsidRDefault="0007291F" w:rsidP="0007291F">
      <w:pPr>
        <w:pStyle w:val="ListBullet"/>
      </w:pPr>
      <w:r w:rsidRPr="0007291F">
        <w:t xml:space="preserve">Inclusion of ‘abdominal pain’, ‘diarrhoea’ and ‘dyspepsia’ as adverse effects in the PI </w:t>
      </w:r>
    </w:p>
    <w:p w:rsidR="0007291F" w:rsidRPr="0007291F" w:rsidRDefault="0007291F" w:rsidP="00E47617">
      <w:pPr>
        <w:pStyle w:val="ListBullet"/>
      </w:pPr>
      <w:r w:rsidRPr="0007291F">
        <w:t xml:space="preserve">Inclusion of </w:t>
      </w:r>
      <w:r w:rsidRPr="00E47617">
        <w:t>consumer</w:t>
      </w:r>
      <w:r w:rsidRPr="0007291F">
        <w:t>-appropriate information in the CMI on how the vaccine is manufactured, given it differs from comparator vaccines.</w:t>
      </w:r>
    </w:p>
    <w:p w:rsidR="0007291F" w:rsidRPr="0007291F" w:rsidRDefault="0007291F" w:rsidP="0007291F">
      <w:r w:rsidRPr="0007291F">
        <w:t xml:space="preserve">The Delegate is inclined to accept the </w:t>
      </w:r>
      <w:r w:rsidR="009420E8">
        <w:t>s</w:t>
      </w:r>
      <w:r w:rsidRPr="0007291F">
        <w:t xml:space="preserve">ponsor’s response with regards to the use of </w:t>
      </w:r>
      <w:proofErr w:type="spellStart"/>
      <w:r w:rsidR="00C477B9">
        <w:t>Optaflu</w:t>
      </w:r>
      <w:proofErr w:type="spellEnd"/>
      <w:r w:rsidRPr="0007291F">
        <w:t xml:space="preserve"> in dog</w:t>
      </w:r>
      <w:r w:rsidR="009420E8">
        <w:t xml:space="preserve"> </w:t>
      </w:r>
      <w:r w:rsidRPr="0007291F">
        <w:t>allergic in</w:t>
      </w:r>
      <w:r w:rsidR="009420E8">
        <w:t xml:space="preserve">dividuals </w:t>
      </w:r>
      <w:r w:rsidRPr="0007291F">
        <w:t>an</w:t>
      </w:r>
      <w:r w:rsidR="009420E8">
        <w:t xml:space="preserve">d that this is a remote and </w:t>
      </w:r>
      <w:proofErr w:type="spellStart"/>
      <w:r w:rsidR="009420E8">
        <w:t xml:space="preserve">non </w:t>
      </w:r>
      <w:r w:rsidRPr="0007291F">
        <w:t>specific</w:t>
      </w:r>
      <w:proofErr w:type="spellEnd"/>
      <w:r w:rsidRPr="0007291F">
        <w:t xml:space="preserve"> risk.</w:t>
      </w:r>
    </w:p>
    <w:p w:rsidR="008E7846" w:rsidRDefault="00AA0ED0" w:rsidP="008E7846">
      <w:pPr>
        <w:pStyle w:val="Heading3"/>
      </w:pPr>
      <w:bookmarkStart w:id="121" w:name="_Toc247691531"/>
      <w:bookmarkStart w:id="122" w:name="_Toc314842515"/>
      <w:bookmarkStart w:id="123" w:name="_Toc196046505"/>
      <w:bookmarkStart w:id="124" w:name="_Toc196046949"/>
      <w:bookmarkStart w:id="125" w:name="_Toc430081310"/>
      <w:r>
        <w:t>Risk-benefit a</w:t>
      </w:r>
      <w:r w:rsidR="008E7846">
        <w:t>nalysis</w:t>
      </w:r>
      <w:bookmarkEnd w:id="121"/>
      <w:bookmarkEnd w:id="122"/>
      <w:bookmarkEnd w:id="125"/>
    </w:p>
    <w:p w:rsidR="00D23139" w:rsidRPr="00D23139" w:rsidRDefault="00D23139" w:rsidP="00E47617">
      <w:pPr>
        <w:pStyle w:val="Heading4"/>
      </w:pPr>
      <w:r w:rsidRPr="00D23139">
        <w:t xml:space="preserve">Delegate’s </w:t>
      </w:r>
      <w:r w:rsidRPr="00E47617">
        <w:t>considerations</w:t>
      </w:r>
    </w:p>
    <w:p w:rsidR="004C545A" w:rsidRPr="007B6132" w:rsidRDefault="00DD7D37" w:rsidP="004C545A">
      <w:r w:rsidRPr="00835E23">
        <w:rPr>
          <w:rFonts w:asciiTheme="minorHAnsi" w:hAnsiTheme="minorHAnsi"/>
        </w:rPr>
        <w:t xml:space="preserve">This application seeks to register </w:t>
      </w:r>
      <w:proofErr w:type="spellStart"/>
      <w:r w:rsidR="00C477B9">
        <w:rPr>
          <w:rFonts w:asciiTheme="minorHAnsi" w:hAnsiTheme="minorHAnsi"/>
        </w:rPr>
        <w:t>Optaflu</w:t>
      </w:r>
      <w:proofErr w:type="spellEnd"/>
      <w:r w:rsidR="003C208C">
        <w:rPr>
          <w:rFonts w:asciiTheme="minorHAnsi" w:hAnsiTheme="minorHAnsi"/>
        </w:rPr>
        <w:t xml:space="preserve"> </w:t>
      </w:r>
      <w:r w:rsidRPr="00835E23">
        <w:rPr>
          <w:rFonts w:asciiTheme="minorHAnsi" w:hAnsiTheme="minorHAnsi"/>
        </w:rPr>
        <w:t>inactivated influenza virus vaccine (surface antigen), prepared in cell cultures for the prevention of influenza caused by Influenza Virus, types A and B in adults over 18 years of age</w:t>
      </w:r>
      <w:r>
        <w:rPr>
          <w:rFonts w:asciiTheme="minorHAnsi" w:hAnsiTheme="minorHAnsi"/>
        </w:rPr>
        <w:t>. Clinical d</w:t>
      </w:r>
      <w:r w:rsidRPr="00835E23">
        <w:rPr>
          <w:rFonts w:asciiTheme="minorHAnsi" w:hAnsiTheme="minorHAnsi"/>
        </w:rPr>
        <w:t xml:space="preserve">ata </w:t>
      </w:r>
      <w:r>
        <w:rPr>
          <w:rFonts w:asciiTheme="minorHAnsi" w:hAnsiTheme="minorHAnsi"/>
        </w:rPr>
        <w:t>are compliant with</w:t>
      </w:r>
      <w:r>
        <w:t xml:space="preserve"> EU </w:t>
      </w:r>
      <w:r w:rsidRPr="00211575">
        <w:rPr>
          <w:rFonts w:asciiTheme="minorHAnsi" w:hAnsiTheme="minorHAnsi"/>
        </w:rPr>
        <w:t xml:space="preserve">CHMP and </w:t>
      </w:r>
      <w:r>
        <w:rPr>
          <w:rFonts w:asciiTheme="minorHAnsi" w:hAnsiTheme="minorHAnsi"/>
        </w:rPr>
        <w:t xml:space="preserve">FDA </w:t>
      </w:r>
      <w:r w:rsidRPr="00211575">
        <w:rPr>
          <w:rFonts w:asciiTheme="minorHAnsi" w:hAnsiTheme="minorHAnsi"/>
        </w:rPr>
        <w:t>CBER guidelines</w:t>
      </w:r>
      <w:r>
        <w:rPr>
          <w:rFonts w:asciiTheme="minorHAnsi" w:hAnsiTheme="minorHAnsi"/>
        </w:rPr>
        <w:t xml:space="preserve"> and include</w:t>
      </w:r>
      <w:r w:rsidRPr="00835E23">
        <w:rPr>
          <w:rFonts w:asciiTheme="minorHAnsi" w:hAnsiTheme="minorHAnsi"/>
        </w:rPr>
        <w:t xml:space="preserve"> </w:t>
      </w:r>
      <w:r>
        <w:rPr>
          <w:rFonts w:asciiTheme="minorHAnsi" w:hAnsiTheme="minorHAnsi"/>
        </w:rPr>
        <w:t>one efficacy</w:t>
      </w:r>
      <w:r w:rsidR="00AC0AA1">
        <w:rPr>
          <w:rFonts w:asciiTheme="minorHAnsi" w:hAnsiTheme="minorHAnsi"/>
        </w:rPr>
        <w:t xml:space="preserve"> </w:t>
      </w:r>
      <w:r>
        <w:rPr>
          <w:rFonts w:asciiTheme="minorHAnsi" w:hAnsiTheme="minorHAnsi"/>
        </w:rPr>
        <w:t xml:space="preserve">study, </w:t>
      </w:r>
      <w:r w:rsidRPr="00835E23">
        <w:rPr>
          <w:rFonts w:asciiTheme="minorHAnsi" w:hAnsiTheme="minorHAnsi"/>
        </w:rPr>
        <w:t>five immunogenicity and safety studies</w:t>
      </w:r>
      <w:r w:rsidR="00AC0AA1">
        <w:rPr>
          <w:rFonts w:asciiTheme="minorHAnsi" w:hAnsiTheme="minorHAnsi"/>
        </w:rPr>
        <w:t>,</w:t>
      </w:r>
      <w:r>
        <w:rPr>
          <w:rFonts w:asciiTheme="minorHAnsi" w:hAnsiTheme="minorHAnsi"/>
        </w:rPr>
        <w:t xml:space="preserve"> and one supportive study. </w:t>
      </w:r>
      <w:r w:rsidR="00AC0AA1">
        <w:rPr>
          <w:rFonts w:asciiTheme="minorHAnsi" w:hAnsiTheme="minorHAnsi"/>
        </w:rPr>
        <w:t>Evaluators from biological, non</w:t>
      </w:r>
      <w:r>
        <w:rPr>
          <w:rFonts w:asciiTheme="minorHAnsi" w:hAnsiTheme="minorHAnsi"/>
        </w:rPr>
        <w:t>clinical and clinical areas of the TGA have no objections to registration.</w:t>
      </w:r>
    </w:p>
    <w:p w:rsidR="00D23139" w:rsidRPr="00D23139" w:rsidRDefault="00D23139" w:rsidP="00D23139">
      <w:pPr>
        <w:pStyle w:val="Heading4"/>
      </w:pPr>
      <w:r w:rsidRPr="00D23139">
        <w:t>Proposed action</w:t>
      </w:r>
    </w:p>
    <w:p w:rsidR="00DD7D37" w:rsidRDefault="00EA6899" w:rsidP="00DD7D37">
      <w:r>
        <w:t xml:space="preserve">The Delegate has </w:t>
      </w:r>
      <w:r w:rsidR="00DD7D37" w:rsidRPr="00373AC9">
        <w:t xml:space="preserve">no reason to say, at this time, that the application for </w:t>
      </w:r>
      <w:proofErr w:type="spellStart"/>
      <w:r w:rsidR="00C477B9">
        <w:t>Optaflu</w:t>
      </w:r>
      <w:proofErr w:type="spellEnd"/>
      <w:r w:rsidR="00DD7D37" w:rsidRPr="00373AC9">
        <w:t xml:space="preserve"> should not be approved for registration.</w:t>
      </w:r>
    </w:p>
    <w:p w:rsidR="00DD7D37" w:rsidRPr="007B6132" w:rsidRDefault="00DD7D37" w:rsidP="00DD7D37">
      <w:r w:rsidRPr="00373AC9">
        <w:t xml:space="preserve">Approval is subject to implementation of the EU-RMP (version 3.1 release date 15 November 2013, data lock point 30 April 2013) with </w:t>
      </w:r>
      <w:r w:rsidR="00230411">
        <w:t>ASA</w:t>
      </w:r>
      <w:r w:rsidRPr="00373AC9">
        <w:t xml:space="preserve"> (version 2.0, release date 29 October 2014) revised to the agreement of the TGA.</w:t>
      </w:r>
    </w:p>
    <w:p w:rsidR="00D23139" w:rsidRPr="00D23139" w:rsidRDefault="00D23139" w:rsidP="00D23139">
      <w:pPr>
        <w:pStyle w:val="Heading4"/>
      </w:pPr>
      <w:r w:rsidRPr="00D23139">
        <w:t xml:space="preserve">Request for </w:t>
      </w:r>
      <w:r w:rsidR="00C61C97" w:rsidRPr="00C61C97">
        <w:t>Advisory Committee on Prescription Medicines</w:t>
      </w:r>
      <w:r w:rsidR="00C61C97">
        <w:t xml:space="preserve"> (</w:t>
      </w:r>
      <w:r w:rsidRPr="00D23139">
        <w:t>ACPM</w:t>
      </w:r>
      <w:r w:rsidR="00C61C97">
        <w:t>)</w:t>
      </w:r>
      <w:r w:rsidRPr="00D23139">
        <w:t xml:space="preserve"> advice</w:t>
      </w:r>
    </w:p>
    <w:p w:rsidR="00EA6899" w:rsidRPr="00EA6899" w:rsidRDefault="00EA6899" w:rsidP="00EA6899">
      <w:r w:rsidRPr="00EA6899">
        <w:t>The committee is requested to provide advice on the following specific issues, with refer</w:t>
      </w:r>
      <w:r w:rsidR="00444CF6">
        <w:t>ence to the RMP</w:t>
      </w:r>
      <w:r w:rsidRPr="00EA6899">
        <w:t xml:space="preserve"> evaluation:</w:t>
      </w:r>
    </w:p>
    <w:p w:rsidR="00EA6899" w:rsidRPr="00986388" w:rsidRDefault="00EA6899" w:rsidP="00986388">
      <w:pPr>
        <w:pStyle w:val="Numberbullet0"/>
      </w:pPr>
      <w:r w:rsidRPr="00986388">
        <w:t xml:space="preserve">Inclusion of </w:t>
      </w:r>
      <w:proofErr w:type="spellStart"/>
      <w:r w:rsidRPr="00986388">
        <w:t>tumorigenicity</w:t>
      </w:r>
      <w:proofErr w:type="spellEnd"/>
      <w:r w:rsidRPr="00986388">
        <w:t xml:space="preserve">’, ‘infectivity’ and ‘oncogenic potential’ as missing information to the RMP and/or </w:t>
      </w:r>
      <w:r w:rsidR="00F5371D">
        <w:t>ASA</w:t>
      </w:r>
      <w:r w:rsidRPr="00986388">
        <w:t>.</w:t>
      </w:r>
    </w:p>
    <w:p w:rsidR="00EA6899" w:rsidRPr="00986388" w:rsidRDefault="00EA6899" w:rsidP="00986388">
      <w:pPr>
        <w:pStyle w:val="Numberbullet0"/>
      </w:pPr>
      <w:r w:rsidRPr="00986388">
        <w:t>Whether certain risks reported in relation to egg</w:t>
      </w:r>
      <w:r w:rsidR="00BE6E39">
        <w:t xml:space="preserve"> </w:t>
      </w:r>
      <w:r w:rsidRPr="00986388">
        <w:t>based influenza</w:t>
      </w:r>
      <w:r w:rsidR="00BE6E39">
        <w:t xml:space="preserve"> vaccines are relevant for cell </w:t>
      </w:r>
      <w:r w:rsidRPr="00986388">
        <w:t>based vaccines, given the difference in manufacturing processes.</w:t>
      </w:r>
    </w:p>
    <w:p w:rsidR="00EA6899" w:rsidRPr="00986388" w:rsidRDefault="00EA6899" w:rsidP="00986388">
      <w:pPr>
        <w:pStyle w:val="Numberbullet0"/>
      </w:pPr>
      <w:r w:rsidRPr="00986388">
        <w:t xml:space="preserve">Use of </w:t>
      </w:r>
      <w:proofErr w:type="spellStart"/>
      <w:r w:rsidR="00C477B9">
        <w:t>Optaflu</w:t>
      </w:r>
      <w:proofErr w:type="spellEnd"/>
      <w:r w:rsidR="00BE6E39">
        <w:t xml:space="preserve"> in dog </w:t>
      </w:r>
      <w:r w:rsidRPr="00986388">
        <w:t>allergic individuals and the need for inclusion of this information in the PI.</w:t>
      </w:r>
    </w:p>
    <w:p w:rsidR="004C545A" w:rsidRPr="00EA6899" w:rsidRDefault="00EA6899" w:rsidP="00EA6899">
      <w:r w:rsidRPr="00EA6899">
        <w:lastRenderedPageBreak/>
        <w:t>The committee is (also) requested to provide advice on any other issues that it thinks may be relevant to a decision on whether or not to approve this application</w:t>
      </w:r>
      <w:r w:rsidR="00E47617">
        <w:t>.</w:t>
      </w:r>
    </w:p>
    <w:p w:rsidR="00D23139" w:rsidRDefault="00D23139" w:rsidP="00D23139">
      <w:pPr>
        <w:pStyle w:val="Heading4"/>
      </w:pPr>
      <w:r w:rsidRPr="00D23139">
        <w:t xml:space="preserve">Response from </w:t>
      </w:r>
      <w:r w:rsidR="002C5B3E">
        <w:t>s</w:t>
      </w:r>
      <w:r w:rsidR="002F16E8">
        <w:t>ponsor</w:t>
      </w:r>
    </w:p>
    <w:p w:rsidR="00D23139" w:rsidRDefault="00D32412" w:rsidP="00D32412">
      <w:r w:rsidRPr="00D32412">
        <w:t>Where appropriate, our comments have been cross</w:t>
      </w:r>
      <w:r>
        <w:t xml:space="preserve"> referenced </w:t>
      </w:r>
      <w:r w:rsidRPr="00D32412">
        <w:t>to the Delegate’s overview (DO), nonclini</w:t>
      </w:r>
      <w:r w:rsidR="005A24E6">
        <w:t xml:space="preserve">cal evaluation report (NER), </w:t>
      </w:r>
      <w:r w:rsidRPr="00D32412">
        <w:t>risk</w:t>
      </w:r>
      <w:r>
        <w:t xml:space="preserve"> </w:t>
      </w:r>
      <w:r w:rsidRPr="00D32412">
        <w:t>manageme</w:t>
      </w:r>
      <w:r w:rsidR="003F606C">
        <w:t xml:space="preserve">nt plan evaluation report (RER), </w:t>
      </w:r>
      <w:r w:rsidRPr="00D32412">
        <w:t>or to our submission for marketing authorisation</w:t>
      </w:r>
      <w:r>
        <w:t xml:space="preserve"> </w:t>
      </w:r>
      <w:r w:rsidRPr="00D32412">
        <w:t>(MA).</w:t>
      </w:r>
    </w:p>
    <w:p w:rsidR="00F9343B" w:rsidRPr="00F9343B" w:rsidRDefault="00F9343B" w:rsidP="00F9343B">
      <w:pPr>
        <w:pStyle w:val="Heading5"/>
        <w:rPr>
          <w:rFonts w:eastAsiaTheme="minorHAnsi"/>
        </w:rPr>
      </w:pPr>
      <w:r w:rsidRPr="00F9343B">
        <w:rPr>
          <w:rFonts w:eastAsiaTheme="minorHAnsi"/>
        </w:rPr>
        <w:t>Introduction</w:t>
      </w:r>
    </w:p>
    <w:p w:rsidR="00F9343B" w:rsidRPr="00F9343B" w:rsidRDefault="00F9343B" w:rsidP="00F9343B">
      <w:r w:rsidRPr="00F9343B">
        <w:t>Evaluators from biological, nonclinical and clinical areas o</w:t>
      </w:r>
      <w:r>
        <w:t xml:space="preserve">f the TGA have no objections to </w:t>
      </w:r>
      <w:r w:rsidRPr="00F9343B">
        <w:t>registration. Consistent with this, the TGA Delega</w:t>
      </w:r>
      <w:r>
        <w:t xml:space="preserve">te proposes to register </w:t>
      </w:r>
      <w:proofErr w:type="spellStart"/>
      <w:r w:rsidR="00C477B9">
        <w:t>Optaflu</w:t>
      </w:r>
      <w:proofErr w:type="spellEnd"/>
      <w:r>
        <w:t xml:space="preserve"> </w:t>
      </w:r>
      <w:r w:rsidRPr="00F9343B">
        <w:t>Inactivated influenza virus vaccine (surface antigens) p</w:t>
      </w:r>
      <w:r>
        <w:t xml:space="preserve">repared in cell culture for the </w:t>
      </w:r>
      <w:r w:rsidRPr="00F9343B">
        <w:t>prevention of influenza caused by Influenza Virus, Types A a</w:t>
      </w:r>
      <w:r>
        <w:t xml:space="preserve">nd B in adults over 18 years of </w:t>
      </w:r>
      <w:r w:rsidR="00D22AC3">
        <w:t>age (DO</w:t>
      </w:r>
      <w:r w:rsidRPr="00F9343B">
        <w:t>). The Delegate has sought advice of the ACP</w:t>
      </w:r>
      <w:r w:rsidR="00D22AC3">
        <w:t>M on a number of issues (DO</w:t>
      </w:r>
      <w:r w:rsidRPr="00F9343B">
        <w:t>). For ease of reference, the Delegat</w:t>
      </w:r>
      <w:r>
        <w:t xml:space="preserve">e’s comments are transcribed in </w:t>
      </w:r>
      <w:r w:rsidRPr="00F9343B">
        <w:t>italics.</w:t>
      </w:r>
    </w:p>
    <w:p w:rsidR="00F9343B" w:rsidRPr="00F9343B" w:rsidRDefault="00F9343B" w:rsidP="00F9343B">
      <w:pPr>
        <w:pStyle w:val="Heading5"/>
        <w:rPr>
          <w:rFonts w:eastAsiaTheme="minorHAnsi"/>
        </w:rPr>
      </w:pPr>
      <w:r w:rsidRPr="00F9343B">
        <w:rPr>
          <w:rFonts w:eastAsiaTheme="minorHAnsi"/>
        </w:rPr>
        <w:t>Response to issues raised in the Delegate’s overview</w:t>
      </w:r>
    </w:p>
    <w:p w:rsidR="00F9343B" w:rsidRPr="00F9343B" w:rsidRDefault="00F9343B" w:rsidP="00F973D1">
      <w:pPr>
        <w:pStyle w:val="Heading6"/>
        <w:rPr>
          <w:rFonts w:eastAsiaTheme="minorHAnsi"/>
        </w:rPr>
      </w:pPr>
      <w:r w:rsidRPr="00F9343B">
        <w:rPr>
          <w:rFonts w:eastAsiaTheme="minorHAnsi"/>
        </w:rPr>
        <w:t>Inclusion of missing information in the to the</w:t>
      </w:r>
      <w:r w:rsidR="00F973D1">
        <w:t xml:space="preserve"> RMP and/or </w:t>
      </w:r>
      <w:r w:rsidR="00D22AC3">
        <w:t>ASA</w:t>
      </w:r>
    </w:p>
    <w:p w:rsidR="00F9343B" w:rsidRPr="00B23D62" w:rsidRDefault="00F42D59" w:rsidP="00B23D62">
      <w:pPr>
        <w:pStyle w:val="ListBullet"/>
        <w:rPr>
          <w:i/>
        </w:rPr>
      </w:pPr>
      <w:r w:rsidRPr="00B23D62">
        <w:rPr>
          <w:i/>
        </w:rPr>
        <w:t>“</w:t>
      </w:r>
      <w:r w:rsidR="00F9343B" w:rsidRPr="00B23D62">
        <w:rPr>
          <w:i/>
        </w:rPr>
        <w:t>The committee is requested to provide advice on the</w:t>
      </w:r>
      <w:r w:rsidR="00F973D1" w:rsidRPr="00B23D62">
        <w:rPr>
          <w:i/>
        </w:rPr>
        <w:t xml:space="preserve"> inclusion of ‘</w:t>
      </w:r>
      <w:proofErr w:type="spellStart"/>
      <w:r w:rsidR="00F973D1" w:rsidRPr="00B23D62">
        <w:rPr>
          <w:i/>
        </w:rPr>
        <w:t>tumorigenicity</w:t>
      </w:r>
      <w:proofErr w:type="spellEnd"/>
      <w:r w:rsidR="00F973D1" w:rsidRPr="00B23D62">
        <w:rPr>
          <w:i/>
        </w:rPr>
        <w:t xml:space="preserve">’, </w:t>
      </w:r>
      <w:r w:rsidR="00F9343B" w:rsidRPr="00B23D62">
        <w:rPr>
          <w:i/>
        </w:rPr>
        <w:t>‘infectivity’ and ‘oncogenic potential’ as missin</w:t>
      </w:r>
      <w:r w:rsidR="00F973D1" w:rsidRPr="00B23D62">
        <w:rPr>
          <w:i/>
        </w:rPr>
        <w:t xml:space="preserve">g information to the RMP and/or </w:t>
      </w:r>
      <w:r w:rsidR="004667E7">
        <w:rPr>
          <w:i/>
        </w:rPr>
        <w:t>ASA.</w:t>
      </w:r>
      <w:r w:rsidR="00FD4323" w:rsidRPr="00B23D62">
        <w:rPr>
          <w:i/>
        </w:rPr>
        <w:t>”</w:t>
      </w:r>
    </w:p>
    <w:p w:rsidR="00F57166" w:rsidRPr="00F57166" w:rsidRDefault="006A7BBA" w:rsidP="00F57166">
      <w:r w:rsidRPr="006A7BBA">
        <w:t>During the first round evaluation, the TGA requ</w:t>
      </w:r>
      <w:r>
        <w:t xml:space="preserve">ested a justification as to why </w:t>
      </w:r>
      <w:proofErr w:type="spellStart"/>
      <w:r w:rsidRPr="006A7BBA">
        <w:t>tumorigenicity</w:t>
      </w:r>
      <w:proofErr w:type="spellEnd"/>
      <w:r w:rsidRPr="006A7BBA">
        <w:t>,</w:t>
      </w:r>
      <w:r>
        <w:t xml:space="preserve"> </w:t>
      </w:r>
      <w:r w:rsidRPr="006A7BBA">
        <w:t>infectivity, and oncogenic potential were not considered as potential safety concerns (TGA</w:t>
      </w:r>
      <w:r>
        <w:t xml:space="preserve"> </w:t>
      </w:r>
      <w:r w:rsidR="00C621F5">
        <w:t xml:space="preserve">Recommendation, </w:t>
      </w:r>
      <w:r w:rsidRPr="006A7BBA">
        <w:t xml:space="preserve">RER). As previously stated in our response to </w:t>
      </w:r>
      <w:r w:rsidR="00A22687">
        <w:t>S</w:t>
      </w:r>
      <w:r w:rsidRPr="006A7BBA">
        <w:t>ection 31 request,</w:t>
      </w:r>
      <w:r>
        <w:t xml:space="preserve"> </w:t>
      </w:r>
      <w:r w:rsidRPr="006A7BBA">
        <w:t xml:space="preserve">Novartis does not believe that information on </w:t>
      </w:r>
      <w:proofErr w:type="spellStart"/>
      <w:r w:rsidRPr="006A7BBA">
        <w:t>tumorigenicity</w:t>
      </w:r>
      <w:proofErr w:type="spellEnd"/>
      <w:r w:rsidRPr="006A7BBA">
        <w:t>, infectivity, and oncogenic</w:t>
      </w:r>
      <w:r>
        <w:t xml:space="preserve"> </w:t>
      </w:r>
      <w:r w:rsidRPr="006A7BBA">
        <w:t>potential should be listed as missing information given that an extensive set of ‘state of the</w:t>
      </w:r>
      <w:r>
        <w:t xml:space="preserve"> </w:t>
      </w:r>
      <w:r w:rsidRPr="006A7BBA">
        <w:t xml:space="preserve">art’ nonclinical </w:t>
      </w:r>
      <w:r w:rsidRPr="00106883">
        <w:rPr>
          <w:i/>
        </w:rPr>
        <w:t>in vivo</w:t>
      </w:r>
      <w:r w:rsidRPr="006A7BBA">
        <w:t xml:space="preserve"> and </w:t>
      </w:r>
      <w:r w:rsidRPr="00106883">
        <w:rPr>
          <w:i/>
        </w:rPr>
        <w:t>in vitro</w:t>
      </w:r>
      <w:r w:rsidRPr="006A7BBA">
        <w:t xml:space="preserve"> studies was performed to mitigate these theoretical safety</w:t>
      </w:r>
      <w:r>
        <w:t xml:space="preserve"> </w:t>
      </w:r>
      <w:r w:rsidRPr="006A7BBA">
        <w:t>concerns. In addition, these concerns have been appropriately monitored in clinical trials and</w:t>
      </w:r>
      <w:r>
        <w:t xml:space="preserve"> </w:t>
      </w:r>
      <w:r w:rsidR="00C61C97">
        <w:t xml:space="preserve">post </w:t>
      </w:r>
      <w:r w:rsidRPr="006A7BBA">
        <w:t>marketing settings to date. It is brought to the attention of the committee that the</w:t>
      </w:r>
      <w:r w:rsidR="00F57166">
        <w:t xml:space="preserve"> </w:t>
      </w:r>
      <w:r w:rsidR="00ED20AD">
        <w:t>EMA</w:t>
      </w:r>
      <w:r w:rsidR="00F57166" w:rsidRPr="00F57166">
        <w:t xml:space="preserve"> concluded at the time of registration that the provided</w:t>
      </w:r>
      <w:r w:rsidR="00F57166">
        <w:t xml:space="preserve"> </w:t>
      </w:r>
      <w:r w:rsidR="00F57166" w:rsidRPr="00F57166">
        <w:t xml:space="preserve">data sufficiently addressed the issues of </w:t>
      </w:r>
      <w:proofErr w:type="spellStart"/>
      <w:r w:rsidR="00F57166" w:rsidRPr="00F57166">
        <w:t>oncogenicity</w:t>
      </w:r>
      <w:proofErr w:type="spellEnd"/>
      <w:r w:rsidR="00F57166" w:rsidRPr="00F57166">
        <w:t>/</w:t>
      </w:r>
      <w:proofErr w:type="spellStart"/>
      <w:r w:rsidR="00F57166" w:rsidRPr="00F57166">
        <w:t>tu</w:t>
      </w:r>
      <w:r w:rsidR="00785F4C">
        <w:t>morigenicity</w:t>
      </w:r>
      <w:proofErr w:type="spellEnd"/>
      <w:r w:rsidR="00785F4C">
        <w:t xml:space="preserve"> of the MDCK</w:t>
      </w:r>
      <w:r w:rsidR="00F57166" w:rsidRPr="00F57166">
        <w:t xml:space="preserve"> cell substrate and adventitious agents. Thes</w:t>
      </w:r>
      <w:r w:rsidR="00F57166">
        <w:t xml:space="preserve">e aspects were therefore </w:t>
      </w:r>
      <w:r w:rsidR="00F57166" w:rsidRPr="00F57166">
        <w:t>not listed as missing i</w:t>
      </w:r>
      <w:r w:rsidR="00785F4C">
        <w:t xml:space="preserve">nformation in the European </w:t>
      </w:r>
      <w:r w:rsidR="00F57166" w:rsidRPr="00F57166">
        <w:t>RMP.</w:t>
      </w:r>
    </w:p>
    <w:p w:rsidR="00F57166" w:rsidRPr="0052515A" w:rsidRDefault="00F57166" w:rsidP="00F57166">
      <w:pPr>
        <w:rPr>
          <w:b/>
        </w:rPr>
      </w:pPr>
      <w:proofErr w:type="spellStart"/>
      <w:r w:rsidRPr="0052515A">
        <w:rPr>
          <w:b/>
        </w:rPr>
        <w:t>Tumorigenicity</w:t>
      </w:r>
      <w:proofErr w:type="spellEnd"/>
      <w:r w:rsidRPr="0052515A">
        <w:rPr>
          <w:b/>
        </w:rPr>
        <w:t>/</w:t>
      </w:r>
      <w:proofErr w:type="spellStart"/>
      <w:r w:rsidRPr="0052515A">
        <w:rPr>
          <w:b/>
        </w:rPr>
        <w:t>Oncogenicity</w:t>
      </w:r>
      <w:proofErr w:type="spellEnd"/>
    </w:p>
    <w:p w:rsidR="00F57166" w:rsidRPr="00F57166" w:rsidRDefault="00F57166" w:rsidP="00F57166">
      <w:r w:rsidRPr="00F57166">
        <w:t xml:space="preserve">Not unexpectedly, </w:t>
      </w:r>
      <w:r w:rsidRPr="00ED20AD">
        <w:rPr>
          <w:i/>
        </w:rPr>
        <w:t>in vivo</w:t>
      </w:r>
      <w:r w:rsidRPr="00F57166">
        <w:t xml:space="preserve"> studies demonstrated that intact MDC</w:t>
      </w:r>
      <w:r w:rsidR="00143CE8">
        <w:t>K cells (adapted to protein</w:t>
      </w:r>
      <w:r w:rsidR="00FA254C">
        <w:t xml:space="preserve"> </w:t>
      </w:r>
      <w:r w:rsidR="00143CE8">
        <w:t xml:space="preserve">free </w:t>
      </w:r>
      <w:r w:rsidRPr="00F57166">
        <w:t>growth in suspension) induced tumours in imm</w:t>
      </w:r>
      <w:r w:rsidR="00143CE8">
        <w:t xml:space="preserve">unocompromised adult nude mice. </w:t>
      </w:r>
      <w:r w:rsidRPr="00F57166">
        <w:t>However, several orthogonal manufacturing steps ensure</w:t>
      </w:r>
      <w:r w:rsidR="00143CE8">
        <w:t xml:space="preserve"> that MDCK cells are completely </w:t>
      </w:r>
      <w:r w:rsidRPr="00F57166">
        <w:t xml:space="preserve">removed during the </w:t>
      </w:r>
      <w:proofErr w:type="spellStart"/>
      <w:r w:rsidR="00C477B9">
        <w:t>Optaflu</w:t>
      </w:r>
      <w:proofErr w:type="spellEnd"/>
      <w:r w:rsidRPr="00F57166">
        <w:t xml:space="preserve"> manufacturing process. This</w:t>
      </w:r>
      <w:r w:rsidR="00143CE8">
        <w:t xml:space="preserve"> has been formally demonstrated </w:t>
      </w:r>
      <w:r w:rsidRPr="00F57166">
        <w:t>through a series of process evaluation and validation studies</w:t>
      </w:r>
      <w:r w:rsidR="00143CE8">
        <w:t xml:space="preserve">. Detailed results on host cell </w:t>
      </w:r>
      <w:r w:rsidRPr="00F57166">
        <w:t>protein removal were provided in technical report 2</w:t>
      </w:r>
      <w:r w:rsidR="005D0281">
        <w:t>32262 (MA</w:t>
      </w:r>
      <w:r w:rsidRPr="00F57166">
        <w:t>). Additionally, the results of the filter manufac</w:t>
      </w:r>
      <w:r w:rsidR="00143CE8">
        <w:t xml:space="preserve">turers’ cell removal validation </w:t>
      </w:r>
      <w:r w:rsidRPr="00F57166">
        <w:t>studies were presented</w:t>
      </w:r>
      <w:r w:rsidR="005D0281">
        <w:t xml:space="preserve"> in technical report 228843 (MA</w:t>
      </w:r>
      <w:r w:rsidRPr="00F57166">
        <w:t>).</w:t>
      </w:r>
    </w:p>
    <w:p w:rsidR="00F57166" w:rsidRDefault="00F83536" w:rsidP="00F57166">
      <w:r>
        <w:t>The nonc</w:t>
      </w:r>
      <w:r w:rsidR="00F57166" w:rsidRPr="00F57166">
        <w:t xml:space="preserve">linical </w:t>
      </w:r>
      <w:r w:rsidR="005D0281">
        <w:t>e</w:t>
      </w:r>
      <w:r w:rsidR="00F57166" w:rsidRPr="00F57166">
        <w:t>valuator noted that based on the currently a</w:t>
      </w:r>
      <w:r w:rsidR="00143CE8">
        <w:t xml:space="preserve">vailable data, the overall risk </w:t>
      </w:r>
      <w:r w:rsidR="00F57166" w:rsidRPr="00F57166">
        <w:t xml:space="preserve">of de novo neoplastic disease due to the use of </w:t>
      </w:r>
      <w:proofErr w:type="spellStart"/>
      <w:r w:rsidR="00C477B9">
        <w:t>Optaflu</w:t>
      </w:r>
      <w:proofErr w:type="spellEnd"/>
      <w:r w:rsidR="00F57166" w:rsidRPr="00F57166">
        <w:t xml:space="preserve"> is considered t</w:t>
      </w:r>
      <w:r w:rsidR="00143CE8">
        <w:t xml:space="preserve">o be extremely low </w:t>
      </w:r>
      <w:r w:rsidR="00F57166" w:rsidRPr="00F57166">
        <w:t>due to the lack of viable cells in the final product and lac</w:t>
      </w:r>
      <w:r w:rsidR="00143CE8">
        <w:t xml:space="preserve">k of carcinogenicity/neoplastic </w:t>
      </w:r>
      <w:r w:rsidR="00C477B9">
        <w:t xml:space="preserve">potential of MDCK cell </w:t>
      </w:r>
      <w:r w:rsidR="00F57166" w:rsidRPr="00F57166">
        <w:t>free lysate, of beta</w:t>
      </w:r>
      <w:r w:rsidR="00CB6275">
        <w:t xml:space="preserve"> </w:t>
      </w:r>
      <w:proofErr w:type="spellStart"/>
      <w:r w:rsidR="00F57166" w:rsidRPr="00F57166">
        <w:t>propiolactone</w:t>
      </w:r>
      <w:proofErr w:type="spellEnd"/>
      <w:r w:rsidR="00CB6275">
        <w:t xml:space="preserve"> </w:t>
      </w:r>
      <w:r w:rsidR="00F57166" w:rsidRPr="00F57166">
        <w:t>tre</w:t>
      </w:r>
      <w:r w:rsidR="00143CE8">
        <w:t>ated MDCK cell</w:t>
      </w:r>
      <w:r w:rsidR="00CB6275">
        <w:t xml:space="preserve"> </w:t>
      </w:r>
      <w:r w:rsidR="00143CE8">
        <w:t xml:space="preserve">free lysate, and </w:t>
      </w:r>
      <w:r w:rsidR="00F57166" w:rsidRPr="00F57166">
        <w:t>of MDCK cell DNA (</w:t>
      </w:r>
      <w:r w:rsidR="00DA01D4">
        <w:t>NER</w:t>
      </w:r>
      <w:r w:rsidR="00CF7105">
        <w:t>). The nonc</w:t>
      </w:r>
      <w:r w:rsidR="00F57166" w:rsidRPr="00F57166">
        <w:t>l</w:t>
      </w:r>
      <w:r w:rsidR="00CF7105">
        <w:t>inical e</w:t>
      </w:r>
      <w:r w:rsidR="00143CE8">
        <w:t xml:space="preserve">valuator also concluded </w:t>
      </w:r>
      <w:r w:rsidR="00F57166" w:rsidRPr="00F57166">
        <w:t xml:space="preserve">that Novartis studies demonstrated that untreated and </w:t>
      </w:r>
      <w:r w:rsidR="00DA01D4" w:rsidRPr="00DA01D4">
        <w:t xml:space="preserve">beta </w:t>
      </w:r>
      <w:proofErr w:type="spellStart"/>
      <w:r w:rsidR="00DA01D4" w:rsidRPr="00DA01D4">
        <w:t>propiolactone</w:t>
      </w:r>
      <w:proofErr w:type="spellEnd"/>
      <w:r w:rsidR="00CF7105">
        <w:t xml:space="preserve"> </w:t>
      </w:r>
      <w:r w:rsidR="00F57166" w:rsidRPr="00F57166">
        <w:t>t</w:t>
      </w:r>
      <w:r w:rsidR="00143CE8">
        <w:t xml:space="preserve">reated cell lysates, as well as </w:t>
      </w:r>
      <w:r w:rsidR="00F57166" w:rsidRPr="00F57166">
        <w:t>purified MDCK cell DNA, were not oncogenic in three wel</w:t>
      </w:r>
      <w:r w:rsidR="00143CE8">
        <w:t>l</w:t>
      </w:r>
      <w:r w:rsidR="00CF7105">
        <w:t xml:space="preserve"> </w:t>
      </w:r>
      <w:r w:rsidR="00143CE8">
        <w:t xml:space="preserve">accepted infant rodent animal </w:t>
      </w:r>
      <w:r w:rsidR="006A064F">
        <w:t>models (NER</w:t>
      </w:r>
      <w:r w:rsidR="00F57166" w:rsidRPr="00F57166">
        <w:t xml:space="preserve">). The lack of </w:t>
      </w:r>
      <w:proofErr w:type="spellStart"/>
      <w:r w:rsidR="00F57166" w:rsidRPr="00F57166">
        <w:t>oncogenicity</w:t>
      </w:r>
      <w:proofErr w:type="spellEnd"/>
      <w:r w:rsidR="00F57166" w:rsidRPr="00F57166">
        <w:t xml:space="preserve"> of DNA demonstrated </w:t>
      </w:r>
      <w:r w:rsidR="00F57166" w:rsidRPr="00D32EE4">
        <w:rPr>
          <w:i/>
        </w:rPr>
        <w:t xml:space="preserve">in vivo </w:t>
      </w:r>
      <w:r w:rsidR="00143CE8">
        <w:t xml:space="preserve">is reinforced by </w:t>
      </w:r>
      <w:r w:rsidR="00F57166" w:rsidRPr="00F57166">
        <w:t xml:space="preserve">detailed </w:t>
      </w:r>
      <w:r w:rsidR="00F57166" w:rsidRPr="00D36029">
        <w:rPr>
          <w:i/>
        </w:rPr>
        <w:t>in vitro</w:t>
      </w:r>
      <w:r w:rsidR="00F57166" w:rsidRPr="00F57166">
        <w:t xml:space="preserve"> studies. The risk associated with host ce</w:t>
      </w:r>
      <w:r w:rsidR="00143CE8">
        <w:t xml:space="preserve">ll DNA is considered negligible </w:t>
      </w:r>
      <w:r w:rsidR="00F57166" w:rsidRPr="00F57166">
        <w:t>because:</w:t>
      </w:r>
    </w:p>
    <w:p w:rsidR="00F83536" w:rsidRPr="00F83536" w:rsidRDefault="00F83536" w:rsidP="00103FA4">
      <w:pPr>
        <w:pStyle w:val="ListBullet"/>
      </w:pPr>
      <w:r w:rsidRPr="00F83536">
        <w:lastRenderedPageBreak/>
        <w:t>DNA removal steps lead to a consistent DNA content of &lt; 10 ng/dose in the final product</w:t>
      </w:r>
      <w:r w:rsidR="00F80D3D">
        <w:t>;</w:t>
      </w:r>
    </w:p>
    <w:p w:rsidR="00F83536" w:rsidRPr="00F83536" w:rsidRDefault="00F83536" w:rsidP="00103FA4">
      <w:pPr>
        <w:pStyle w:val="ListBullet"/>
      </w:pPr>
      <w:r w:rsidRPr="00F83536">
        <w:t>Process</w:t>
      </w:r>
      <w:r w:rsidR="00AF4878">
        <w:t xml:space="preserve"> </w:t>
      </w:r>
      <w:r w:rsidRPr="00F83536">
        <w:t>related fragmentation of DNA and chemical ina</w:t>
      </w:r>
      <w:r>
        <w:t xml:space="preserve">ctivation by BPL results in DNA </w:t>
      </w:r>
      <w:r w:rsidRPr="00F83536">
        <w:t>that has decreased integrity and ability to serve as a</w:t>
      </w:r>
      <w:r>
        <w:t xml:space="preserve"> template for amplification, as </w:t>
      </w:r>
      <w:r w:rsidRPr="00F83536">
        <w:t>demonstrated by PCR</w:t>
      </w:r>
      <w:r w:rsidR="00F80D3D">
        <w:t>; and</w:t>
      </w:r>
    </w:p>
    <w:p w:rsidR="00F83536" w:rsidRDefault="00F83536" w:rsidP="00103FA4">
      <w:pPr>
        <w:pStyle w:val="ListBullet"/>
      </w:pPr>
      <w:r w:rsidRPr="00F83536">
        <w:t>Residual DNA is unabl</w:t>
      </w:r>
      <w:r w:rsidR="00AF4878">
        <w:t xml:space="preserve">e to transfer transcriptionally </w:t>
      </w:r>
      <w:r w:rsidRPr="00F83536">
        <w:t>active DNA into eukaryotic c</w:t>
      </w:r>
      <w:r>
        <w:t xml:space="preserve">ells, as </w:t>
      </w:r>
      <w:r w:rsidRPr="00F83536">
        <w:t>demonstrated by transfection</w:t>
      </w:r>
      <w:r w:rsidR="00AF4878">
        <w:t xml:space="preserve"> studies (MA</w:t>
      </w:r>
      <w:r>
        <w:t>)</w:t>
      </w:r>
      <w:r w:rsidR="00F80D3D">
        <w:t>.</w:t>
      </w:r>
    </w:p>
    <w:p w:rsidR="00F83536" w:rsidRPr="00F83536" w:rsidRDefault="00F83536" w:rsidP="00F83536">
      <w:r w:rsidRPr="00F83536">
        <w:t xml:space="preserve">Taken together, the comprehensive </w:t>
      </w:r>
      <w:r w:rsidRPr="00AF4878">
        <w:rPr>
          <w:i/>
        </w:rPr>
        <w:t>in vivo</w:t>
      </w:r>
      <w:r w:rsidRPr="00F83536">
        <w:t xml:space="preserve"> and </w:t>
      </w:r>
      <w:r w:rsidRPr="00AF4878">
        <w:rPr>
          <w:i/>
        </w:rPr>
        <w:t>in vitro</w:t>
      </w:r>
      <w:r w:rsidRPr="00F83536">
        <w:t xml:space="preserve"> s</w:t>
      </w:r>
      <w:r>
        <w:t xml:space="preserve">tudies convincingly address the </w:t>
      </w:r>
      <w:r w:rsidRPr="00F83536">
        <w:t xml:space="preserve">theoretical risk of </w:t>
      </w:r>
      <w:proofErr w:type="spellStart"/>
      <w:r w:rsidRPr="00F83536">
        <w:t>oncogenicity</w:t>
      </w:r>
      <w:proofErr w:type="spellEnd"/>
      <w:r w:rsidRPr="00F83536">
        <w:t xml:space="preserve"> and </w:t>
      </w:r>
      <w:proofErr w:type="spellStart"/>
      <w:r w:rsidRPr="00F83536">
        <w:t>tumorigenicity</w:t>
      </w:r>
      <w:proofErr w:type="spellEnd"/>
      <w:r w:rsidRPr="00F83536">
        <w:t>. It shou</w:t>
      </w:r>
      <w:r>
        <w:t xml:space="preserve">ld therefore be considered that </w:t>
      </w:r>
      <w:r w:rsidRPr="00F83536">
        <w:t>these potential risks are adequately mitigated.</w:t>
      </w:r>
    </w:p>
    <w:p w:rsidR="00F83536" w:rsidRPr="00F83536" w:rsidRDefault="00F83536" w:rsidP="00F83536">
      <w:pPr>
        <w:rPr>
          <w:b/>
        </w:rPr>
      </w:pPr>
      <w:r w:rsidRPr="00F83536">
        <w:rPr>
          <w:b/>
        </w:rPr>
        <w:t>Infectivity</w:t>
      </w:r>
    </w:p>
    <w:p w:rsidR="000312C8" w:rsidRDefault="00F83536" w:rsidP="00F83536">
      <w:r w:rsidRPr="00F83536">
        <w:t>The presence of adventitious agents is a common safety</w:t>
      </w:r>
      <w:r w:rsidR="00103FA4">
        <w:t xml:space="preserve"> concern in the use of any cell </w:t>
      </w:r>
      <w:r w:rsidRPr="00F83536">
        <w:t>substrate, and throughout the manufacture of any biological pr</w:t>
      </w:r>
      <w:r w:rsidR="00103FA4">
        <w:t xml:space="preserve">oduct. To </w:t>
      </w:r>
      <w:proofErr w:type="spellStart"/>
      <w:r w:rsidR="00103FA4">
        <w:t>obliviate</w:t>
      </w:r>
      <w:proofErr w:type="spellEnd"/>
      <w:r w:rsidR="00103FA4">
        <w:t xml:space="preserve"> this safety </w:t>
      </w:r>
      <w:r w:rsidRPr="00F83536">
        <w:t>concern, Novartis has implemented a comprehensive advent</w:t>
      </w:r>
      <w:r w:rsidR="00103FA4">
        <w:t xml:space="preserve">itious agent management program </w:t>
      </w:r>
      <w:r w:rsidRPr="00F83536">
        <w:t xml:space="preserve">for </w:t>
      </w:r>
      <w:proofErr w:type="spellStart"/>
      <w:r w:rsidR="00C477B9">
        <w:t>Optaflu</w:t>
      </w:r>
      <w:proofErr w:type="spellEnd"/>
      <w:r w:rsidRPr="00F83536">
        <w:t xml:space="preserve"> (MA) which reflects the ICH recommended complementary</w:t>
      </w:r>
      <w:r w:rsidR="00103FA4">
        <w:t xml:space="preserve"> </w:t>
      </w:r>
      <w:r w:rsidRPr="00F83536">
        <w:t>approach to control potential viral contamination of biotec</w:t>
      </w:r>
      <w:r w:rsidR="000312C8">
        <w:t>hnology products. Specifically:</w:t>
      </w:r>
    </w:p>
    <w:p w:rsidR="000312C8" w:rsidRDefault="00F83536" w:rsidP="000312C8">
      <w:pPr>
        <w:pStyle w:val="ListBullet"/>
      </w:pPr>
      <w:r w:rsidRPr="00F83536">
        <w:t>the MDCK cell line, seed virus, and other raw materials, including media components, have</w:t>
      </w:r>
      <w:r w:rsidR="00103FA4">
        <w:t xml:space="preserve"> </w:t>
      </w:r>
      <w:r w:rsidRPr="00F83536">
        <w:t>been selected and tested for the absence of undesirable viruses that may be infectious or</w:t>
      </w:r>
      <w:r w:rsidR="00103FA4">
        <w:t xml:space="preserve"> </w:t>
      </w:r>
      <w:r w:rsidR="000312C8">
        <w:t>pathogenic to humans;</w:t>
      </w:r>
    </w:p>
    <w:p w:rsidR="000312C8" w:rsidRDefault="00F83536" w:rsidP="000312C8">
      <w:pPr>
        <w:pStyle w:val="ListBullet"/>
      </w:pPr>
      <w:r w:rsidRPr="00F83536">
        <w:t>the manufacturing process has been assessed for its capacity to</w:t>
      </w:r>
      <w:r w:rsidR="00103FA4">
        <w:t xml:space="preserve"> </w:t>
      </w:r>
      <w:r w:rsidRPr="00F83536">
        <w:t>clea</w:t>
      </w:r>
      <w:r w:rsidR="000312C8">
        <w:t>r infectious viruses; and</w:t>
      </w:r>
    </w:p>
    <w:p w:rsidR="00F83536" w:rsidRDefault="00F83536" w:rsidP="000312C8">
      <w:pPr>
        <w:pStyle w:val="ListBullet"/>
      </w:pPr>
      <w:proofErr w:type="gramStart"/>
      <w:r w:rsidRPr="00F83536">
        <w:t>product</w:t>
      </w:r>
      <w:proofErr w:type="gramEnd"/>
      <w:r w:rsidRPr="00F83536">
        <w:t xml:space="preserve"> intermediates, and the</w:t>
      </w:r>
      <w:r w:rsidR="00103FA4">
        <w:t xml:space="preserve"> final container, are tested at a</w:t>
      </w:r>
      <w:r w:rsidRPr="00F83536">
        <w:t>ppropriate intervals to assure absence of contaminating infectious viruses.</w:t>
      </w:r>
    </w:p>
    <w:p w:rsidR="00B1002B" w:rsidRPr="00B1002B" w:rsidRDefault="00B1002B" w:rsidP="00B1002B">
      <w:pPr>
        <w:rPr>
          <w:b/>
        </w:rPr>
      </w:pPr>
      <w:r w:rsidRPr="00B1002B">
        <w:rPr>
          <w:b/>
        </w:rPr>
        <w:t>Pharmacovigilance activities</w:t>
      </w:r>
    </w:p>
    <w:p w:rsidR="00B1002B" w:rsidRPr="00B1002B" w:rsidRDefault="00B1002B" w:rsidP="00B1002B">
      <w:r w:rsidRPr="00B1002B">
        <w:t>Adequate pharmacovigilance procedures are in place, monitoring all AEs</w:t>
      </w:r>
      <w:r>
        <w:t xml:space="preserve"> </w:t>
      </w:r>
      <w:r w:rsidRPr="00B1002B">
        <w:t xml:space="preserve">reported during the use of </w:t>
      </w:r>
      <w:proofErr w:type="spellStart"/>
      <w:r w:rsidR="00C477B9">
        <w:t>Optaflu</w:t>
      </w:r>
      <w:proofErr w:type="spellEnd"/>
      <w:r w:rsidRPr="00B1002B">
        <w:t xml:space="preserve">. In </w:t>
      </w:r>
      <w:r w:rsidR="000312C8">
        <w:t>PSURs</w:t>
      </w:r>
      <w:r w:rsidR="00F21328">
        <w:t>,</w:t>
      </w:r>
      <w:r w:rsidR="003F0864">
        <w:t xml:space="preserve"> cumulative clinical and </w:t>
      </w:r>
      <w:proofErr w:type="spellStart"/>
      <w:r w:rsidR="003F0864">
        <w:t>post</w:t>
      </w:r>
      <w:r w:rsidRPr="00B1002B">
        <w:t>marketing</w:t>
      </w:r>
      <w:proofErr w:type="spellEnd"/>
      <w:r w:rsidRPr="00B1002B">
        <w:t xml:space="preserve"> data of over 4.5 millio</w:t>
      </w:r>
      <w:r>
        <w:t xml:space="preserve">n patients are presented, </w:t>
      </w:r>
      <w:r w:rsidR="00B80073">
        <w:t>respectively</w:t>
      </w:r>
      <w:r w:rsidRPr="00B1002B">
        <w:t xml:space="preserve">. In the </w:t>
      </w:r>
      <w:proofErr w:type="spellStart"/>
      <w:r w:rsidR="00C477B9">
        <w:t>Optaflu</w:t>
      </w:r>
      <w:proofErr w:type="spellEnd"/>
      <w:r w:rsidRPr="00B1002B">
        <w:t xml:space="preserve"> clinical development program,</w:t>
      </w:r>
      <w:r>
        <w:t xml:space="preserve"> </w:t>
      </w:r>
      <w:r w:rsidRPr="00B1002B">
        <w:t xml:space="preserve">neoplasms were both infrequent </w:t>
      </w:r>
      <w:r w:rsidR="0012141A">
        <w:t>and balanced between the egg</w:t>
      </w:r>
      <w:r w:rsidRPr="00B1002B">
        <w:t xml:space="preserve"> and cell</w:t>
      </w:r>
      <w:r w:rsidR="0012141A">
        <w:t xml:space="preserve"> </w:t>
      </w:r>
      <w:r w:rsidRPr="00B1002B">
        <w:t>based trivalent</w:t>
      </w:r>
      <w:r>
        <w:t xml:space="preserve"> </w:t>
      </w:r>
      <w:r w:rsidRPr="00B1002B">
        <w:t xml:space="preserve">influenza vaccine groups. Moreover, the </w:t>
      </w:r>
      <w:proofErr w:type="spellStart"/>
      <w:r w:rsidRPr="00B1002B">
        <w:t>MedDRA</w:t>
      </w:r>
      <w:proofErr w:type="spellEnd"/>
      <w:r w:rsidRPr="00B1002B">
        <w:t xml:space="preserve"> System Organ Classes that represent</w:t>
      </w:r>
      <w:r>
        <w:t xml:space="preserve"> </w:t>
      </w:r>
      <w:r w:rsidRPr="00B1002B">
        <w:t>potential infectious complications (“infections and infestations” (both vaccines 4%) and</w:t>
      </w:r>
      <w:r>
        <w:t xml:space="preserve"> </w:t>
      </w:r>
      <w:r w:rsidRPr="00B1002B">
        <w:t>“general disorders and administration site conditions” (cell</w:t>
      </w:r>
      <w:r w:rsidR="009F08E1">
        <w:t xml:space="preserve"> </w:t>
      </w:r>
      <w:r w:rsidRPr="00B1002B">
        <w:t>based vaccine 2%, egg</w:t>
      </w:r>
      <w:r w:rsidR="009F08E1">
        <w:t xml:space="preserve"> </w:t>
      </w:r>
      <w:r w:rsidRPr="00B1002B">
        <w:t>based</w:t>
      </w:r>
      <w:r>
        <w:t xml:space="preserve"> </w:t>
      </w:r>
      <w:r w:rsidRPr="00B1002B">
        <w:t>vaccine 3%)) demonstrated that there were no signs of increased infectivity in subjects</w:t>
      </w:r>
      <w:r>
        <w:t xml:space="preserve"> </w:t>
      </w:r>
      <w:r w:rsidRPr="00B1002B">
        <w:t xml:space="preserve">vaccinated with </w:t>
      </w:r>
      <w:proofErr w:type="spellStart"/>
      <w:r w:rsidR="00C477B9">
        <w:t>Optaflu</w:t>
      </w:r>
      <w:proofErr w:type="spellEnd"/>
      <w:r w:rsidRPr="00B1002B">
        <w:t xml:space="preserve"> in clinical trials. From first registration worldwide up until 31</w:t>
      </w:r>
      <w:r>
        <w:t xml:space="preserve"> </w:t>
      </w:r>
      <w:r w:rsidRPr="00B1002B">
        <w:t>December 2014, no confirmed cases of neoplasia or cases suggestive of infection related to an</w:t>
      </w:r>
      <w:r>
        <w:t xml:space="preserve"> </w:t>
      </w:r>
      <w:r w:rsidRPr="00B1002B">
        <w:t xml:space="preserve">adventitious agent were reported in the </w:t>
      </w:r>
      <w:proofErr w:type="spellStart"/>
      <w:r w:rsidRPr="00B1002B">
        <w:t>postmarketing</w:t>
      </w:r>
      <w:proofErr w:type="spellEnd"/>
      <w:r w:rsidRPr="00B1002B">
        <w:t xml:space="preserve"> setting. These data show that there is</w:t>
      </w:r>
      <w:r>
        <w:t xml:space="preserve"> </w:t>
      </w:r>
      <w:r w:rsidRPr="00B1002B">
        <w:t xml:space="preserve">no increased risk of neoplasms or infectivity with the use of </w:t>
      </w:r>
      <w:proofErr w:type="spellStart"/>
      <w:r w:rsidR="00C477B9">
        <w:t>Optaflu</w:t>
      </w:r>
      <w:proofErr w:type="spellEnd"/>
      <w:r w:rsidRPr="00B1002B">
        <w:t>. Any future reports</w:t>
      </w:r>
      <w:r>
        <w:t xml:space="preserve"> </w:t>
      </w:r>
      <w:r w:rsidRPr="00B1002B">
        <w:t>will be thoroughly evaluated during routine pharmacovigilance and presented in subsequent</w:t>
      </w:r>
      <w:r>
        <w:t xml:space="preserve"> </w:t>
      </w:r>
      <w:r w:rsidRPr="00B1002B">
        <w:t>PSURs in similar appendices.</w:t>
      </w:r>
    </w:p>
    <w:p w:rsidR="00B1002B" w:rsidRDefault="00B1002B" w:rsidP="00B1002B">
      <w:r w:rsidRPr="00B1002B">
        <w:t xml:space="preserve">In conclusion, Novartis does not believe that the listing of </w:t>
      </w:r>
      <w:proofErr w:type="spellStart"/>
      <w:r w:rsidRPr="00B1002B">
        <w:t>t</w:t>
      </w:r>
      <w:r>
        <w:t>umorigenicity</w:t>
      </w:r>
      <w:proofErr w:type="spellEnd"/>
      <w:r>
        <w:t xml:space="preserve">, infectivity, and </w:t>
      </w:r>
      <w:r w:rsidRPr="00B1002B">
        <w:t>oncogenic potential as missing information in the RMP a</w:t>
      </w:r>
      <w:r>
        <w:t xml:space="preserve">nd/or </w:t>
      </w:r>
      <w:r w:rsidRPr="00B1002B">
        <w:t>ASA is warranted.</w:t>
      </w:r>
    </w:p>
    <w:p w:rsidR="00B23D62" w:rsidRPr="00B23D62" w:rsidRDefault="00B23D62" w:rsidP="002F16E8">
      <w:pPr>
        <w:pStyle w:val="Heading6"/>
        <w:rPr>
          <w:rFonts w:eastAsiaTheme="minorHAnsi"/>
        </w:rPr>
      </w:pPr>
      <w:r w:rsidRPr="00B23D62">
        <w:rPr>
          <w:rFonts w:eastAsiaTheme="minorHAnsi"/>
        </w:rPr>
        <w:t>Egg</w:t>
      </w:r>
      <w:r w:rsidR="006744B5">
        <w:rPr>
          <w:rFonts w:eastAsiaTheme="minorHAnsi"/>
        </w:rPr>
        <w:t xml:space="preserve"> </w:t>
      </w:r>
      <w:r w:rsidRPr="00B23D62">
        <w:rPr>
          <w:rFonts w:eastAsiaTheme="minorHAnsi"/>
        </w:rPr>
        <w:t xml:space="preserve">based </w:t>
      </w:r>
      <w:r w:rsidRPr="002F16E8">
        <w:rPr>
          <w:rFonts w:eastAsiaTheme="minorHAnsi"/>
        </w:rPr>
        <w:t>specific</w:t>
      </w:r>
      <w:r w:rsidRPr="00B23D62">
        <w:rPr>
          <w:rFonts w:eastAsiaTheme="minorHAnsi"/>
        </w:rPr>
        <w:t xml:space="preserve"> risks</w:t>
      </w:r>
    </w:p>
    <w:p w:rsidR="00B23D62" w:rsidRPr="00B23D62" w:rsidRDefault="00B23D62" w:rsidP="00B23D62">
      <w:pPr>
        <w:pStyle w:val="ListBullet"/>
        <w:rPr>
          <w:i/>
        </w:rPr>
      </w:pPr>
      <w:r>
        <w:rPr>
          <w:i/>
        </w:rPr>
        <w:t>“</w:t>
      </w:r>
      <w:r w:rsidRPr="00B23D62">
        <w:rPr>
          <w:i/>
        </w:rPr>
        <w:t xml:space="preserve">The committee is requested to provide </w:t>
      </w:r>
      <w:proofErr w:type="gramStart"/>
      <w:r w:rsidRPr="00B23D62">
        <w:rPr>
          <w:i/>
        </w:rPr>
        <w:t>advice on whether certain risks reported in relation to egg</w:t>
      </w:r>
      <w:r w:rsidR="006744B5">
        <w:rPr>
          <w:i/>
        </w:rPr>
        <w:t xml:space="preserve"> </w:t>
      </w:r>
      <w:r w:rsidRPr="00B23D62">
        <w:rPr>
          <w:i/>
        </w:rPr>
        <w:t>based influenza vaccines are</w:t>
      </w:r>
      <w:proofErr w:type="gramEnd"/>
      <w:r w:rsidRPr="00B23D62">
        <w:rPr>
          <w:i/>
        </w:rPr>
        <w:t xml:space="preserve"> relevant for cell</w:t>
      </w:r>
      <w:r w:rsidR="006744B5">
        <w:rPr>
          <w:i/>
        </w:rPr>
        <w:t xml:space="preserve"> </w:t>
      </w:r>
      <w:r w:rsidRPr="00B23D62">
        <w:rPr>
          <w:i/>
        </w:rPr>
        <w:t>based vaccines, given the difference in manufacturing processes.</w:t>
      </w:r>
      <w:r>
        <w:rPr>
          <w:i/>
        </w:rPr>
        <w:t>”</w:t>
      </w:r>
    </w:p>
    <w:p w:rsidR="00B23D62" w:rsidRPr="00B23D62" w:rsidRDefault="00B23D62" w:rsidP="00B23D62">
      <w:r w:rsidRPr="00B23D62">
        <w:t xml:space="preserve">Novartis acknowledges that the following AEs in relation </w:t>
      </w:r>
      <w:r w:rsidR="00F5443F">
        <w:t xml:space="preserve">to egg-based influenza vaccines </w:t>
      </w:r>
      <w:r w:rsidRPr="00B23D62">
        <w:t xml:space="preserve">included in the European </w:t>
      </w:r>
      <w:proofErr w:type="spellStart"/>
      <w:r w:rsidR="00C055D7">
        <w:t>SmPC</w:t>
      </w:r>
      <w:proofErr w:type="spellEnd"/>
      <w:r w:rsidR="00C055D7">
        <w:t xml:space="preserve"> </w:t>
      </w:r>
      <w:r w:rsidR="00F5443F">
        <w:t xml:space="preserve">are not </w:t>
      </w:r>
      <w:r w:rsidRPr="00B23D62">
        <w:t>proposed for inclusion in the Aus</w:t>
      </w:r>
      <w:r w:rsidR="00C055D7">
        <w:t>tralian PI</w:t>
      </w:r>
      <w:r w:rsidRPr="00B23D62">
        <w:t>:</w:t>
      </w:r>
    </w:p>
    <w:p w:rsidR="00B23D62" w:rsidRPr="00F5443F" w:rsidRDefault="00B23D62" w:rsidP="00F5443F">
      <w:pPr>
        <w:pStyle w:val="ListBullet"/>
      </w:pPr>
      <w:r w:rsidRPr="00F5443F">
        <w:lastRenderedPageBreak/>
        <w:t xml:space="preserve">Neurological disorders, such as </w:t>
      </w:r>
      <w:proofErr w:type="spellStart"/>
      <w:r w:rsidRPr="00F5443F">
        <w:t>Guillain-Barré</w:t>
      </w:r>
      <w:proofErr w:type="spellEnd"/>
      <w:r w:rsidRPr="00F5443F">
        <w:t xml:space="preserve"> syndrome, encephalomyelitis and neuritis</w:t>
      </w:r>
      <w:r w:rsidR="00406E12">
        <w:t>;</w:t>
      </w:r>
    </w:p>
    <w:p w:rsidR="00B23D62" w:rsidRPr="00F5443F" w:rsidRDefault="00B23D62" w:rsidP="00F5443F">
      <w:pPr>
        <w:pStyle w:val="ListBullet"/>
      </w:pPr>
      <w:r w:rsidRPr="00F5443F">
        <w:t>Vasculitis, possibly associated with transient renal involvement</w:t>
      </w:r>
      <w:r w:rsidR="00406E12">
        <w:t>;</w:t>
      </w:r>
    </w:p>
    <w:p w:rsidR="00B23D62" w:rsidRPr="00F5443F" w:rsidRDefault="00B23D62" w:rsidP="00F5443F">
      <w:pPr>
        <w:pStyle w:val="ListBullet"/>
      </w:pPr>
      <w:proofErr w:type="spellStart"/>
      <w:r w:rsidRPr="00F5443F">
        <w:t>Thrombocytopaenia</w:t>
      </w:r>
      <w:proofErr w:type="spellEnd"/>
      <w:r w:rsidR="00406E12">
        <w:t>;</w:t>
      </w:r>
    </w:p>
    <w:p w:rsidR="00B23D62" w:rsidRPr="00F5443F" w:rsidRDefault="00B23D62" w:rsidP="00F5443F">
      <w:pPr>
        <w:pStyle w:val="ListBullet"/>
      </w:pPr>
      <w:r w:rsidRPr="00F5443F">
        <w:t>Allergic reactions, in very rare cases leading to shock</w:t>
      </w:r>
      <w:r w:rsidR="00406E12">
        <w:t>; and</w:t>
      </w:r>
    </w:p>
    <w:p w:rsidR="00B23D62" w:rsidRPr="00F5443F" w:rsidRDefault="00B23D62" w:rsidP="00F5443F">
      <w:pPr>
        <w:pStyle w:val="ListBullet"/>
      </w:pPr>
      <w:r w:rsidRPr="00F5443F">
        <w:t>Gastrointestinal (GI) disorders such as abdominal pain, diarrhoea or dyspepsia</w:t>
      </w:r>
      <w:r w:rsidR="00406E12">
        <w:t>.</w:t>
      </w:r>
    </w:p>
    <w:p w:rsidR="006B0555" w:rsidRPr="006B0555" w:rsidRDefault="00B23D62" w:rsidP="006B0555">
      <w:r w:rsidRPr="00B23D62">
        <w:t xml:space="preserve">It should be noted that at the time of the </w:t>
      </w:r>
      <w:proofErr w:type="spellStart"/>
      <w:r w:rsidR="00C477B9">
        <w:t>Optaflu</w:t>
      </w:r>
      <w:proofErr w:type="spellEnd"/>
      <w:r w:rsidRPr="00B23D62">
        <w:t xml:space="preserve"> regist</w:t>
      </w:r>
      <w:r w:rsidR="00F5443F">
        <w:t xml:space="preserve">ration in Europe, the number of </w:t>
      </w:r>
      <w:r w:rsidRPr="00B23D62">
        <w:t xml:space="preserve">patients exposed to </w:t>
      </w:r>
      <w:proofErr w:type="spellStart"/>
      <w:r w:rsidR="00C477B9">
        <w:t>Optaflu</w:t>
      </w:r>
      <w:proofErr w:type="spellEnd"/>
      <w:r w:rsidRPr="00B23D62">
        <w:t xml:space="preserve"> was limited to approximately</w:t>
      </w:r>
      <w:r w:rsidR="00F5443F">
        <w:t xml:space="preserve"> 3,500. Therefore, both the AEs </w:t>
      </w:r>
      <w:r w:rsidRPr="00B23D62">
        <w:t xml:space="preserve">observed with </w:t>
      </w:r>
      <w:proofErr w:type="spellStart"/>
      <w:r w:rsidR="00C477B9">
        <w:t>Optaflu</w:t>
      </w:r>
      <w:proofErr w:type="spellEnd"/>
      <w:r w:rsidRPr="00B23D62">
        <w:t xml:space="preserve"> during clinical trials and, a</w:t>
      </w:r>
      <w:r w:rsidR="00F5443F">
        <w:t xml:space="preserve">s required by the European Core </w:t>
      </w:r>
      <w:proofErr w:type="spellStart"/>
      <w:r w:rsidRPr="00B23D62">
        <w:t>SmPC</w:t>
      </w:r>
      <w:proofErr w:type="spellEnd"/>
      <w:r w:rsidRPr="00B23D62">
        <w:t>/Patient Leaflet f</w:t>
      </w:r>
      <w:r w:rsidR="00303199">
        <w:t xml:space="preserve">or trivalent influenza vaccines, </w:t>
      </w:r>
      <w:r w:rsidR="00F5443F">
        <w:t xml:space="preserve">the AEs reported with </w:t>
      </w:r>
      <w:r w:rsidRPr="00B23D62">
        <w:t>egg</w:t>
      </w:r>
      <w:r w:rsidR="00303199">
        <w:t xml:space="preserve"> </w:t>
      </w:r>
      <w:r w:rsidRPr="00B23D62">
        <w:t xml:space="preserve">based trivalent influenza vaccines were included in the </w:t>
      </w:r>
      <w:proofErr w:type="spellStart"/>
      <w:r w:rsidRPr="00B23D62">
        <w:t>SmPC</w:t>
      </w:r>
      <w:proofErr w:type="spellEnd"/>
      <w:r w:rsidRPr="00B23D62">
        <w:t>. It is important to note that</w:t>
      </w:r>
      <w:r w:rsidR="00F5443F">
        <w:t xml:space="preserve"> </w:t>
      </w:r>
      <w:r w:rsidRPr="00B23D62">
        <w:t>this guidance only includes AEs reported with egg</w:t>
      </w:r>
      <w:r w:rsidR="00303199">
        <w:t xml:space="preserve"> </w:t>
      </w:r>
      <w:r w:rsidRPr="00B23D62">
        <w:t>based influenza vaccines, since at the time</w:t>
      </w:r>
      <w:r w:rsidR="006B0555">
        <w:t xml:space="preserve"> </w:t>
      </w:r>
      <w:r w:rsidR="006B0555" w:rsidRPr="006B0555">
        <w:t xml:space="preserve">this guidance was </w:t>
      </w:r>
      <w:proofErr w:type="gramStart"/>
      <w:r w:rsidR="006B0555" w:rsidRPr="006B0555">
        <w:t>published,</w:t>
      </w:r>
      <w:proofErr w:type="gramEnd"/>
      <w:r w:rsidR="006B0555" w:rsidRPr="006B0555">
        <w:t xml:space="preserve"> no cell</w:t>
      </w:r>
      <w:r w:rsidR="00303199">
        <w:t xml:space="preserve"> </w:t>
      </w:r>
      <w:r w:rsidR="006B0555" w:rsidRPr="006B0555">
        <w:t>based influenza vaccine was approved. It is</w:t>
      </w:r>
      <w:r w:rsidR="006B0555">
        <w:t xml:space="preserve"> </w:t>
      </w:r>
      <w:r w:rsidR="006B0555" w:rsidRPr="006B0555">
        <w:t xml:space="preserve">acknowledged that in the current version of the </w:t>
      </w:r>
      <w:proofErr w:type="spellStart"/>
      <w:r w:rsidR="006B0555" w:rsidRPr="006B0555">
        <w:t>SmPC</w:t>
      </w:r>
      <w:proofErr w:type="spellEnd"/>
      <w:r w:rsidR="006B0555" w:rsidRPr="006B0555">
        <w:t xml:space="preserve"> there is no differentiation between egg</w:t>
      </w:r>
      <w:r w:rsidR="006B0555">
        <w:t xml:space="preserve"> </w:t>
      </w:r>
      <w:r w:rsidR="006B0555" w:rsidRPr="006B0555">
        <w:t>and</w:t>
      </w:r>
      <w:r w:rsidR="006B0555">
        <w:t xml:space="preserve"> </w:t>
      </w:r>
      <w:r w:rsidR="006B0555" w:rsidRPr="006B0555">
        <w:t>cell</w:t>
      </w:r>
      <w:r w:rsidR="00303199">
        <w:t xml:space="preserve"> </w:t>
      </w:r>
      <w:r w:rsidR="006B0555" w:rsidRPr="006B0555">
        <w:t>based AEs from clinical trials.</w:t>
      </w:r>
    </w:p>
    <w:p w:rsidR="006B0555" w:rsidRPr="006B0555" w:rsidRDefault="006B0555" w:rsidP="006B0555">
      <w:r w:rsidRPr="006B0555">
        <w:t>It is also recognised that neuralgia, paraesthesia, convulsion and febrile convulsion are listed</w:t>
      </w:r>
      <w:r>
        <w:t xml:space="preserve"> </w:t>
      </w:r>
      <w:r w:rsidRPr="006B0555">
        <w:t>separately in the</w:t>
      </w:r>
      <w:r w:rsidR="001D6EF1">
        <w:t xml:space="preserve"> </w:t>
      </w:r>
      <w:proofErr w:type="spellStart"/>
      <w:r w:rsidR="001D6EF1">
        <w:t>SmPC</w:t>
      </w:r>
      <w:proofErr w:type="spellEnd"/>
      <w:r w:rsidR="001D6EF1">
        <w:t xml:space="preserve"> as AEs reported from </w:t>
      </w:r>
      <w:proofErr w:type="spellStart"/>
      <w:r w:rsidR="001D6EF1">
        <w:t>post</w:t>
      </w:r>
      <w:r w:rsidRPr="006B0555">
        <w:t>marketing</w:t>
      </w:r>
      <w:proofErr w:type="spellEnd"/>
      <w:r w:rsidRPr="006B0555">
        <w:t xml:space="preserve"> surveillance with eg</w:t>
      </w:r>
      <w:r w:rsidR="001D6EF1">
        <w:t xml:space="preserve">g </w:t>
      </w:r>
      <w:r w:rsidRPr="006B0555">
        <w:t>based</w:t>
      </w:r>
      <w:r>
        <w:t xml:space="preserve"> </w:t>
      </w:r>
      <w:r w:rsidRPr="006B0555">
        <w:t>seasonal trivalent vaccines. These are therefore not proposed for inclusion in the Australian</w:t>
      </w:r>
      <w:r>
        <w:t xml:space="preserve"> </w:t>
      </w:r>
      <w:r w:rsidRPr="006B0555">
        <w:t>PI.</w:t>
      </w:r>
    </w:p>
    <w:p w:rsidR="006B0555" w:rsidRPr="006B0555" w:rsidRDefault="001D6EF1" w:rsidP="006B0555">
      <w:r>
        <w:t>Currently, more than 15</w:t>
      </w:r>
      <w:r w:rsidR="006B0555" w:rsidRPr="006B0555">
        <w:t xml:space="preserve">750 subjects have been exposed to </w:t>
      </w:r>
      <w:proofErr w:type="spellStart"/>
      <w:r w:rsidR="00C477B9">
        <w:t>Optaflu</w:t>
      </w:r>
      <w:proofErr w:type="spellEnd"/>
      <w:r w:rsidR="006B0555">
        <w:t xml:space="preserve"> in clinical trials, and </w:t>
      </w:r>
      <w:r w:rsidR="006B0555" w:rsidRPr="006B0555">
        <w:t>more than 4.5 million patients have received this vaccine in</w:t>
      </w:r>
      <w:r w:rsidR="00081150">
        <w:t xml:space="preserve"> the </w:t>
      </w:r>
      <w:proofErr w:type="spellStart"/>
      <w:r w:rsidR="00081150">
        <w:t>post</w:t>
      </w:r>
      <w:r w:rsidR="006B0555">
        <w:t>marketing</w:t>
      </w:r>
      <w:proofErr w:type="spellEnd"/>
      <w:r w:rsidR="006B0555">
        <w:t xml:space="preserve"> setting. As of </w:t>
      </w:r>
      <w:r w:rsidR="006B0555" w:rsidRPr="006B0555">
        <w:t xml:space="preserve">31 December 2014, no </w:t>
      </w:r>
      <w:proofErr w:type="spellStart"/>
      <w:r w:rsidR="00C477B9">
        <w:t>Optaflu</w:t>
      </w:r>
      <w:proofErr w:type="spellEnd"/>
      <w:r w:rsidR="00081150">
        <w:t xml:space="preserve"> </w:t>
      </w:r>
      <w:r w:rsidR="006B0555" w:rsidRPr="006B0555">
        <w:t xml:space="preserve">confirmed reports </w:t>
      </w:r>
      <w:r w:rsidR="006B0555">
        <w:t xml:space="preserve">of encephalitis, </w:t>
      </w:r>
      <w:proofErr w:type="spellStart"/>
      <w:r w:rsidR="006B0555">
        <w:t>Guillain-Barré</w:t>
      </w:r>
      <w:proofErr w:type="spellEnd"/>
      <w:r w:rsidR="006B0555">
        <w:t xml:space="preserve"> </w:t>
      </w:r>
      <w:r w:rsidR="006B0555" w:rsidRPr="006B0555">
        <w:t>syndrome, neuritis, vasculitis, thrombocytopenia, or alle</w:t>
      </w:r>
      <w:r w:rsidR="006B0555">
        <w:t xml:space="preserve">rgic reactions leading to shock were </w:t>
      </w:r>
      <w:r w:rsidR="006B0555" w:rsidRPr="006B0555">
        <w:t>received.</w:t>
      </w:r>
    </w:p>
    <w:p w:rsidR="006B0555" w:rsidRDefault="006B0555" w:rsidP="006B0555">
      <w:r w:rsidRPr="006B0555">
        <w:t xml:space="preserve">In clinical trials, 7 serious </w:t>
      </w:r>
      <w:r w:rsidR="00730B50">
        <w:t>g</w:t>
      </w:r>
      <w:r w:rsidR="00730B50" w:rsidRPr="00F5443F">
        <w:t>astrointestinal</w:t>
      </w:r>
      <w:r w:rsidRPr="006B0555">
        <w:t xml:space="preserve"> AEs such as abdominal pain, </w:t>
      </w:r>
      <w:proofErr w:type="spellStart"/>
      <w:r w:rsidRPr="006B0555">
        <w:t>diarrhea</w:t>
      </w:r>
      <w:proofErr w:type="spellEnd"/>
      <w:r w:rsidRPr="006B0555">
        <w:t xml:space="preserve">, and </w:t>
      </w:r>
      <w:r>
        <w:t xml:space="preserve">dyspepsia were </w:t>
      </w:r>
      <w:r w:rsidRPr="006B0555">
        <w:t xml:space="preserve">reported but none were assessed as related to </w:t>
      </w:r>
      <w:proofErr w:type="spellStart"/>
      <w:r w:rsidR="00C477B9">
        <w:t>Optaflu</w:t>
      </w:r>
      <w:proofErr w:type="spellEnd"/>
      <w:r w:rsidR="00552C98">
        <w:t xml:space="preserve"> (MA</w:t>
      </w:r>
      <w:r>
        <w:t xml:space="preserve">). In the </w:t>
      </w:r>
      <w:proofErr w:type="spellStart"/>
      <w:r>
        <w:t>postmarketing</w:t>
      </w:r>
      <w:proofErr w:type="spellEnd"/>
      <w:r>
        <w:t xml:space="preserve"> </w:t>
      </w:r>
      <w:r w:rsidRPr="006B0555">
        <w:t>setting, 6 spontaneous cases were received (see Table 1</w:t>
      </w:r>
      <w:r w:rsidR="00A87F46">
        <w:t>0</w:t>
      </w:r>
      <w:r w:rsidRPr="006B0555">
        <w:t>).</w:t>
      </w:r>
    </w:p>
    <w:p w:rsidR="00A87F46" w:rsidRDefault="00A87F46" w:rsidP="002F16E8">
      <w:pPr>
        <w:pStyle w:val="TableTitle"/>
      </w:pPr>
      <w:r>
        <w:t>Table 10:</w:t>
      </w:r>
      <w:r w:rsidRPr="004C5C28">
        <w:t xml:space="preserve"> </w:t>
      </w:r>
      <w:r w:rsidR="008D0BE6" w:rsidRPr="008D0BE6">
        <w:t xml:space="preserve">Post-marketing GI </w:t>
      </w:r>
      <w:r w:rsidR="008D0BE6" w:rsidRPr="002F16E8">
        <w:t>cases</w:t>
      </w:r>
      <w:r w:rsidR="008D0BE6" w:rsidRPr="008D0BE6">
        <w:t xml:space="preserve"> spontaneously reported</w:t>
      </w:r>
      <w:r>
        <w:t>.</w:t>
      </w:r>
      <w:r w:rsidR="001F07D3">
        <w:rPr>
          <w:rStyle w:val="FootnoteReference"/>
        </w:rPr>
        <w:footnoteReference w:id="25"/>
      </w:r>
    </w:p>
    <w:p w:rsidR="00A87F46" w:rsidRDefault="004B0E4C" w:rsidP="006B0555">
      <w:r>
        <w:rPr>
          <w:noProof/>
          <w:lang w:eastAsia="en-AU"/>
        </w:rPr>
        <w:drawing>
          <wp:inline distT="0" distB="0" distL="0" distR="0" wp14:anchorId="2DB7879A" wp14:editId="74D9E35A">
            <wp:extent cx="4302729" cy="2488320"/>
            <wp:effectExtent l="0" t="0" r="3175" b="7620"/>
            <wp:docPr id="16" name="Picture 16" descr="Table 10: Post-marketing GI cases spontaneously reported." title="Table 10: Post-marketing GI cases spontaneously repor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4304220" cy="2489183"/>
                    </a:xfrm>
                    <a:prstGeom prst="rect">
                      <a:avLst/>
                    </a:prstGeom>
                  </pic:spPr>
                </pic:pic>
              </a:graphicData>
            </a:graphic>
          </wp:inline>
        </w:drawing>
      </w:r>
    </w:p>
    <w:p w:rsidR="008D0BE6" w:rsidRDefault="00D56858" w:rsidP="00D56858">
      <w:r w:rsidRPr="00D56858">
        <w:t>Thus, Novartis has concluded that there is insufficient evidence for a causal relationship</w:t>
      </w:r>
      <w:r>
        <w:t xml:space="preserve"> </w:t>
      </w:r>
      <w:r w:rsidRPr="00D56858">
        <w:t xml:space="preserve">between these events and </w:t>
      </w:r>
      <w:proofErr w:type="spellStart"/>
      <w:r w:rsidR="00C477B9">
        <w:t>Optaflu</w:t>
      </w:r>
      <w:proofErr w:type="spellEnd"/>
      <w:r w:rsidRPr="00D56858">
        <w:t>. T</w:t>
      </w:r>
      <w:r w:rsidR="006F18B2">
        <w:t>herefore, t</w:t>
      </w:r>
      <w:r w:rsidRPr="00D56858">
        <w:t xml:space="preserve">he AEs reported in </w:t>
      </w:r>
      <w:r>
        <w:t>relation to egg</w:t>
      </w:r>
      <w:r w:rsidR="00374F9A">
        <w:t xml:space="preserve"> </w:t>
      </w:r>
      <w:r>
        <w:t xml:space="preserve">based influenza </w:t>
      </w:r>
      <w:r w:rsidR="006F18B2">
        <w:t xml:space="preserve">vaccines have </w:t>
      </w:r>
      <w:r w:rsidRPr="00D56858">
        <w:t>not been included in the company</w:t>
      </w:r>
      <w:r>
        <w:t xml:space="preserve"> core data sheet (CCDS), nor in </w:t>
      </w:r>
      <w:r>
        <w:lastRenderedPageBreak/>
        <w:t xml:space="preserve">the </w:t>
      </w:r>
      <w:r w:rsidRPr="00D56858">
        <w:t>proposed Australian PI, nor in the current US prescribing information (appendices C1 and</w:t>
      </w:r>
      <w:r>
        <w:t xml:space="preserve"> </w:t>
      </w:r>
      <w:r w:rsidRPr="00D56858">
        <w:t>C2a, respectively). In November 2012, the US prescribing information text was approved by</w:t>
      </w:r>
      <w:r>
        <w:t xml:space="preserve"> </w:t>
      </w:r>
      <w:r w:rsidRPr="00D56858">
        <w:t>the FDA without the AEs reported in relation to egg</w:t>
      </w:r>
      <w:r w:rsidR="009B48EB">
        <w:t xml:space="preserve"> </w:t>
      </w:r>
      <w:r w:rsidRPr="00D56858">
        <w:t>based influenza vaccines.</w:t>
      </w:r>
      <w:r>
        <w:t xml:space="preserve"> The FDA did </w:t>
      </w:r>
      <w:r w:rsidRPr="00D56858">
        <w:t>not consider these events to be related to cell</w:t>
      </w:r>
      <w:r w:rsidR="006F18B2">
        <w:t xml:space="preserve"> </w:t>
      </w:r>
      <w:r w:rsidRPr="00D56858">
        <w:t>based influenza vaccines and, therefore, the</w:t>
      </w:r>
      <w:r>
        <w:t xml:space="preserve"> </w:t>
      </w:r>
      <w:r w:rsidRPr="00D56858">
        <w:t>FDA recommended removing them during labelling negotiations</w:t>
      </w:r>
      <w:r w:rsidR="00D470C0">
        <w:t>.</w:t>
      </w:r>
    </w:p>
    <w:p w:rsidR="00D470C0" w:rsidRDefault="00D470C0" w:rsidP="00D470C0">
      <w:r w:rsidRPr="00D470C0">
        <w:t>In any case, adequate pharmacovigilance procedures are in place, monitoring all AEs</w:t>
      </w:r>
      <w:r>
        <w:t xml:space="preserve"> </w:t>
      </w:r>
      <w:r w:rsidRPr="00D470C0">
        <w:t>reported. Special attention is paid to the identified (a</w:t>
      </w:r>
      <w:r>
        <w:t xml:space="preserve">naphylaxis) and potential risks (neuritis, </w:t>
      </w:r>
      <w:r w:rsidRPr="00D470C0">
        <w:t xml:space="preserve">convulsions, encephalitis, </w:t>
      </w:r>
      <w:proofErr w:type="gramStart"/>
      <w:r w:rsidRPr="00D470C0">
        <w:t xml:space="preserve">vasculitis, </w:t>
      </w:r>
      <w:proofErr w:type="spellStart"/>
      <w:r w:rsidRPr="00D470C0">
        <w:t>Guillain-Barré</w:t>
      </w:r>
      <w:proofErr w:type="spellEnd"/>
      <w:r w:rsidRPr="00D470C0">
        <w:t xml:space="preserve"> Syndrome, demyelination, Bell’s</w:t>
      </w:r>
      <w:proofErr w:type="gramEnd"/>
      <w:r w:rsidRPr="00D470C0">
        <w:t xml:space="preserve"> palsy</w:t>
      </w:r>
      <w:r>
        <w:t xml:space="preserve"> </w:t>
      </w:r>
      <w:r w:rsidRPr="00D470C0">
        <w:t>and immune thrombocytopenia) described in the RMP. Novartis hereby provides reassurance</w:t>
      </w:r>
      <w:r>
        <w:t xml:space="preserve"> </w:t>
      </w:r>
      <w:r w:rsidRPr="00D470C0">
        <w:t>that safety signals arising from routine pharmacovigilance will be scrutinised, and if any of</w:t>
      </w:r>
      <w:r>
        <w:t xml:space="preserve"> </w:t>
      </w:r>
      <w:r w:rsidRPr="00D470C0">
        <w:t xml:space="preserve">the potential risks described above are reported with </w:t>
      </w:r>
      <w:proofErr w:type="spellStart"/>
      <w:r w:rsidR="00C477B9">
        <w:t>Optaflu</w:t>
      </w:r>
      <w:proofErr w:type="spellEnd"/>
      <w:r w:rsidRPr="00D470C0">
        <w:t>, necessity of inclusion of in</w:t>
      </w:r>
      <w:r>
        <w:t xml:space="preserve"> </w:t>
      </w:r>
      <w:r w:rsidRPr="00D470C0">
        <w:t>the Australian PI will be reassessed.</w:t>
      </w:r>
    </w:p>
    <w:p w:rsidR="00102425" w:rsidRPr="00102425" w:rsidRDefault="00102425" w:rsidP="00102425">
      <w:pPr>
        <w:pStyle w:val="Heading6"/>
        <w:rPr>
          <w:rFonts w:eastAsiaTheme="minorHAnsi"/>
        </w:rPr>
      </w:pPr>
      <w:r w:rsidRPr="00102425">
        <w:rPr>
          <w:rFonts w:eastAsiaTheme="minorHAnsi"/>
        </w:rPr>
        <w:t xml:space="preserve">Use of </w:t>
      </w:r>
      <w:proofErr w:type="spellStart"/>
      <w:r w:rsidR="00C477B9">
        <w:rPr>
          <w:rFonts w:eastAsiaTheme="minorHAnsi"/>
        </w:rPr>
        <w:t>Optaflu</w:t>
      </w:r>
      <w:proofErr w:type="spellEnd"/>
      <w:r w:rsidRPr="00102425">
        <w:rPr>
          <w:rFonts w:eastAsiaTheme="minorHAnsi"/>
        </w:rPr>
        <w:t xml:space="preserve"> in dog allergic individuals</w:t>
      </w:r>
    </w:p>
    <w:p w:rsidR="00102425" w:rsidRPr="00722F1E" w:rsidRDefault="00722F1E" w:rsidP="00722F1E">
      <w:pPr>
        <w:pStyle w:val="ListBullet"/>
        <w:rPr>
          <w:i/>
        </w:rPr>
      </w:pPr>
      <w:r w:rsidRPr="00722F1E">
        <w:rPr>
          <w:i/>
        </w:rPr>
        <w:t>“</w:t>
      </w:r>
      <w:r w:rsidR="00102425" w:rsidRPr="00722F1E">
        <w:rPr>
          <w:i/>
        </w:rPr>
        <w:t xml:space="preserve">The committee is requested to provide advice on the use of </w:t>
      </w:r>
      <w:proofErr w:type="spellStart"/>
      <w:r w:rsidR="00C477B9">
        <w:rPr>
          <w:i/>
        </w:rPr>
        <w:t>Optaflu</w:t>
      </w:r>
      <w:proofErr w:type="spellEnd"/>
      <w:r w:rsidR="006F18B2">
        <w:rPr>
          <w:i/>
        </w:rPr>
        <w:t xml:space="preserve"> in dog </w:t>
      </w:r>
      <w:r w:rsidR="00102425" w:rsidRPr="00722F1E">
        <w:rPr>
          <w:i/>
        </w:rPr>
        <w:t>allergic individuals and the need for inclusion of this information in the PI.</w:t>
      </w:r>
      <w:r w:rsidRPr="00722F1E">
        <w:rPr>
          <w:i/>
        </w:rPr>
        <w:t>”</w:t>
      </w:r>
    </w:p>
    <w:p w:rsidR="005618FC" w:rsidRPr="005618FC" w:rsidRDefault="005618FC" w:rsidP="005618FC">
      <w:r w:rsidRPr="005618FC">
        <w:t>Novartis welcomes the Delegate’s inclination to accept that the hypersensitivity risk</w:t>
      </w:r>
      <w:r>
        <w:t xml:space="preserve"> </w:t>
      </w:r>
      <w:r w:rsidRPr="005618FC">
        <w:t>associated with the use in dog</w:t>
      </w:r>
      <w:r w:rsidR="006F18B2">
        <w:t xml:space="preserve"> </w:t>
      </w:r>
      <w:r w:rsidRPr="005618FC">
        <w:t>allergi</w:t>
      </w:r>
      <w:r w:rsidR="006F18B2">
        <w:t xml:space="preserve">c individuals is remote and </w:t>
      </w:r>
      <w:proofErr w:type="spellStart"/>
      <w:r w:rsidR="006F18B2">
        <w:t>non specific</w:t>
      </w:r>
      <w:proofErr w:type="spellEnd"/>
      <w:r w:rsidR="006F18B2">
        <w:t xml:space="preserve"> (DO</w:t>
      </w:r>
      <w:r w:rsidRPr="005618FC">
        <w:t>).</w:t>
      </w:r>
    </w:p>
    <w:p w:rsidR="005618FC" w:rsidRPr="005618FC" w:rsidRDefault="005618FC" w:rsidP="005618FC">
      <w:r w:rsidRPr="005618FC">
        <w:t xml:space="preserve">Even though </w:t>
      </w:r>
      <w:proofErr w:type="spellStart"/>
      <w:r w:rsidR="00C477B9">
        <w:t>Optaflu</w:t>
      </w:r>
      <w:proofErr w:type="spellEnd"/>
      <w:r w:rsidRPr="005618FC">
        <w:t xml:space="preserve"> is prepared from virus propagated</w:t>
      </w:r>
      <w:r>
        <w:t xml:space="preserve"> in MDCK cell lines, it is well </w:t>
      </w:r>
      <w:r w:rsidRPr="005618FC">
        <w:t>known that these cells do not express known major canine allergens associated with</w:t>
      </w:r>
      <w:r>
        <w:t xml:space="preserve"> </w:t>
      </w:r>
      <w:r w:rsidRPr="005618FC">
        <w:t>hypersensitivity reactions. In theory, minor canine allerg</w:t>
      </w:r>
      <w:r>
        <w:t xml:space="preserve">ens may still be present at the end of </w:t>
      </w:r>
      <w:r w:rsidRPr="005618FC">
        <w:t>manufacturing process posing a hypothetical concern with hypersensitivity reactions.</w:t>
      </w:r>
    </w:p>
    <w:p w:rsidR="005618FC" w:rsidRPr="005618FC" w:rsidRDefault="005618FC" w:rsidP="005618FC">
      <w:r w:rsidRPr="005618FC">
        <w:t xml:space="preserve">A post hoc review was performed using the </w:t>
      </w:r>
      <w:proofErr w:type="spellStart"/>
      <w:r w:rsidR="00C477B9">
        <w:t>Optaflu</w:t>
      </w:r>
      <w:proofErr w:type="spellEnd"/>
      <w:r w:rsidRPr="005618FC">
        <w:t xml:space="preserve"> clinica</w:t>
      </w:r>
      <w:r>
        <w:t xml:space="preserve">l trials database. There were a </w:t>
      </w:r>
      <w:r w:rsidR="00E222DB">
        <w:t>total of 10</w:t>
      </w:r>
      <w:r w:rsidRPr="005618FC">
        <w:t xml:space="preserve">065 </w:t>
      </w:r>
      <w:proofErr w:type="spellStart"/>
      <w:r w:rsidR="00C477B9">
        <w:t>Optaflu</w:t>
      </w:r>
      <w:proofErr w:type="spellEnd"/>
      <w:r w:rsidRPr="005618FC">
        <w:t xml:space="preserve"> recipients, of which ten individual</w:t>
      </w:r>
      <w:r>
        <w:t xml:space="preserve">s with a history of dog allergy </w:t>
      </w:r>
      <w:r w:rsidRPr="005618FC">
        <w:t xml:space="preserve">did not report any hypersensitivity reactions after vaccine administration. In an </w:t>
      </w:r>
      <w:r w:rsidRPr="00E222DB">
        <w:rPr>
          <w:i/>
        </w:rPr>
        <w:t>in vitro</w:t>
      </w:r>
      <w:r>
        <w:t xml:space="preserve"> study, </w:t>
      </w:r>
      <w:r w:rsidRPr="005618FC">
        <w:t>sera from 30 confirmed dog-allergic individuals who ex</w:t>
      </w:r>
      <w:r>
        <w:t xml:space="preserve">pressed convincing symptoms was </w:t>
      </w:r>
      <w:r w:rsidRPr="005618FC">
        <w:t xml:space="preserve">used to evaluate </w:t>
      </w:r>
      <w:proofErr w:type="spellStart"/>
      <w:r w:rsidRPr="005618FC">
        <w:t>allergenicity</w:t>
      </w:r>
      <w:proofErr w:type="spellEnd"/>
      <w:r w:rsidRPr="005618FC">
        <w:t xml:space="preserve"> of the vaccine using a bioassay able to detect low levels of</w:t>
      </w:r>
      <w:r>
        <w:t xml:space="preserve"> </w:t>
      </w:r>
      <w:r w:rsidRPr="005618FC">
        <w:t>aller</w:t>
      </w:r>
      <w:r w:rsidR="0061552E">
        <w:t>gens (MA, Novartis response to Section 31 request</w:t>
      </w:r>
      <w:r w:rsidRPr="005618FC">
        <w:t>). None of the sera from</w:t>
      </w:r>
      <w:r>
        <w:t xml:space="preserve"> </w:t>
      </w:r>
      <w:r w:rsidRPr="005618FC">
        <w:t>dog-allergic individuals’ bioassay results showed evidence of dog protein allergy following</w:t>
      </w:r>
      <w:r>
        <w:t xml:space="preserve"> </w:t>
      </w:r>
      <w:r w:rsidRPr="005618FC">
        <w:t xml:space="preserve">exposure to </w:t>
      </w:r>
      <w:proofErr w:type="spellStart"/>
      <w:r w:rsidR="00CB20C5">
        <w:t>Optaflu</w:t>
      </w:r>
      <w:proofErr w:type="spellEnd"/>
      <w:r w:rsidRPr="005618FC">
        <w:t>.</w:t>
      </w:r>
      <w:r w:rsidR="0061552E">
        <w:rPr>
          <w:rStyle w:val="FootnoteReference"/>
        </w:rPr>
        <w:footnoteReference w:id="26"/>
      </w:r>
    </w:p>
    <w:p w:rsidR="005618FC" w:rsidRDefault="005618FC" w:rsidP="005618FC">
      <w:r w:rsidRPr="005618FC">
        <w:t>Based on the above, Novartis concludes that the safety risk o</w:t>
      </w:r>
      <w:r>
        <w:t xml:space="preserve">f hypersensitivity reactions in </w:t>
      </w:r>
      <w:r w:rsidRPr="005618FC">
        <w:t xml:space="preserve">individuals with dog allergy receiving annual doses </w:t>
      </w:r>
      <w:r>
        <w:t xml:space="preserve">of </w:t>
      </w:r>
      <w:proofErr w:type="spellStart"/>
      <w:r w:rsidR="00C477B9">
        <w:t>Optaflu</w:t>
      </w:r>
      <w:proofErr w:type="spellEnd"/>
      <w:r>
        <w:t xml:space="preserve"> is minimal. Novartis </w:t>
      </w:r>
      <w:r w:rsidRPr="005618FC">
        <w:t>strongly believes that adequate pharmacovigilance pro</w:t>
      </w:r>
      <w:r>
        <w:t xml:space="preserve">cedures are currently in place, </w:t>
      </w:r>
      <w:r w:rsidRPr="005618FC">
        <w:t xml:space="preserve">monitoring all AEs reported with special attention paid to </w:t>
      </w:r>
      <w:r>
        <w:t xml:space="preserve">hypersensitivity reactions. Any </w:t>
      </w:r>
      <w:r w:rsidRPr="005618FC">
        <w:t>safety signals for hypersensitivity in dog</w:t>
      </w:r>
      <w:r w:rsidR="002677E9">
        <w:t xml:space="preserve"> </w:t>
      </w:r>
      <w:r w:rsidRPr="005618FC">
        <w:t>allergic i</w:t>
      </w:r>
      <w:r>
        <w:t xml:space="preserve">ndividuals arising from routine </w:t>
      </w:r>
      <w:r w:rsidRPr="005618FC">
        <w:t>pharmacovigilance will be evaluated.</w:t>
      </w:r>
    </w:p>
    <w:p w:rsidR="00717C33" w:rsidRPr="00717C33" w:rsidRDefault="00717C33" w:rsidP="00717C33">
      <w:pPr>
        <w:pStyle w:val="Heading6"/>
        <w:rPr>
          <w:rFonts w:eastAsiaTheme="minorHAnsi"/>
        </w:rPr>
      </w:pPr>
      <w:r w:rsidRPr="00717C33">
        <w:rPr>
          <w:rFonts w:eastAsiaTheme="minorHAnsi"/>
        </w:rPr>
        <w:t>Overseas regulatory status update</w:t>
      </w:r>
    </w:p>
    <w:p w:rsidR="00717C33" w:rsidRPr="00717C33" w:rsidRDefault="00717C33" w:rsidP="00717C33">
      <w:r w:rsidRPr="00717C33">
        <w:t>An overseas regulatory status u</w:t>
      </w:r>
      <w:r>
        <w:t xml:space="preserve">pdate for </w:t>
      </w:r>
      <w:proofErr w:type="spellStart"/>
      <w:r w:rsidR="00C477B9">
        <w:t>Optaflu</w:t>
      </w:r>
      <w:proofErr w:type="spellEnd"/>
      <w:r>
        <w:t xml:space="preserve"> is provided</w:t>
      </w:r>
      <w:r w:rsidRPr="00717C33">
        <w:t>.</w:t>
      </w:r>
    </w:p>
    <w:p w:rsidR="00717C33" w:rsidRPr="00717C33" w:rsidRDefault="00717C33" w:rsidP="00717C33">
      <w:pPr>
        <w:pStyle w:val="Heading6"/>
        <w:rPr>
          <w:rFonts w:eastAsiaTheme="minorHAnsi"/>
        </w:rPr>
      </w:pPr>
      <w:r>
        <w:rPr>
          <w:rFonts w:eastAsiaTheme="minorHAnsi"/>
        </w:rPr>
        <w:t xml:space="preserve">Relevant </w:t>
      </w:r>
      <w:proofErr w:type="spellStart"/>
      <w:r>
        <w:rPr>
          <w:rFonts w:eastAsiaTheme="minorHAnsi"/>
        </w:rPr>
        <w:t>post</w:t>
      </w:r>
      <w:r w:rsidRPr="00717C33">
        <w:rPr>
          <w:rFonts w:eastAsiaTheme="minorHAnsi"/>
        </w:rPr>
        <w:t>marketing</w:t>
      </w:r>
      <w:proofErr w:type="spellEnd"/>
      <w:r w:rsidRPr="00717C33">
        <w:rPr>
          <w:rFonts w:eastAsiaTheme="minorHAnsi"/>
        </w:rPr>
        <w:t xml:space="preserve"> data</w:t>
      </w:r>
    </w:p>
    <w:p w:rsidR="00717C33" w:rsidRDefault="00717C33" w:rsidP="00717C33">
      <w:proofErr w:type="gramStart"/>
      <w:r w:rsidRPr="00717C33">
        <w:t>PSURs covering period from first worldwide registrat</w:t>
      </w:r>
      <w:r>
        <w:t xml:space="preserve">ion to 31 August 2014 </w:t>
      </w:r>
      <w:r w:rsidR="00044640">
        <w:t>is</w:t>
      </w:r>
      <w:proofErr w:type="gramEnd"/>
      <w:r w:rsidR="00044640">
        <w:t xml:space="preserve"> provided</w:t>
      </w:r>
      <w:r w:rsidR="00CB20C5">
        <w:t xml:space="preserve">. An update on </w:t>
      </w:r>
      <w:proofErr w:type="spellStart"/>
      <w:r w:rsidR="00CB20C5">
        <w:t>post</w:t>
      </w:r>
      <w:r w:rsidRPr="00717C33">
        <w:t>marketing</w:t>
      </w:r>
      <w:proofErr w:type="spellEnd"/>
      <w:r w:rsidRPr="00717C33">
        <w:t xml:space="preserve"> reac</w:t>
      </w:r>
      <w:r>
        <w:t xml:space="preserve">tions up until 31 December 2014 </w:t>
      </w:r>
      <w:r w:rsidR="00044640">
        <w:t>is also provided</w:t>
      </w:r>
      <w:r w:rsidRPr="00717C33">
        <w:t>.</w:t>
      </w:r>
    </w:p>
    <w:p w:rsidR="00D93A8E" w:rsidRPr="00D93A8E" w:rsidRDefault="00D93A8E" w:rsidP="00D93A8E">
      <w:pPr>
        <w:pStyle w:val="Heading6"/>
        <w:rPr>
          <w:rFonts w:eastAsiaTheme="minorHAnsi"/>
        </w:rPr>
      </w:pPr>
      <w:r w:rsidRPr="00D93A8E">
        <w:rPr>
          <w:rFonts w:eastAsiaTheme="minorHAnsi"/>
        </w:rPr>
        <w:t>Update on studies in children in the US and in Europe</w:t>
      </w:r>
    </w:p>
    <w:p w:rsidR="00D93A8E" w:rsidRPr="00D93A8E" w:rsidRDefault="00D93A8E" w:rsidP="00D93A8E">
      <w:r w:rsidRPr="00D93A8E">
        <w:t>To date, Novartis has completed 3 clinical trials in the paediatric population:</w:t>
      </w:r>
    </w:p>
    <w:p w:rsidR="00D93A8E" w:rsidRPr="00D93A8E" w:rsidRDefault="0012141A" w:rsidP="00D93A8E">
      <w:pPr>
        <w:pStyle w:val="ListBullet"/>
      </w:pPr>
      <w:r>
        <w:t>Study V58</w:t>
      </w:r>
      <w:r w:rsidR="0039556C">
        <w:t>_</w:t>
      </w:r>
      <w:r w:rsidR="00D93A8E" w:rsidRPr="00D93A8E">
        <w:t>31: a safety stud</w:t>
      </w:r>
      <w:r>
        <w:t xml:space="preserve">y in children aged 4 to 18 year </w:t>
      </w:r>
      <w:r w:rsidR="00D93A8E" w:rsidRPr="00D93A8E">
        <w:t>old</w:t>
      </w:r>
      <w:r>
        <w:t>s</w:t>
      </w:r>
    </w:p>
    <w:p w:rsidR="00D93A8E" w:rsidRPr="00D93A8E" w:rsidRDefault="00D93A8E" w:rsidP="00D93A8E">
      <w:pPr>
        <w:pStyle w:val="ListBullet"/>
      </w:pPr>
      <w:r w:rsidRPr="00D93A8E">
        <w:lastRenderedPageBreak/>
        <w:t>Study V58P12: an immunogenicity and safety study in</w:t>
      </w:r>
      <w:r w:rsidR="0012141A">
        <w:t xml:space="preserve"> children aged 3 to 18 year </w:t>
      </w:r>
      <w:r>
        <w:t>old</w:t>
      </w:r>
      <w:r w:rsidR="0012141A">
        <w:t>s</w:t>
      </w:r>
      <w:r>
        <w:t xml:space="preserve"> </w:t>
      </w:r>
      <w:r w:rsidR="0012141A">
        <w:t>(MA</w:t>
      </w:r>
      <w:r w:rsidRPr="00D93A8E">
        <w:t>)</w:t>
      </w:r>
    </w:p>
    <w:p w:rsidR="00D93A8E" w:rsidRPr="00D93A8E" w:rsidRDefault="00D93A8E" w:rsidP="00D93A8E">
      <w:pPr>
        <w:pStyle w:val="ListBullet"/>
      </w:pPr>
      <w:r w:rsidRPr="00D93A8E">
        <w:t>Study V58P15: a safety study in children aged 3 to 1</w:t>
      </w:r>
      <w:r>
        <w:t xml:space="preserve">7 year-old at risk of influenza </w:t>
      </w:r>
      <w:r w:rsidRPr="00D93A8E">
        <w:t>associated complications</w:t>
      </w:r>
      <w:r w:rsidR="002677E9">
        <w:t>.</w:t>
      </w:r>
    </w:p>
    <w:p w:rsidR="00D93A8E" w:rsidRPr="00D93A8E" w:rsidRDefault="00D93A8E" w:rsidP="00D93A8E">
      <w:r w:rsidRPr="00D93A8E">
        <w:t>In the US, an application including the Clinical Study Repor</w:t>
      </w:r>
      <w:r w:rsidR="0097567A">
        <w:t xml:space="preserve">ts (CSRs) of </w:t>
      </w:r>
      <w:r w:rsidR="002677E9">
        <w:t>S</w:t>
      </w:r>
      <w:r w:rsidR="0097567A">
        <w:t xml:space="preserve">tudies V58P12 and </w:t>
      </w:r>
      <w:r w:rsidRPr="00D93A8E">
        <w:t>V58</w:t>
      </w:r>
      <w:r w:rsidR="0039556C">
        <w:t>_</w:t>
      </w:r>
      <w:r w:rsidRPr="00D93A8E">
        <w:t>31 was filed to the FDA in November 2014 as an</w:t>
      </w:r>
      <w:r w:rsidR="0097567A">
        <w:t xml:space="preserve"> efficacy supplement to support </w:t>
      </w:r>
      <w:r w:rsidRPr="00D93A8E">
        <w:t>li</w:t>
      </w:r>
      <w:r w:rsidR="00323A5C">
        <w:t xml:space="preserve">censure in children over 4 year </w:t>
      </w:r>
      <w:r w:rsidRPr="00D93A8E">
        <w:t>old</w:t>
      </w:r>
      <w:r w:rsidR="00323A5C">
        <w:t>s</w:t>
      </w:r>
      <w:r w:rsidRPr="00D93A8E">
        <w:t>.</w:t>
      </w:r>
    </w:p>
    <w:p w:rsidR="00D93A8E" w:rsidRPr="00D93A8E" w:rsidRDefault="00D93A8E" w:rsidP="00D93A8E">
      <w:r w:rsidRPr="00D93A8E">
        <w:t>In Europe, the CSRs have also been submitted. The results</w:t>
      </w:r>
      <w:r w:rsidR="0097567A">
        <w:t xml:space="preserve"> of study V58P15 were submitted </w:t>
      </w:r>
      <w:r w:rsidRPr="00D93A8E">
        <w:t>to the EMA in January 2014, while the CSRs of studies V</w:t>
      </w:r>
      <w:r w:rsidR="0097567A">
        <w:t xml:space="preserve">58_31 and V58P12 were submitted </w:t>
      </w:r>
      <w:r w:rsidRPr="00D93A8E">
        <w:t>to the EMA in December 2014.</w:t>
      </w:r>
    </w:p>
    <w:p w:rsidR="00356DFB" w:rsidRDefault="00D93A8E" w:rsidP="002F16E8">
      <w:r w:rsidRPr="00D93A8E">
        <w:t>Nevertheless, there are no immediate intentions to apply for a paediatric indication in Europe</w:t>
      </w:r>
      <w:r w:rsidR="0097567A">
        <w:t xml:space="preserve"> </w:t>
      </w:r>
      <w:r w:rsidRPr="00D93A8E">
        <w:t>or Australia.</w:t>
      </w:r>
    </w:p>
    <w:p w:rsidR="00217925" w:rsidRPr="00217925" w:rsidRDefault="0039556C" w:rsidP="00217925">
      <w:pPr>
        <w:pStyle w:val="Heading6"/>
        <w:rPr>
          <w:rFonts w:eastAsiaTheme="minorHAnsi"/>
        </w:rPr>
      </w:pPr>
      <w:r>
        <w:rPr>
          <w:rFonts w:eastAsiaTheme="minorHAnsi"/>
        </w:rPr>
        <w:t>PI and CMI</w:t>
      </w:r>
    </w:p>
    <w:p w:rsidR="00217925" w:rsidRPr="00217925" w:rsidRDefault="00217925" w:rsidP="00217925">
      <w:r w:rsidRPr="00217925">
        <w:t>The TGA recommended amendments to the Australian</w:t>
      </w:r>
      <w:r>
        <w:t xml:space="preserve"> PI and CMI were implemented by </w:t>
      </w:r>
      <w:r w:rsidRPr="00217925">
        <w:t>Novartis. An annotated and clean copy of the PI and CMI are provided.</w:t>
      </w:r>
    </w:p>
    <w:p w:rsidR="00217925" w:rsidRPr="00217925" w:rsidRDefault="00217925" w:rsidP="00217925">
      <w:pPr>
        <w:pStyle w:val="Heading5"/>
        <w:rPr>
          <w:rFonts w:eastAsiaTheme="minorHAnsi"/>
        </w:rPr>
      </w:pPr>
      <w:r>
        <w:rPr>
          <w:rFonts w:eastAsiaTheme="minorHAnsi"/>
        </w:rPr>
        <w:t>Concluding remarks</w:t>
      </w:r>
    </w:p>
    <w:p w:rsidR="00217925" w:rsidRPr="00217925" w:rsidRDefault="00217925" w:rsidP="00217925">
      <w:r w:rsidRPr="00217925">
        <w:t>Novartis welcomes the Delegate’s recommendation</w:t>
      </w:r>
      <w:r>
        <w:t xml:space="preserve"> to approve </w:t>
      </w:r>
      <w:proofErr w:type="spellStart"/>
      <w:r>
        <w:t>O</w:t>
      </w:r>
      <w:r w:rsidR="00A922C8">
        <w:t>ptaflu</w:t>
      </w:r>
      <w:proofErr w:type="spellEnd"/>
      <w:r>
        <w:t xml:space="preserve"> inactivated </w:t>
      </w:r>
      <w:r w:rsidRPr="00217925">
        <w:t>influenza virus vaccine (surface antigens) prepared in cell</w:t>
      </w:r>
      <w:r>
        <w:t xml:space="preserve"> cultures for the prevention of </w:t>
      </w:r>
      <w:r w:rsidRPr="00217925">
        <w:t>influenza caused by Influenza Virus, Types A and B in adults over 18 years of age.</w:t>
      </w:r>
    </w:p>
    <w:p w:rsidR="008E7846" w:rsidRDefault="002F16E8" w:rsidP="008E7846">
      <w:pPr>
        <w:pStyle w:val="Heading4"/>
      </w:pPr>
      <w:r>
        <w:t>Advisory c</w:t>
      </w:r>
      <w:r w:rsidR="008E7846">
        <w:t xml:space="preserve">ommittee </w:t>
      </w:r>
      <w:r>
        <w:t>c</w:t>
      </w:r>
      <w:r w:rsidR="008E7846">
        <w:t>onsiderations</w:t>
      </w:r>
    </w:p>
    <w:p w:rsidR="008F70D7" w:rsidRPr="00F73355" w:rsidRDefault="008F70D7" w:rsidP="00F73355">
      <w:pPr>
        <w:spacing w:line="240" w:lineRule="auto"/>
        <w:rPr>
          <w:rFonts w:eastAsia="Times New Roman" w:cs="Arial"/>
          <w:lang w:eastAsia="en-AU"/>
        </w:rPr>
      </w:pPr>
      <w:r w:rsidRPr="00A70245">
        <w:rPr>
          <w:rFonts w:eastAsia="Times New Roman" w:cs="Arial"/>
          <w:lang w:eastAsia="en-AU"/>
        </w:rPr>
        <w:t xml:space="preserve">The </w:t>
      </w:r>
      <w:r w:rsidR="0012141A">
        <w:rPr>
          <w:bCs/>
        </w:rPr>
        <w:t>ACPM</w:t>
      </w:r>
      <w:r w:rsidRPr="00A70245">
        <w:rPr>
          <w:rFonts w:eastAsia="Times New Roman" w:cs="Arial"/>
          <w:lang w:eastAsia="en-AU"/>
        </w:rPr>
        <w:t xml:space="preserve"> re</w:t>
      </w:r>
      <w:r w:rsidR="00F73355">
        <w:rPr>
          <w:rFonts w:eastAsia="Times New Roman" w:cs="Arial"/>
          <w:lang w:eastAsia="en-AU"/>
        </w:rPr>
        <w:t>solved to recommend to the TGA D</w:t>
      </w:r>
      <w:r w:rsidRPr="00A70245">
        <w:rPr>
          <w:rFonts w:eastAsia="Times New Roman" w:cs="Arial"/>
          <w:lang w:eastAsia="en-AU"/>
        </w:rPr>
        <w:t>elegate of t</w:t>
      </w:r>
      <w:r w:rsidR="00F73355">
        <w:rPr>
          <w:rFonts w:eastAsia="Times New Roman" w:cs="Arial"/>
          <w:lang w:eastAsia="en-AU"/>
        </w:rPr>
        <w:t xml:space="preserve">he Minister and Secretary that </w:t>
      </w:r>
      <w:r w:rsidRPr="00A70245">
        <w:rPr>
          <w:rFonts w:eastAsia="MS Mincho" w:cs="Calibri"/>
          <w:color w:val="000000"/>
          <w:lang w:eastAsia="ja-JP"/>
        </w:rPr>
        <w:t xml:space="preserve">taking into account the submitted evidence of efficacy, safety and quality, </w:t>
      </w:r>
      <w:r w:rsidR="00F73355">
        <w:rPr>
          <w:rFonts w:eastAsia="MS Mincho" w:cs="Calibri"/>
          <w:color w:val="000000"/>
          <w:lang w:eastAsia="ja-JP"/>
        </w:rPr>
        <w:t xml:space="preserve">the ACPM </w:t>
      </w:r>
      <w:r w:rsidRPr="00A70245">
        <w:rPr>
          <w:rFonts w:eastAsia="MS Mincho" w:cs="Calibri"/>
          <w:color w:val="000000"/>
          <w:lang w:eastAsia="ja-JP"/>
        </w:rPr>
        <w:t xml:space="preserve">agreed with the </w:t>
      </w:r>
      <w:r w:rsidR="00F73355">
        <w:rPr>
          <w:rFonts w:eastAsia="MS Mincho" w:cs="Calibri"/>
          <w:color w:val="000000"/>
          <w:lang w:eastAsia="ja-JP"/>
        </w:rPr>
        <w:t>D</w:t>
      </w:r>
      <w:r w:rsidRPr="00A70245">
        <w:rPr>
          <w:rFonts w:eastAsia="MS Mincho" w:cs="Calibri"/>
          <w:color w:val="000000"/>
          <w:lang w:eastAsia="ja-JP"/>
        </w:rPr>
        <w:t xml:space="preserve">elegate and considered </w:t>
      </w:r>
      <w:proofErr w:type="spellStart"/>
      <w:r w:rsidR="00C264D3">
        <w:rPr>
          <w:rFonts w:eastAsia="MS Mincho"/>
          <w:bCs/>
          <w:lang w:eastAsia="ja-JP"/>
        </w:rPr>
        <w:t>Optaflu</w:t>
      </w:r>
      <w:proofErr w:type="spellEnd"/>
      <w:r w:rsidRPr="00A70245">
        <w:rPr>
          <w:rFonts w:eastAsia="MS Mincho"/>
          <w:bCs/>
          <w:lang w:eastAsia="ja-JP"/>
        </w:rPr>
        <w:t>,</w:t>
      </w:r>
      <w:r w:rsidRPr="00A70245">
        <w:rPr>
          <w:rFonts w:eastAsia="MS Mincho"/>
          <w:lang w:eastAsia="ja-JP"/>
        </w:rPr>
        <w:t xml:space="preserve"> </w:t>
      </w:r>
      <w:r w:rsidRPr="00A70245">
        <w:rPr>
          <w:rFonts w:eastAsia="MS Mincho"/>
          <w:bCs/>
          <w:lang w:eastAsia="ja-JP"/>
        </w:rPr>
        <w:t>solution for injection 0.5 mL prefilled syringe, containing the following inactivated influenza virus vaccine (surface antigens)</w:t>
      </w:r>
      <w:r w:rsidRPr="00D363A4">
        <w:rPr>
          <w:rFonts w:eastAsia="MS Mincho" w:cs="Calibri"/>
          <w:color w:val="000000"/>
          <w:lang w:eastAsia="ja-JP"/>
        </w:rPr>
        <w:t xml:space="preserve"> </w:t>
      </w:r>
      <w:r w:rsidRPr="00A70245">
        <w:rPr>
          <w:rFonts w:eastAsia="MS Mincho" w:cs="Calibri"/>
          <w:color w:val="000000"/>
          <w:lang w:eastAsia="ja-JP"/>
        </w:rPr>
        <w:t>to h</w:t>
      </w:r>
      <w:r w:rsidR="00957270">
        <w:rPr>
          <w:rFonts w:eastAsia="MS Mincho" w:cs="Calibri"/>
          <w:color w:val="000000"/>
          <w:lang w:eastAsia="ja-JP"/>
        </w:rPr>
        <w:t>ave an overall positive benefit-</w:t>
      </w:r>
      <w:r w:rsidR="0046375C">
        <w:rPr>
          <w:rFonts w:eastAsia="MS Mincho" w:cs="Calibri"/>
          <w:color w:val="000000"/>
          <w:lang w:eastAsia="ja-JP"/>
        </w:rPr>
        <w:t>risk profile</w:t>
      </w:r>
    </w:p>
    <w:p w:rsidR="008F70D7" w:rsidRPr="00A70245" w:rsidRDefault="008F70D7" w:rsidP="002F16E8">
      <w:pPr>
        <w:pStyle w:val="ListBullet"/>
        <w:rPr>
          <w:lang w:eastAsia="ja-JP"/>
        </w:rPr>
      </w:pPr>
      <w:r w:rsidRPr="00A70245">
        <w:rPr>
          <w:lang w:eastAsia="ja-JP"/>
        </w:rPr>
        <w:t xml:space="preserve">A/&lt;Official strain&gt; (H1N1) 15 </w:t>
      </w:r>
      <w:proofErr w:type="spellStart"/>
      <w:r w:rsidRPr="00A70245">
        <w:rPr>
          <w:lang w:eastAsia="ja-JP"/>
        </w:rPr>
        <w:t>μg</w:t>
      </w:r>
      <w:proofErr w:type="spellEnd"/>
      <w:r w:rsidRPr="00A70245">
        <w:rPr>
          <w:lang w:eastAsia="ja-JP"/>
        </w:rPr>
        <w:t xml:space="preserve"> </w:t>
      </w:r>
      <w:proofErr w:type="spellStart"/>
      <w:r w:rsidRPr="00A70245">
        <w:rPr>
          <w:lang w:eastAsia="ja-JP"/>
        </w:rPr>
        <w:t>haemagglutinin</w:t>
      </w:r>
      <w:proofErr w:type="spellEnd"/>
    </w:p>
    <w:p w:rsidR="008F70D7" w:rsidRPr="00A70245" w:rsidRDefault="008F70D7" w:rsidP="008A1CD6">
      <w:pPr>
        <w:pStyle w:val="ListBullet"/>
        <w:rPr>
          <w:lang w:eastAsia="ja-JP"/>
        </w:rPr>
      </w:pPr>
      <w:r w:rsidRPr="00A70245">
        <w:rPr>
          <w:lang w:eastAsia="ja-JP"/>
        </w:rPr>
        <w:t xml:space="preserve">A/&lt;Official strain&gt; (H3N2) 15 </w:t>
      </w:r>
      <w:proofErr w:type="spellStart"/>
      <w:r w:rsidRPr="00A70245">
        <w:rPr>
          <w:lang w:eastAsia="ja-JP"/>
        </w:rPr>
        <w:t>μg</w:t>
      </w:r>
      <w:proofErr w:type="spellEnd"/>
      <w:r w:rsidRPr="00A70245">
        <w:rPr>
          <w:lang w:eastAsia="ja-JP"/>
        </w:rPr>
        <w:t xml:space="preserve"> </w:t>
      </w:r>
      <w:proofErr w:type="spellStart"/>
      <w:r w:rsidRPr="00A70245">
        <w:rPr>
          <w:lang w:eastAsia="ja-JP"/>
        </w:rPr>
        <w:t>haemagglutinin</w:t>
      </w:r>
      <w:proofErr w:type="spellEnd"/>
    </w:p>
    <w:p w:rsidR="008F70D7" w:rsidRPr="00A70245" w:rsidRDefault="008F70D7" w:rsidP="008A1CD6">
      <w:pPr>
        <w:pStyle w:val="ListBullet"/>
        <w:rPr>
          <w:lang w:eastAsia="ja-JP"/>
        </w:rPr>
      </w:pPr>
      <w:r w:rsidRPr="00A70245">
        <w:rPr>
          <w:lang w:eastAsia="ja-JP"/>
        </w:rPr>
        <w:t xml:space="preserve">B/&lt;Official strain&gt; 15 </w:t>
      </w:r>
      <w:proofErr w:type="spellStart"/>
      <w:r w:rsidRPr="00A70245">
        <w:rPr>
          <w:lang w:eastAsia="ja-JP"/>
        </w:rPr>
        <w:t>μg</w:t>
      </w:r>
      <w:proofErr w:type="spellEnd"/>
      <w:r w:rsidRPr="00A70245">
        <w:rPr>
          <w:lang w:eastAsia="ja-JP"/>
        </w:rPr>
        <w:t xml:space="preserve"> </w:t>
      </w:r>
      <w:proofErr w:type="spellStart"/>
      <w:r w:rsidRPr="00A70245">
        <w:rPr>
          <w:lang w:eastAsia="ja-JP"/>
        </w:rPr>
        <w:t>haemagglutinin</w:t>
      </w:r>
      <w:proofErr w:type="spellEnd"/>
    </w:p>
    <w:p w:rsidR="008F70D7" w:rsidRDefault="008F70D7" w:rsidP="008F70D7">
      <w:pPr>
        <w:adjustRightInd w:val="0"/>
        <w:snapToGrid w:val="0"/>
        <w:rPr>
          <w:rFonts w:eastAsia="MS Mincho" w:cs="Calibri"/>
          <w:b/>
          <w:i/>
          <w:lang w:eastAsia="ja-JP"/>
        </w:rPr>
      </w:pPr>
      <w:proofErr w:type="gramStart"/>
      <w:r w:rsidRPr="00A70245">
        <w:rPr>
          <w:rFonts w:eastAsia="MS Mincho" w:cs="Calibri"/>
          <w:color w:val="000000"/>
          <w:lang w:eastAsia="ja-JP"/>
        </w:rPr>
        <w:t>for</w:t>
      </w:r>
      <w:proofErr w:type="gramEnd"/>
      <w:r w:rsidRPr="00A70245">
        <w:rPr>
          <w:rFonts w:eastAsia="MS Mincho" w:cs="Calibri"/>
          <w:color w:val="000000"/>
          <w:lang w:eastAsia="ja-JP"/>
        </w:rPr>
        <w:t xml:space="preserve"> the </w:t>
      </w:r>
      <w:r>
        <w:rPr>
          <w:rFonts w:eastAsia="MS Mincho" w:cs="Calibri"/>
          <w:lang w:eastAsia="ja-JP"/>
        </w:rPr>
        <w:t>modified</w:t>
      </w:r>
      <w:r w:rsidRPr="00A70245">
        <w:rPr>
          <w:rFonts w:eastAsia="MS Mincho" w:cs="Calibri"/>
          <w:lang w:eastAsia="ja-JP"/>
        </w:rPr>
        <w:t xml:space="preserve"> </w:t>
      </w:r>
      <w:r w:rsidR="00F73355">
        <w:rPr>
          <w:rFonts w:eastAsia="MS Mincho" w:cs="Calibri"/>
          <w:color w:val="000000"/>
          <w:lang w:eastAsia="ja-JP"/>
        </w:rPr>
        <w:t>indication:</w:t>
      </w:r>
    </w:p>
    <w:p w:rsidR="008F70D7" w:rsidRPr="00091B8F" w:rsidRDefault="008F70D7" w:rsidP="00091B8F">
      <w:pPr>
        <w:ind w:left="720"/>
        <w:rPr>
          <w:i/>
        </w:rPr>
      </w:pPr>
      <w:proofErr w:type="gramStart"/>
      <w:r w:rsidRPr="00091B8F">
        <w:rPr>
          <w:i/>
        </w:rPr>
        <w:t>For the prevention of influenza caused by Influenza Virus, Types A and B in adults over 18 years of age.</w:t>
      </w:r>
      <w:proofErr w:type="gramEnd"/>
    </w:p>
    <w:p w:rsidR="008F70D7" w:rsidRPr="00091B8F" w:rsidRDefault="008F70D7" w:rsidP="00091B8F">
      <w:pPr>
        <w:ind w:left="720"/>
      </w:pPr>
      <w:r w:rsidRPr="00091B8F">
        <w:rPr>
          <w:i/>
        </w:rPr>
        <w:t>For full details regarding the recommendations for influenza vaccination refer to the current Australian Immunisation Handbook.</w:t>
      </w:r>
    </w:p>
    <w:p w:rsidR="008F70D7" w:rsidRPr="00A70245" w:rsidRDefault="008F70D7" w:rsidP="008F70D7">
      <w:pPr>
        <w:adjustRightInd w:val="0"/>
        <w:snapToGrid w:val="0"/>
        <w:rPr>
          <w:rFonts w:eastAsia="MS Mincho"/>
          <w:bCs/>
          <w:iCs/>
          <w:lang w:eastAsia="ja-JP"/>
        </w:rPr>
      </w:pPr>
      <w:r w:rsidRPr="00A70245">
        <w:rPr>
          <w:rFonts w:eastAsia="MS Mincho"/>
          <w:bCs/>
          <w:iCs/>
          <w:lang w:eastAsia="ja-JP"/>
        </w:rPr>
        <w:t>In making this recommendation</w:t>
      </w:r>
      <w:r w:rsidR="00091B8F">
        <w:rPr>
          <w:rFonts w:eastAsia="MS Mincho"/>
          <w:bCs/>
          <w:iCs/>
          <w:lang w:eastAsia="ja-JP"/>
        </w:rPr>
        <w:t>,</w:t>
      </w:r>
      <w:r w:rsidRPr="00A70245">
        <w:rPr>
          <w:rFonts w:eastAsia="MS Mincho"/>
          <w:bCs/>
          <w:iCs/>
          <w:lang w:eastAsia="ja-JP"/>
        </w:rPr>
        <w:t xml:space="preserve"> the ACPM </w:t>
      </w:r>
      <w:r>
        <w:rPr>
          <w:rFonts w:eastAsia="MS Mincho"/>
          <w:bCs/>
          <w:iCs/>
          <w:lang w:eastAsia="ja-JP"/>
        </w:rPr>
        <w:t>e</w:t>
      </w:r>
      <w:r w:rsidRPr="00A70245">
        <w:rPr>
          <w:rFonts w:eastAsia="MS Mincho"/>
          <w:bCs/>
          <w:iCs/>
          <w:lang w:eastAsia="ja-JP"/>
        </w:rPr>
        <w:t xml:space="preserve">xpressed </w:t>
      </w:r>
      <w:r>
        <w:rPr>
          <w:rFonts w:eastAsia="MS Mincho"/>
          <w:bCs/>
          <w:iCs/>
          <w:lang w:eastAsia="ja-JP"/>
        </w:rPr>
        <w:t xml:space="preserve">some </w:t>
      </w:r>
      <w:r w:rsidRPr="00A70245">
        <w:rPr>
          <w:rFonts w:eastAsia="MS Mincho"/>
          <w:bCs/>
          <w:iCs/>
          <w:lang w:eastAsia="ja-JP"/>
        </w:rPr>
        <w:t xml:space="preserve">concern that </w:t>
      </w:r>
      <w:r>
        <w:rPr>
          <w:rFonts w:eastAsia="MS Mincho"/>
          <w:bCs/>
          <w:iCs/>
          <w:lang w:eastAsia="ja-JP"/>
        </w:rPr>
        <w:t>n</w:t>
      </w:r>
      <w:r w:rsidRPr="00D363A4">
        <w:rPr>
          <w:rFonts w:eastAsia="MS Mincho"/>
          <w:bCs/>
          <w:iCs/>
          <w:lang w:eastAsia="ja-JP"/>
        </w:rPr>
        <w:t>o data in immunocompromised or paediatric patients</w:t>
      </w:r>
      <w:r>
        <w:rPr>
          <w:rFonts w:eastAsia="MS Mincho"/>
          <w:bCs/>
          <w:iCs/>
          <w:lang w:eastAsia="ja-JP"/>
        </w:rPr>
        <w:t xml:space="preserve"> were presented but noted that paediatric data were available for evaluation and </w:t>
      </w:r>
      <w:r w:rsidRPr="00A70245">
        <w:rPr>
          <w:rFonts w:eastAsia="MS Mincho"/>
          <w:bCs/>
          <w:iCs/>
          <w:lang w:eastAsia="ja-JP"/>
        </w:rPr>
        <w:t xml:space="preserve">was of the view </w:t>
      </w:r>
      <w:r>
        <w:rPr>
          <w:rFonts w:eastAsia="MS Mincho"/>
          <w:bCs/>
          <w:iCs/>
          <w:lang w:eastAsia="ja-JP"/>
        </w:rPr>
        <w:t xml:space="preserve">that such data should be requested of the </w:t>
      </w:r>
      <w:r w:rsidR="00C264D3">
        <w:rPr>
          <w:rFonts w:eastAsia="MS Mincho"/>
          <w:bCs/>
          <w:iCs/>
          <w:lang w:eastAsia="ja-JP"/>
        </w:rPr>
        <w:t>s</w:t>
      </w:r>
      <w:r>
        <w:rPr>
          <w:rFonts w:eastAsia="MS Mincho"/>
          <w:bCs/>
          <w:iCs/>
          <w:lang w:eastAsia="ja-JP"/>
        </w:rPr>
        <w:t>ponsor.</w:t>
      </w:r>
    </w:p>
    <w:p w:rsidR="008F70D7" w:rsidRPr="00A70245" w:rsidRDefault="008F70D7" w:rsidP="002F16E8">
      <w:pPr>
        <w:pStyle w:val="Heading5"/>
        <w:rPr>
          <w:rFonts w:eastAsia="MS Mincho"/>
          <w:lang w:eastAsia="ja-JP"/>
        </w:rPr>
      </w:pPr>
      <w:r w:rsidRPr="00A70245">
        <w:rPr>
          <w:rFonts w:eastAsia="MS Mincho"/>
          <w:lang w:eastAsia="ja-JP"/>
        </w:rPr>
        <w:t xml:space="preserve">Proposed </w:t>
      </w:r>
      <w:r w:rsidRPr="002F16E8">
        <w:rPr>
          <w:rFonts w:eastAsia="MS Mincho"/>
        </w:rPr>
        <w:t>conditions</w:t>
      </w:r>
      <w:r w:rsidRPr="00A70245">
        <w:rPr>
          <w:rFonts w:eastAsia="MS Mincho"/>
          <w:lang w:eastAsia="ja-JP"/>
        </w:rPr>
        <w:t xml:space="preserve"> of registration</w:t>
      </w:r>
    </w:p>
    <w:p w:rsidR="008F70D7" w:rsidRPr="00091B8F" w:rsidRDefault="00843CFD" w:rsidP="00091B8F">
      <w:r>
        <w:t>The ACPM agreed with the D</w:t>
      </w:r>
      <w:r w:rsidR="008F70D7" w:rsidRPr="00091B8F">
        <w:t>elegate on the proposed conditions of re</w:t>
      </w:r>
      <w:r w:rsidR="002F16E8">
        <w:t>gistration.</w:t>
      </w:r>
    </w:p>
    <w:p w:rsidR="008F70D7" w:rsidRPr="00A70245" w:rsidRDefault="008F70D7" w:rsidP="00091B8F">
      <w:pPr>
        <w:pStyle w:val="Heading5"/>
        <w:rPr>
          <w:rFonts w:eastAsia="MS Mincho"/>
          <w:u w:val="single"/>
          <w:lang w:eastAsia="ja-JP"/>
        </w:rPr>
      </w:pPr>
      <w:r w:rsidRPr="00A70245">
        <w:rPr>
          <w:rFonts w:eastAsia="MS Mincho"/>
          <w:lang w:eastAsia="ja-JP"/>
        </w:rPr>
        <w:t>Proposed Product Information (PI)/Consumer Medicine Information (CMI) amendments</w:t>
      </w:r>
    </w:p>
    <w:p w:rsidR="008F70D7" w:rsidRPr="00091B8F" w:rsidRDefault="008F70D7" w:rsidP="00091B8F">
      <w:r w:rsidRPr="00091B8F">
        <w:t xml:space="preserve">The ACPM agreed with the </w:t>
      </w:r>
      <w:r w:rsidR="00D9645F">
        <w:t>D</w:t>
      </w:r>
      <w:r w:rsidRPr="00091B8F">
        <w:t xml:space="preserve">elegate to the proposed amendments to the </w:t>
      </w:r>
      <w:r w:rsidR="00D9645F">
        <w:t>PI</w:t>
      </w:r>
      <w:r w:rsidRPr="00091B8F">
        <w:t xml:space="preserve"> and </w:t>
      </w:r>
      <w:r w:rsidR="00D9645F">
        <w:t>CMI</w:t>
      </w:r>
      <w:r w:rsidRPr="00091B8F">
        <w:t xml:space="preserve"> and specifically advised on </w:t>
      </w:r>
      <w:r w:rsidR="002F16E8">
        <w:t>the inclusion of the following:</w:t>
      </w:r>
    </w:p>
    <w:p w:rsidR="008F70D7" w:rsidRPr="002A56C3" w:rsidRDefault="008F70D7" w:rsidP="00091B8F">
      <w:pPr>
        <w:pStyle w:val="ListBullet"/>
        <w:rPr>
          <w:lang w:eastAsia="ja-JP"/>
        </w:rPr>
      </w:pPr>
      <w:r w:rsidRPr="002A56C3">
        <w:rPr>
          <w:lang w:eastAsia="ja-JP"/>
        </w:rPr>
        <w:lastRenderedPageBreak/>
        <w:t>A statement in the relevant</w:t>
      </w:r>
      <w:r w:rsidRPr="002A56C3">
        <w:rPr>
          <w:i/>
          <w:lang w:eastAsia="ja-JP"/>
        </w:rPr>
        <w:t xml:space="preserve"> </w:t>
      </w:r>
      <w:r w:rsidRPr="002A56C3">
        <w:rPr>
          <w:lang w:eastAsia="ja-JP"/>
        </w:rPr>
        <w:t>section of the PI to reflect the growing observational post</w:t>
      </w:r>
      <w:r w:rsidR="00091B8F">
        <w:rPr>
          <w:lang w:eastAsia="ja-JP"/>
        </w:rPr>
        <w:t xml:space="preserve"> marketing data on AEs, such as:</w:t>
      </w:r>
    </w:p>
    <w:p w:rsidR="008F70D7" w:rsidRPr="00B7039C" w:rsidRDefault="008F70D7" w:rsidP="00091B8F">
      <w:pPr>
        <w:ind w:left="720"/>
        <w:rPr>
          <w:i/>
        </w:rPr>
      </w:pPr>
      <w:proofErr w:type="gramStart"/>
      <w:r w:rsidRPr="00B7039C">
        <w:rPr>
          <w:i/>
        </w:rPr>
        <w:t>some</w:t>
      </w:r>
      <w:proofErr w:type="gramEnd"/>
      <w:r w:rsidRPr="00B7039C">
        <w:rPr>
          <w:i/>
        </w:rPr>
        <w:t xml:space="preserve"> specific complications have occurred after influenza vaccination at low rates but their relationship to the method of </w:t>
      </w:r>
      <w:r w:rsidR="00D9645F">
        <w:rPr>
          <w:i/>
        </w:rPr>
        <w:t xml:space="preserve">production (that is, </w:t>
      </w:r>
      <w:r w:rsidRPr="00B7039C">
        <w:rPr>
          <w:i/>
        </w:rPr>
        <w:t>egg or cell</w:t>
      </w:r>
      <w:r w:rsidR="00D9645F">
        <w:rPr>
          <w:i/>
        </w:rPr>
        <w:t xml:space="preserve"> </w:t>
      </w:r>
      <w:r w:rsidRPr="00B7039C">
        <w:rPr>
          <w:i/>
        </w:rPr>
        <w:t>based processes) is unclear, and no such complications have been reported in &gt;4.5 million doses at the time of Australian registration</w:t>
      </w:r>
      <w:r w:rsidR="00091B8F" w:rsidRPr="00B7039C">
        <w:rPr>
          <w:i/>
        </w:rPr>
        <w:t>.</w:t>
      </w:r>
    </w:p>
    <w:p w:rsidR="008F70D7" w:rsidRPr="00A70245" w:rsidRDefault="008F70D7" w:rsidP="003F74B8">
      <w:pPr>
        <w:pStyle w:val="Heading5"/>
        <w:rPr>
          <w:rFonts w:eastAsia="MS Mincho"/>
          <w:highlight w:val="yellow"/>
          <w:lang w:eastAsia="ja-JP"/>
        </w:rPr>
      </w:pPr>
      <w:r w:rsidRPr="00A70245">
        <w:rPr>
          <w:rFonts w:eastAsia="MS Mincho"/>
          <w:lang w:eastAsia="ja-JP"/>
        </w:rPr>
        <w:t>Sp</w:t>
      </w:r>
      <w:r w:rsidR="00843CFD">
        <w:rPr>
          <w:rFonts w:eastAsia="MS Mincho"/>
          <w:lang w:eastAsia="ja-JP"/>
        </w:rPr>
        <w:t>ecific a</w:t>
      </w:r>
      <w:r w:rsidRPr="00A70245">
        <w:rPr>
          <w:rFonts w:eastAsia="MS Mincho"/>
          <w:lang w:eastAsia="ja-JP"/>
        </w:rPr>
        <w:t>dvice</w:t>
      </w:r>
    </w:p>
    <w:p w:rsidR="008F70D7" w:rsidRPr="003F74B8" w:rsidRDefault="008F70D7" w:rsidP="003F74B8">
      <w:pPr>
        <w:rPr>
          <w:highlight w:val="yellow"/>
        </w:rPr>
      </w:pPr>
      <w:r w:rsidRPr="003F74B8">
        <w:t xml:space="preserve">The ACPM advised the following in response to the </w:t>
      </w:r>
      <w:r w:rsidR="00D9645F">
        <w:t>D</w:t>
      </w:r>
      <w:r w:rsidRPr="003F74B8">
        <w:t>elegate’s specific questions on this submission:</w:t>
      </w:r>
    </w:p>
    <w:p w:rsidR="008F70D7" w:rsidRPr="00843CFD" w:rsidRDefault="003F74B8" w:rsidP="003F74B8">
      <w:pPr>
        <w:rPr>
          <w:i/>
        </w:rPr>
      </w:pPr>
      <w:r w:rsidRPr="00843CFD">
        <w:rPr>
          <w:i/>
        </w:rPr>
        <w:t xml:space="preserve">(Q1) </w:t>
      </w:r>
      <w:proofErr w:type="gramStart"/>
      <w:r w:rsidR="008F70D7" w:rsidRPr="00843CFD">
        <w:rPr>
          <w:i/>
        </w:rPr>
        <w:t xml:space="preserve">Inclusion of </w:t>
      </w:r>
      <w:r w:rsidR="00294234" w:rsidRPr="00843CFD">
        <w:rPr>
          <w:i/>
        </w:rPr>
        <w:t>‘</w:t>
      </w:r>
      <w:proofErr w:type="spellStart"/>
      <w:r w:rsidR="008F70D7" w:rsidRPr="00843CFD">
        <w:rPr>
          <w:i/>
        </w:rPr>
        <w:t>tumorigenicity</w:t>
      </w:r>
      <w:proofErr w:type="spellEnd"/>
      <w:r w:rsidR="008F70D7" w:rsidRPr="00843CFD">
        <w:rPr>
          <w:i/>
        </w:rPr>
        <w:t>’, ‘infectivity’ and ‘oncogenic potential’ as missing information to the RMP and/or Australian Specific Annex (ASA).</w:t>
      </w:r>
      <w:proofErr w:type="gramEnd"/>
    </w:p>
    <w:p w:rsidR="008F70D7" w:rsidRPr="00BB5046" w:rsidRDefault="008F70D7" w:rsidP="00BB5046">
      <w:r w:rsidRPr="00BB5046">
        <w:t>The ACPM considered the theoretical concerns of ‘</w:t>
      </w:r>
      <w:proofErr w:type="spellStart"/>
      <w:r w:rsidRPr="00BB5046">
        <w:t>tumorigenicity</w:t>
      </w:r>
      <w:proofErr w:type="spellEnd"/>
      <w:r w:rsidRPr="00BB5046">
        <w:t>’, ‘infectivity’ and ‘oncogenic potential’ have been substantially addressed by the nonclinical data provided as argued in the</w:t>
      </w:r>
      <w:r w:rsidR="007A7CDB">
        <w:t xml:space="preserve"> </w:t>
      </w:r>
      <w:r w:rsidRPr="00BB5046">
        <w:t>pre ACPM response so the ACPM agreed that this cannot be classified as missing data.</w:t>
      </w:r>
    </w:p>
    <w:p w:rsidR="008F70D7" w:rsidRPr="00843CFD" w:rsidRDefault="00BB5046" w:rsidP="00BB5046">
      <w:pPr>
        <w:rPr>
          <w:i/>
        </w:rPr>
      </w:pPr>
      <w:r w:rsidRPr="00843CFD">
        <w:rPr>
          <w:i/>
        </w:rPr>
        <w:t xml:space="preserve">(Q2) </w:t>
      </w:r>
      <w:r w:rsidR="008F70D7" w:rsidRPr="00843CFD">
        <w:rPr>
          <w:i/>
        </w:rPr>
        <w:t>Whether certain risks reported in relation to egg</w:t>
      </w:r>
      <w:r w:rsidR="00907295" w:rsidRPr="00843CFD">
        <w:rPr>
          <w:i/>
        </w:rPr>
        <w:t xml:space="preserve"> </w:t>
      </w:r>
      <w:r w:rsidR="008F70D7" w:rsidRPr="00843CFD">
        <w:rPr>
          <w:i/>
        </w:rPr>
        <w:t>based influenza vaccines are relevant for cell</w:t>
      </w:r>
      <w:r w:rsidR="00907295" w:rsidRPr="00843CFD">
        <w:rPr>
          <w:i/>
        </w:rPr>
        <w:t xml:space="preserve"> </w:t>
      </w:r>
      <w:r w:rsidR="008F70D7" w:rsidRPr="00843CFD">
        <w:rPr>
          <w:i/>
        </w:rPr>
        <w:t>based vaccines, given the difference in manufacturing processes.</w:t>
      </w:r>
    </w:p>
    <w:p w:rsidR="008F70D7" w:rsidRPr="00BB5046" w:rsidRDefault="008F70D7" w:rsidP="00BB5046">
      <w:r w:rsidRPr="00BB5046">
        <w:t>The ACPM agreed that vaccines that are egg</w:t>
      </w:r>
      <w:r w:rsidR="00843CFD">
        <w:t xml:space="preserve"> </w:t>
      </w:r>
      <w:r w:rsidRPr="00BB5046">
        <w:t>based risk reactions which have been clearly documented. The allergic reactions due to the egg component would not be a concern with cell</w:t>
      </w:r>
      <w:r w:rsidR="00843CFD">
        <w:t xml:space="preserve"> </w:t>
      </w:r>
      <w:r w:rsidRPr="00BB5046">
        <w:t>based manufacture. (Egg reactions are no</w:t>
      </w:r>
      <w:r w:rsidR="0048042F">
        <w:t>t common and control of these is</w:t>
      </w:r>
      <w:r w:rsidRPr="00BB5046">
        <w:t xml:space="preserve"> ge</w:t>
      </w:r>
      <w:r w:rsidR="0048042F">
        <w:t>nerally well managed currently.)</w:t>
      </w:r>
    </w:p>
    <w:p w:rsidR="008F70D7" w:rsidRPr="00BB5046" w:rsidRDefault="008F70D7" w:rsidP="00BB5046">
      <w:r w:rsidRPr="00BB5046">
        <w:t>It is not clear whethe</w:t>
      </w:r>
      <w:r w:rsidR="00897B85">
        <w:t xml:space="preserve">r the antigens that incite post </w:t>
      </w:r>
      <w:r w:rsidRPr="00BB5046">
        <w:t xml:space="preserve">vaccination autoimmune disease are due to residual antigens present in eggs or influenza virus components. The </w:t>
      </w:r>
      <w:r w:rsidR="00897B85">
        <w:t>s</w:t>
      </w:r>
      <w:r w:rsidRPr="00BB5046">
        <w:t xml:space="preserve">ponsor reports that 4.5 million patients have received vaccine with no reports immune reactions such as neuritis, encephalitis, vasculitis, thrombocytopenia and </w:t>
      </w:r>
      <w:proofErr w:type="spellStart"/>
      <w:r w:rsidRPr="00BB5046">
        <w:t>Guillain-Barré</w:t>
      </w:r>
      <w:proofErr w:type="spellEnd"/>
      <w:r w:rsidRPr="00BB5046">
        <w:t xml:space="preserve"> syndrome. Although this is reassuring, the </w:t>
      </w:r>
      <w:proofErr w:type="gramStart"/>
      <w:r w:rsidRPr="00BB5046">
        <w:t>incidence of these AEs with influenza vaccine remain</w:t>
      </w:r>
      <w:proofErr w:type="gramEnd"/>
      <w:r w:rsidRPr="00BB5046">
        <w:t xml:space="preserve"> relevant risks for cell</w:t>
      </w:r>
      <w:r w:rsidR="00F25EEC">
        <w:t xml:space="preserve"> </w:t>
      </w:r>
      <w:r w:rsidRPr="00BB5046">
        <w:t>based vaccines until conclusively demonstrated otherwise.</w:t>
      </w:r>
    </w:p>
    <w:p w:rsidR="008F70D7" w:rsidRPr="00BB5046" w:rsidRDefault="008F70D7" w:rsidP="00BB5046">
      <w:r w:rsidRPr="00BB5046">
        <w:t xml:space="preserve">However, the ACPM noted </w:t>
      </w:r>
      <w:r w:rsidR="0048042F">
        <w:t xml:space="preserve">substantial </w:t>
      </w:r>
      <w:proofErr w:type="spellStart"/>
      <w:r w:rsidR="0048042F">
        <w:t>post</w:t>
      </w:r>
      <w:r w:rsidRPr="00BB5046">
        <w:t>marketing</w:t>
      </w:r>
      <w:proofErr w:type="spellEnd"/>
      <w:r w:rsidRPr="00BB5046">
        <w:t xml:space="preserve"> data (presented in PSUR) and was of the view that the PI could be suitably modified to reflect the growing observational evidence.</w:t>
      </w:r>
    </w:p>
    <w:p w:rsidR="008F70D7" w:rsidRPr="00843CFD" w:rsidRDefault="00BB5046" w:rsidP="00BB5046">
      <w:pPr>
        <w:rPr>
          <w:i/>
        </w:rPr>
      </w:pPr>
      <w:r w:rsidRPr="00843CFD">
        <w:rPr>
          <w:i/>
        </w:rPr>
        <w:t xml:space="preserve">(Q3) </w:t>
      </w:r>
      <w:proofErr w:type="gramStart"/>
      <w:r w:rsidR="009C7F20" w:rsidRPr="00843CFD">
        <w:rPr>
          <w:i/>
        </w:rPr>
        <w:t xml:space="preserve">Use of </w:t>
      </w:r>
      <w:proofErr w:type="spellStart"/>
      <w:r w:rsidR="009C7F20" w:rsidRPr="00843CFD">
        <w:rPr>
          <w:i/>
        </w:rPr>
        <w:t>Optaflu</w:t>
      </w:r>
      <w:proofErr w:type="spellEnd"/>
      <w:r w:rsidR="009C7F20" w:rsidRPr="00843CFD">
        <w:rPr>
          <w:i/>
        </w:rPr>
        <w:t xml:space="preserve"> in dog </w:t>
      </w:r>
      <w:r w:rsidR="008F70D7" w:rsidRPr="00843CFD">
        <w:rPr>
          <w:i/>
        </w:rPr>
        <w:t>allergic individuals and the need for inclusion of this information in the PI.</w:t>
      </w:r>
      <w:proofErr w:type="gramEnd"/>
    </w:p>
    <w:p w:rsidR="008F70D7" w:rsidRPr="00BB5046" w:rsidRDefault="008F70D7" w:rsidP="00BB5046">
      <w:r w:rsidRPr="00BB5046">
        <w:t>Dog allergy is not common and is usually characterised by rhinitis or asthma and presumably related to dander rather than canine kidney antigens. The ACPM advised a warning is not considered necessary.</w:t>
      </w:r>
    </w:p>
    <w:p w:rsidR="008F70D7" w:rsidRPr="00BB5046" w:rsidRDefault="008F70D7" w:rsidP="00BB5046">
      <w:r w:rsidRPr="00BB5046">
        <w:t>The ACPM advised that implementation by the sponsor of the recommendations outlined above to the satisfaction of the TGA, in addition to the evidence of efficacy and safety provided would support the safe and</w:t>
      </w:r>
      <w:r w:rsidR="002F16E8">
        <w:t xml:space="preserve"> effective use of this product.</w:t>
      </w:r>
    </w:p>
    <w:p w:rsidR="008E7846" w:rsidRPr="002E238E" w:rsidRDefault="008E7846" w:rsidP="002F16E8">
      <w:pPr>
        <w:pStyle w:val="Heading3"/>
      </w:pPr>
      <w:bookmarkStart w:id="126" w:name="_Toc247691532"/>
      <w:bookmarkStart w:id="127" w:name="_Toc314842516"/>
      <w:bookmarkStart w:id="128" w:name="_Toc430081311"/>
      <w:bookmarkEnd w:id="97"/>
      <w:bookmarkEnd w:id="123"/>
      <w:bookmarkEnd w:id="124"/>
      <w:r w:rsidRPr="002F16E8">
        <w:t>Outcome</w:t>
      </w:r>
      <w:bookmarkEnd w:id="126"/>
      <w:bookmarkEnd w:id="127"/>
      <w:bookmarkEnd w:id="128"/>
    </w:p>
    <w:p w:rsidR="00D23139" w:rsidRPr="00D23139" w:rsidRDefault="00D23139" w:rsidP="00D23139">
      <w:bookmarkStart w:id="129" w:name="_Toc247691533"/>
      <w:bookmarkStart w:id="130" w:name="_Toc314842517"/>
      <w:r w:rsidRPr="00D23139">
        <w:t xml:space="preserve">Based on a review of quality, safety and efficacy, TGA approved the registration of </w:t>
      </w:r>
      <w:proofErr w:type="spellStart"/>
      <w:r w:rsidR="00675D2F">
        <w:t>Optaflu</w:t>
      </w:r>
      <w:proofErr w:type="spellEnd"/>
      <w:r w:rsidR="00675D2F">
        <w:t xml:space="preserve"> inactivated influenza virus vaccine (containing 15 µg </w:t>
      </w:r>
      <w:proofErr w:type="spellStart"/>
      <w:r w:rsidR="00FE5D64">
        <w:t>haemagglutinin</w:t>
      </w:r>
      <w:proofErr w:type="spellEnd"/>
      <w:r w:rsidR="00675D2F">
        <w:t xml:space="preserve"> of each</w:t>
      </w:r>
      <w:r w:rsidR="00FE5D64">
        <w:t xml:space="preserve"> of the recommended strains of influenza virus Types A H1N1+ A H3N2 + B)</w:t>
      </w:r>
      <w:r w:rsidR="002B6B6F">
        <w:t xml:space="preserve"> 0.5 mL injection prefilled syringe (</w:t>
      </w:r>
      <w:r w:rsidR="001122AE" w:rsidRPr="009F70E6">
        <w:t>with needle and without needle</w:t>
      </w:r>
      <w:r w:rsidR="002B6B6F">
        <w:t xml:space="preserve">) </w:t>
      </w:r>
      <w:r w:rsidR="008A3220">
        <w:t>with the following indication</w:t>
      </w:r>
      <w:r w:rsidRPr="00D23139">
        <w:t>:</w:t>
      </w:r>
    </w:p>
    <w:p w:rsidR="00F63ED0" w:rsidRPr="00F63ED0" w:rsidRDefault="00F63ED0" w:rsidP="00F63ED0">
      <w:pPr>
        <w:ind w:left="720"/>
        <w:rPr>
          <w:i/>
        </w:rPr>
      </w:pPr>
      <w:proofErr w:type="gramStart"/>
      <w:r w:rsidRPr="00F63ED0">
        <w:rPr>
          <w:i/>
        </w:rPr>
        <w:t>For the prevention of influenza caused by Influenza Virus, Types A and B in adults over 18 years of age.</w:t>
      </w:r>
      <w:proofErr w:type="gramEnd"/>
    </w:p>
    <w:p w:rsidR="00D23139" w:rsidRPr="00D23139" w:rsidRDefault="00F63ED0" w:rsidP="00F63ED0">
      <w:pPr>
        <w:ind w:left="720"/>
      </w:pPr>
      <w:r w:rsidRPr="00F63ED0">
        <w:rPr>
          <w:i/>
        </w:rPr>
        <w:lastRenderedPageBreak/>
        <w:t>For full details regarding the recommendations for influenza vaccination refer to the current Australian Immunisation Handbook.</w:t>
      </w:r>
    </w:p>
    <w:p w:rsidR="00D23139" w:rsidRPr="00D23139" w:rsidRDefault="00D23139" w:rsidP="002F16E8">
      <w:pPr>
        <w:pStyle w:val="Heading4"/>
      </w:pPr>
      <w:r w:rsidRPr="00D23139">
        <w:t xml:space="preserve">Specific </w:t>
      </w:r>
      <w:r w:rsidRPr="002F16E8">
        <w:t>conditions</w:t>
      </w:r>
      <w:r w:rsidRPr="00D23139">
        <w:t xml:space="preserve"> of registration applying to these goods</w:t>
      </w:r>
    </w:p>
    <w:p w:rsidR="008C6626" w:rsidRPr="0065641D" w:rsidRDefault="00BB1B06" w:rsidP="008C6626">
      <w:r>
        <w:t>1.</w:t>
      </w:r>
      <w:r w:rsidR="008C6626" w:rsidRPr="008C6626">
        <w:t xml:space="preserve"> </w:t>
      </w:r>
      <w:r w:rsidR="008C6626" w:rsidRPr="005831FA">
        <w:t xml:space="preserve">Implement EU-RMP (version 3.1 release date 15 November 2013, data lock point 30 April 2013) with Australian Specific Annex (version 2.0, release date 29 October 2014) revised to the agreement of the TGA (with respect to </w:t>
      </w:r>
      <w:r w:rsidR="00AC31D2">
        <w:t>the outstanding issues listed</w:t>
      </w:r>
      <w:r w:rsidR="008C6626" w:rsidRPr="005831FA">
        <w:t>).</w:t>
      </w:r>
    </w:p>
    <w:p w:rsidR="00BB1B06" w:rsidRDefault="00BB1B06" w:rsidP="00D23139">
      <w:pPr>
        <w:rPr>
          <w:noProof/>
          <w:lang w:eastAsia="en-AU"/>
        </w:rPr>
      </w:pPr>
      <w:r>
        <w:rPr>
          <w:noProof/>
          <w:lang w:eastAsia="en-AU"/>
        </w:rPr>
        <w:t>2.</w:t>
      </w:r>
      <w:r w:rsidR="00D010D6">
        <w:rPr>
          <w:noProof/>
          <w:lang w:eastAsia="en-AU"/>
        </w:rPr>
        <w:t xml:space="preserve"> Batch release testing by OLSS</w:t>
      </w:r>
    </w:p>
    <w:p w:rsidR="00681708" w:rsidRDefault="00681708" w:rsidP="00D23139">
      <w:pPr>
        <w:rPr>
          <w:noProof/>
          <w:lang w:eastAsia="en-AU"/>
        </w:rPr>
      </w:pPr>
      <w:r>
        <w:rPr>
          <w:noProof/>
          <w:lang w:eastAsia="en-AU"/>
        </w:rPr>
        <w:t xml:space="preserve">It is a condition of registration that all independent </w:t>
      </w:r>
      <w:r w:rsidR="0091349D">
        <w:rPr>
          <w:noProof/>
          <w:lang w:eastAsia="en-AU"/>
        </w:rPr>
        <w:t>batches of Optaflu inactivated influenza virus vaccine (surface antigens) imported into Australia are not released for sale until samples and/or the manufacturer’s release data have been assessed and endorsed for release by the TGA Office of Laboratories and Scientific Services (OLSS).</w:t>
      </w:r>
    </w:p>
    <w:p w:rsidR="0091349D" w:rsidRDefault="0091349D" w:rsidP="00D23139">
      <w:pPr>
        <w:rPr>
          <w:noProof/>
          <w:lang w:eastAsia="en-AU"/>
        </w:rPr>
      </w:pPr>
      <w:r>
        <w:rPr>
          <w:noProof/>
          <w:lang w:eastAsia="en-AU"/>
        </w:rPr>
        <w:t>For each batch of vaccine imported into Australia, the sponsor should supply the following:</w:t>
      </w:r>
    </w:p>
    <w:p w:rsidR="0091349D" w:rsidRDefault="0091349D" w:rsidP="00604C22">
      <w:pPr>
        <w:pStyle w:val="ListBullet"/>
        <w:rPr>
          <w:noProof/>
          <w:lang w:eastAsia="en-AU"/>
        </w:rPr>
      </w:pPr>
      <w:r>
        <w:rPr>
          <w:noProof/>
          <w:lang w:eastAsia="en-AU"/>
        </w:rPr>
        <w:t>Complete summary protocols for manufacture and quality control, including all steps in production;</w:t>
      </w:r>
    </w:p>
    <w:p w:rsidR="0091349D" w:rsidRDefault="0091349D" w:rsidP="00604C22">
      <w:pPr>
        <w:pStyle w:val="ListBullet"/>
        <w:rPr>
          <w:noProof/>
          <w:lang w:eastAsia="en-AU"/>
        </w:rPr>
      </w:pPr>
      <w:r>
        <w:rPr>
          <w:noProof/>
          <w:lang w:eastAsia="en-AU"/>
        </w:rPr>
        <w:t>Number of doses to be released in Australia from each shipment;</w:t>
      </w:r>
    </w:p>
    <w:p w:rsidR="0091349D" w:rsidRDefault="0091349D" w:rsidP="00604C22">
      <w:pPr>
        <w:pStyle w:val="ListBullet"/>
        <w:rPr>
          <w:noProof/>
          <w:lang w:eastAsia="en-AU"/>
        </w:rPr>
      </w:pPr>
      <w:r>
        <w:rPr>
          <w:noProof/>
          <w:lang w:eastAsia="en-AU"/>
        </w:rPr>
        <w:t>Evidence of maintenance of satisfactory transport conditions between the manufacturer and Australia such as graphs of temperature recordings and a statement that the approved storage conditions have been met;</w:t>
      </w:r>
    </w:p>
    <w:p w:rsidR="0091349D" w:rsidRDefault="0091349D" w:rsidP="00604C22">
      <w:pPr>
        <w:pStyle w:val="ListBullet"/>
        <w:rPr>
          <w:noProof/>
          <w:lang w:eastAsia="en-AU"/>
        </w:rPr>
      </w:pPr>
      <w:r>
        <w:rPr>
          <w:noProof/>
          <w:lang w:eastAsia="en-AU"/>
        </w:rPr>
        <w:t>At least 20 doses of each first consignment of product lot with the Australian approved labels, PI and packaging, along with 3 doses of any further consignment of already released product (including diluents) with the Australian approved labels, PI and packaging;</w:t>
      </w:r>
    </w:p>
    <w:p w:rsidR="0091349D" w:rsidRDefault="0091349D" w:rsidP="00604C22">
      <w:pPr>
        <w:pStyle w:val="ListBullet"/>
        <w:rPr>
          <w:noProof/>
          <w:lang w:eastAsia="en-AU"/>
        </w:rPr>
      </w:pPr>
      <w:r>
        <w:rPr>
          <w:noProof/>
          <w:lang w:eastAsia="en-AU"/>
        </w:rPr>
        <w:t>Certificate of Release from the regulatory agency acting for the country of origin (OMCL); and</w:t>
      </w:r>
    </w:p>
    <w:p w:rsidR="0091349D" w:rsidRDefault="0091349D" w:rsidP="00604C22">
      <w:pPr>
        <w:pStyle w:val="ListBullet"/>
        <w:rPr>
          <w:noProof/>
          <w:lang w:eastAsia="en-AU"/>
        </w:rPr>
      </w:pPr>
      <w:r>
        <w:rPr>
          <w:noProof/>
          <w:lang w:eastAsia="en-AU"/>
        </w:rPr>
        <w:t>Any reagents, reference material, and standard required to undertake testing as requested by OLSS at least 12 months prior to supply of the vaccine in Australia.</w:t>
      </w:r>
    </w:p>
    <w:p w:rsidR="008E7846" w:rsidRDefault="00A80B5B" w:rsidP="002F16E8">
      <w:pPr>
        <w:pStyle w:val="Heading2"/>
      </w:pPr>
      <w:bookmarkStart w:id="131" w:name="_Toc430081312"/>
      <w:proofErr w:type="gramStart"/>
      <w:r>
        <w:t>Attachment 1.</w:t>
      </w:r>
      <w:proofErr w:type="gramEnd"/>
      <w:r>
        <w:t xml:space="preserve"> </w:t>
      </w:r>
      <w:r w:rsidR="008E7846" w:rsidRPr="002F16E8">
        <w:t>Product</w:t>
      </w:r>
      <w:r w:rsidR="008E7846">
        <w:t xml:space="preserve"> </w:t>
      </w:r>
      <w:r w:rsidR="00AA0ED0">
        <w:t>I</w:t>
      </w:r>
      <w:r w:rsidR="008E7846">
        <w:t>nformation</w:t>
      </w:r>
      <w:bookmarkEnd w:id="129"/>
      <w:bookmarkEnd w:id="130"/>
      <w:bookmarkEnd w:id="131"/>
    </w:p>
    <w:p w:rsidR="00C80137" w:rsidRDefault="002B3624" w:rsidP="00C80137">
      <w:pPr>
        <w:rPr>
          <w:color w:val="000000"/>
          <w:lang w:eastAsia="en-AU"/>
        </w:rPr>
      </w:pPr>
      <w:r w:rsidRPr="002B3624">
        <w:t xml:space="preserve">The </w:t>
      </w:r>
      <w:r w:rsidR="004C545A">
        <w:t>PI</w:t>
      </w:r>
      <w:r w:rsidRPr="002B3624">
        <w:t xml:space="preserve"> approved for </w:t>
      </w:r>
      <w:proofErr w:type="spellStart"/>
      <w:r w:rsidR="002E4A1F">
        <w:t>Optaflu</w:t>
      </w:r>
      <w:proofErr w:type="spellEnd"/>
      <w:r w:rsidRPr="002B3624">
        <w:t xml:space="preserve"> at the time this </w:t>
      </w:r>
      <w:proofErr w:type="spellStart"/>
      <w:r w:rsidRPr="002B3624">
        <w:t>AusPAR</w:t>
      </w:r>
      <w:proofErr w:type="spellEnd"/>
      <w:r w:rsidRPr="002B3624">
        <w:t xml:space="preserve"> was published is at Attachment 1. For the most recent </w:t>
      </w:r>
      <w:r w:rsidR="004C545A">
        <w:t>PI,</w:t>
      </w:r>
      <w:r w:rsidRPr="002B3624">
        <w:t xml:space="preserve"> please refer to the TGA website at &lt;</w:t>
      </w:r>
      <w:hyperlink r:id="rId31" w:history="1">
        <w:r w:rsidR="004C545A" w:rsidRPr="00C4069F">
          <w:rPr>
            <w:rStyle w:val="Hyperlink"/>
          </w:rPr>
          <w:t>www.tga.gov.au/product-information-pi</w:t>
        </w:r>
      </w:hyperlink>
      <w:r w:rsidR="004C545A">
        <w:t>&gt;.</w:t>
      </w:r>
    </w:p>
    <w:p w:rsidR="00C80137" w:rsidRDefault="00C80137" w:rsidP="00C80137">
      <w:pPr>
        <w:pStyle w:val="Heading2"/>
        <w:rPr>
          <w:lang w:eastAsia="en-AU"/>
        </w:rPr>
      </w:pPr>
      <w:bookmarkStart w:id="132" w:name="_Toc430081313"/>
      <w:proofErr w:type="gramStart"/>
      <w:r>
        <w:rPr>
          <w:lang w:eastAsia="en-AU"/>
        </w:rPr>
        <w:t>Attachment 2.</w:t>
      </w:r>
      <w:proofErr w:type="gramEnd"/>
      <w:r w:rsidR="00A80B5B">
        <w:rPr>
          <w:lang w:eastAsia="en-AU"/>
        </w:rPr>
        <w:t xml:space="preserve"> </w:t>
      </w:r>
      <w:r>
        <w:rPr>
          <w:lang w:eastAsia="en-AU"/>
        </w:rPr>
        <w:t>Extract from the Clinical Evaluation Report</w:t>
      </w:r>
      <w:bookmarkEnd w:id="132"/>
    </w:p>
    <w:p w:rsidR="00C80137" w:rsidRPr="001D043B" w:rsidRDefault="008E7846" w:rsidP="003A7F6C">
      <w:pPr>
        <w:pStyle w:val="TableTitle"/>
        <w:sectPr w:rsidR="00C80137" w:rsidRPr="001D043B" w:rsidSect="00B452CE">
          <w:headerReference w:type="even" r:id="rId32"/>
          <w:headerReference w:type="default" r:id="rId33"/>
          <w:headerReference w:type="first" r:id="rId34"/>
          <w:footerReference w:type="first" r:id="rId35"/>
          <w:pgSz w:w="11906" w:h="16838" w:code="9"/>
          <w:pgMar w:top="834" w:right="1701" w:bottom="1191" w:left="1701" w:header="907" w:footer="216" w:gutter="0"/>
          <w:cols w:space="708"/>
          <w:docGrid w:linePitch="360"/>
        </w:sectPr>
      </w:pPr>
      <w:r w:rsidRPr="00C80137">
        <w:br w:type="page"/>
      </w: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1C32CD" w:rsidRPr="00487162" w:rsidTr="00A05FA4">
        <w:trPr>
          <w:trHeight w:hRule="exact" w:val="704"/>
        </w:trPr>
        <w:tc>
          <w:tcPr>
            <w:tcW w:w="9175" w:type="dxa"/>
          </w:tcPr>
          <w:p w:rsidR="001C32CD" w:rsidRPr="00487162" w:rsidRDefault="001C32CD" w:rsidP="00A05FA4">
            <w:pPr>
              <w:pStyle w:val="TGASignoff"/>
            </w:pPr>
            <w:r w:rsidRPr="00487162">
              <w:lastRenderedPageBreak/>
              <w:t>Therapeutic Goods Administration</w:t>
            </w:r>
          </w:p>
        </w:tc>
      </w:tr>
      <w:tr w:rsidR="001C32CD" w:rsidRPr="004C239D" w:rsidTr="00A05FA4">
        <w:trPr>
          <w:trHeight w:val="1221"/>
        </w:trPr>
        <w:tc>
          <w:tcPr>
            <w:tcW w:w="9175" w:type="dxa"/>
            <w:tcMar>
              <w:top w:w="28" w:type="dxa"/>
            </w:tcMar>
          </w:tcPr>
          <w:p w:rsidR="001C32CD" w:rsidRPr="00487162" w:rsidRDefault="001C32CD" w:rsidP="00A05FA4">
            <w:pPr>
              <w:pStyle w:val="Address"/>
            </w:pPr>
            <w:r w:rsidRPr="00487162">
              <w:t>PO Box 100 Woden ACT 2606 Australia</w:t>
            </w:r>
          </w:p>
          <w:p w:rsidR="001C32CD" w:rsidRPr="00487162" w:rsidRDefault="001C32CD" w:rsidP="00A05FA4">
            <w:pPr>
              <w:pStyle w:val="Address"/>
            </w:pPr>
            <w:r w:rsidRPr="00487162">
              <w:t xml:space="preserve">Email: </w:t>
            </w:r>
            <w:hyperlink r:id="rId36" w:history="1">
              <w:r w:rsidRPr="004C239D">
                <w:rPr>
                  <w:rStyle w:val="Hyperlink"/>
                </w:rPr>
                <w:t>info@tga.gov.au</w:t>
              </w:r>
            </w:hyperlink>
            <w:r w:rsidR="007A7CDB">
              <w:t xml:space="preserve"> </w:t>
            </w:r>
            <w:r w:rsidRPr="00487162">
              <w:t>Phone: 1800 020 653</w:t>
            </w:r>
            <w:r w:rsidR="007A7CDB">
              <w:t xml:space="preserve"> </w:t>
            </w:r>
            <w:r w:rsidRPr="00487162">
              <w:t>Fax: 02 6232 8605</w:t>
            </w:r>
          </w:p>
          <w:p w:rsidR="001C32CD" w:rsidRPr="004C239D" w:rsidRDefault="00C341B3" w:rsidP="00A05FA4">
            <w:pPr>
              <w:pStyle w:val="Address"/>
              <w:spacing w:line="260" w:lineRule="atLeast"/>
              <w:rPr>
                <w:b/>
                <w:color w:val="0000FF"/>
                <w:u w:val="single"/>
              </w:rPr>
            </w:pPr>
            <w:hyperlink r:id="rId37" w:history="1">
              <w:r w:rsidR="004F47D6">
                <w:rPr>
                  <w:rStyle w:val="Hyperlink"/>
                  <w:b/>
                </w:rPr>
                <w:t>https://www.tga.gov.au</w:t>
              </w:r>
            </w:hyperlink>
          </w:p>
        </w:tc>
      </w:tr>
    </w:tbl>
    <w:p w:rsidR="00774E1D" w:rsidRPr="008A5E0B" w:rsidRDefault="00774E1D" w:rsidP="004C239D"/>
    <w:sectPr w:rsidR="00774E1D" w:rsidRPr="008A5E0B" w:rsidSect="001C32CD">
      <w:headerReference w:type="even" r:id="rId38"/>
      <w:headerReference w:type="default" r:id="rId39"/>
      <w:footerReference w:type="default" r:id="rId40"/>
      <w:headerReference w:type="first" r:id="rId41"/>
      <w:footerReference w:type="first" r:id="rId42"/>
      <w:pgSz w:w="11906" w:h="16838" w:code="9"/>
      <w:pgMar w:top="13467" w:right="1701" w:bottom="426" w:left="1701" w:header="907"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F16E8" w:rsidRDefault="002F16E8" w:rsidP="00C40A36">
      <w:pPr>
        <w:spacing w:after="0"/>
      </w:pPr>
      <w:r>
        <w:separator/>
      </w:r>
    </w:p>
  </w:endnote>
  <w:endnote w:type="continuationSeparator" w:id="0">
    <w:p w:rsidR="002F16E8" w:rsidRDefault="002F16E8"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Helv">
    <w:panose1 w:val="020B060402020203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MingLiU">
    <w:altName w:val="細明體"/>
    <w:panose1 w:val="02020509000000000000"/>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16E8" w:rsidRDefault="002F16E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371"/>
      <w:gridCol w:w="1490"/>
    </w:tblGrid>
    <w:tr w:rsidR="002F16E8" w:rsidRPr="00487162" w:rsidTr="00DB750B">
      <w:trPr>
        <w:trHeight w:val="269"/>
      </w:trPr>
      <w:tc>
        <w:tcPr>
          <w:tcW w:w="7371" w:type="dxa"/>
          <w:tcMar>
            <w:top w:w="142" w:type="dxa"/>
            <w:bottom w:w="0" w:type="dxa"/>
          </w:tcMar>
        </w:tcPr>
        <w:p w:rsidR="002F16E8" w:rsidRPr="00487162" w:rsidRDefault="002F16E8" w:rsidP="00C229C2">
          <w:pPr>
            <w:pStyle w:val="Footer"/>
          </w:pPr>
          <w:proofErr w:type="spellStart"/>
          <w:r w:rsidRPr="00487162">
            <w:t>AusPAR</w:t>
          </w:r>
          <w:proofErr w:type="spellEnd"/>
          <w:r w:rsidRPr="00487162">
            <w:t xml:space="preserve"> </w:t>
          </w:r>
          <w:proofErr w:type="spellStart"/>
          <w:r>
            <w:t>Optaflu</w:t>
          </w:r>
          <w:proofErr w:type="spellEnd"/>
          <w:r w:rsidRPr="00487162">
            <w:t xml:space="preserve"> </w:t>
          </w:r>
          <w:r w:rsidRPr="00997489">
            <w:t>Novartis Vaccines &amp; Diagnostics Pty Ltd</w:t>
          </w:r>
          <w:r>
            <w:t xml:space="preserve"> </w:t>
          </w:r>
          <w:r w:rsidRPr="00D15EF2">
            <w:t>PM-2013-04969-1-2</w:t>
          </w:r>
          <w:r>
            <w:br/>
            <w:t>Final 24 August 2015</w:t>
          </w:r>
        </w:p>
      </w:tc>
      <w:tc>
        <w:tcPr>
          <w:tcW w:w="1490" w:type="dxa"/>
          <w:tcMar>
            <w:top w:w="142" w:type="dxa"/>
            <w:bottom w:w="0" w:type="dxa"/>
          </w:tcMar>
        </w:tcPr>
        <w:p w:rsidR="002F16E8" w:rsidRPr="00487162" w:rsidRDefault="002F16E8" w:rsidP="00DB750B">
          <w:pPr>
            <w:pStyle w:val="Footer"/>
            <w:jc w:val="right"/>
          </w:pPr>
          <w:r w:rsidRPr="00487162">
            <w:t xml:space="preserve">Page </w:t>
          </w:r>
          <w:r>
            <w:fldChar w:fldCharType="begin"/>
          </w:r>
          <w:r>
            <w:instrText xml:space="preserve"> PAGE  \* Arabic </w:instrText>
          </w:r>
          <w:r>
            <w:fldChar w:fldCharType="separate"/>
          </w:r>
          <w:r w:rsidR="00A569C6">
            <w:rPr>
              <w:noProof/>
            </w:rPr>
            <w:t>52</w:t>
          </w:r>
          <w:r>
            <w:fldChar w:fldCharType="end"/>
          </w:r>
          <w:r w:rsidRPr="00487162">
            <w:t xml:space="preserve"> of </w:t>
          </w:r>
          <w:r>
            <w:fldChar w:fldCharType="begin"/>
          </w:r>
          <w:r>
            <w:instrText xml:space="preserve"> NUMPAGES  \* Arabic </w:instrText>
          </w:r>
          <w:r>
            <w:fldChar w:fldCharType="separate"/>
          </w:r>
          <w:r w:rsidR="00A569C6">
            <w:rPr>
              <w:noProof/>
            </w:rPr>
            <w:t>53</w:t>
          </w:r>
          <w:r>
            <w:rPr>
              <w:noProof/>
            </w:rPr>
            <w:fldChar w:fldCharType="end"/>
          </w:r>
        </w:p>
      </w:tc>
    </w:tr>
  </w:tbl>
  <w:p w:rsidR="002F16E8" w:rsidRDefault="002F16E8" w:rsidP="003D1E6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16E8" w:rsidRDefault="002F16E8">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2F16E8" w:rsidRPr="00487162" w:rsidTr="00E45619">
      <w:trPr>
        <w:trHeight w:val="269"/>
      </w:trPr>
      <w:tc>
        <w:tcPr>
          <w:tcW w:w="4519" w:type="dxa"/>
          <w:tcBorders>
            <w:top w:val="single" w:sz="4" w:space="0" w:color="auto"/>
          </w:tcBorders>
          <w:tcMar>
            <w:top w:w="142" w:type="dxa"/>
            <w:bottom w:w="0" w:type="dxa"/>
          </w:tcMar>
        </w:tcPr>
        <w:p w:rsidR="002F16E8" w:rsidRPr="00487162" w:rsidRDefault="002F16E8" w:rsidP="00FE1DEE">
          <w:pPr>
            <w:pStyle w:val="Footer"/>
          </w:pPr>
          <w:r w:rsidRPr="00487162">
            <w:t>Document title, Part #, Section # - Section title</w:t>
          </w:r>
        </w:p>
        <w:p w:rsidR="002F16E8" w:rsidRPr="00487162" w:rsidRDefault="002F16E8" w:rsidP="00FE1DEE">
          <w:pPr>
            <w:pStyle w:val="Footer"/>
          </w:pPr>
          <w:r w:rsidRPr="00487162">
            <w:t>V1.0 October 2010</w:t>
          </w:r>
        </w:p>
      </w:tc>
      <w:tc>
        <w:tcPr>
          <w:tcW w:w="4342" w:type="dxa"/>
          <w:tcBorders>
            <w:top w:val="single" w:sz="4" w:space="0" w:color="auto"/>
          </w:tcBorders>
          <w:tcMar>
            <w:top w:w="142" w:type="dxa"/>
            <w:bottom w:w="0" w:type="dxa"/>
          </w:tcMar>
        </w:tcPr>
        <w:p w:rsidR="002F16E8" w:rsidRPr="00487162" w:rsidRDefault="002F16E8"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r>
            <w:fldChar w:fldCharType="begin"/>
          </w:r>
          <w:r>
            <w:instrText xml:space="preserve"> NUMPAGES  </w:instrText>
          </w:r>
          <w:r>
            <w:fldChar w:fldCharType="separate"/>
          </w:r>
          <w:r>
            <w:rPr>
              <w:noProof/>
            </w:rPr>
            <w:t>4</w:t>
          </w:r>
          <w:r>
            <w:rPr>
              <w:noProof/>
            </w:rPr>
            <w:fldChar w:fldCharType="end"/>
          </w:r>
        </w:p>
      </w:tc>
    </w:tr>
  </w:tbl>
  <w:p w:rsidR="002F16E8" w:rsidRDefault="002F16E8">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16E8" w:rsidRPr="001C32CD" w:rsidRDefault="002F16E8" w:rsidP="001C32CD">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2F16E8" w:rsidTr="0010601F">
      <w:trPr>
        <w:trHeight w:val="108"/>
      </w:trPr>
      <w:tc>
        <w:tcPr>
          <w:tcW w:w="8875" w:type="dxa"/>
          <w:gridSpan w:val="2"/>
          <w:tcBorders>
            <w:bottom w:val="single" w:sz="4" w:space="0" w:color="auto"/>
          </w:tcBorders>
          <w:tcMar>
            <w:right w:w="284" w:type="dxa"/>
          </w:tcMar>
        </w:tcPr>
        <w:p w:rsidR="002F16E8" w:rsidRDefault="002F16E8" w:rsidP="006E08B3">
          <w:pPr>
            <w:pStyle w:val="Heading3"/>
          </w:pPr>
          <w:r>
            <w:t>Copyright</w:t>
          </w:r>
        </w:p>
        <w:p w:rsidR="002F16E8" w:rsidRDefault="002F16E8" w:rsidP="006E08B3">
          <w:r>
            <w:rPr>
              <w:rFonts w:cs="Arial"/>
            </w:rPr>
            <w:t>©</w:t>
          </w:r>
          <w:r>
            <w:t xml:space="preserve"> Commonwealth of Australia [add year]</w:t>
          </w:r>
        </w:p>
        <w:p w:rsidR="002F16E8" w:rsidRDefault="002F16E8" w:rsidP="006E08B3"/>
        <w:p w:rsidR="002F16E8" w:rsidRDefault="002F16E8"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2F16E8" w:rsidRDefault="002F16E8" w:rsidP="006E08B3"/>
        <w:p w:rsidR="002F16E8" w:rsidRDefault="002F16E8" w:rsidP="006E08B3">
          <w:pPr>
            <w:pStyle w:val="Heading3"/>
          </w:pPr>
          <w:r>
            <w:t>Confidentiality</w:t>
          </w:r>
        </w:p>
        <w:p w:rsidR="002F16E8" w:rsidRDefault="002F16E8"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2F16E8" w:rsidRDefault="002F16E8" w:rsidP="006E08B3"/>
        <w:p w:rsidR="002F16E8" w:rsidRDefault="002F16E8" w:rsidP="006E08B3">
          <w:r>
            <w:t>For submission made by individuals, all personal details, other than your name, will be removed from your submission before it is published on the TGA’s Internet site.</w:t>
          </w:r>
        </w:p>
        <w:p w:rsidR="002F16E8" w:rsidRDefault="002F16E8" w:rsidP="006E08B3"/>
        <w:p w:rsidR="002F16E8" w:rsidRDefault="002F16E8" w:rsidP="006E08B3">
          <w:r>
            <w:t xml:space="preserve">In addition, a list of parties making submissions will be published. If you do not wish to be identified with your submission you must specifically request this in the space provided </w:t>
          </w:r>
          <w:proofErr w:type="spellStart"/>
          <w:r>
            <w:t>ib</w:t>
          </w:r>
          <w:proofErr w:type="spellEnd"/>
          <w:r>
            <w:t xml:space="preserve"> the submission coversheet.</w:t>
          </w:r>
        </w:p>
      </w:tc>
    </w:tr>
    <w:tr w:rsidR="002F16E8" w:rsidTr="0010601F">
      <w:trPr>
        <w:trHeight w:val="417"/>
      </w:trPr>
      <w:tc>
        <w:tcPr>
          <w:tcW w:w="4519" w:type="dxa"/>
          <w:tcBorders>
            <w:top w:val="single" w:sz="4" w:space="0" w:color="auto"/>
          </w:tcBorders>
          <w:tcMar>
            <w:top w:w="142" w:type="dxa"/>
            <w:bottom w:w="0" w:type="dxa"/>
          </w:tcMar>
        </w:tcPr>
        <w:p w:rsidR="002F16E8" w:rsidRDefault="002F16E8" w:rsidP="006E08B3">
          <w:r>
            <w:t>Document title, Part #, Section # - Section title</w:t>
          </w:r>
        </w:p>
        <w:p w:rsidR="002F16E8" w:rsidRDefault="002F16E8" w:rsidP="006E08B3">
          <w:r>
            <w:t>V1.0 October 2010</w:t>
          </w:r>
        </w:p>
      </w:tc>
      <w:tc>
        <w:tcPr>
          <w:tcW w:w="4356" w:type="dxa"/>
          <w:tcBorders>
            <w:top w:val="single" w:sz="4" w:space="0" w:color="auto"/>
          </w:tcBorders>
          <w:tcMar>
            <w:top w:w="142" w:type="dxa"/>
            <w:bottom w:w="0" w:type="dxa"/>
          </w:tcMar>
        </w:tcPr>
        <w:p w:rsidR="002F16E8" w:rsidRDefault="002F16E8"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r>
            <w:fldChar w:fldCharType="begin"/>
          </w:r>
          <w:r>
            <w:instrText xml:space="preserve"> NUMPAGES  \* Arabic </w:instrText>
          </w:r>
          <w:r>
            <w:fldChar w:fldCharType="separate"/>
          </w:r>
          <w:r>
            <w:rPr>
              <w:noProof/>
            </w:rPr>
            <w:t>4</w:t>
          </w:r>
          <w:r>
            <w:rPr>
              <w:noProof/>
            </w:rPr>
            <w:fldChar w:fldCharType="end"/>
          </w:r>
          <w:r>
            <w:t xml:space="preserve"> </w:t>
          </w:r>
        </w:p>
      </w:tc>
    </w:tr>
  </w:tbl>
  <w:p w:rsidR="002F16E8" w:rsidRDefault="002F16E8"/>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F16E8" w:rsidRDefault="002F16E8" w:rsidP="00C40A36">
      <w:pPr>
        <w:spacing w:after="0"/>
      </w:pPr>
      <w:r>
        <w:separator/>
      </w:r>
    </w:p>
  </w:footnote>
  <w:footnote w:type="continuationSeparator" w:id="0">
    <w:p w:rsidR="002F16E8" w:rsidRDefault="002F16E8" w:rsidP="00C40A36">
      <w:pPr>
        <w:spacing w:after="0"/>
      </w:pPr>
      <w:r>
        <w:continuationSeparator/>
      </w:r>
    </w:p>
  </w:footnote>
  <w:footnote w:id="1">
    <w:p w:rsidR="002F16E8" w:rsidRDefault="002F16E8" w:rsidP="00C341B3">
      <w:pPr>
        <w:pStyle w:val="FootnoteText"/>
      </w:pPr>
      <w:r>
        <w:rPr>
          <w:rStyle w:val="FootnoteReference"/>
        </w:rPr>
        <w:footnoteRef/>
      </w:r>
      <w:r>
        <w:t xml:space="preserve"> </w:t>
      </w:r>
      <w:proofErr w:type="gramStart"/>
      <w:r w:rsidRPr="00C341B3">
        <w:t>Australian</w:t>
      </w:r>
      <w:r>
        <w:t xml:space="preserve"> Government, </w:t>
      </w:r>
      <w:r w:rsidRPr="007A68EE">
        <w:t>Department of Health.</w:t>
      </w:r>
      <w:proofErr w:type="gramEnd"/>
      <w:r w:rsidRPr="007A68EE">
        <w:t xml:space="preserve"> </w:t>
      </w:r>
      <w:proofErr w:type="gramStart"/>
      <w:r w:rsidRPr="007A68EE">
        <w:t xml:space="preserve">The Australian Immunisation Handbook 10th Edition, </w:t>
      </w:r>
      <w:r>
        <w:t>Canberra 2013 (u</w:t>
      </w:r>
      <w:r w:rsidRPr="007A68EE">
        <w:t>pdated January 2014)</w:t>
      </w:r>
      <w:r>
        <w:t>.</w:t>
      </w:r>
      <w:proofErr w:type="gramEnd"/>
    </w:p>
  </w:footnote>
  <w:footnote w:id="2">
    <w:p w:rsidR="002F16E8" w:rsidRDefault="002F16E8" w:rsidP="00C341B3">
      <w:pPr>
        <w:pStyle w:val="FootnoteText"/>
      </w:pPr>
      <w:r>
        <w:rPr>
          <w:rStyle w:val="FootnoteReference"/>
        </w:rPr>
        <w:footnoteRef/>
      </w:r>
      <w:r>
        <w:t xml:space="preserve"> </w:t>
      </w:r>
      <w:proofErr w:type="gramStart"/>
      <w:r>
        <w:t xml:space="preserve">US Food and Drug Administration, </w:t>
      </w:r>
      <w:r w:rsidRPr="00701B05">
        <w:t xml:space="preserve">Original </w:t>
      </w:r>
      <w:r w:rsidRPr="00C341B3">
        <w:t>application</w:t>
      </w:r>
      <w:r>
        <w:t xml:space="preserve">, STN 125408/0, </w:t>
      </w:r>
      <w:proofErr w:type="spellStart"/>
      <w:r>
        <w:t>Flucelvax</w:t>
      </w:r>
      <w:proofErr w:type="spellEnd"/>
      <w:r>
        <w:t xml:space="preserve">, </w:t>
      </w:r>
      <w:r w:rsidRPr="00701B05">
        <w:t>November 22, 2011</w:t>
      </w:r>
      <w:r>
        <w:t>.</w:t>
      </w:r>
      <w:proofErr w:type="gramEnd"/>
    </w:p>
  </w:footnote>
  <w:footnote w:id="3">
    <w:p w:rsidR="002F16E8" w:rsidRDefault="002F16E8" w:rsidP="00C341B3">
      <w:pPr>
        <w:pStyle w:val="FootnoteText"/>
      </w:pPr>
      <w:r>
        <w:rPr>
          <w:rStyle w:val="FootnoteReference"/>
        </w:rPr>
        <w:footnoteRef/>
      </w:r>
      <w:r>
        <w:t xml:space="preserve"> </w:t>
      </w:r>
      <w:proofErr w:type="spellStart"/>
      <w:r w:rsidRPr="0083676B">
        <w:t>Celvapan</w:t>
      </w:r>
      <w:proofErr w:type="spellEnd"/>
      <w:r w:rsidRPr="0083676B">
        <w:rPr>
          <w:vertAlign w:val="superscript"/>
        </w:rPr>
        <w:t xml:space="preserve"> </w:t>
      </w:r>
      <w:r>
        <w:t xml:space="preserve">(Baxter, 2008) </w:t>
      </w:r>
      <w:r w:rsidRPr="0083676B">
        <w:t xml:space="preserve">was the first whole </w:t>
      </w:r>
      <w:proofErr w:type="spellStart"/>
      <w:r w:rsidRPr="0083676B">
        <w:t>virion</w:t>
      </w:r>
      <w:proofErr w:type="spellEnd"/>
      <w:r w:rsidRPr="0083676B">
        <w:t>, inactivated cell cultu</w:t>
      </w:r>
      <w:r>
        <w:t xml:space="preserve">re-derived (Vero cell derived) </w:t>
      </w:r>
      <w:r w:rsidRPr="0083676B">
        <w:t>H5N1 ‘</w:t>
      </w:r>
      <w:r w:rsidRPr="0083676B">
        <w:rPr>
          <w:i/>
        </w:rPr>
        <w:t>pandemic’</w:t>
      </w:r>
      <w:r w:rsidRPr="0083676B">
        <w:t xml:space="preserve"> </w:t>
      </w:r>
      <w:r w:rsidRPr="00C341B3">
        <w:t>influenza</w:t>
      </w:r>
      <w:r w:rsidRPr="0083676B">
        <w:t xml:space="preserve"> vaccine to be considered for registration</w:t>
      </w:r>
      <w:r>
        <w:t>.</w:t>
      </w:r>
    </w:p>
  </w:footnote>
  <w:footnote w:id="4">
    <w:p w:rsidR="002F16E8" w:rsidRDefault="002F16E8">
      <w:pPr>
        <w:pStyle w:val="FootnoteText"/>
      </w:pPr>
      <w:r>
        <w:rPr>
          <w:rStyle w:val="FootnoteReference"/>
        </w:rPr>
        <w:footnoteRef/>
      </w:r>
      <w:r>
        <w:t xml:space="preserve"> European Medicines Agency, “</w:t>
      </w:r>
      <w:r w:rsidRPr="00901D58">
        <w:t>Note for Guidance on Preclinical Pharmacological and Toxicological testing of vaccines</w:t>
      </w:r>
      <w:r>
        <w:t xml:space="preserve"> (</w:t>
      </w:r>
      <w:r w:rsidRPr="00622C62">
        <w:t>CPMP/SWP/465/95</w:t>
      </w:r>
      <w:r>
        <w:t>)”, 17 December 1997.</w:t>
      </w:r>
    </w:p>
  </w:footnote>
  <w:footnote w:id="5">
    <w:p w:rsidR="002F16E8" w:rsidRDefault="002F16E8">
      <w:pPr>
        <w:pStyle w:val="FootnoteText"/>
      </w:pPr>
      <w:r>
        <w:rPr>
          <w:rStyle w:val="FootnoteReference"/>
        </w:rPr>
        <w:footnoteRef/>
      </w:r>
      <w:r>
        <w:t xml:space="preserve"> World Health Organisation, “Annex 3: </w:t>
      </w:r>
      <w:r w:rsidRPr="00953613">
        <w:t>Recommendations for the evaluation of animal cell cultures as substrates for the manufacture of biological medicinal products and for the characterization of cell banks</w:t>
      </w:r>
      <w:r>
        <w:t xml:space="preserve"> </w:t>
      </w:r>
      <w:r w:rsidRPr="00EF0803">
        <w:t>(Replacement of Annex 1 of WHO Technical Report Series, No. 878)</w:t>
      </w:r>
      <w:r>
        <w:t>”, 2010.</w:t>
      </w:r>
    </w:p>
  </w:footnote>
  <w:footnote w:id="6">
    <w:p w:rsidR="002F16E8" w:rsidRDefault="002F16E8">
      <w:pPr>
        <w:pStyle w:val="FootnoteText"/>
      </w:pPr>
      <w:r>
        <w:rPr>
          <w:rStyle w:val="FootnoteReference"/>
        </w:rPr>
        <w:footnoteRef/>
      </w:r>
      <w:r>
        <w:t xml:space="preserve"> </w:t>
      </w:r>
      <w:proofErr w:type="gramStart"/>
      <w:r>
        <w:t>European Medicines Agency, “</w:t>
      </w:r>
      <w:r w:rsidRPr="00C065B8">
        <w:t>Guideline on influenza vaccines</w:t>
      </w:r>
      <w:r>
        <w:t xml:space="preserve"> (</w:t>
      </w:r>
      <w:r w:rsidRPr="00D15824">
        <w:t>EMA/CHMP/VWP/457259/2014</w:t>
      </w:r>
      <w:r>
        <w:t>)”, 25 July 2014.</w:t>
      </w:r>
      <w:proofErr w:type="gramEnd"/>
    </w:p>
  </w:footnote>
  <w:footnote w:id="7">
    <w:p w:rsidR="002F16E8" w:rsidRDefault="002F16E8">
      <w:pPr>
        <w:pStyle w:val="FootnoteText"/>
      </w:pPr>
      <w:r>
        <w:rPr>
          <w:rStyle w:val="FootnoteReference"/>
        </w:rPr>
        <w:footnoteRef/>
      </w:r>
      <w:r>
        <w:t xml:space="preserve"> European Medicines Agency, “</w:t>
      </w:r>
      <w:r w:rsidRPr="00901D58">
        <w:t>Note for Guidance on Preclinical Pharmacological and Toxicological testing of vaccines</w:t>
      </w:r>
      <w:r>
        <w:t xml:space="preserve"> (</w:t>
      </w:r>
      <w:r w:rsidRPr="00622C62">
        <w:t>CPMP/SWP/465/95</w:t>
      </w:r>
      <w:r>
        <w:t>)”, 17 December 1997; European Medicines Agency, “</w:t>
      </w:r>
      <w:r w:rsidRPr="009B2924">
        <w:t>Guideline on Adjuvants in Vaccines for Human Use</w:t>
      </w:r>
      <w:r>
        <w:t xml:space="preserve"> (</w:t>
      </w:r>
      <w:r w:rsidRPr="000B1BA6">
        <w:t>EMEA/CHMP/VEG/134716/2004</w:t>
      </w:r>
      <w:r>
        <w:t>)”, 20 January 2005.</w:t>
      </w:r>
    </w:p>
  </w:footnote>
  <w:footnote w:id="8">
    <w:p w:rsidR="002F16E8" w:rsidRDefault="002F16E8">
      <w:pPr>
        <w:pStyle w:val="FootnoteText"/>
      </w:pPr>
      <w:r>
        <w:rPr>
          <w:rStyle w:val="FootnoteReference"/>
        </w:rPr>
        <w:footnoteRef/>
      </w:r>
      <w:r>
        <w:t xml:space="preserve"> European Medicines Agency, “</w:t>
      </w:r>
      <w:r w:rsidRPr="00901D58">
        <w:t>Note for Guidance on Preclinical Pharmacological and Toxicological testing of vaccines</w:t>
      </w:r>
      <w:r>
        <w:t xml:space="preserve"> (</w:t>
      </w:r>
      <w:r w:rsidRPr="00622C62">
        <w:t>CPMP/SWP/465/95</w:t>
      </w:r>
      <w:r>
        <w:t>)”, 17 December 1997.</w:t>
      </w:r>
    </w:p>
  </w:footnote>
  <w:footnote w:id="9">
    <w:p w:rsidR="002F16E8" w:rsidRDefault="002F16E8">
      <w:pPr>
        <w:pStyle w:val="FootnoteText"/>
      </w:pPr>
      <w:r>
        <w:rPr>
          <w:rStyle w:val="FootnoteReference"/>
        </w:rPr>
        <w:footnoteRef/>
      </w:r>
      <w:r>
        <w:t xml:space="preserve"> </w:t>
      </w:r>
      <w:r w:rsidRPr="00EA3920">
        <w:t xml:space="preserve">Potter CW, Oxford JS. </w:t>
      </w:r>
      <w:proofErr w:type="gramStart"/>
      <w:r>
        <w:t xml:space="preserve">(1979) </w:t>
      </w:r>
      <w:r w:rsidRPr="00EA3920">
        <w:t>Determinants of immunity to influenza infection in man.</w:t>
      </w:r>
      <w:proofErr w:type="gramEnd"/>
      <w:r w:rsidRPr="00EA3920">
        <w:t xml:space="preserve"> </w:t>
      </w:r>
      <w:r w:rsidRPr="00EA3920">
        <w:rPr>
          <w:i/>
        </w:rPr>
        <w:t>Br Med Bull.</w:t>
      </w:r>
      <w:r>
        <w:t xml:space="preserve"> 35</w:t>
      </w:r>
      <w:r w:rsidRPr="00EA3920">
        <w:t>:</w:t>
      </w:r>
      <w:r>
        <w:t xml:space="preserve"> </w:t>
      </w:r>
      <w:r w:rsidRPr="00EA3920">
        <w:t>69-75</w:t>
      </w:r>
      <w:r>
        <w:t>.</w:t>
      </w:r>
    </w:p>
  </w:footnote>
  <w:footnote w:id="10">
    <w:p w:rsidR="002F16E8" w:rsidRDefault="002F16E8">
      <w:pPr>
        <w:pStyle w:val="FootnoteText"/>
      </w:pPr>
      <w:r>
        <w:rPr>
          <w:rStyle w:val="FootnoteReference"/>
        </w:rPr>
        <w:footnoteRef/>
      </w:r>
      <w:r>
        <w:t xml:space="preserve"> </w:t>
      </w:r>
      <w:proofErr w:type="spellStart"/>
      <w:r>
        <w:t>Reverberi</w:t>
      </w:r>
      <w:proofErr w:type="spellEnd"/>
      <w:r>
        <w:t xml:space="preserve"> R. </w:t>
      </w:r>
      <w:r w:rsidRPr="007224E7">
        <w:t xml:space="preserve">(2008) </w:t>
      </w:r>
      <w:proofErr w:type="gramStart"/>
      <w:r w:rsidRPr="007224E7">
        <w:t>The</w:t>
      </w:r>
      <w:proofErr w:type="gramEnd"/>
      <w:r w:rsidRPr="007224E7">
        <w:t xml:space="preserve"> statistical analysis of </w:t>
      </w:r>
      <w:proofErr w:type="spellStart"/>
      <w:r w:rsidRPr="007224E7">
        <w:t>immunohaematological</w:t>
      </w:r>
      <w:proofErr w:type="spellEnd"/>
      <w:r w:rsidRPr="007224E7">
        <w:t xml:space="preserve"> data. </w:t>
      </w:r>
      <w:proofErr w:type="gramStart"/>
      <w:r w:rsidRPr="007224E7">
        <w:rPr>
          <w:i/>
        </w:rPr>
        <w:t xml:space="preserve">Blood </w:t>
      </w:r>
      <w:proofErr w:type="spellStart"/>
      <w:r w:rsidRPr="007224E7">
        <w:rPr>
          <w:i/>
        </w:rPr>
        <w:t>Transfus</w:t>
      </w:r>
      <w:proofErr w:type="spellEnd"/>
      <w:r w:rsidRPr="007224E7">
        <w:rPr>
          <w:i/>
        </w:rPr>
        <w:t>.</w:t>
      </w:r>
      <w:proofErr w:type="gramEnd"/>
      <w:r w:rsidRPr="007224E7">
        <w:t xml:space="preserve"> 6: 37-45.</w:t>
      </w:r>
    </w:p>
  </w:footnote>
  <w:footnote w:id="11">
    <w:p w:rsidR="002F16E8" w:rsidRDefault="002F16E8" w:rsidP="00307983">
      <w:pPr>
        <w:pStyle w:val="FootnoteText"/>
      </w:pPr>
      <w:r>
        <w:rPr>
          <w:rStyle w:val="FootnoteReference"/>
        </w:rPr>
        <w:footnoteRef/>
      </w:r>
      <w:r>
        <w:t xml:space="preserve"> European Medicines Agency, “</w:t>
      </w:r>
      <w:r w:rsidRPr="00901D58">
        <w:t>Note for Guidance on Preclinical Pharmacological and Toxicological testing of vaccines</w:t>
      </w:r>
      <w:r>
        <w:t xml:space="preserve"> (</w:t>
      </w:r>
      <w:r w:rsidRPr="00622C62">
        <w:t>CPMP/SWP/465/95</w:t>
      </w:r>
      <w:r>
        <w:t xml:space="preserve">)”, 17 </w:t>
      </w:r>
      <w:r w:rsidRPr="00307983">
        <w:t>December</w:t>
      </w:r>
      <w:r>
        <w:t xml:space="preserve"> 1997; European Medicines Agency, “</w:t>
      </w:r>
      <w:r w:rsidRPr="009B2924">
        <w:t>Guideline on Adjuvants in Vaccines for Human Use</w:t>
      </w:r>
      <w:r>
        <w:t xml:space="preserve"> (</w:t>
      </w:r>
      <w:r w:rsidRPr="000B1BA6">
        <w:t>EMEA/CHMP/VEG/134716/2004</w:t>
      </w:r>
      <w:r>
        <w:t>)”, 20 January 2005.</w:t>
      </w:r>
    </w:p>
  </w:footnote>
  <w:footnote w:id="12">
    <w:p w:rsidR="002F16E8" w:rsidRDefault="002F16E8" w:rsidP="00307983">
      <w:pPr>
        <w:pStyle w:val="FootnoteText"/>
      </w:pPr>
      <w:r>
        <w:rPr>
          <w:rStyle w:val="FootnoteReference"/>
        </w:rPr>
        <w:footnoteRef/>
      </w:r>
      <w:r>
        <w:t xml:space="preserve"> Munoz FM, et al.</w:t>
      </w:r>
      <w:r w:rsidRPr="001152D4">
        <w:t xml:space="preserve"> (2005) Safety of influenza vaccination </w:t>
      </w:r>
      <w:r w:rsidRPr="00307983">
        <w:t>during</w:t>
      </w:r>
      <w:r w:rsidRPr="001152D4">
        <w:t xml:space="preserve"> pregnancy. </w:t>
      </w:r>
      <w:proofErr w:type="gramStart"/>
      <w:r w:rsidRPr="00AE1BBB">
        <w:rPr>
          <w:i/>
        </w:rPr>
        <w:t xml:space="preserve">American Journal of Obstetrics and </w:t>
      </w:r>
      <w:proofErr w:type="spellStart"/>
      <w:r w:rsidRPr="00AE1BBB">
        <w:rPr>
          <w:i/>
        </w:rPr>
        <w:t>Gynecology</w:t>
      </w:r>
      <w:proofErr w:type="spellEnd"/>
      <w:r>
        <w:t xml:space="preserve"> 192: 1098-1106; </w:t>
      </w:r>
      <w:proofErr w:type="spellStart"/>
      <w:r>
        <w:t>Naleway</w:t>
      </w:r>
      <w:proofErr w:type="spellEnd"/>
      <w:r>
        <w:t xml:space="preserve"> A</w:t>
      </w:r>
      <w:r w:rsidRPr="00EE1CDB">
        <w:t xml:space="preserve">L, </w:t>
      </w:r>
      <w:r>
        <w:t xml:space="preserve">et al. </w:t>
      </w:r>
      <w:r w:rsidRPr="00EE1CDB">
        <w:t>(2006) Delivering influenza vaccine to pregnant women.</w:t>
      </w:r>
      <w:proofErr w:type="gramEnd"/>
      <w:r w:rsidRPr="00EE1CDB">
        <w:t xml:space="preserve"> </w:t>
      </w:r>
      <w:r w:rsidRPr="00BB0C85">
        <w:rPr>
          <w:i/>
        </w:rPr>
        <w:t>Epidemiological Reviews</w:t>
      </w:r>
      <w:r w:rsidRPr="00EE1CDB">
        <w:t xml:space="preserve"> 28: 47-53.</w:t>
      </w:r>
    </w:p>
  </w:footnote>
  <w:footnote w:id="13">
    <w:p w:rsidR="002F16E8" w:rsidRDefault="002F16E8">
      <w:pPr>
        <w:pStyle w:val="FootnoteText"/>
      </w:pPr>
      <w:r>
        <w:rPr>
          <w:rStyle w:val="FootnoteReference"/>
        </w:rPr>
        <w:footnoteRef/>
      </w:r>
      <w:r>
        <w:t xml:space="preserve"> Dreier JW</w:t>
      </w:r>
      <w:r w:rsidRPr="00A55F22">
        <w:t xml:space="preserve">, </w:t>
      </w:r>
      <w:r>
        <w:t>et al.</w:t>
      </w:r>
      <w:r w:rsidRPr="00A55F22">
        <w:t xml:space="preserve"> (2014) Systematic review and meta-analyses: fever in pregnancy and health impacts in the</w:t>
      </w:r>
      <w:r>
        <w:t xml:space="preserve"> offspring. </w:t>
      </w:r>
      <w:proofErr w:type="spellStart"/>
      <w:r w:rsidRPr="00A55F22">
        <w:rPr>
          <w:i/>
        </w:rPr>
        <w:t>Pediatrics</w:t>
      </w:r>
      <w:proofErr w:type="spellEnd"/>
      <w:r>
        <w:t xml:space="preserve"> </w:t>
      </w:r>
      <w:r w:rsidRPr="00A55F22">
        <w:t>133: e674-</w:t>
      </w:r>
      <w:r>
        <w:t>e6</w:t>
      </w:r>
      <w:r w:rsidRPr="00A55F22">
        <w:t>88.</w:t>
      </w:r>
    </w:p>
  </w:footnote>
  <w:footnote w:id="14">
    <w:p w:rsidR="002F16E8" w:rsidRDefault="002F16E8">
      <w:pPr>
        <w:pStyle w:val="FootnoteText"/>
      </w:pPr>
      <w:r>
        <w:rPr>
          <w:rStyle w:val="FootnoteReference"/>
        </w:rPr>
        <w:footnoteRef/>
      </w:r>
      <w:r>
        <w:t xml:space="preserve"> </w:t>
      </w:r>
      <w:r w:rsidRPr="0014215A">
        <w:rPr>
          <w:szCs w:val="18"/>
        </w:rPr>
        <w:t xml:space="preserve">US Food and Drug Administration FDA (CBER) </w:t>
      </w:r>
      <w:r w:rsidRPr="0014215A">
        <w:rPr>
          <w:kern w:val="16"/>
          <w:szCs w:val="18"/>
        </w:rPr>
        <w:t>Guidance (2006): Considerations for Developmental</w:t>
      </w:r>
      <w:r w:rsidRPr="0014215A">
        <w:rPr>
          <w:szCs w:val="18"/>
        </w:rPr>
        <w:t xml:space="preserve"> </w:t>
      </w:r>
      <w:r w:rsidRPr="0014215A">
        <w:rPr>
          <w:kern w:val="16"/>
          <w:szCs w:val="18"/>
        </w:rPr>
        <w:t>Toxicity Studies for Preventative Therapeutic Vaccines for Infectious Disease</w:t>
      </w:r>
      <w:r w:rsidRPr="0014215A">
        <w:rPr>
          <w:szCs w:val="18"/>
        </w:rPr>
        <w:t xml:space="preserve"> </w:t>
      </w:r>
      <w:r w:rsidRPr="0014215A">
        <w:rPr>
          <w:kern w:val="16"/>
          <w:szCs w:val="18"/>
        </w:rPr>
        <w:t>Indications.</w:t>
      </w:r>
    </w:p>
  </w:footnote>
  <w:footnote w:id="15">
    <w:p w:rsidR="002F16E8" w:rsidRDefault="002F16E8">
      <w:pPr>
        <w:pStyle w:val="FootnoteText"/>
      </w:pPr>
      <w:r>
        <w:rPr>
          <w:rStyle w:val="FootnoteReference"/>
        </w:rPr>
        <w:footnoteRef/>
      </w:r>
      <w:r>
        <w:t xml:space="preserve"> European Medicines Agency, “</w:t>
      </w:r>
      <w:r w:rsidRPr="0014215A">
        <w:t>ICH Topic S 5 (R2) Detection of Toxicity to Reproduction for Medicinal Products &amp; Toxicity to Male Fertility</w:t>
      </w:r>
      <w:r>
        <w:t xml:space="preserve"> (</w:t>
      </w:r>
      <w:r w:rsidRPr="00946C47">
        <w:t>CPMP/ICH/386/95</w:t>
      </w:r>
      <w:r>
        <w:t>)”, March 1994.</w:t>
      </w:r>
    </w:p>
  </w:footnote>
  <w:footnote w:id="16">
    <w:p w:rsidR="002F16E8" w:rsidRDefault="002F16E8">
      <w:pPr>
        <w:pStyle w:val="FootnoteText"/>
      </w:pPr>
      <w:r>
        <w:rPr>
          <w:rStyle w:val="FootnoteReference"/>
        </w:rPr>
        <w:footnoteRef/>
      </w:r>
      <w:r>
        <w:t xml:space="preserve"> </w:t>
      </w:r>
      <w:proofErr w:type="spellStart"/>
      <w:r>
        <w:t>Reverberi</w:t>
      </w:r>
      <w:proofErr w:type="spellEnd"/>
      <w:r>
        <w:t xml:space="preserve"> R. </w:t>
      </w:r>
      <w:r w:rsidRPr="007224E7">
        <w:t xml:space="preserve">(2008) </w:t>
      </w:r>
      <w:proofErr w:type="gramStart"/>
      <w:r w:rsidRPr="007224E7">
        <w:t>The</w:t>
      </w:r>
      <w:proofErr w:type="gramEnd"/>
      <w:r w:rsidRPr="007224E7">
        <w:t xml:space="preserve"> statistical analysis of </w:t>
      </w:r>
      <w:proofErr w:type="spellStart"/>
      <w:r w:rsidRPr="007224E7">
        <w:t>immunohaematological</w:t>
      </w:r>
      <w:proofErr w:type="spellEnd"/>
      <w:r w:rsidRPr="007224E7">
        <w:t xml:space="preserve"> data. </w:t>
      </w:r>
      <w:proofErr w:type="gramStart"/>
      <w:r w:rsidRPr="007224E7">
        <w:rPr>
          <w:i/>
        </w:rPr>
        <w:t xml:space="preserve">Blood </w:t>
      </w:r>
      <w:proofErr w:type="spellStart"/>
      <w:r w:rsidRPr="007224E7">
        <w:rPr>
          <w:i/>
        </w:rPr>
        <w:t>Transfus</w:t>
      </w:r>
      <w:proofErr w:type="spellEnd"/>
      <w:r w:rsidRPr="007224E7">
        <w:rPr>
          <w:i/>
        </w:rPr>
        <w:t>.</w:t>
      </w:r>
      <w:proofErr w:type="gramEnd"/>
      <w:r w:rsidRPr="007224E7">
        <w:t xml:space="preserve"> 6: 37-45</w:t>
      </w:r>
      <w:r>
        <w:t>.</w:t>
      </w:r>
    </w:p>
  </w:footnote>
  <w:footnote w:id="17">
    <w:p w:rsidR="002F16E8" w:rsidRDefault="002F16E8" w:rsidP="00307983">
      <w:pPr>
        <w:pStyle w:val="FootnoteText"/>
      </w:pPr>
      <w:r>
        <w:rPr>
          <w:rStyle w:val="FootnoteReference"/>
        </w:rPr>
        <w:footnoteRef/>
      </w:r>
      <w:r>
        <w:t xml:space="preserve"> Category B1: “</w:t>
      </w:r>
      <w:r w:rsidRPr="002B6911">
        <w:t xml:space="preserve">Drugs which have been taken by only a limited number of pregnant women and women of childbearing age, </w:t>
      </w:r>
      <w:r w:rsidRPr="00307983">
        <w:t>without</w:t>
      </w:r>
      <w:r w:rsidRPr="002B6911">
        <w:t xml:space="preserve"> an increase in the frequency of malformation or other direct or indirect harmful effects on the human f</w:t>
      </w:r>
      <w:r>
        <w:t>o</w:t>
      </w:r>
      <w:r w:rsidRPr="002B6911">
        <w:t>etus having been observed. Studies in animals have not shown evidence of an increased occurrence of f</w:t>
      </w:r>
      <w:r>
        <w:t>o</w:t>
      </w:r>
      <w:r w:rsidRPr="002B6911">
        <w:t>etal damage.</w:t>
      </w:r>
      <w:r>
        <w:t>”</w:t>
      </w:r>
    </w:p>
  </w:footnote>
  <w:footnote w:id="18">
    <w:p w:rsidR="002F16E8" w:rsidRDefault="002F16E8">
      <w:pPr>
        <w:pStyle w:val="FootnoteText"/>
      </w:pPr>
      <w:r>
        <w:rPr>
          <w:rStyle w:val="FootnoteReference"/>
        </w:rPr>
        <w:footnoteRef/>
      </w:r>
      <w:r>
        <w:t xml:space="preserve"> </w:t>
      </w:r>
      <w:proofErr w:type="spellStart"/>
      <w:r>
        <w:t>Celvapan</w:t>
      </w:r>
      <w:proofErr w:type="spellEnd"/>
      <w:r>
        <w:t xml:space="preserve"> (</w:t>
      </w:r>
      <w:r w:rsidRPr="00FD2445">
        <w:t>B</w:t>
      </w:r>
      <w:r>
        <w:t>axter, 2008)</w:t>
      </w:r>
      <w:r w:rsidRPr="00FD2445">
        <w:t xml:space="preserve"> was the first whole </w:t>
      </w:r>
      <w:proofErr w:type="spellStart"/>
      <w:r w:rsidRPr="00FD2445">
        <w:t>virion</w:t>
      </w:r>
      <w:proofErr w:type="spellEnd"/>
      <w:r w:rsidRPr="00FD2445">
        <w:t>, inactivated cell culture-derived (Vero cell derived) H5N1 ‘pandemic’ influenza vaccine to be considered for registration.</w:t>
      </w:r>
    </w:p>
  </w:footnote>
  <w:footnote w:id="19">
    <w:p w:rsidR="002F16E8" w:rsidRDefault="002F16E8">
      <w:pPr>
        <w:pStyle w:val="FootnoteText"/>
      </w:pPr>
      <w:r>
        <w:rPr>
          <w:rStyle w:val="FootnoteReference"/>
        </w:rPr>
        <w:footnoteRef/>
      </w:r>
      <w:r>
        <w:t xml:space="preserve"> European Medicines Agency, “</w:t>
      </w:r>
      <w:r w:rsidRPr="00F02514">
        <w:t>Committee for Propri</w:t>
      </w:r>
      <w:r>
        <w:t xml:space="preserve">etary Medicinal Products (CHMP): </w:t>
      </w:r>
      <w:r w:rsidRPr="00F02514">
        <w:t>Note for Guidance on the Harmonisation of Requirements for Influenza vaccines</w:t>
      </w:r>
      <w:r>
        <w:t xml:space="preserve"> (</w:t>
      </w:r>
      <w:r w:rsidRPr="003A025E">
        <w:t>CPMP/BWP/214/96</w:t>
      </w:r>
      <w:r>
        <w:t>)”, 12 March 1997.</w:t>
      </w:r>
    </w:p>
  </w:footnote>
  <w:footnote w:id="20">
    <w:p w:rsidR="002F16E8" w:rsidRDefault="002F16E8">
      <w:pPr>
        <w:pStyle w:val="FootnoteText"/>
      </w:pPr>
      <w:r>
        <w:rPr>
          <w:rStyle w:val="FootnoteReference"/>
        </w:rPr>
        <w:footnoteRef/>
      </w:r>
      <w:r>
        <w:t xml:space="preserve"> European Medicines Agency, “</w:t>
      </w:r>
      <w:r w:rsidRPr="00F02514">
        <w:t>Committee for Propri</w:t>
      </w:r>
      <w:r>
        <w:t xml:space="preserve">etary Medicinal Products (CHMP): </w:t>
      </w:r>
      <w:r w:rsidRPr="00F02514">
        <w:t>Note for Guidance on the Harmonisation of Requirements for Influenza vaccines</w:t>
      </w:r>
      <w:r>
        <w:t xml:space="preserve"> (</w:t>
      </w:r>
      <w:r w:rsidRPr="003A025E">
        <w:t>CPMP/BWP/214/96</w:t>
      </w:r>
      <w:r>
        <w:t>)”, 12 March 1997.</w:t>
      </w:r>
    </w:p>
  </w:footnote>
  <w:footnote w:id="21">
    <w:p w:rsidR="002F16E8" w:rsidRDefault="002F16E8">
      <w:pPr>
        <w:pStyle w:val="FootnoteText"/>
      </w:pPr>
      <w:r>
        <w:rPr>
          <w:rStyle w:val="FootnoteReference"/>
        </w:rPr>
        <w:footnoteRef/>
      </w:r>
      <w:r>
        <w:t xml:space="preserve"> </w:t>
      </w:r>
      <w:proofErr w:type="gramStart"/>
      <w:r w:rsidRPr="00AF73F1">
        <w:t xml:space="preserve">Monto AS, </w:t>
      </w:r>
      <w:proofErr w:type="spellStart"/>
      <w:r w:rsidRPr="00AF73F1">
        <w:t>Maassab</w:t>
      </w:r>
      <w:proofErr w:type="spellEnd"/>
      <w:r w:rsidRPr="00AF73F1">
        <w:t xml:space="preserve"> HF. </w:t>
      </w:r>
      <w:r>
        <w:t xml:space="preserve">(1981) </w:t>
      </w:r>
      <w:r w:rsidRPr="00AF73F1">
        <w:t xml:space="preserve">Ether Treatment of Type b Influenza Virus Antigen for the </w:t>
      </w:r>
      <w:proofErr w:type="spellStart"/>
      <w:r w:rsidRPr="00AF73F1">
        <w:t>Hemagglutination</w:t>
      </w:r>
      <w:proofErr w:type="spellEnd"/>
      <w:r w:rsidRPr="00AF73F1">
        <w:t xml:space="preserve"> Inhibition Test. </w:t>
      </w:r>
      <w:r w:rsidRPr="007A5FA9">
        <w:rPr>
          <w:i/>
        </w:rPr>
        <w:t xml:space="preserve">J </w:t>
      </w:r>
      <w:proofErr w:type="spellStart"/>
      <w:r w:rsidRPr="007A5FA9">
        <w:rPr>
          <w:i/>
        </w:rPr>
        <w:t>Clin</w:t>
      </w:r>
      <w:proofErr w:type="spellEnd"/>
      <w:r w:rsidRPr="007A5FA9">
        <w:rPr>
          <w:i/>
        </w:rPr>
        <w:t xml:space="preserve"> </w:t>
      </w:r>
      <w:proofErr w:type="spellStart"/>
      <w:r w:rsidRPr="007A5FA9">
        <w:rPr>
          <w:i/>
        </w:rPr>
        <w:t>Microb</w:t>
      </w:r>
      <w:proofErr w:type="spellEnd"/>
      <w:r w:rsidRPr="007A5FA9">
        <w:rPr>
          <w:i/>
        </w:rPr>
        <w:t>.</w:t>
      </w:r>
      <w:proofErr w:type="gramEnd"/>
      <w:r>
        <w:t xml:space="preserve"> 13: 54-57.</w:t>
      </w:r>
    </w:p>
  </w:footnote>
  <w:footnote w:id="22">
    <w:p w:rsidR="002F16E8" w:rsidRDefault="002F16E8">
      <w:pPr>
        <w:pStyle w:val="FootnoteText"/>
      </w:pPr>
      <w:r>
        <w:rPr>
          <w:rStyle w:val="FootnoteReference"/>
        </w:rPr>
        <w:footnoteRef/>
      </w:r>
      <w:r>
        <w:t xml:space="preserve"> </w:t>
      </w:r>
      <w:proofErr w:type="spellStart"/>
      <w:r>
        <w:t>Wanich</w:t>
      </w:r>
      <w:proofErr w:type="spellEnd"/>
      <w:r>
        <w:t xml:space="preserve"> N, et al. (2010) </w:t>
      </w:r>
      <w:r w:rsidRPr="00260A7B">
        <w:t xml:space="preserve">In vitro assessment of the </w:t>
      </w:r>
      <w:proofErr w:type="spellStart"/>
      <w:r w:rsidRPr="00260A7B">
        <w:t>allergenicity</w:t>
      </w:r>
      <w:proofErr w:type="spellEnd"/>
      <w:r w:rsidRPr="00260A7B">
        <w:t xml:space="preserve"> of a novel influenza vaccine produced in dog kidney cells in individuals with dog allergy. </w:t>
      </w:r>
      <w:proofErr w:type="gramStart"/>
      <w:r w:rsidRPr="00930696">
        <w:rPr>
          <w:i/>
        </w:rPr>
        <w:t xml:space="preserve">Ann Allergy Asthma </w:t>
      </w:r>
      <w:proofErr w:type="spellStart"/>
      <w:r w:rsidRPr="00930696">
        <w:rPr>
          <w:i/>
        </w:rPr>
        <w:t>Immunol</w:t>
      </w:r>
      <w:proofErr w:type="spellEnd"/>
      <w:r w:rsidRPr="00930696">
        <w:rPr>
          <w:i/>
        </w:rPr>
        <w:t>.</w:t>
      </w:r>
      <w:proofErr w:type="gramEnd"/>
      <w:r>
        <w:t xml:space="preserve"> </w:t>
      </w:r>
      <w:r w:rsidRPr="00260A7B">
        <w:t>104:</w:t>
      </w:r>
      <w:r>
        <w:t xml:space="preserve"> </w:t>
      </w:r>
      <w:r w:rsidRPr="00260A7B">
        <w:t>426-</w:t>
      </w:r>
      <w:r>
        <w:t>4</w:t>
      </w:r>
      <w:r w:rsidRPr="00260A7B">
        <w:t>33</w:t>
      </w:r>
      <w:r>
        <w:t>.</w:t>
      </w:r>
    </w:p>
  </w:footnote>
  <w:footnote w:id="23">
    <w:p w:rsidR="002F16E8" w:rsidRDefault="002F16E8">
      <w:pPr>
        <w:pStyle w:val="FootnoteText"/>
      </w:pPr>
      <w:r>
        <w:rPr>
          <w:rStyle w:val="FootnoteReference"/>
        </w:rPr>
        <w:footnoteRef/>
      </w:r>
      <w:r>
        <w:t xml:space="preserve"> US Food and Drug Administration, “</w:t>
      </w:r>
      <w:r w:rsidRPr="001261CF">
        <w:t>Guidance for Industry</w:t>
      </w:r>
      <w:r>
        <w:t>:</w:t>
      </w:r>
      <w:r w:rsidRPr="001261CF">
        <w:t xml:space="preserve"> Clinical Data Needed to Support the Licensure of Seasonal Inactivated Influenza Vaccines</w:t>
      </w:r>
      <w:r>
        <w:t>”, May 2007.</w:t>
      </w:r>
    </w:p>
  </w:footnote>
  <w:footnote w:id="24">
    <w:p w:rsidR="002F16E8" w:rsidRDefault="002F16E8">
      <w:pPr>
        <w:pStyle w:val="FootnoteText"/>
      </w:pPr>
      <w:r>
        <w:rPr>
          <w:rStyle w:val="FootnoteReference"/>
        </w:rPr>
        <w:footnoteRef/>
      </w:r>
      <w:r>
        <w:t xml:space="preserve"> This table has been redacted of personal patient information.</w:t>
      </w:r>
    </w:p>
  </w:footnote>
  <w:footnote w:id="25">
    <w:p w:rsidR="002F16E8" w:rsidRDefault="002F16E8">
      <w:pPr>
        <w:pStyle w:val="FootnoteText"/>
      </w:pPr>
      <w:r>
        <w:rPr>
          <w:rStyle w:val="FootnoteReference"/>
        </w:rPr>
        <w:footnoteRef/>
      </w:r>
      <w:r>
        <w:t xml:space="preserve"> This table has been redacted of personal patient information.</w:t>
      </w:r>
    </w:p>
  </w:footnote>
  <w:footnote w:id="26">
    <w:p w:rsidR="002F16E8" w:rsidRDefault="002F16E8">
      <w:pPr>
        <w:pStyle w:val="FootnoteText"/>
      </w:pPr>
      <w:r>
        <w:rPr>
          <w:rStyle w:val="FootnoteReference"/>
        </w:rPr>
        <w:footnoteRef/>
      </w:r>
      <w:r>
        <w:t xml:space="preserve"> </w:t>
      </w:r>
      <w:proofErr w:type="spellStart"/>
      <w:r>
        <w:t>Wanich</w:t>
      </w:r>
      <w:proofErr w:type="spellEnd"/>
      <w:r>
        <w:t xml:space="preserve"> N, et al. (2010) </w:t>
      </w:r>
      <w:r w:rsidRPr="00260A7B">
        <w:t xml:space="preserve">In vitro assessment of the </w:t>
      </w:r>
      <w:proofErr w:type="spellStart"/>
      <w:r w:rsidRPr="00260A7B">
        <w:t>allergenicity</w:t>
      </w:r>
      <w:proofErr w:type="spellEnd"/>
      <w:r w:rsidRPr="00260A7B">
        <w:t xml:space="preserve"> of a novel influenza vaccine produced in dog kidney cells in individuals with dog allergy. </w:t>
      </w:r>
      <w:proofErr w:type="gramStart"/>
      <w:r w:rsidRPr="00930696">
        <w:rPr>
          <w:i/>
        </w:rPr>
        <w:t xml:space="preserve">Ann Allergy Asthma </w:t>
      </w:r>
      <w:proofErr w:type="spellStart"/>
      <w:r w:rsidRPr="00930696">
        <w:rPr>
          <w:i/>
        </w:rPr>
        <w:t>Immunol</w:t>
      </w:r>
      <w:proofErr w:type="spellEnd"/>
      <w:r w:rsidRPr="00930696">
        <w:rPr>
          <w:i/>
        </w:rPr>
        <w:t>.</w:t>
      </w:r>
      <w:proofErr w:type="gramEnd"/>
      <w:r>
        <w:t xml:space="preserve"> </w:t>
      </w:r>
      <w:r w:rsidRPr="00260A7B">
        <w:t>104:</w:t>
      </w:r>
      <w:r>
        <w:t xml:space="preserve"> </w:t>
      </w:r>
      <w:r w:rsidRPr="00260A7B">
        <w:t>426-</w:t>
      </w:r>
      <w:r>
        <w:t>4</w:t>
      </w:r>
      <w:r w:rsidRPr="00260A7B">
        <w:t>33</w:t>
      </w:r>
      <w: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16E8" w:rsidRDefault="002F16E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16E8" w:rsidRDefault="002F16E8" w:rsidP="00E45619">
    <w:pPr>
      <w:pStyle w:val="Header"/>
    </w:pPr>
    <w:r>
      <w:t>Therapeutic Goods Administration</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16E8" w:rsidRDefault="002F16E8">
    <w:pPr>
      <w:rPr>
        <w:noProof/>
        <w:lang w:eastAsia="en-AU"/>
      </w:rPr>
    </w:pPr>
    <w:r w:rsidRPr="00347824">
      <w:rPr>
        <w:noProof/>
        <w:lang w:eastAsia="en-AU"/>
      </w:rPr>
      <w:drawing>
        <wp:anchor distT="0" distB="0" distL="114300" distR="114300" simplePos="0" relativeHeight="251659264" behindDoc="1" locked="0" layoutInCell="1" allowOverlap="1" wp14:anchorId="31B3357A" wp14:editId="431744E3">
          <wp:simplePos x="0" y="0"/>
          <wp:positionH relativeFrom="column">
            <wp:posOffset>-1089660</wp:posOffset>
          </wp:positionH>
          <wp:positionV relativeFrom="paragraph">
            <wp:posOffset>-585470</wp:posOffset>
          </wp:positionV>
          <wp:extent cx="7572375" cy="10706100"/>
          <wp:effectExtent l="19050" t="0" r="0" b="0"/>
          <wp:wrapNone/>
          <wp:docPr id="21"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rsidR="002F16E8" w:rsidRDefault="002F16E8" w:rsidP="00593AD1">
    <w:pPr>
      <w:pStyle w:val="HeaderNoLine"/>
    </w:pPr>
    <w:r>
      <w:rPr>
        <w:noProof/>
        <w:lang w:eastAsia="en-AU"/>
      </w:rPr>
      <w:drawing>
        <wp:inline distT="0" distB="0" distL="0" distR="0" wp14:anchorId="6EBAA1D0" wp14:editId="08DE913E">
          <wp:extent cx="5400675" cy="7639050"/>
          <wp:effectExtent l="0" t="0" r="9525" b="0"/>
          <wp:docPr id="22" name="Picture 22"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blu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0675" cy="7639050"/>
                  </a:xfrm>
                  <a:prstGeom prst="rect">
                    <a:avLst/>
                  </a:prstGeom>
                  <a:noFill/>
                  <a:ln>
                    <a:noFill/>
                  </a:ln>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16E8" w:rsidRDefault="002F16E8">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16E8" w:rsidRDefault="002F16E8">
    <w:pPr>
      <w:pStyle w:val="Header"/>
    </w:pPr>
    <w:r>
      <w:t>Therapeutic Goods Administration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16E8" w:rsidRDefault="002F16E8">
    <w:pPr>
      <w:pStyle w:val="Header"/>
    </w:pPr>
    <w:r>
      <w:t>Therapeutic Goods Administration</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16E8" w:rsidRDefault="002F16E8">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16E8" w:rsidRDefault="002F16E8" w:rsidP="004C239D">
    <w:pPr>
      <w:pStyle w:val="HeaderNoLine"/>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16E8" w:rsidRDefault="002F16E8" w:rsidP="006E08B3">
    <w:r>
      <w:t>Therapeutic Goods Administration</w:t>
    </w:r>
  </w:p>
  <w:p w:rsidR="002F16E8" w:rsidRDefault="002F16E8" w:rsidP="006D03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406830BE"/>
    <w:lvl w:ilvl="0">
      <w:start w:val="1"/>
      <w:numFmt w:val="bullet"/>
      <w:lvlText w:val=""/>
      <w:lvlJc w:val="left"/>
      <w:pPr>
        <w:tabs>
          <w:tab w:val="num" w:pos="926"/>
        </w:tabs>
        <w:ind w:left="926" w:hanging="360"/>
      </w:pPr>
      <w:rPr>
        <w:rFonts w:ascii="Symbol" w:hAnsi="Symbol" w:hint="default"/>
      </w:rPr>
    </w:lvl>
  </w:abstractNum>
  <w:abstractNum w:abstractNumId="1">
    <w:nsid w:val="FFFFFF83"/>
    <w:multiLevelType w:val="singleLevel"/>
    <w:tmpl w:val="A04AD474"/>
    <w:lvl w:ilvl="0">
      <w:start w:val="1"/>
      <w:numFmt w:val="bullet"/>
      <w:lvlText w:val="–"/>
      <w:lvlJc w:val="left"/>
      <w:pPr>
        <w:ind w:left="643" w:hanging="360"/>
      </w:pPr>
      <w:rPr>
        <w:rFonts w:ascii="Arial" w:hAnsi="Arial" w:hint="default"/>
      </w:rPr>
    </w:lvl>
  </w:abstractNum>
  <w:abstractNum w:abstractNumId="2">
    <w:nsid w:val="FFFFFF89"/>
    <w:multiLevelType w:val="singleLevel"/>
    <w:tmpl w:val="F4085A32"/>
    <w:lvl w:ilvl="0">
      <w:start w:val="1"/>
      <w:numFmt w:val="bullet"/>
      <w:lvlText w:val=""/>
      <w:lvlJc w:val="left"/>
      <w:pPr>
        <w:tabs>
          <w:tab w:val="num" w:pos="360"/>
        </w:tabs>
        <w:ind w:left="360" w:hanging="360"/>
      </w:pPr>
      <w:rPr>
        <w:rFonts w:ascii="Symbol" w:hAnsi="Symbol" w:hint="default"/>
      </w:rPr>
    </w:lvl>
  </w:abstractNum>
  <w:abstractNum w:abstractNumId="3">
    <w:nsid w:val="FFFFFFFE"/>
    <w:multiLevelType w:val="singleLevel"/>
    <w:tmpl w:val="B8320B0A"/>
    <w:lvl w:ilvl="0">
      <w:numFmt w:val="bullet"/>
      <w:lvlText w:val="*"/>
      <w:lvlJc w:val="left"/>
    </w:lvl>
  </w:abstractNum>
  <w:abstractNum w:abstractNumId="4">
    <w:nsid w:val="09A37210"/>
    <w:multiLevelType w:val="hybridMultilevel"/>
    <w:tmpl w:val="47247E02"/>
    <w:lvl w:ilvl="0" w:tplc="0C090003">
      <w:start w:val="1"/>
      <w:numFmt w:val="bullet"/>
      <w:lvlText w:val="o"/>
      <w:lvlJc w:val="left"/>
      <w:pPr>
        <w:ind w:left="360" w:hanging="360"/>
      </w:pPr>
      <w:rPr>
        <w:rFonts w:ascii="Courier New" w:hAnsi="Courier New" w:cs="Courier New"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nsid w:val="0EFF71C1"/>
    <w:multiLevelType w:val="hybridMultilevel"/>
    <w:tmpl w:val="B77EF8F0"/>
    <w:lvl w:ilvl="0" w:tplc="0C09000F">
      <w:start w:val="1"/>
      <w:numFmt w:val="decimal"/>
      <w:lvlText w:val="%1."/>
      <w:lvlJc w:val="left"/>
      <w:pPr>
        <w:ind w:left="720" w:hanging="360"/>
      </w:p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6">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7">
    <w:nsid w:val="11C43879"/>
    <w:multiLevelType w:val="multilevel"/>
    <w:tmpl w:val="090A3320"/>
    <w:lvl w:ilvl="0">
      <w:start w:val="1"/>
      <w:numFmt w:val="decimal"/>
      <w:lvlText w:val="%1"/>
      <w:lvlJc w:val="left"/>
      <w:pPr>
        <w:tabs>
          <w:tab w:val="num" w:pos="425"/>
        </w:tabs>
        <w:ind w:left="425" w:hanging="425"/>
      </w:pPr>
      <w:rPr>
        <w:rFonts w:hint="default"/>
      </w:rPr>
    </w:lvl>
    <w:lvl w:ilvl="1">
      <w:start w:val="1"/>
      <w:numFmt w:val="decimal"/>
      <w:lvlText w:val="%1.%2"/>
      <w:lvlJc w:val="left"/>
      <w:pPr>
        <w:tabs>
          <w:tab w:val="num" w:pos="709"/>
        </w:tabs>
        <w:ind w:left="709" w:hanging="709"/>
      </w:pPr>
      <w:rPr>
        <w:rFonts w:hint="default"/>
      </w:rPr>
    </w:lvl>
    <w:lvl w:ilvl="2">
      <w:start w:val="1"/>
      <w:numFmt w:val="decimal"/>
      <w:lvlText w:val="%1.%2.%3"/>
      <w:lvlJc w:val="left"/>
      <w:pPr>
        <w:tabs>
          <w:tab w:val="num" w:pos="992"/>
        </w:tabs>
        <w:ind w:left="992" w:hanging="992"/>
      </w:pPr>
      <w:rPr>
        <w:rFonts w:hint="default"/>
      </w:rPr>
    </w:lvl>
    <w:lvl w:ilvl="3">
      <w:start w:val="1"/>
      <w:numFmt w:val="decimal"/>
      <w:lvlText w:val="%1.%2.%3.%4"/>
      <w:lvlJc w:val="left"/>
      <w:pPr>
        <w:tabs>
          <w:tab w:val="num" w:pos="1276"/>
        </w:tabs>
        <w:ind w:left="1276" w:hanging="1276"/>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9">
    <w:nsid w:val="191152FA"/>
    <w:multiLevelType w:val="hybridMultilevel"/>
    <w:tmpl w:val="216CB20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nsid w:val="1C4D6145"/>
    <w:multiLevelType w:val="hybridMultilevel"/>
    <w:tmpl w:val="BDEE0022"/>
    <w:lvl w:ilvl="0" w:tplc="0C090003">
      <w:start w:val="1"/>
      <w:numFmt w:val="bullet"/>
      <w:lvlText w:val="o"/>
      <w:lvlJc w:val="left"/>
      <w:pPr>
        <w:ind w:left="360" w:hanging="360"/>
      </w:pPr>
      <w:rPr>
        <w:rFonts w:ascii="Courier New" w:hAnsi="Courier New" w:cs="Courier New"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nsid w:val="29A4302E"/>
    <w:multiLevelType w:val="hybridMultilevel"/>
    <w:tmpl w:val="3B3A8620"/>
    <w:lvl w:ilvl="0" w:tplc="0C09000F">
      <w:start w:val="1"/>
      <w:numFmt w:val="decimal"/>
      <w:lvlText w:val="%1."/>
      <w:lvlJc w:val="left"/>
      <w:pPr>
        <w:ind w:left="1440" w:hanging="360"/>
      </w:pPr>
      <w:rPr>
        <w:rFont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nsid w:val="300B5643"/>
    <w:multiLevelType w:val="multilevel"/>
    <w:tmpl w:val="2BFA705C"/>
    <w:lvl w:ilvl="0">
      <w:start w:val="1"/>
      <w:numFmt w:val="bullet"/>
      <w:lvlText w:val=""/>
      <w:lvlJc w:val="left"/>
      <w:pPr>
        <w:ind w:left="644" w:hanging="360"/>
      </w:pPr>
      <w:rPr>
        <w:rFonts w:ascii="Symbol" w:hAnsi="Symbol" w:hint="default"/>
      </w:rPr>
    </w:lvl>
    <w:lvl w:ilvl="1">
      <w:start w:val="1"/>
      <w:numFmt w:val="bullet"/>
      <w:lvlText w:val="–"/>
      <w:lvlJc w:val="left"/>
      <w:pPr>
        <w:ind w:left="1004" w:hanging="360"/>
      </w:pPr>
      <w:rPr>
        <w:rFonts w:ascii="Arial" w:hAnsi="Arial" w:hint="default"/>
      </w:rPr>
    </w:lvl>
    <w:lvl w:ilvl="2">
      <w:start w:val="1"/>
      <w:numFmt w:val="bullet"/>
      <w:lvlText w:val="o"/>
      <w:lvlJc w:val="left"/>
      <w:pPr>
        <w:ind w:left="1364" w:hanging="360"/>
      </w:pPr>
      <w:rPr>
        <w:rFonts w:ascii="Courier New" w:hAnsi="Courier New" w:cs="Courier New" w:hint="default"/>
      </w:rPr>
    </w:lvl>
    <w:lvl w:ilvl="3">
      <w:start w:val="1"/>
      <w:numFmt w:val="none"/>
      <w:lvlText w:val=""/>
      <w:lvlJc w:val="left"/>
      <w:pPr>
        <w:ind w:left="1724" w:hanging="360"/>
      </w:pPr>
      <w:rPr>
        <w:rFonts w:hint="default"/>
      </w:rPr>
    </w:lvl>
    <w:lvl w:ilvl="4">
      <w:start w:val="1"/>
      <w:numFmt w:val="none"/>
      <w:lvlText w:val=""/>
      <w:lvlJc w:val="left"/>
      <w:pPr>
        <w:ind w:left="2084" w:hanging="360"/>
      </w:pPr>
      <w:rPr>
        <w:rFonts w:hint="default"/>
      </w:rPr>
    </w:lvl>
    <w:lvl w:ilvl="5">
      <w:start w:val="1"/>
      <w:numFmt w:val="none"/>
      <w:lvlText w:val=""/>
      <w:lvlJc w:val="left"/>
      <w:pPr>
        <w:ind w:left="2444" w:hanging="360"/>
      </w:pPr>
      <w:rPr>
        <w:rFonts w:hint="default"/>
      </w:rPr>
    </w:lvl>
    <w:lvl w:ilvl="6">
      <w:start w:val="1"/>
      <w:numFmt w:val="none"/>
      <w:lvlText w:val="%7"/>
      <w:lvlJc w:val="left"/>
      <w:pPr>
        <w:ind w:left="2804" w:hanging="360"/>
      </w:pPr>
      <w:rPr>
        <w:rFonts w:hint="default"/>
      </w:rPr>
    </w:lvl>
    <w:lvl w:ilvl="7">
      <w:start w:val="1"/>
      <w:numFmt w:val="none"/>
      <w:lvlText w:val="%8"/>
      <w:lvlJc w:val="left"/>
      <w:pPr>
        <w:ind w:left="3164" w:hanging="360"/>
      </w:pPr>
      <w:rPr>
        <w:rFonts w:hint="default"/>
      </w:rPr>
    </w:lvl>
    <w:lvl w:ilvl="8">
      <w:start w:val="1"/>
      <w:numFmt w:val="none"/>
      <w:lvlText w:val="%9"/>
      <w:lvlJc w:val="left"/>
      <w:pPr>
        <w:ind w:left="3524" w:hanging="360"/>
      </w:pPr>
      <w:rPr>
        <w:rFonts w:hint="default"/>
      </w:rPr>
    </w:lvl>
  </w:abstractNum>
  <w:abstractNum w:abstractNumId="13">
    <w:nsid w:val="489B15D7"/>
    <w:multiLevelType w:val="hybridMultilevel"/>
    <w:tmpl w:val="3D2E60CC"/>
    <w:lvl w:ilvl="0" w:tplc="04CEB5FC">
      <w:start w:val="1"/>
      <w:numFmt w:val="bullet"/>
      <w:pStyle w:val="Bulletpoint"/>
      <w:lvlText w:val=""/>
      <w:lvlJc w:val="left"/>
      <w:pPr>
        <w:tabs>
          <w:tab w:val="num" w:pos="369"/>
        </w:tabs>
        <w:ind w:left="369" w:hanging="227"/>
      </w:pPr>
      <w:rPr>
        <w:rFonts w:ascii="Symbol" w:hAnsi="Symbol" w:hint="default"/>
        <w:position w:val="0"/>
        <w:sz w:val="22"/>
        <w:szCs w:val="22"/>
      </w:rPr>
    </w:lvl>
    <w:lvl w:ilvl="1" w:tplc="0C090003">
      <w:start w:val="1"/>
      <w:numFmt w:val="bullet"/>
      <w:lvlText w:val="o"/>
      <w:lvlJc w:val="left"/>
      <w:pPr>
        <w:tabs>
          <w:tab w:val="num" w:pos="1440"/>
        </w:tabs>
        <w:ind w:left="1440" w:hanging="360"/>
      </w:pPr>
      <w:rPr>
        <w:rFonts w:ascii="Courier New" w:hAnsi="Courier New" w:cs="Symbo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Symbol"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Symbol"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4">
    <w:nsid w:val="6A260C36"/>
    <w:multiLevelType w:val="hybridMultilevel"/>
    <w:tmpl w:val="3EDCE5E6"/>
    <w:lvl w:ilvl="0" w:tplc="0C090003">
      <w:start w:val="1"/>
      <w:numFmt w:val="bullet"/>
      <w:lvlText w:val="o"/>
      <w:lvlJc w:val="left"/>
      <w:pPr>
        <w:ind w:left="360" w:hanging="360"/>
      </w:pPr>
      <w:rPr>
        <w:rFonts w:ascii="Courier New" w:hAnsi="Courier New" w:cs="Courier New"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nsid w:val="70827DA1"/>
    <w:multiLevelType w:val="hybridMultilevel"/>
    <w:tmpl w:val="B8C60FFE"/>
    <w:lvl w:ilvl="0" w:tplc="0C090001">
      <w:start w:val="1"/>
      <w:numFmt w:val="bullet"/>
      <w:lvlText w:val=""/>
      <w:lvlJc w:val="left"/>
      <w:pPr>
        <w:ind w:left="107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1">
      <w:start w:val="1"/>
      <w:numFmt w:val="bullet"/>
      <w:lvlText w:val=""/>
      <w:lvlJc w:val="left"/>
      <w:pPr>
        <w:ind w:left="2062" w:hanging="360"/>
      </w:pPr>
      <w:rPr>
        <w:rFonts w:ascii="Symbol" w:hAnsi="Symbol" w:hint="default"/>
      </w:rPr>
    </w:lvl>
    <w:lvl w:ilvl="3" w:tplc="022EE5F6">
      <w:numFmt w:val="bullet"/>
      <w:lvlText w:val="•"/>
      <w:lvlJc w:val="left"/>
      <w:pPr>
        <w:ind w:left="2880" w:hanging="360"/>
      </w:pPr>
      <w:rPr>
        <w:rFonts w:ascii="Cambria" w:eastAsia="MS Mincho" w:hAnsi="Cambria" w:cs="Aria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75691D51"/>
    <w:multiLevelType w:val="hybridMultilevel"/>
    <w:tmpl w:val="E5801FFA"/>
    <w:lvl w:ilvl="0" w:tplc="0C090001">
      <w:start w:val="1"/>
      <w:numFmt w:val="bullet"/>
      <w:lvlText w:val=""/>
      <w:lvlJc w:val="left"/>
      <w:pPr>
        <w:ind w:left="644" w:hanging="360"/>
      </w:pPr>
      <w:rPr>
        <w:rFonts w:ascii="Symbol" w:hAnsi="Symbol"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17">
    <w:nsid w:val="75F51B9B"/>
    <w:multiLevelType w:val="multilevel"/>
    <w:tmpl w:val="469E7A28"/>
    <w:lvl w:ilvl="0">
      <w:start w:val="1"/>
      <w:numFmt w:val="bullet"/>
      <w:lvlText w:val=""/>
      <w:lvlJc w:val="left"/>
      <w:pPr>
        <w:ind w:left="360" w:hanging="360"/>
      </w:pPr>
      <w:rPr>
        <w:rFonts w:ascii="Symbol" w:hAnsi="Symbol" w:hint="default"/>
        <w:color w:val="auto"/>
      </w:rPr>
    </w:lvl>
    <w:lvl w:ilvl="1">
      <w:start w:val="1"/>
      <w:numFmt w:val="bullet"/>
      <w:lvlText w:val="–"/>
      <w:lvlJc w:val="left"/>
      <w:pPr>
        <w:ind w:left="720" w:hanging="360"/>
      </w:pPr>
      <w:rPr>
        <w:rFonts w:ascii="Arial" w:hAnsi="Arial" w:hint="default"/>
      </w:rPr>
    </w:lvl>
    <w:lvl w:ilvl="2">
      <w:start w:val="1"/>
      <w:numFmt w:val="bullet"/>
      <w:lvlText w:val=""/>
      <w:lvlJc w:val="left"/>
      <w:pPr>
        <w:ind w:left="1080" w:hanging="360"/>
      </w:pPr>
      <w:rPr>
        <w:rFonts w:ascii="Symbol" w:hAnsi="Symbol"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8">
    <w:nsid w:val="7605789C"/>
    <w:multiLevelType w:val="hybridMultilevel"/>
    <w:tmpl w:val="D8664D5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76F73E83"/>
    <w:multiLevelType w:val="hybridMultilevel"/>
    <w:tmpl w:val="320C53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7B703D1F"/>
    <w:multiLevelType w:val="hybridMultilevel"/>
    <w:tmpl w:val="4DF0497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8"/>
  </w:num>
  <w:num w:numId="4">
    <w:abstractNumId w:val="8"/>
  </w:num>
  <w:num w:numId="5">
    <w:abstractNumId w:val="0"/>
  </w:num>
  <w:num w:numId="6">
    <w:abstractNumId w:val="8"/>
  </w:num>
  <w:num w:numId="7">
    <w:abstractNumId w:val="8"/>
  </w:num>
  <w:num w:numId="8">
    <w:abstractNumId w:val="6"/>
  </w:num>
  <w:num w:numId="9">
    <w:abstractNumId w:val="6"/>
  </w:num>
  <w:num w:numId="10">
    <w:abstractNumId w:val="6"/>
  </w:num>
  <w:num w:numId="11">
    <w:abstractNumId w:val="6"/>
  </w:num>
  <w:num w:numId="12">
    <w:abstractNumId w:val="3"/>
    <w:lvlOverride w:ilvl="0">
      <w:lvl w:ilvl="0">
        <w:numFmt w:val="bullet"/>
        <w:lvlText w:val="•"/>
        <w:legacy w:legacy="1" w:legacySpace="0" w:legacyIndent="0"/>
        <w:lvlJc w:val="left"/>
        <w:rPr>
          <w:rFonts w:ascii="Helv" w:hAnsi="Helv" w:hint="default"/>
        </w:rPr>
      </w:lvl>
    </w:lvlOverride>
  </w:num>
  <w:num w:numId="13">
    <w:abstractNumId w:val="8"/>
  </w:num>
  <w:num w:numId="14">
    <w:abstractNumId w:val="8"/>
  </w:num>
  <w:num w:numId="15">
    <w:abstractNumId w:val="8"/>
  </w:num>
  <w:num w:numId="16">
    <w:abstractNumId w:val="6"/>
  </w:num>
  <w:num w:numId="17">
    <w:abstractNumId w:val="6"/>
  </w:num>
  <w:num w:numId="18">
    <w:abstractNumId w:val="6"/>
  </w:num>
  <w:num w:numId="19">
    <w:abstractNumId w:val="8"/>
  </w:num>
  <w:num w:numId="20">
    <w:abstractNumId w:val="8"/>
  </w:num>
  <w:num w:numId="21">
    <w:abstractNumId w:val="8"/>
  </w:num>
  <w:num w:numId="22">
    <w:abstractNumId w:val="6"/>
  </w:num>
  <w:num w:numId="23">
    <w:abstractNumId w:val="6"/>
  </w:num>
  <w:num w:numId="24">
    <w:abstractNumId w:val="6"/>
  </w:num>
  <w:num w:numId="25">
    <w:abstractNumId w:val="6"/>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26">
    <w:abstractNumId w:val="6"/>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7">
    <w:abstractNumId w:val="9"/>
  </w:num>
  <w:num w:numId="28">
    <w:abstractNumId w:val="15"/>
  </w:num>
  <w:num w:numId="29">
    <w:abstractNumId w:val="11"/>
  </w:num>
  <w:num w:numId="30">
    <w:abstractNumId w:val="13"/>
  </w:num>
  <w:num w:numId="31">
    <w:abstractNumId w:val="17"/>
  </w:num>
  <w:num w:numId="32">
    <w:abstractNumId w:val="18"/>
  </w:num>
  <w:num w:numId="33">
    <w:abstractNumId w:val="12"/>
  </w:num>
  <w:num w:numId="34">
    <w:abstractNumId w:val="19"/>
  </w:num>
  <w:num w:numId="35">
    <w:abstractNumId w:val="16"/>
  </w:num>
  <w:num w:numId="36">
    <w:abstractNumId w:val="5"/>
    <w:lvlOverride w:ilvl="0">
      <w:startOverride w:val="1"/>
    </w:lvlOverride>
    <w:lvlOverride w:ilvl="1"/>
    <w:lvlOverride w:ilvl="2"/>
    <w:lvlOverride w:ilvl="3"/>
    <w:lvlOverride w:ilvl="4"/>
    <w:lvlOverride w:ilvl="5"/>
    <w:lvlOverride w:ilvl="6"/>
    <w:lvlOverride w:ilvl="7"/>
    <w:lvlOverride w:ilvl="8"/>
  </w:num>
  <w:num w:numId="37">
    <w:abstractNumId w:val="7"/>
  </w:num>
  <w:num w:numId="3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4"/>
  </w:num>
  <w:num w:numId="40">
    <w:abstractNumId w:val="10"/>
  </w:num>
  <w:num w:numId="41">
    <w:abstractNumId w:val="20"/>
  </w:num>
  <w:num w:numId="4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76"/>
  <w:displayBackgroundShape/>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4D89"/>
    <w:rsid w:val="0000015D"/>
    <w:rsid w:val="00000BEB"/>
    <w:rsid w:val="00002031"/>
    <w:rsid w:val="00003830"/>
    <w:rsid w:val="00004734"/>
    <w:rsid w:val="00006B22"/>
    <w:rsid w:val="0001276A"/>
    <w:rsid w:val="0001338C"/>
    <w:rsid w:val="00015879"/>
    <w:rsid w:val="00016B6D"/>
    <w:rsid w:val="00022921"/>
    <w:rsid w:val="000246AE"/>
    <w:rsid w:val="00025C67"/>
    <w:rsid w:val="00026943"/>
    <w:rsid w:val="00030FFA"/>
    <w:rsid w:val="000312C8"/>
    <w:rsid w:val="00035B9A"/>
    <w:rsid w:val="00037C4C"/>
    <w:rsid w:val="00044640"/>
    <w:rsid w:val="00044772"/>
    <w:rsid w:val="00050CDD"/>
    <w:rsid w:val="0005559E"/>
    <w:rsid w:val="00056031"/>
    <w:rsid w:val="000604D6"/>
    <w:rsid w:val="000717BE"/>
    <w:rsid w:val="0007291F"/>
    <w:rsid w:val="000734D8"/>
    <w:rsid w:val="00077775"/>
    <w:rsid w:val="00077870"/>
    <w:rsid w:val="00080111"/>
    <w:rsid w:val="00081150"/>
    <w:rsid w:val="00090471"/>
    <w:rsid w:val="00091B8F"/>
    <w:rsid w:val="00095639"/>
    <w:rsid w:val="00096AA7"/>
    <w:rsid w:val="00096AF4"/>
    <w:rsid w:val="000A01BA"/>
    <w:rsid w:val="000A3AED"/>
    <w:rsid w:val="000B1BA6"/>
    <w:rsid w:val="000B2059"/>
    <w:rsid w:val="000B3532"/>
    <w:rsid w:val="000B3A75"/>
    <w:rsid w:val="000B7310"/>
    <w:rsid w:val="000C00C2"/>
    <w:rsid w:val="000C09E8"/>
    <w:rsid w:val="000C105C"/>
    <w:rsid w:val="000C237C"/>
    <w:rsid w:val="000C4D4C"/>
    <w:rsid w:val="000C690F"/>
    <w:rsid w:val="000D0474"/>
    <w:rsid w:val="000D1295"/>
    <w:rsid w:val="000D391B"/>
    <w:rsid w:val="000D3D6D"/>
    <w:rsid w:val="000D4FC7"/>
    <w:rsid w:val="000D51B8"/>
    <w:rsid w:val="000E152B"/>
    <w:rsid w:val="000E6196"/>
    <w:rsid w:val="000F2A7E"/>
    <w:rsid w:val="000F4869"/>
    <w:rsid w:val="000F5B42"/>
    <w:rsid w:val="000F6E6F"/>
    <w:rsid w:val="001009B2"/>
    <w:rsid w:val="001011BA"/>
    <w:rsid w:val="00102425"/>
    <w:rsid w:val="00103FA4"/>
    <w:rsid w:val="00104B6E"/>
    <w:rsid w:val="0010601F"/>
    <w:rsid w:val="00106883"/>
    <w:rsid w:val="0010788A"/>
    <w:rsid w:val="00107A31"/>
    <w:rsid w:val="00110B6E"/>
    <w:rsid w:val="00110EA5"/>
    <w:rsid w:val="001122AE"/>
    <w:rsid w:val="00112BBD"/>
    <w:rsid w:val="00112F56"/>
    <w:rsid w:val="001141D8"/>
    <w:rsid w:val="001143DA"/>
    <w:rsid w:val="00114F4D"/>
    <w:rsid w:val="001152D4"/>
    <w:rsid w:val="0012141A"/>
    <w:rsid w:val="00124421"/>
    <w:rsid w:val="00124E82"/>
    <w:rsid w:val="00125318"/>
    <w:rsid w:val="00125319"/>
    <w:rsid w:val="001261CF"/>
    <w:rsid w:val="001305A2"/>
    <w:rsid w:val="00133238"/>
    <w:rsid w:val="00137509"/>
    <w:rsid w:val="0014197B"/>
    <w:rsid w:val="00141C44"/>
    <w:rsid w:val="0014215A"/>
    <w:rsid w:val="0014327A"/>
    <w:rsid w:val="00143CE8"/>
    <w:rsid w:val="001447CD"/>
    <w:rsid w:val="001468BF"/>
    <w:rsid w:val="001475D0"/>
    <w:rsid w:val="001516B1"/>
    <w:rsid w:val="00154EBB"/>
    <w:rsid w:val="00156316"/>
    <w:rsid w:val="001607F0"/>
    <w:rsid w:val="00162D14"/>
    <w:rsid w:val="00164DAF"/>
    <w:rsid w:val="00165389"/>
    <w:rsid w:val="00175F78"/>
    <w:rsid w:val="0017693F"/>
    <w:rsid w:val="0018110E"/>
    <w:rsid w:val="00181684"/>
    <w:rsid w:val="001828A9"/>
    <w:rsid w:val="00183A13"/>
    <w:rsid w:val="001843C6"/>
    <w:rsid w:val="001850E0"/>
    <w:rsid w:val="00186E5C"/>
    <w:rsid w:val="00190E2A"/>
    <w:rsid w:val="00195ACC"/>
    <w:rsid w:val="00196F09"/>
    <w:rsid w:val="00196FDC"/>
    <w:rsid w:val="001A2158"/>
    <w:rsid w:val="001A2327"/>
    <w:rsid w:val="001A525F"/>
    <w:rsid w:val="001B03CA"/>
    <w:rsid w:val="001B09F9"/>
    <w:rsid w:val="001B0FBD"/>
    <w:rsid w:val="001B2E07"/>
    <w:rsid w:val="001B4C96"/>
    <w:rsid w:val="001B5C90"/>
    <w:rsid w:val="001B6282"/>
    <w:rsid w:val="001B6448"/>
    <w:rsid w:val="001C0157"/>
    <w:rsid w:val="001C0301"/>
    <w:rsid w:val="001C32CD"/>
    <w:rsid w:val="001C70C5"/>
    <w:rsid w:val="001D0E0D"/>
    <w:rsid w:val="001D0E9B"/>
    <w:rsid w:val="001D1054"/>
    <w:rsid w:val="001D17B4"/>
    <w:rsid w:val="001D2984"/>
    <w:rsid w:val="001D4C5D"/>
    <w:rsid w:val="001D4F17"/>
    <w:rsid w:val="001D6EF1"/>
    <w:rsid w:val="001E07CF"/>
    <w:rsid w:val="001E2138"/>
    <w:rsid w:val="001E2213"/>
    <w:rsid w:val="001E429C"/>
    <w:rsid w:val="001E59F1"/>
    <w:rsid w:val="001F07D3"/>
    <w:rsid w:val="001F2951"/>
    <w:rsid w:val="001F44BE"/>
    <w:rsid w:val="001F49EB"/>
    <w:rsid w:val="001F6CBA"/>
    <w:rsid w:val="001F7084"/>
    <w:rsid w:val="00201D4E"/>
    <w:rsid w:val="00205363"/>
    <w:rsid w:val="0020693D"/>
    <w:rsid w:val="002076C9"/>
    <w:rsid w:val="00207714"/>
    <w:rsid w:val="00215E44"/>
    <w:rsid w:val="00217925"/>
    <w:rsid w:val="00220B8A"/>
    <w:rsid w:val="00220CCF"/>
    <w:rsid w:val="002229D2"/>
    <w:rsid w:val="00223138"/>
    <w:rsid w:val="002257F3"/>
    <w:rsid w:val="00225D81"/>
    <w:rsid w:val="00226CD2"/>
    <w:rsid w:val="00230411"/>
    <w:rsid w:val="00233456"/>
    <w:rsid w:val="002339A5"/>
    <w:rsid w:val="002444DA"/>
    <w:rsid w:val="002520F6"/>
    <w:rsid w:val="00257848"/>
    <w:rsid w:val="00257AD6"/>
    <w:rsid w:val="00260A7B"/>
    <w:rsid w:val="0026133B"/>
    <w:rsid w:val="002677E9"/>
    <w:rsid w:val="0027084A"/>
    <w:rsid w:val="00270880"/>
    <w:rsid w:val="00274FEC"/>
    <w:rsid w:val="002764E4"/>
    <w:rsid w:val="00276C61"/>
    <w:rsid w:val="00277C10"/>
    <w:rsid w:val="00281259"/>
    <w:rsid w:val="00284620"/>
    <w:rsid w:val="00284B0D"/>
    <w:rsid w:val="00286434"/>
    <w:rsid w:val="00286C59"/>
    <w:rsid w:val="00291957"/>
    <w:rsid w:val="00294234"/>
    <w:rsid w:val="002942D1"/>
    <w:rsid w:val="002943D0"/>
    <w:rsid w:val="0029501A"/>
    <w:rsid w:val="002A1989"/>
    <w:rsid w:val="002A1DF5"/>
    <w:rsid w:val="002A3721"/>
    <w:rsid w:val="002B1638"/>
    <w:rsid w:val="002B3624"/>
    <w:rsid w:val="002B6911"/>
    <w:rsid w:val="002B6B6F"/>
    <w:rsid w:val="002B6F74"/>
    <w:rsid w:val="002B73C7"/>
    <w:rsid w:val="002C1076"/>
    <w:rsid w:val="002C5B3E"/>
    <w:rsid w:val="002D24A7"/>
    <w:rsid w:val="002E1404"/>
    <w:rsid w:val="002E40B3"/>
    <w:rsid w:val="002E4A1F"/>
    <w:rsid w:val="002E4C9A"/>
    <w:rsid w:val="002E50EF"/>
    <w:rsid w:val="002F11F8"/>
    <w:rsid w:val="002F16E8"/>
    <w:rsid w:val="002F3F56"/>
    <w:rsid w:val="002F44B5"/>
    <w:rsid w:val="002F66E4"/>
    <w:rsid w:val="00303199"/>
    <w:rsid w:val="00307983"/>
    <w:rsid w:val="00307FF0"/>
    <w:rsid w:val="00311AC0"/>
    <w:rsid w:val="00311BFF"/>
    <w:rsid w:val="0031356C"/>
    <w:rsid w:val="00314167"/>
    <w:rsid w:val="00315517"/>
    <w:rsid w:val="003163F7"/>
    <w:rsid w:val="003229C8"/>
    <w:rsid w:val="00323A5C"/>
    <w:rsid w:val="0032583B"/>
    <w:rsid w:val="0032663A"/>
    <w:rsid w:val="00327883"/>
    <w:rsid w:val="00335504"/>
    <w:rsid w:val="003375FA"/>
    <w:rsid w:val="003409FA"/>
    <w:rsid w:val="00347824"/>
    <w:rsid w:val="00350567"/>
    <w:rsid w:val="00350E3F"/>
    <w:rsid w:val="003521E8"/>
    <w:rsid w:val="00356DFB"/>
    <w:rsid w:val="00361D72"/>
    <w:rsid w:val="00363865"/>
    <w:rsid w:val="00371BC9"/>
    <w:rsid w:val="003728F3"/>
    <w:rsid w:val="00373AC9"/>
    <w:rsid w:val="0037496E"/>
    <w:rsid w:val="00374F9A"/>
    <w:rsid w:val="00380C73"/>
    <w:rsid w:val="00383221"/>
    <w:rsid w:val="00386150"/>
    <w:rsid w:val="00386A66"/>
    <w:rsid w:val="003874CE"/>
    <w:rsid w:val="00390900"/>
    <w:rsid w:val="00391ED3"/>
    <w:rsid w:val="00393C4E"/>
    <w:rsid w:val="0039556C"/>
    <w:rsid w:val="00395BDB"/>
    <w:rsid w:val="00396D11"/>
    <w:rsid w:val="00397CF0"/>
    <w:rsid w:val="003A025E"/>
    <w:rsid w:val="003A6502"/>
    <w:rsid w:val="003A6BC3"/>
    <w:rsid w:val="003A6CF1"/>
    <w:rsid w:val="003A7F6C"/>
    <w:rsid w:val="003B0C64"/>
    <w:rsid w:val="003B23E1"/>
    <w:rsid w:val="003B39C3"/>
    <w:rsid w:val="003B4D60"/>
    <w:rsid w:val="003B7E39"/>
    <w:rsid w:val="003C0259"/>
    <w:rsid w:val="003C1FE9"/>
    <w:rsid w:val="003C208C"/>
    <w:rsid w:val="003C2543"/>
    <w:rsid w:val="003C2F84"/>
    <w:rsid w:val="003C58DC"/>
    <w:rsid w:val="003D13F1"/>
    <w:rsid w:val="003D1E62"/>
    <w:rsid w:val="003D6CD0"/>
    <w:rsid w:val="003E0B99"/>
    <w:rsid w:val="003E2486"/>
    <w:rsid w:val="003E3208"/>
    <w:rsid w:val="003E3769"/>
    <w:rsid w:val="003E4766"/>
    <w:rsid w:val="003F0060"/>
    <w:rsid w:val="003F0864"/>
    <w:rsid w:val="003F0B04"/>
    <w:rsid w:val="003F58EA"/>
    <w:rsid w:val="003F606C"/>
    <w:rsid w:val="003F6326"/>
    <w:rsid w:val="003F6D2E"/>
    <w:rsid w:val="003F74B8"/>
    <w:rsid w:val="004002C4"/>
    <w:rsid w:val="0040134E"/>
    <w:rsid w:val="0040500B"/>
    <w:rsid w:val="00406289"/>
    <w:rsid w:val="00406E12"/>
    <w:rsid w:val="00422259"/>
    <w:rsid w:val="0042698B"/>
    <w:rsid w:val="00426B7E"/>
    <w:rsid w:val="00431443"/>
    <w:rsid w:val="004334C7"/>
    <w:rsid w:val="00440A2D"/>
    <w:rsid w:val="00444CF6"/>
    <w:rsid w:val="004456D9"/>
    <w:rsid w:val="00450386"/>
    <w:rsid w:val="00452426"/>
    <w:rsid w:val="0045517F"/>
    <w:rsid w:val="00456195"/>
    <w:rsid w:val="004564A7"/>
    <w:rsid w:val="00457FED"/>
    <w:rsid w:val="00460C6F"/>
    <w:rsid w:val="004617BF"/>
    <w:rsid w:val="00463658"/>
    <w:rsid w:val="0046375C"/>
    <w:rsid w:val="004637A0"/>
    <w:rsid w:val="004667E7"/>
    <w:rsid w:val="004722CC"/>
    <w:rsid w:val="00472B66"/>
    <w:rsid w:val="00474A4E"/>
    <w:rsid w:val="0048042F"/>
    <w:rsid w:val="00485047"/>
    <w:rsid w:val="00490B13"/>
    <w:rsid w:val="004916E2"/>
    <w:rsid w:val="004931F7"/>
    <w:rsid w:val="004936E4"/>
    <w:rsid w:val="00494E60"/>
    <w:rsid w:val="00496A26"/>
    <w:rsid w:val="00496A28"/>
    <w:rsid w:val="00497487"/>
    <w:rsid w:val="004A5655"/>
    <w:rsid w:val="004A6FF1"/>
    <w:rsid w:val="004A7390"/>
    <w:rsid w:val="004B0430"/>
    <w:rsid w:val="004B05C6"/>
    <w:rsid w:val="004B0E4C"/>
    <w:rsid w:val="004B25A9"/>
    <w:rsid w:val="004B2EC4"/>
    <w:rsid w:val="004B7B76"/>
    <w:rsid w:val="004C239D"/>
    <w:rsid w:val="004C2DCA"/>
    <w:rsid w:val="004C545A"/>
    <w:rsid w:val="004C54A6"/>
    <w:rsid w:val="004C61D2"/>
    <w:rsid w:val="004C6BFA"/>
    <w:rsid w:val="004D019B"/>
    <w:rsid w:val="004D3785"/>
    <w:rsid w:val="004D7080"/>
    <w:rsid w:val="004F0C4A"/>
    <w:rsid w:val="004F0F38"/>
    <w:rsid w:val="004F10DE"/>
    <w:rsid w:val="004F47D6"/>
    <w:rsid w:val="004F73B2"/>
    <w:rsid w:val="004F7D3F"/>
    <w:rsid w:val="00500B0E"/>
    <w:rsid w:val="00500CF9"/>
    <w:rsid w:val="00501921"/>
    <w:rsid w:val="0050236D"/>
    <w:rsid w:val="00517F1F"/>
    <w:rsid w:val="00521A3E"/>
    <w:rsid w:val="005231CF"/>
    <w:rsid w:val="00524329"/>
    <w:rsid w:val="0052515A"/>
    <w:rsid w:val="00526D32"/>
    <w:rsid w:val="00530354"/>
    <w:rsid w:val="00533A97"/>
    <w:rsid w:val="00533CAD"/>
    <w:rsid w:val="0053443A"/>
    <w:rsid w:val="0053625B"/>
    <w:rsid w:val="00537EAE"/>
    <w:rsid w:val="00543005"/>
    <w:rsid w:val="005434C6"/>
    <w:rsid w:val="00543B39"/>
    <w:rsid w:val="00546154"/>
    <w:rsid w:val="00550096"/>
    <w:rsid w:val="00552C98"/>
    <w:rsid w:val="00553CA1"/>
    <w:rsid w:val="00555280"/>
    <w:rsid w:val="00557FF9"/>
    <w:rsid w:val="00560B7D"/>
    <w:rsid w:val="005618FC"/>
    <w:rsid w:val="00561CF3"/>
    <w:rsid w:val="00561F3A"/>
    <w:rsid w:val="00567D0B"/>
    <w:rsid w:val="005711D5"/>
    <w:rsid w:val="00571E5D"/>
    <w:rsid w:val="005761AD"/>
    <w:rsid w:val="00576378"/>
    <w:rsid w:val="00577130"/>
    <w:rsid w:val="005777EC"/>
    <w:rsid w:val="00577945"/>
    <w:rsid w:val="00577E38"/>
    <w:rsid w:val="00580FCB"/>
    <w:rsid w:val="00581261"/>
    <w:rsid w:val="00581DAA"/>
    <w:rsid w:val="005831FA"/>
    <w:rsid w:val="0058435E"/>
    <w:rsid w:val="00585322"/>
    <w:rsid w:val="005857C6"/>
    <w:rsid w:val="00586FD2"/>
    <w:rsid w:val="00587417"/>
    <w:rsid w:val="0059283D"/>
    <w:rsid w:val="00592F6E"/>
    <w:rsid w:val="00593AD1"/>
    <w:rsid w:val="005949DB"/>
    <w:rsid w:val="005A167B"/>
    <w:rsid w:val="005A24E6"/>
    <w:rsid w:val="005A29F6"/>
    <w:rsid w:val="005A68B6"/>
    <w:rsid w:val="005A71D6"/>
    <w:rsid w:val="005B6473"/>
    <w:rsid w:val="005C1FCE"/>
    <w:rsid w:val="005C5570"/>
    <w:rsid w:val="005C729E"/>
    <w:rsid w:val="005C79A4"/>
    <w:rsid w:val="005D0281"/>
    <w:rsid w:val="005D50F4"/>
    <w:rsid w:val="005D5442"/>
    <w:rsid w:val="005E3300"/>
    <w:rsid w:val="005E3426"/>
    <w:rsid w:val="005E4133"/>
    <w:rsid w:val="005F21C0"/>
    <w:rsid w:val="005F3969"/>
    <w:rsid w:val="00601A29"/>
    <w:rsid w:val="00603F32"/>
    <w:rsid w:val="00604BE9"/>
    <w:rsid w:val="00604C22"/>
    <w:rsid w:val="00605AD4"/>
    <w:rsid w:val="00612FFA"/>
    <w:rsid w:val="0061552E"/>
    <w:rsid w:val="00615D1A"/>
    <w:rsid w:val="00622BE1"/>
    <w:rsid w:val="00622C62"/>
    <w:rsid w:val="00625A6E"/>
    <w:rsid w:val="00625D55"/>
    <w:rsid w:val="006268FA"/>
    <w:rsid w:val="00627886"/>
    <w:rsid w:val="00632398"/>
    <w:rsid w:val="00633CD6"/>
    <w:rsid w:val="0063622B"/>
    <w:rsid w:val="0063714E"/>
    <w:rsid w:val="00640FC3"/>
    <w:rsid w:val="00642020"/>
    <w:rsid w:val="00643ED1"/>
    <w:rsid w:val="00643F3A"/>
    <w:rsid w:val="006453E0"/>
    <w:rsid w:val="00652A78"/>
    <w:rsid w:val="00652DEA"/>
    <w:rsid w:val="0065337B"/>
    <w:rsid w:val="0065419D"/>
    <w:rsid w:val="006604D8"/>
    <w:rsid w:val="00660F3C"/>
    <w:rsid w:val="0066109D"/>
    <w:rsid w:val="00664A5B"/>
    <w:rsid w:val="0066735C"/>
    <w:rsid w:val="0067217B"/>
    <w:rsid w:val="006725A3"/>
    <w:rsid w:val="006744B5"/>
    <w:rsid w:val="00675D2F"/>
    <w:rsid w:val="006763D2"/>
    <w:rsid w:val="0068051D"/>
    <w:rsid w:val="00680C08"/>
    <w:rsid w:val="00681708"/>
    <w:rsid w:val="00683253"/>
    <w:rsid w:val="00683AE9"/>
    <w:rsid w:val="006931B1"/>
    <w:rsid w:val="00696D7A"/>
    <w:rsid w:val="006A064F"/>
    <w:rsid w:val="006A15C0"/>
    <w:rsid w:val="006A29C4"/>
    <w:rsid w:val="006A6526"/>
    <w:rsid w:val="006A7BBA"/>
    <w:rsid w:val="006B0555"/>
    <w:rsid w:val="006B4D5F"/>
    <w:rsid w:val="006C0927"/>
    <w:rsid w:val="006C138F"/>
    <w:rsid w:val="006C3E2A"/>
    <w:rsid w:val="006C642F"/>
    <w:rsid w:val="006C76E8"/>
    <w:rsid w:val="006D03E5"/>
    <w:rsid w:val="006D46CB"/>
    <w:rsid w:val="006D5D3E"/>
    <w:rsid w:val="006D6A53"/>
    <w:rsid w:val="006D6CD2"/>
    <w:rsid w:val="006D7BA3"/>
    <w:rsid w:val="006E08B3"/>
    <w:rsid w:val="006E09F1"/>
    <w:rsid w:val="006E3CD9"/>
    <w:rsid w:val="006E5474"/>
    <w:rsid w:val="006E6CA1"/>
    <w:rsid w:val="006F17AC"/>
    <w:rsid w:val="006F18B2"/>
    <w:rsid w:val="006F25B8"/>
    <w:rsid w:val="006F572E"/>
    <w:rsid w:val="006F78EE"/>
    <w:rsid w:val="00700535"/>
    <w:rsid w:val="00701B05"/>
    <w:rsid w:val="00702C3A"/>
    <w:rsid w:val="007046D6"/>
    <w:rsid w:val="00705DB0"/>
    <w:rsid w:val="00706819"/>
    <w:rsid w:val="00706ADA"/>
    <w:rsid w:val="00706C80"/>
    <w:rsid w:val="00706DB9"/>
    <w:rsid w:val="00711F10"/>
    <w:rsid w:val="00716680"/>
    <w:rsid w:val="00717252"/>
    <w:rsid w:val="00717C33"/>
    <w:rsid w:val="0072061C"/>
    <w:rsid w:val="007224E7"/>
    <w:rsid w:val="00722B57"/>
    <w:rsid w:val="00722F1E"/>
    <w:rsid w:val="00730B50"/>
    <w:rsid w:val="00730F8A"/>
    <w:rsid w:val="007336A3"/>
    <w:rsid w:val="00733E8D"/>
    <w:rsid w:val="00735A8C"/>
    <w:rsid w:val="00737636"/>
    <w:rsid w:val="0074253D"/>
    <w:rsid w:val="00742A5F"/>
    <w:rsid w:val="0074429B"/>
    <w:rsid w:val="007516D7"/>
    <w:rsid w:val="00752356"/>
    <w:rsid w:val="0075435B"/>
    <w:rsid w:val="007615BC"/>
    <w:rsid w:val="00762F05"/>
    <w:rsid w:val="007652FF"/>
    <w:rsid w:val="00770EF1"/>
    <w:rsid w:val="00771CAE"/>
    <w:rsid w:val="00772F9C"/>
    <w:rsid w:val="00773EF7"/>
    <w:rsid w:val="00774E1D"/>
    <w:rsid w:val="007757BE"/>
    <w:rsid w:val="007758EF"/>
    <w:rsid w:val="007765D8"/>
    <w:rsid w:val="0077675A"/>
    <w:rsid w:val="00780355"/>
    <w:rsid w:val="0078062D"/>
    <w:rsid w:val="007819FD"/>
    <w:rsid w:val="00782E8C"/>
    <w:rsid w:val="00785721"/>
    <w:rsid w:val="00785F4C"/>
    <w:rsid w:val="00786534"/>
    <w:rsid w:val="00787B97"/>
    <w:rsid w:val="00791120"/>
    <w:rsid w:val="00793A59"/>
    <w:rsid w:val="007945EB"/>
    <w:rsid w:val="00796558"/>
    <w:rsid w:val="007A51C2"/>
    <w:rsid w:val="007A5FA9"/>
    <w:rsid w:val="007A7CDB"/>
    <w:rsid w:val="007B6132"/>
    <w:rsid w:val="007B6E9F"/>
    <w:rsid w:val="007C1216"/>
    <w:rsid w:val="007C1584"/>
    <w:rsid w:val="007C1AF7"/>
    <w:rsid w:val="007C6E9D"/>
    <w:rsid w:val="007D1A3F"/>
    <w:rsid w:val="007D5EB5"/>
    <w:rsid w:val="007E28D9"/>
    <w:rsid w:val="007E79DD"/>
    <w:rsid w:val="007F0BED"/>
    <w:rsid w:val="007F4637"/>
    <w:rsid w:val="00805A9E"/>
    <w:rsid w:val="00805D27"/>
    <w:rsid w:val="0080716E"/>
    <w:rsid w:val="00811C49"/>
    <w:rsid w:val="008154C4"/>
    <w:rsid w:val="00815FDB"/>
    <w:rsid w:val="008207CE"/>
    <w:rsid w:val="00821776"/>
    <w:rsid w:val="008310A7"/>
    <w:rsid w:val="008321F5"/>
    <w:rsid w:val="00832369"/>
    <w:rsid w:val="0083291F"/>
    <w:rsid w:val="00834660"/>
    <w:rsid w:val="00836BC2"/>
    <w:rsid w:val="00843CFD"/>
    <w:rsid w:val="008476F7"/>
    <w:rsid w:val="008503A9"/>
    <w:rsid w:val="008514C2"/>
    <w:rsid w:val="0085156D"/>
    <w:rsid w:val="0085292C"/>
    <w:rsid w:val="00854859"/>
    <w:rsid w:val="0085641B"/>
    <w:rsid w:val="00857136"/>
    <w:rsid w:val="008726F3"/>
    <w:rsid w:val="00874B42"/>
    <w:rsid w:val="008768FA"/>
    <w:rsid w:val="00877819"/>
    <w:rsid w:val="00882060"/>
    <w:rsid w:val="00882723"/>
    <w:rsid w:val="00882766"/>
    <w:rsid w:val="00885B11"/>
    <w:rsid w:val="00885DEE"/>
    <w:rsid w:val="00886D15"/>
    <w:rsid w:val="00887DD8"/>
    <w:rsid w:val="00887E36"/>
    <w:rsid w:val="00890503"/>
    <w:rsid w:val="0089053B"/>
    <w:rsid w:val="00891BA9"/>
    <w:rsid w:val="00896018"/>
    <w:rsid w:val="008960DD"/>
    <w:rsid w:val="0089635C"/>
    <w:rsid w:val="00896B30"/>
    <w:rsid w:val="00897B85"/>
    <w:rsid w:val="00897D4C"/>
    <w:rsid w:val="008A1CD6"/>
    <w:rsid w:val="008A2B9D"/>
    <w:rsid w:val="008A2C76"/>
    <w:rsid w:val="008A3220"/>
    <w:rsid w:val="008A3D9F"/>
    <w:rsid w:val="008A4CAC"/>
    <w:rsid w:val="008A540F"/>
    <w:rsid w:val="008A5E0B"/>
    <w:rsid w:val="008A6D59"/>
    <w:rsid w:val="008B1629"/>
    <w:rsid w:val="008B1938"/>
    <w:rsid w:val="008B31C2"/>
    <w:rsid w:val="008B4B03"/>
    <w:rsid w:val="008B4B85"/>
    <w:rsid w:val="008B596F"/>
    <w:rsid w:val="008C159F"/>
    <w:rsid w:val="008C1623"/>
    <w:rsid w:val="008C1850"/>
    <w:rsid w:val="008C4DBA"/>
    <w:rsid w:val="008C51A9"/>
    <w:rsid w:val="008C6626"/>
    <w:rsid w:val="008D0BE6"/>
    <w:rsid w:val="008D3E9C"/>
    <w:rsid w:val="008D4AAB"/>
    <w:rsid w:val="008D4D89"/>
    <w:rsid w:val="008D60AA"/>
    <w:rsid w:val="008D7C6C"/>
    <w:rsid w:val="008E0B60"/>
    <w:rsid w:val="008E5536"/>
    <w:rsid w:val="008E7846"/>
    <w:rsid w:val="008F02E5"/>
    <w:rsid w:val="008F037C"/>
    <w:rsid w:val="008F1CCC"/>
    <w:rsid w:val="008F2345"/>
    <w:rsid w:val="008F2405"/>
    <w:rsid w:val="008F2967"/>
    <w:rsid w:val="008F50E3"/>
    <w:rsid w:val="008F5FB7"/>
    <w:rsid w:val="008F6943"/>
    <w:rsid w:val="008F70D7"/>
    <w:rsid w:val="00900959"/>
    <w:rsid w:val="00901D58"/>
    <w:rsid w:val="00902A21"/>
    <w:rsid w:val="00904453"/>
    <w:rsid w:val="00907295"/>
    <w:rsid w:val="0091349D"/>
    <w:rsid w:val="00920330"/>
    <w:rsid w:val="009219D7"/>
    <w:rsid w:val="00921B62"/>
    <w:rsid w:val="00922D53"/>
    <w:rsid w:val="00923B70"/>
    <w:rsid w:val="00924482"/>
    <w:rsid w:val="00930237"/>
    <w:rsid w:val="00930696"/>
    <w:rsid w:val="00930F8C"/>
    <w:rsid w:val="00934AF8"/>
    <w:rsid w:val="00940A89"/>
    <w:rsid w:val="009420E8"/>
    <w:rsid w:val="00943425"/>
    <w:rsid w:val="00946855"/>
    <w:rsid w:val="0094691D"/>
    <w:rsid w:val="00946C47"/>
    <w:rsid w:val="00946E5B"/>
    <w:rsid w:val="00946EA5"/>
    <w:rsid w:val="00952798"/>
    <w:rsid w:val="00953613"/>
    <w:rsid w:val="00955534"/>
    <w:rsid w:val="00957270"/>
    <w:rsid w:val="00963C08"/>
    <w:rsid w:val="009666D2"/>
    <w:rsid w:val="00970EE9"/>
    <w:rsid w:val="0097567A"/>
    <w:rsid w:val="00976780"/>
    <w:rsid w:val="0098573A"/>
    <w:rsid w:val="0098585A"/>
    <w:rsid w:val="00986388"/>
    <w:rsid w:val="00986B97"/>
    <w:rsid w:val="00997489"/>
    <w:rsid w:val="009A0723"/>
    <w:rsid w:val="009A4CED"/>
    <w:rsid w:val="009A5011"/>
    <w:rsid w:val="009A58E4"/>
    <w:rsid w:val="009A690D"/>
    <w:rsid w:val="009A77EC"/>
    <w:rsid w:val="009B01B7"/>
    <w:rsid w:val="009B0AFC"/>
    <w:rsid w:val="009B1D12"/>
    <w:rsid w:val="009B2924"/>
    <w:rsid w:val="009B416B"/>
    <w:rsid w:val="009B48EB"/>
    <w:rsid w:val="009B65CD"/>
    <w:rsid w:val="009B694E"/>
    <w:rsid w:val="009B6DB1"/>
    <w:rsid w:val="009C0AA2"/>
    <w:rsid w:val="009C2FB7"/>
    <w:rsid w:val="009C4BD5"/>
    <w:rsid w:val="009C7DC1"/>
    <w:rsid w:val="009C7F20"/>
    <w:rsid w:val="009D0F8A"/>
    <w:rsid w:val="009D424E"/>
    <w:rsid w:val="009D46BE"/>
    <w:rsid w:val="009D70D3"/>
    <w:rsid w:val="009D7B77"/>
    <w:rsid w:val="009D7B88"/>
    <w:rsid w:val="009E0915"/>
    <w:rsid w:val="009E0BB0"/>
    <w:rsid w:val="009E3FBB"/>
    <w:rsid w:val="009E7066"/>
    <w:rsid w:val="009E7562"/>
    <w:rsid w:val="009F047F"/>
    <w:rsid w:val="009F08E1"/>
    <w:rsid w:val="009F1811"/>
    <w:rsid w:val="009F62A0"/>
    <w:rsid w:val="009F70E6"/>
    <w:rsid w:val="009F7282"/>
    <w:rsid w:val="00A03126"/>
    <w:rsid w:val="00A04604"/>
    <w:rsid w:val="00A04F85"/>
    <w:rsid w:val="00A05FA4"/>
    <w:rsid w:val="00A102E4"/>
    <w:rsid w:val="00A11049"/>
    <w:rsid w:val="00A12C42"/>
    <w:rsid w:val="00A14DF7"/>
    <w:rsid w:val="00A1531E"/>
    <w:rsid w:val="00A22339"/>
    <w:rsid w:val="00A22687"/>
    <w:rsid w:val="00A24FE6"/>
    <w:rsid w:val="00A27A45"/>
    <w:rsid w:val="00A3246D"/>
    <w:rsid w:val="00A3300A"/>
    <w:rsid w:val="00A36FA7"/>
    <w:rsid w:val="00A444A1"/>
    <w:rsid w:val="00A44DDB"/>
    <w:rsid w:val="00A44E8B"/>
    <w:rsid w:val="00A475B7"/>
    <w:rsid w:val="00A47AF7"/>
    <w:rsid w:val="00A47C3E"/>
    <w:rsid w:val="00A50226"/>
    <w:rsid w:val="00A559E7"/>
    <w:rsid w:val="00A55F22"/>
    <w:rsid w:val="00A569C6"/>
    <w:rsid w:val="00A60BAD"/>
    <w:rsid w:val="00A61BC2"/>
    <w:rsid w:val="00A72C0A"/>
    <w:rsid w:val="00A73C19"/>
    <w:rsid w:val="00A73EBA"/>
    <w:rsid w:val="00A74DC6"/>
    <w:rsid w:val="00A77DC3"/>
    <w:rsid w:val="00A80B5B"/>
    <w:rsid w:val="00A8344E"/>
    <w:rsid w:val="00A84E36"/>
    <w:rsid w:val="00A871CD"/>
    <w:rsid w:val="00A87F46"/>
    <w:rsid w:val="00A91A5F"/>
    <w:rsid w:val="00A922C8"/>
    <w:rsid w:val="00A931BB"/>
    <w:rsid w:val="00A9336B"/>
    <w:rsid w:val="00A964D1"/>
    <w:rsid w:val="00AA0ED0"/>
    <w:rsid w:val="00AA4BF7"/>
    <w:rsid w:val="00AA7EAC"/>
    <w:rsid w:val="00AC0AA1"/>
    <w:rsid w:val="00AC2B40"/>
    <w:rsid w:val="00AC2BB2"/>
    <w:rsid w:val="00AC2C3C"/>
    <w:rsid w:val="00AC31D2"/>
    <w:rsid w:val="00AC4E7D"/>
    <w:rsid w:val="00AC512D"/>
    <w:rsid w:val="00AD0083"/>
    <w:rsid w:val="00AD250F"/>
    <w:rsid w:val="00AD2B90"/>
    <w:rsid w:val="00AD2E4F"/>
    <w:rsid w:val="00AD3321"/>
    <w:rsid w:val="00AD3935"/>
    <w:rsid w:val="00AE09CE"/>
    <w:rsid w:val="00AE1BBB"/>
    <w:rsid w:val="00AE2DE7"/>
    <w:rsid w:val="00AE348E"/>
    <w:rsid w:val="00AE65EB"/>
    <w:rsid w:val="00AE67A7"/>
    <w:rsid w:val="00AF1D94"/>
    <w:rsid w:val="00AF2132"/>
    <w:rsid w:val="00AF2908"/>
    <w:rsid w:val="00AF46F4"/>
    <w:rsid w:val="00AF4878"/>
    <w:rsid w:val="00AF4A5C"/>
    <w:rsid w:val="00AF60C5"/>
    <w:rsid w:val="00AF73F1"/>
    <w:rsid w:val="00AF770C"/>
    <w:rsid w:val="00B009C6"/>
    <w:rsid w:val="00B01548"/>
    <w:rsid w:val="00B04BE8"/>
    <w:rsid w:val="00B1002B"/>
    <w:rsid w:val="00B11C7C"/>
    <w:rsid w:val="00B13EBD"/>
    <w:rsid w:val="00B20E0B"/>
    <w:rsid w:val="00B21D29"/>
    <w:rsid w:val="00B22101"/>
    <w:rsid w:val="00B23D62"/>
    <w:rsid w:val="00B25034"/>
    <w:rsid w:val="00B25814"/>
    <w:rsid w:val="00B333AA"/>
    <w:rsid w:val="00B33588"/>
    <w:rsid w:val="00B33863"/>
    <w:rsid w:val="00B34339"/>
    <w:rsid w:val="00B376E8"/>
    <w:rsid w:val="00B37D17"/>
    <w:rsid w:val="00B4175E"/>
    <w:rsid w:val="00B452CE"/>
    <w:rsid w:val="00B52585"/>
    <w:rsid w:val="00B54BCA"/>
    <w:rsid w:val="00B54C25"/>
    <w:rsid w:val="00B557A9"/>
    <w:rsid w:val="00B628A1"/>
    <w:rsid w:val="00B67E72"/>
    <w:rsid w:val="00B7039C"/>
    <w:rsid w:val="00B721F6"/>
    <w:rsid w:val="00B76B91"/>
    <w:rsid w:val="00B77EB1"/>
    <w:rsid w:val="00B80073"/>
    <w:rsid w:val="00B811C6"/>
    <w:rsid w:val="00B855B0"/>
    <w:rsid w:val="00B926E0"/>
    <w:rsid w:val="00B92E08"/>
    <w:rsid w:val="00B978F3"/>
    <w:rsid w:val="00BA1584"/>
    <w:rsid w:val="00BA5CFE"/>
    <w:rsid w:val="00BB0C85"/>
    <w:rsid w:val="00BB1B06"/>
    <w:rsid w:val="00BB385D"/>
    <w:rsid w:val="00BB5046"/>
    <w:rsid w:val="00BB7944"/>
    <w:rsid w:val="00BB7AC8"/>
    <w:rsid w:val="00BC074A"/>
    <w:rsid w:val="00BC622A"/>
    <w:rsid w:val="00BC6720"/>
    <w:rsid w:val="00BC6901"/>
    <w:rsid w:val="00BD0C2E"/>
    <w:rsid w:val="00BE0A78"/>
    <w:rsid w:val="00BE6E39"/>
    <w:rsid w:val="00BE79F0"/>
    <w:rsid w:val="00BF0174"/>
    <w:rsid w:val="00BF046D"/>
    <w:rsid w:val="00BF1190"/>
    <w:rsid w:val="00BF2210"/>
    <w:rsid w:val="00BF3847"/>
    <w:rsid w:val="00BF5D04"/>
    <w:rsid w:val="00C01203"/>
    <w:rsid w:val="00C03489"/>
    <w:rsid w:val="00C039DA"/>
    <w:rsid w:val="00C055D7"/>
    <w:rsid w:val="00C05C27"/>
    <w:rsid w:val="00C065B8"/>
    <w:rsid w:val="00C07754"/>
    <w:rsid w:val="00C1153B"/>
    <w:rsid w:val="00C1164D"/>
    <w:rsid w:val="00C118E5"/>
    <w:rsid w:val="00C15A91"/>
    <w:rsid w:val="00C16861"/>
    <w:rsid w:val="00C229C2"/>
    <w:rsid w:val="00C264D3"/>
    <w:rsid w:val="00C341B3"/>
    <w:rsid w:val="00C346AB"/>
    <w:rsid w:val="00C404A6"/>
    <w:rsid w:val="00C40A36"/>
    <w:rsid w:val="00C4265C"/>
    <w:rsid w:val="00C44419"/>
    <w:rsid w:val="00C45E7B"/>
    <w:rsid w:val="00C46F5F"/>
    <w:rsid w:val="00C471B1"/>
    <w:rsid w:val="00C477B9"/>
    <w:rsid w:val="00C50189"/>
    <w:rsid w:val="00C50794"/>
    <w:rsid w:val="00C52985"/>
    <w:rsid w:val="00C61AC3"/>
    <w:rsid w:val="00C61C97"/>
    <w:rsid w:val="00C621F5"/>
    <w:rsid w:val="00C6316B"/>
    <w:rsid w:val="00C634A9"/>
    <w:rsid w:val="00C64586"/>
    <w:rsid w:val="00C70D53"/>
    <w:rsid w:val="00C72AEB"/>
    <w:rsid w:val="00C73D0B"/>
    <w:rsid w:val="00C772FF"/>
    <w:rsid w:val="00C77F94"/>
    <w:rsid w:val="00C8008A"/>
    <w:rsid w:val="00C80137"/>
    <w:rsid w:val="00C801AF"/>
    <w:rsid w:val="00C80256"/>
    <w:rsid w:val="00C814F6"/>
    <w:rsid w:val="00C87943"/>
    <w:rsid w:val="00C91326"/>
    <w:rsid w:val="00C93CD7"/>
    <w:rsid w:val="00C948D1"/>
    <w:rsid w:val="00C9747E"/>
    <w:rsid w:val="00CA090F"/>
    <w:rsid w:val="00CA30B8"/>
    <w:rsid w:val="00CA3F04"/>
    <w:rsid w:val="00CA48D5"/>
    <w:rsid w:val="00CB20C5"/>
    <w:rsid w:val="00CB434B"/>
    <w:rsid w:val="00CB6275"/>
    <w:rsid w:val="00CB6BC0"/>
    <w:rsid w:val="00CC1B7C"/>
    <w:rsid w:val="00CC41B3"/>
    <w:rsid w:val="00CC5661"/>
    <w:rsid w:val="00CC6C83"/>
    <w:rsid w:val="00CC727F"/>
    <w:rsid w:val="00CD0F77"/>
    <w:rsid w:val="00CD5786"/>
    <w:rsid w:val="00CE0F6D"/>
    <w:rsid w:val="00CF15C3"/>
    <w:rsid w:val="00CF182D"/>
    <w:rsid w:val="00CF2B6F"/>
    <w:rsid w:val="00CF2F3E"/>
    <w:rsid w:val="00CF32DD"/>
    <w:rsid w:val="00CF58B6"/>
    <w:rsid w:val="00CF7105"/>
    <w:rsid w:val="00CF73E1"/>
    <w:rsid w:val="00D0062D"/>
    <w:rsid w:val="00D010D6"/>
    <w:rsid w:val="00D017ED"/>
    <w:rsid w:val="00D040D3"/>
    <w:rsid w:val="00D04C65"/>
    <w:rsid w:val="00D15824"/>
    <w:rsid w:val="00D15EF2"/>
    <w:rsid w:val="00D177BD"/>
    <w:rsid w:val="00D17A78"/>
    <w:rsid w:val="00D201D2"/>
    <w:rsid w:val="00D224FE"/>
    <w:rsid w:val="00D22AC3"/>
    <w:rsid w:val="00D23139"/>
    <w:rsid w:val="00D31643"/>
    <w:rsid w:val="00D32412"/>
    <w:rsid w:val="00D32C9C"/>
    <w:rsid w:val="00D32EE4"/>
    <w:rsid w:val="00D33BFF"/>
    <w:rsid w:val="00D36029"/>
    <w:rsid w:val="00D368C5"/>
    <w:rsid w:val="00D4188B"/>
    <w:rsid w:val="00D425BB"/>
    <w:rsid w:val="00D43520"/>
    <w:rsid w:val="00D45253"/>
    <w:rsid w:val="00D4606A"/>
    <w:rsid w:val="00D470C0"/>
    <w:rsid w:val="00D5081C"/>
    <w:rsid w:val="00D52134"/>
    <w:rsid w:val="00D56858"/>
    <w:rsid w:val="00D60E23"/>
    <w:rsid w:val="00D6493E"/>
    <w:rsid w:val="00D7195D"/>
    <w:rsid w:val="00D7301E"/>
    <w:rsid w:val="00D744B4"/>
    <w:rsid w:val="00D76075"/>
    <w:rsid w:val="00D76AAF"/>
    <w:rsid w:val="00D77F4C"/>
    <w:rsid w:val="00D83AE1"/>
    <w:rsid w:val="00D855D4"/>
    <w:rsid w:val="00D92D6C"/>
    <w:rsid w:val="00D92DF3"/>
    <w:rsid w:val="00D93466"/>
    <w:rsid w:val="00D93A8E"/>
    <w:rsid w:val="00D9645F"/>
    <w:rsid w:val="00D9700E"/>
    <w:rsid w:val="00D97518"/>
    <w:rsid w:val="00DA01D4"/>
    <w:rsid w:val="00DA0D58"/>
    <w:rsid w:val="00DA1124"/>
    <w:rsid w:val="00DA2F0C"/>
    <w:rsid w:val="00DA481D"/>
    <w:rsid w:val="00DB1154"/>
    <w:rsid w:val="00DB42B7"/>
    <w:rsid w:val="00DB6124"/>
    <w:rsid w:val="00DB750B"/>
    <w:rsid w:val="00DB75B7"/>
    <w:rsid w:val="00DC6E02"/>
    <w:rsid w:val="00DC704C"/>
    <w:rsid w:val="00DC7EF0"/>
    <w:rsid w:val="00DD5310"/>
    <w:rsid w:val="00DD6A86"/>
    <w:rsid w:val="00DD7C70"/>
    <w:rsid w:val="00DD7D37"/>
    <w:rsid w:val="00DE02AE"/>
    <w:rsid w:val="00DE5FAC"/>
    <w:rsid w:val="00DE772F"/>
    <w:rsid w:val="00DF1D7F"/>
    <w:rsid w:val="00DF4BE4"/>
    <w:rsid w:val="00DF6A73"/>
    <w:rsid w:val="00DF6C42"/>
    <w:rsid w:val="00DF6FF7"/>
    <w:rsid w:val="00E00DE5"/>
    <w:rsid w:val="00E02FB4"/>
    <w:rsid w:val="00E03A65"/>
    <w:rsid w:val="00E05457"/>
    <w:rsid w:val="00E06A2B"/>
    <w:rsid w:val="00E12011"/>
    <w:rsid w:val="00E12B1E"/>
    <w:rsid w:val="00E13B80"/>
    <w:rsid w:val="00E13FC7"/>
    <w:rsid w:val="00E16DDF"/>
    <w:rsid w:val="00E20571"/>
    <w:rsid w:val="00E222DB"/>
    <w:rsid w:val="00E235F7"/>
    <w:rsid w:val="00E23659"/>
    <w:rsid w:val="00E239D4"/>
    <w:rsid w:val="00E24EDC"/>
    <w:rsid w:val="00E26130"/>
    <w:rsid w:val="00E40B22"/>
    <w:rsid w:val="00E42CEE"/>
    <w:rsid w:val="00E44ED1"/>
    <w:rsid w:val="00E45619"/>
    <w:rsid w:val="00E4588F"/>
    <w:rsid w:val="00E46DA3"/>
    <w:rsid w:val="00E47617"/>
    <w:rsid w:val="00E51328"/>
    <w:rsid w:val="00E51BB1"/>
    <w:rsid w:val="00E55A29"/>
    <w:rsid w:val="00E55C86"/>
    <w:rsid w:val="00E57A83"/>
    <w:rsid w:val="00E604F0"/>
    <w:rsid w:val="00E624A5"/>
    <w:rsid w:val="00E64BA4"/>
    <w:rsid w:val="00E7344E"/>
    <w:rsid w:val="00E7621A"/>
    <w:rsid w:val="00E81CE3"/>
    <w:rsid w:val="00EA2C95"/>
    <w:rsid w:val="00EA32B3"/>
    <w:rsid w:val="00EA3695"/>
    <w:rsid w:val="00EA3920"/>
    <w:rsid w:val="00EA5770"/>
    <w:rsid w:val="00EA6899"/>
    <w:rsid w:val="00EB0798"/>
    <w:rsid w:val="00EB40AD"/>
    <w:rsid w:val="00EB586E"/>
    <w:rsid w:val="00EB5FC8"/>
    <w:rsid w:val="00EC7A85"/>
    <w:rsid w:val="00EC7BC0"/>
    <w:rsid w:val="00ED20AD"/>
    <w:rsid w:val="00ED3246"/>
    <w:rsid w:val="00ED3CAD"/>
    <w:rsid w:val="00ED5A41"/>
    <w:rsid w:val="00ED694E"/>
    <w:rsid w:val="00EE1CDB"/>
    <w:rsid w:val="00EE1DE8"/>
    <w:rsid w:val="00EE3B09"/>
    <w:rsid w:val="00EE529F"/>
    <w:rsid w:val="00EF0803"/>
    <w:rsid w:val="00EF191C"/>
    <w:rsid w:val="00EF6E74"/>
    <w:rsid w:val="00F00089"/>
    <w:rsid w:val="00F01E89"/>
    <w:rsid w:val="00F02514"/>
    <w:rsid w:val="00F02EC9"/>
    <w:rsid w:val="00F033EC"/>
    <w:rsid w:val="00F04F68"/>
    <w:rsid w:val="00F12670"/>
    <w:rsid w:val="00F12B84"/>
    <w:rsid w:val="00F14B27"/>
    <w:rsid w:val="00F16757"/>
    <w:rsid w:val="00F21328"/>
    <w:rsid w:val="00F22AE6"/>
    <w:rsid w:val="00F25EEC"/>
    <w:rsid w:val="00F27081"/>
    <w:rsid w:val="00F3148D"/>
    <w:rsid w:val="00F31EA7"/>
    <w:rsid w:val="00F325C5"/>
    <w:rsid w:val="00F32BC2"/>
    <w:rsid w:val="00F32FE0"/>
    <w:rsid w:val="00F34767"/>
    <w:rsid w:val="00F35298"/>
    <w:rsid w:val="00F42D59"/>
    <w:rsid w:val="00F47333"/>
    <w:rsid w:val="00F47E37"/>
    <w:rsid w:val="00F5371D"/>
    <w:rsid w:val="00F53C07"/>
    <w:rsid w:val="00F53D2E"/>
    <w:rsid w:val="00F5412F"/>
    <w:rsid w:val="00F5443F"/>
    <w:rsid w:val="00F549C9"/>
    <w:rsid w:val="00F54B65"/>
    <w:rsid w:val="00F57166"/>
    <w:rsid w:val="00F63ED0"/>
    <w:rsid w:val="00F640B6"/>
    <w:rsid w:val="00F64187"/>
    <w:rsid w:val="00F6442F"/>
    <w:rsid w:val="00F73355"/>
    <w:rsid w:val="00F7337E"/>
    <w:rsid w:val="00F73A96"/>
    <w:rsid w:val="00F80D3D"/>
    <w:rsid w:val="00F80E40"/>
    <w:rsid w:val="00F812C7"/>
    <w:rsid w:val="00F83536"/>
    <w:rsid w:val="00F848D9"/>
    <w:rsid w:val="00F929BD"/>
    <w:rsid w:val="00F9343B"/>
    <w:rsid w:val="00F973D1"/>
    <w:rsid w:val="00FA254C"/>
    <w:rsid w:val="00FA4D8A"/>
    <w:rsid w:val="00FA5B82"/>
    <w:rsid w:val="00FA639E"/>
    <w:rsid w:val="00FA6B3D"/>
    <w:rsid w:val="00FB273C"/>
    <w:rsid w:val="00FB68E2"/>
    <w:rsid w:val="00FC25E4"/>
    <w:rsid w:val="00FC2B69"/>
    <w:rsid w:val="00FC481E"/>
    <w:rsid w:val="00FC4EF7"/>
    <w:rsid w:val="00FC6616"/>
    <w:rsid w:val="00FD0824"/>
    <w:rsid w:val="00FD119B"/>
    <w:rsid w:val="00FD1EDC"/>
    <w:rsid w:val="00FD2031"/>
    <w:rsid w:val="00FD2445"/>
    <w:rsid w:val="00FD26F1"/>
    <w:rsid w:val="00FD35E1"/>
    <w:rsid w:val="00FD4323"/>
    <w:rsid w:val="00FD675F"/>
    <w:rsid w:val="00FE1DEE"/>
    <w:rsid w:val="00FE24D0"/>
    <w:rsid w:val="00FE5360"/>
    <w:rsid w:val="00FE5919"/>
    <w:rsid w:val="00FE5D64"/>
    <w:rsid w:val="00FE7E04"/>
    <w:rsid w:val="00FF01DC"/>
    <w:rsid w:val="00FF0E9F"/>
    <w:rsid w:val="00FF2126"/>
    <w:rsid w:val="00FF3DF9"/>
    <w:rsid w:val="00FF5755"/>
    <w:rsid w:val="00FF69BE"/>
    <w:rsid w:val="00FF6B16"/>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semiHidden="0" w:unhideWhenUsed="0"/>
    <w:lsdException w:name="footer" w:semiHidden="0" w:unhideWhenUsed="0"/>
    <w:lsdException w:name="caption" w:semiHidden="0" w:uiPriority="35" w:unhideWhenUsed="0"/>
    <w:lsdException w:name="List Bullet" w:semiHidden="0" w:uiPriority="2" w:unhideWhenUsed="0" w:qFormat="1"/>
    <w:lsdException w:name="List Bullet 2" w:semiHidden="0" w:uiPriority="2" w:unhideWhenUsed="0" w:qFormat="1"/>
    <w:lsdException w:name="List Bullet 3" w:uiPriority="2"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1"/>
    <w:qFormat/>
    <w:rsid w:val="00AD3935"/>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4722CC"/>
    <w:pPr>
      <w:keepNext/>
      <w:keepLines/>
      <w:spacing w:before="480" w:after="0" w:line="220" w:lineRule="atLeast"/>
      <w:outlineLvl w:val="2"/>
    </w:pPr>
    <w:rPr>
      <w:rFonts w:ascii="Arial" w:eastAsia="Times New Roman" w:hAnsi="Arial"/>
      <w:b/>
      <w:bCs/>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rsid w:val="00AD0083"/>
    <w:pPr>
      <w:keepNext/>
      <w:spacing w:after="60" w:line="180" w:lineRule="atLeast"/>
      <w:outlineLvl w:val="6"/>
    </w:pPr>
    <w:rPr>
      <w:rFonts w:eastAsia="Times New Roman"/>
      <w:bCs/>
      <w:sz w:val="18"/>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AD3935"/>
    <w:rPr>
      <w:rFonts w:ascii="Arial" w:eastAsia="Times New Roman" w:hAnsi="Arial" w:cs="Times New Roman"/>
      <w:b/>
      <w:bCs/>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B67E72"/>
    <w:pPr>
      <w:framePr w:hSpace="180" w:wrap="around" w:vAnchor="text" w:hAnchor="margin" w:y="9863"/>
      <w:suppressOverlap/>
    </w:pPr>
    <w:rPr>
      <w:rFonts w:ascii="Arial" w:hAnsi="Arial" w:cs="Arial"/>
      <w:b/>
      <w:color w:val="002C47"/>
      <w:sz w:val="36"/>
      <w:szCs w:val="36"/>
    </w:rPr>
  </w:style>
  <w:style w:type="character" w:customStyle="1" w:styleId="DateChar">
    <w:name w:val="Date Char"/>
    <w:basedOn w:val="DefaultParagraphFont"/>
    <w:link w:val="Date"/>
    <w:uiPriority w:val="99"/>
    <w:rsid w:val="00B67E72"/>
    <w:rPr>
      <w:rFonts w:ascii="Arial" w:eastAsia="Cambria" w:hAnsi="Arial" w:cs="Arial"/>
      <w:b/>
      <w:color w:val="002C47"/>
      <w:sz w:val="36"/>
      <w:szCs w:val="36"/>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1B5C90"/>
    <w:pPr>
      <w:keepNext/>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AD0083"/>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4C2DCA"/>
    <w:pPr>
      <w:numPr>
        <w:numId w:val="21"/>
      </w:numPr>
    </w:pPr>
  </w:style>
  <w:style w:type="paragraph" w:styleId="ListBullet2">
    <w:name w:val="List Bullet 2"/>
    <w:basedOn w:val="Normal"/>
    <w:uiPriority w:val="2"/>
    <w:qFormat/>
    <w:rsid w:val="004C2DCA"/>
    <w:pPr>
      <w:numPr>
        <w:ilvl w:val="1"/>
        <w:numId w:val="21"/>
      </w:numPr>
    </w:pPr>
  </w:style>
  <w:style w:type="paragraph" w:styleId="ListBullet3">
    <w:name w:val="List Bullet 3"/>
    <w:basedOn w:val="Normal"/>
    <w:uiPriority w:val="2"/>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24"/>
      </w:numPr>
    </w:pPr>
  </w:style>
  <w:style w:type="paragraph" w:customStyle="1" w:styleId="Numberbullet2">
    <w:name w:val="Number bullet 2"/>
    <w:basedOn w:val="ListBullet2"/>
    <w:qFormat/>
    <w:rsid w:val="004C2DCA"/>
    <w:pPr>
      <w:numPr>
        <w:numId w:val="24"/>
      </w:numPr>
    </w:pPr>
  </w:style>
  <w:style w:type="paragraph" w:customStyle="1" w:styleId="Numberbullet3">
    <w:name w:val="Number bullet 3"/>
    <w:basedOn w:val="ListBullet3"/>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B67E72"/>
    <w:pPr>
      <w:framePr w:hSpace="180" w:wrap="around" w:vAnchor="page" w:hAnchor="text" w:y="3316"/>
      <w:numPr>
        <w:ilvl w:val="1"/>
      </w:numPr>
      <w:spacing w:after="360"/>
      <w:ind w:left="170"/>
    </w:pPr>
    <w:rPr>
      <w:rFonts w:ascii="Arial" w:eastAsia="Times New Roman" w:hAnsi="Arial"/>
      <w:bCs/>
      <w:iCs/>
      <w:color w:val="FFFFFF" w:themeColor="background1"/>
      <w:sz w:val="40"/>
      <w:szCs w:val="24"/>
    </w:rPr>
  </w:style>
  <w:style w:type="character" w:customStyle="1" w:styleId="SubtitleChar">
    <w:name w:val="Subtitle Char"/>
    <w:basedOn w:val="DefaultParagraphFont"/>
    <w:link w:val="Subtitle"/>
    <w:uiPriority w:val="11"/>
    <w:rsid w:val="00B67E72"/>
    <w:rPr>
      <w:rFonts w:ascii="Arial" w:eastAsia="Times New Roman" w:hAnsi="Arial" w:cs="Times New Roman"/>
      <w:bCs/>
      <w:iCs/>
      <w:color w:val="FFFFFF" w:themeColor="background1"/>
      <w:sz w:val="40"/>
      <w:szCs w:val="24"/>
    </w:rPr>
  </w:style>
  <w:style w:type="paragraph" w:customStyle="1" w:styleId="TableDescription">
    <w:name w:val="Table Description"/>
    <w:basedOn w:val="FigureDescription"/>
    <w:rsid w:val="001B5C90"/>
    <w:pPr>
      <w:spacing w:before="0" w:line="240" w:lineRule="auto"/>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B67E72"/>
    <w:pPr>
      <w:framePr w:hSpace="180" w:wrap="around" w:vAnchor="page" w:hAnchor="text" w:y="3316"/>
      <w:spacing w:after="480" w:line="240" w:lineRule="auto"/>
      <w:contextualSpacing/>
    </w:pPr>
    <w:rPr>
      <w:rFonts w:ascii="Arial" w:eastAsia="Times New Roman" w:hAnsi="Arial" w:cs="Times New Roman"/>
      <w:color w:val="FFFFFF" w:themeColor="background1"/>
      <w:spacing w:val="5"/>
      <w:kern w:val="28"/>
      <w:sz w:val="52"/>
      <w:szCs w:val="52"/>
    </w:rPr>
  </w:style>
  <w:style w:type="character" w:customStyle="1" w:styleId="TitleChar">
    <w:name w:val="Title Char"/>
    <w:basedOn w:val="DefaultParagraphFont"/>
    <w:link w:val="Title"/>
    <w:uiPriority w:val="10"/>
    <w:rsid w:val="00B67E72"/>
    <w:rPr>
      <w:rFonts w:ascii="Arial" w:eastAsia="Times New Roman" w:hAnsi="Arial" w:cs="Times New Roman"/>
      <w:color w:val="FFFFFF" w:themeColor="background1"/>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rsid w:val="001B5C90"/>
    <w:rPr>
      <w:rFonts w:ascii="Cambria" w:eastAsia="Cambria" w:hAnsi="Cambria" w:cs="Times New Roman"/>
      <w:sz w:val="18"/>
      <w:szCs w:val="20"/>
    </w:rPr>
  </w:style>
  <w:style w:type="character" w:styleId="FootnoteReference">
    <w:name w:val="footnote reference"/>
    <w:basedOn w:val="DefaultParagraphFont"/>
    <w:uiPriority w:val="99"/>
    <w:semiHidden/>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8F02E5"/>
    <w:pPr>
      <w:ind w:left="992" w:hanging="992"/>
    </w:pPr>
  </w:style>
  <w:style w:type="paragraph" w:styleId="EndnoteText">
    <w:name w:val="endnote text"/>
    <w:basedOn w:val="Normal"/>
    <w:link w:val="EndnoteTextChar"/>
    <w:uiPriority w:val="99"/>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0E6196"/>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0E6196"/>
    <w:rPr>
      <w:vertAlign w:val="superscript"/>
    </w:rPr>
  </w:style>
  <w:style w:type="paragraph" w:styleId="ListParagraph">
    <w:name w:val="List Paragraph"/>
    <w:basedOn w:val="Normal"/>
    <w:uiPriority w:val="34"/>
    <w:qFormat/>
    <w:rsid w:val="009F7282"/>
    <w:pPr>
      <w:adjustRightInd w:val="0"/>
      <w:snapToGrid w:val="0"/>
      <w:spacing w:before="0" w:after="0"/>
      <w:ind w:left="720"/>
      <w:contextualSpacing/>
    </w:pPr>
    <w:rPr>
      <w:rFonts w:eastAsia="MS Mincho"/>
      <w:szCs w:val="20"/>
      <w:lang w:eastAsia="ja-JP"/>
    </w:rPr>
  </w:style>
  <w:style w:type="paragraph" w:customStyle="1" w:styleId="Standard">
    <w:name w:val="Standard"/>
    <w:basedOn w:val="Normal"/>
    <w:link w:val="StandardChar"/>
    <w:qFormat/>
    <w:rsid w:val="00FD2445"/>
    <w:pPr>
      <w:spacing w:after="220" w:line="252" w:lineRule="auto"/>
    </w:pPr>
    <w:rPr>
      <w:rFonts w:eastAsia="Times New Roman"/>
      <w:snapToGrid w:val="0"/>
      <w:kern w:val="16"/>
      <w:szCs w:val="24"/>
    </w:rPr>
  </w:style>
  <w:style w:type="paragraph" w:customStyle="1" w:styleId="WhiteSpace">
    <w:name w:val="White Space"/>
    <w:basedOn w:val="Standard"/>
    <w:next w:val="Standard"/>
    <w:link w:val="WhiteSpaceChar"/>
    <w:rsid w:val="00FD2445"/>
    <w:pPr>
      <w:spacing w:after="0"/>
    </w:pPr>
    <w:rPr>
      <w:sz w:val="16"/>
      <w:szCs w:val="16"/>
    </w:rPr>
  </w:style>
  <w:style w:type="character" w:customStyle="1" w:styleId="StandardChar">
    <w:name w:val="Standard Char"/>
    <w:basedOn w:val="DefaultParagraphFont"/>
    <w:link w:val="Standard"/>
    <w:rsid w:val="00FD2445"/>
    <w:rPr>
      <w:rFonts w:ascii="Cambria" w:eastAsia="Times New Roman" w:hAnsi="Cambria" w:cs="Times New Roman"/>
      <w:snapToGrid w:val="0"/>
      <w:kern w:val="16"/>
      <w:szCs w:val="24"/>
    </w:rPr>
  </w:style>
  <w:style w:type="character" w:customStyle="1" w:styleId="WhiteSpaceChar">
    <w:name w:val="White Space Char"/>
    <w:basedOn w:val="DefaultParagraphFont"/>
    <w:link w:val="WhiteSpace"/>
    <w:rsid w:val="00FD2445"/>
    <w:rPr>
      <w:rFonts w:ascii="Cambria" w:eastAsia="Times New Roman" w:hAnsi="Cambria" w:cs="Times New Roman"/>
      <w:snapToGrid w:val="0"/>
      <w:kern w:val="16"/>
      <w:sz w:val="16"/>
      <w:szCs w:val="16"/>
    </w:rPr>
  </w:style>
  <w:style w:type="paragraph" w:customStyle="1" w:styleId="Bulletpoint">
    <w:name w:val="Bullet point"/>
    <w:basedOn w:val="Standard"/>
    <w:rsid w:val="00FD2445"/>
    <w:pPr>
      <w:numPr>
        <w:numId w:val="30"/>
      </w:numPr>
      <w:tabs>
        <w:tab w:val="clear" w:pos="369"/>
        <w:tab w:val="left" w:pos="397"/>
        <w:tab w:val="num" w:pos="926"/>
      </w:tabs>
      <w:spacing w:after="180"/>
      <w:ind w:left="926" w:hanging="360"/>
    </w:pPr>
  </w:style>
  <w:style w:type="paragraph" w:customStyle="1" w:styleId="AssessmentSubsection">
    <w:name w:val="Assessment Subsection"/>
    <w:basedOn w:val="Standard"/>
    <w:next w:val="Standard"/>
    <w:rsid w:val="00526D32"/>
    <w:pPr>
      <w:keepNext/>
      <w:spacing w:after="110"/>
      <w:outlineLvl w:val="2"/>
    </w:pPr>
    <w:rPr>
      <w:b/>
      <w: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semiHidden="0" w:unhideWhenUsed="0"/>
    <w:lsdException w:name="footer" w:semiHidden="0" w:unhideWhenUsed="0"/>
    <w:lsdException w:name="caption" w:semiHidden="0" w:uiPriority="35" w:unhideWhenUsed="0"/>
    <w:lsdException w:name="List Bullet" w:semiHidden="0" w:uiPriority="2" w:unhideWhenUsed="0" w:qFormat="1"/>
    <w:lsdException w:name="List Bullet 2" w:semiHidden="0" w:uiPriority="2" w:unhideWhenUsed="0" w:qFormat="1"/>
    <w:lsdException w:name="List Bullet 3" w:uiPriority="2"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1"/>
    <w:qFormat/>
    <w:rsid w:val="00AD3935"/>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4722CC"/>
    <w:pPr>
      <w:keepNext/>
      <w:keepLines/>
      <w:spacing w:before="480" w:after="0" w:line="220" w:lineRule="atLeast"/>
      <w:outlineLvl w:val="2"/>
    </w:pPr>
    <w:rPr>
      <w:rFonts w:ascii="Arial" w:eastAsia="Times New Roman" w:hAnsi="Arial"/>
      <w:b/>
      <w:bCs/>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rsid w:val="00AD0083"/>
    <w:pPr>
      <w:keepNext/>
      <w:spacing w:after="60" w:line="180" w:lineRule="atLeast"/>
      <w:outlineLvl w:val="6"/>
    </w:pPr>
    <w:rPr>
      <w:rFonts w:eastAsia="Times New Roman"/>
      <w:bCs/>
      <w:sz w:val="18"/>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AD3935"/>
    <w:rPr>
      <w:rFonts w:ascii="Arial" w:eastAsia="Times New Roman" w:hAnsi="Arial" w:cs="Times New Roman"/>
      <w:b/>
      <w:bCs/>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B67E72"/>
    <w:pPr>
      <w:framePr w:hSpace="180" w:wrap="around" w:vAnchor="text" w:hAnchor="margin" w:y="9863"/>
      <w:suppressOverlap/>
    </w:pPr>
    <w:rPr>
      <w:rFonts w:ascii="Arial" w:hAnsi="Arial" w:cs="Arial"/>
      <w:b/>
      <w:color w:val="002C47"/>
      <w:sz w:val="36"/>
      <w:szCs w:val="36"/>
    </w:rPr>
  </w:style>
  <w:style w:type="character" w:customStyle="1" w:styleId="DateChar">
    <w:name w:val="Date Char"/>
    <w:basedOn w:val="DefaultParagraphFont"/>
    <w:link w:val="Date"/>
    <w:uiPriority w:val="99"/>
    <w:rsid w:val="00B67E72"/>
    <w:rPr>
      <w:rFonts w:ascii="Arial" w:eastAsia="Cambria" w:hAnsi="Arial" w:cs="Arial"/>
      <w:b/>
      <w:color w:val="002C47"/>
      <w:sz w:val="36"/>
      <w:szCs w:val="36"/>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1B5C90"/>
    <w:pPr>
      <w:keepNext/>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AD0083"/>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4C2DCA"/>
    <w:pPr>
      <w:numPr>
        <w:numId w:val="21"/>
      </w:numPr>
    </w:pPr>
  </w:style>
  <w:style w:type="paragraph" w:styleId="ListBullet2">
    <w:name w:val="List Bullet 2"/>
    <w:basedOn w:val="Normal"/>
    <w:uiPriority w:val="2"/>
    <w:qFormat/>
    <w:rsid w:val="004C2DCA"/>
    <w:pPr>
      <w:numPr>
        <w:ilvl w:val="1"/>
        <w:numId w:val="21"/>
      </w:numPr>
    </w:pPr>
  </w:style>
  <w:style w:type="paragraph" w:styleId="ListBullet3">
    <w:name w:val="List Bullet 3"/>
    <w:basedOn w:val="Normal"/>
    <w:uiPriority w:val="2"/>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24"/>
      </w:numPr>
    </w:pPr>
  </w:style>
  <w:style w:type="paragraph" w:customStyle="1" w:styleId="Numberbullet2">
    <w:name w:val="Number bullet 2"/>
    <w:basedOn w:val="ListBullet2"/>
    <w:qFormat/>
    <w:rsid w:val="004C2DCA"/>
    <w:pPr>
      <w:numPr>
        <w:numId w:val="24"/>
      </w:numPr>
    </w:pPr>
  </w:style>
  <w:style w:type="paragraph" w:customStyle="1" w:styleId="Numberbullet3">
    <w:name w:val="Number bullet 3"/>
    <w:basedOn w:val="ListBullet3"/>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B67E72"/>
    <w:pPr>
      <w:framePr w:hSpace="180" w:wrap="around" w:vAnchor="page" w:hAnchor="text" w:y="3316"/>
      <w:numPr>
        <w:ilvl w:val="1"/>
      </w:numPr>
      <w:spacing w:after="360"/>
      <w:ind w:left="170"/>
    </w:pPr>
    <w:rPr>
      <w:rFonts w:ascii="Arial" w:eastAsia="Times New Roman" w:hAnsi="Arial"/>
      <w:bCs/>
      <w:iCs/>
      <w:color w:val="FFFFFF" w:themeColor="background1"/>
      <w:sz w:val="40"/>
      <w:szCs w:val="24"/>
    </w:rPr>
  </w:style>
  <w:style w:type="character" w:customStyle="1" w:styleId="SubtitleChar">
    <w:name w:val="Subtitle Char"/>
    <w:basedOn w:val="DefaultParagraphFont"/>
    <w:link w:val="Subtitle"/>
    <w:uiPriority w:val="11"/>
    <w:rsid w:val="00B67E72"/>
    <w:rPr>
      <w:rFonts w:ascii="Arial" w:eastAsia="Times New Roman" w:hAnsi="Arial" w:cs="Times New Roman"/>
      <w:bCs/>
      <w:iCs/>
      <w:color w:val="FFFFFF" w:themeColor="background1"/>
      <w:sz w:val="40"/>
      <w:szCs w:val="24"/>
    </w:rPr>
  </w:style>
  <w:style w:type="paragraph" w:customStyle="1" w:styleId="TableDescription">
    <w:name w:val="Table Description"/>
    <w:basedOn w:val="FigureDescription"/>
    <w:rsid w:val="001B5C90"/>
    <w:pPr>
      <w:spacing w:before="0" w:line="240" w:lineRule="auto"/>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B67E72"/>
    <w:pPr>
      <w:framePr w:hSpace="180" w:wrap="around" w:vAnchor="page" w:hAnchor="text" w:y="3316"/>
      <w:spacing w:after="480" w:line="240" w:lineRule="auto"/>
      <w:contextualSpacing/>
    </w:pPr>
    <w:rPr>
      <w:rFonts w:ascii="Arial" w:eastAsia="Times New Roman" w:hAnsi="Arial" w:cs="Times New Roman"/>
      <w:color w:val="FFFFFF" w:themeColor="background1"/>
      <w:spacing w:val="5"/>
      <w:kern w:val="28"/>
      <w:sz w:val="52"/>
      <w:szCs w:val="52"/>
    </w:rPr>
  </w:style>
  <w:style w:type="character" w:customStyle="1" w:styleId="TitleChar">
    <w:name w:val="Title Char"/>
    <w:basedOn w:val="DefaultParagraphFont"/>
    <w:link w:val="Title"/>
    <w:uiPriority w:val="10"/>
    <w:rsid w:val="00B67E72"/>
    <w:rPr>
      <w:rFonts w:ascii="Arial" w:eastAsia="Times New Roman" w:hAnsi="Arial" w:cs="Times New Roman"/>
      <w:color w:val="FFFFFF" w:themeColor="background1"/>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rsid w:val="001B5C90"/>
    <w:rPr>
      <w:rFonts w:ascii="Cambria" w:eastAsia="Cambria" w:hAnsi="Cambria" w:cs="Times New Roman"/>
      <w:sz w:val="18"/>
      <w:szCs w:val="20"/>
    </w:rPr>
  </w:style>
  <w:style w:type="character" w:styleId="FootnoteReference">
    <w:name w:val="footnote reference"/>
    <w:basedOn w:val="DefaultParagraphFont"/>
    <w:uiPriority w:val="99"/>
    <w:semiHidden/>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8F02E5"/>
    <w:pPr>
      <w:ind w:left="992" w:hanging="992"/>
    </w:pPr>
  </w:style>
  <w:style w:type="paragraph" w:styleId="EndnoteText">
    <w:name w:val="endnote text"/>
    <w:basedOn w:val="Normal"/>
    <w:link w:val="EndnoteTextChar"/>
    <w:uiPriority w:val="99"/>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0E6196"/>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0E6196"/>
    <w:rPr>
      <w:vertAlign w:val="superscript"/>
    </w:rPr>
  </w:style>
  <w:style w:type="paragraph" w:styleId="ListParagraph">
    <w:name w:val="List Paragraph"/>
    <w:basedOn w:val="Normal"/>
    <w:uiPriority w:val="34"/>
    <w:qFormat/>
    <w:rsid w:val="009F7282"/>
    <w:pPr>
      <w:adjustRightInd w:val="0"/>
      <w:snapToGrid w:val="0"/>
      <w:spacing w:before="0" w:after="0"/>
      <w:ind w:left="720"/>
      <w:contextualSpacing/>
    </w:pPr>
    <w:rPr>
      <w:rFonts w:eastAsia="MS Mincho"/>
      <w:szCs w:val="20"/>
      <w:lang w:eastAsia="ja-JP"/>
    </w:rPr>
  </w:style>
  <w:style w:type="paragraph" w:customStyle="1" w:styleId="Standard">
    <w:name w:val="Standard"/>
    <w:basedOn w:val="Normal"/>
    <w:link w:val="StandardChar"/>
    <w:qFormat/>
    <w:rsid w:val="00FD2445"/>
    <w:pPr>
      <w:spacing w:after="220" w:line="252" w:lineRule="auto"/>
    </w:pPr>
    <w:rPr>
      <w:rFonts w:eastAsia="Times New Roman"/>
      <w:snapToGrid w:val="0"/>
      <w:kern w:val="16"/>
      <w:szCs w:val="24"/>
    </w:rPr>
  </w:style>
  <w:style w:type="paragraph" w:customStyle="1" w:styleId="WhiteSpace">
    <w:name w:val="White Space"/>
    <w:basedOn w:val="Standard"/>
    <w:next w:val="Standard"/>
    <w:link w:val="WhiteSpaceChar"/>
    <w:rsid w:val="00FD2445"/>
    <w:pPr>
      <w:spacing w:after="0"/>
    </w:pPr>
    <w:rPr>
      <w:sz w:val="16"/>
      <w:szCs w:val="16"/>
    </w:rPr>
  </w:style>
  <w:style w:type="character" w:customStyle="1" w:styleId="StandardChar">
    <w:name w:val="Standard Char"/>
    <w:basedOn w:val="DefaultParagraphFont"/>
    <w:link w:val="Standard"/>
    <w:rsid w:val="00FD2445"/>
    <w:rPr>
      <w:rFonts w:ascii="Cambria" w:eastAsia="Times New Roman" w:hAnsi="Cambria" w:cs="Times New Roman"/>
      <w:snapToGrid w:val="0"/>
      <w:kern w:val="16"/>
      <w:szCs w:val="24"/>
    </w:rPr>
  </w:style>
  <w:style w:type="character" w:customStyle="1" w:styleId="WhiteSpaceChar">
    <w:name w:val="White Space Char"/>
    <w:basedOn w:val="DefaultParagraphFont"/>
    <w:link w:val="WhiteSpace"/>
    <w:rsid w:val="00FD2445"/>
    <w:rPr>
      <w:rFonts w:ascii="Cambria" w:eastAsia="Times New Roman" w:hAnsi="Cambria" w:cs="Times New Roman"/>
      <w:snapToGrid w:val="0"/>
      <w:kern w:val="16"/>
      <w:sz w:val="16"/>
      <w:szCs w:val="16"/>
    </w:rPr>
  </w:style>
  <w:style w:type="paragraph" w:customStyle="1" w:styleId="Bulletpoint">
    <w:name w:val="Bullet point"/>
    <w:basedOn w:val="Standard"/>
    <w:rsid w:val="00FD2445"/>
    <w:pPr>
      <w:numPr>
        <w:numId w:val="30"/>
      </w:numPr>
      <w:tabs>
        <w:tab w:val="clear" w:pos="369"/>
        <w:tab w:val="left" w:pos="397"/>
        <w:tab w:val="num" w:pos="926"/>
      </w:tabs>
      <w:spacing w:after="180"/>
      <w:ind w:left="926" w:hanging="360"/>
    </w:pPr>
  </w:style>
  <w:style w:type="paragraph" w:customStyle="1" w:styleId="AssessmentSubsection">
    <w:name w:val="Assessment Subsection"/>
    <w:basedOn w:val="Standard"/>
    <w:next w:val="Standard"/>
    <w:rsid w:val="00526D32"/>
    <w:pPr>
      <w:keepNext/>
      <w:spacing w:after="110"/>
      <w:outlineLvl w:val="2"/>
    </w:pPr>
    <w:rPr>
      <w:b/>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hyperlink" Target="https://www.tga.gov.au/product-information-pi" TargetMode="External"/><Relationship Id="rId26" Type="http://schemas.openxmlformats.org/officeDocument/2006/relationships/image" Target="media/image11.png"/><Relationship Id="rId39" Type="http://schemas.openxmlformats.org/officeDocument/2006/relationships/header" Target="header8.xml"/><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header" Target="header6.xml"/><Relationship Id="rId42" Type="http://schemas.openxmlformats.org/officeDocument/2006/relationships/footer" Target="footer6.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3.png"/><Relationship Id="rId25" Type="http://schemas.openxmlformats.org/officeDocument/2006/relationships/image" Target="media/image10.png"/><Relationship Id="rId33" Type="http://schemas.openxmlformats.org/officeDocument/2006/relationships/header" Target="header5.xml"/><Relationship Id="rId38" Type="http://schemas.openxmlformats.org/officeDocument/2006/relationships/header" Target="header7.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5.png"/><Relationship Id="rId29" Type="http://schemas.openxmlformats.org/officeDocument/2006/relationships/image" Target="media/image14.png"/><Relationship Id="rId41"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9.png"/><Relationship Id="rId32" Type="http://schemas.openxmlformats.org/officeDocument/2006/relationships/header" Target="header4.xml"/><Relationship Id="rId37" Type="http://schemas.openxmlformats.org/officeDocument/2006/relationships/hyperlink" Target="https://www.tga.gov.au" TargetMode="External"/><Relationship Id="rId40" Type="http://schemas.openxmlformats.org/officeDocument/2006/relationships/footer" Target="footer5.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hyperlink" Target="mailto:info@tga.gov.au" TargetMode="External"/><Relationship Id="rId10" Type="http://schemas.openxmlformats.org/officeDocument/2006/relationships/hyperlink" Target="mailto:tga.copyright@tga.gov.au" TargetMode="External"/><Relationship Id="rId19" Type="http://schemas.openxmlformats.org/officeDocument/2006/relationships/image" Target="media/image4.png"/><Relationship Id="rId31" Type="http://schemas.openxmlformats.org/officeDocument/2006/relationships/hyperlink" Target="https://www.tga.gov.au/product-information-pi" TargetMode="External"/><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s://www.tga.gov.au" TargetMode="External"/><Relationship Id="rId14" Type="http://schemas.openxmlformats.org/officeDocument/2006/relationships/footer" Target="footer2.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footer" Target="footer4.xml"/><Relationship Id="rId43" Type="http://schemas.openxmlformats.org/officeDocument/2006/relationships/fontTable" Target="fontTable.xml"/></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rann\AppData\Local\Hewlett-Packard\HP%20TRIM\TEMP\HPTRIM.3828\R12%20926607%20%20AusPAR%20-%20template.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448A12-788B-4DFE-9219-B57501169D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R12 926607  AusPAR - template.DOTX</Template>
  <TotalTime>694</TotalTime>
  <Pages>53</Pages>
  <Words>19333</Words>
  <Characters>110202</Characters>
  <Application>Microsoft Office Word</Application>
  <DocSecurity>0</DocSecurity>
  <Lines>918</Lines>
  <Paragraphs>258</Paragraphs>
  <ScaleCrop>false</ScaleCrop>
  <HeadingPairs>
    <vt:vector size="2" baseType="variant">
      <vt:variant>
        <vt:lpstr>Title</vt:lpstr>
      </vt:variant>
      <vt:variant>
        <vt:i4>1</vt:i4>
      </vt:variant>
    </vt:vector>
  </HeadingPairs>
  <TitlesOfParts>
    <vt:vector size="1" baseType="lpstr">
      <vt:lpstr>Australian public assessment report for inactivated influenza virus vaccine (containing 15 µg haemagglutinin of virus Types A H1N1+ A H3N2 + B)</vt:lpstr>
    </vt:vector>
  </TitlesOfParts>
  <Company>Department of Health Therapeutic Goods Administration</Company>
  <LinksUpToDate>false</LinksUpToDate>
  <CharactersWithSpaces>129277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inactivated influenza virus vaccine (containing 15 µg haemagglutinin of virus Types A H1N1+ A H3N2 + B)</dc:title>
  <dc:subject>Prescription medicines</dc:subject>
  <dc:creator>Therapeutic Goods Administration</dc:creator>
  <cp:keywords>AusPARs</cp:keywords>
  <cp:lastModifiedBy>Sheppard, Fran</cp:lastModifiedBy>
  <cp:revision>1066</cp:revision>
  <cp:lastPrinted>2010-12-20T22:59:00Z</cp:lastPrinted>
  <dcterms:created xsi:type="dcterms:W3CDTF">2015-06-01T02:56:00Z</dcterms:created>
  <dcterms:modified xsi:type="dcterms:W3CDTF">2015-09-15T01:55:00Z</dcterms:modified>
  <cp:category/>
</cp:coreProperties>
</file>