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tblGrid>
      <w:tr w:rsidR="008E7846" w:rsidRPr="00487162" w:rsidTr="00CC02EE">
        <w:trPr>
          <w:trHeight w:val="1863"/>
        </w:trPr>
        <w:tc>
          <w:tcPr>
            <w:tcW w:w="5070" w:type="dxa"/>
            <w:tcBorders>
              <w:top w:val="nil"/>
              <w:left w:val="nil"/>
              <w:bottom w:val="nil"/>
              <w:right w:val="nil"/>
            </w:tcBorders>
          </w:tcPr>
          <w:p w:rsidR="008E7846" w:rsidRPr="0017078F" w:rsidRDefault="00CC02EE" w:rsidP="00CC02EE">
            <w:pPr>
              <w:rPr>
                <w:rFonts w:ascii="Arial" w:hAnsi="Arial" w:cs="Arial"/>
                <w:b/>
                <w:color w:val="002C47"/>
                <w:sz w:val="36"/>
                <w:szCs w:val="36"/>
              </w:rPr>
            </w:pPr>
            <w:r>
              <w:rPr>
                <w:rFonts w:ascii="Arial" w:hAnsi="Arial" w:cs="Arial"/>
                <w:b/>
                <w:color w:val="002C47"/>
                <w:sz w:val="36"/>
                <w:szCs w:val="36"/>
              </w:rPr>
              <w:t xml:space="preserve">Date of </w:t>
            </w:r>
            <w:r w:rsidR="0017078F">
              <w:rPr>
                <w:rFonts w:ascii="Arial" w:hAnsi="Arial" w:cs="Arial"/>
                <w:b/>
                <w:color w:val="002C47"/>
                <w:sz w:val="36"/>
                <w:szCs w:val="36"/>
              </w:rPr>
              <w:t>CER</w:t>
            </w:r>
            <w:r>
              <w:rPr>
                <w:rFonts w:ascii="Arial" w:hAnsi="Arial" w:cs="Arial"/>
                <w:b/>
                <w:color w:val="002C47"/>
                <w:sz w:val="36"/>
                <w:szCs w:val="36"/>
              </w:rPr>
              <w:t>: January 2013</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proofErr w:type="spellStart"/>
            <w:r>
              <w:rPr>
                <w:color w:val="FFFFFF" w:themeColor="background1"/>
              </w:rPr>
              <w:t>AusPAR</w:t>
            </w:r>
            <w:proofErr w:type="spellEnd"/>
            <w:r>
              <w:rPr>
                <w:color w:val="FFFFFF" w:themeColor="background1"/>
              </w:rPr>
              <w:t xml:space="preserve"> Attachment 2</w:t>
            </w:r>
          </w:p>
        </w:tc>
      </w:tr>
      <w:tr w:rsidR="00E07F15" w:rsidRPr="00A964D1" w:rsidTr="00E07F15">
        <w:trPr>
          <w:trHeight w:val="868"/>
        </w:trPr>
        <w:tc>
          <w:tcPr>
            <w:tcW w:w="9079" w:type="dxa"/>
          </w:tcPr>
          <w:p w:rsidR="00E07F15" w:rsidRPr="00A964D1" w:rsidRDefault="00E07F15" w:rsidP="00E07F15">
            <w:pPr>
              <w:pStyle w:val="Title"/>
              <w:rPr>
                <w:color w:val="FFFFFF" w:themeColor="background1"/>
              </w:rPr>
            </w:pPr>
            <w:r>
              <w:rPr>
                <w:color w:val="FFFFFF" w:themeColor="background1"/>
              </w:rPr>
              <w:t>Extract from the Clinical Evaluation Report</w:t>
            </w:r>
            <w:r w:rsidR="00CC02EE">
              <w:rPr>
                <w:color w:val="FFFFFF" w:themeColor="background1"/>
              </w:rPr>
              <w:t xml:space="preserve"> for </w:t>
            </w:r>
            <w:proofErr w:type="spellStart"/>
            <w:r w:rsidR="00CC02EE">
              <w:rPr>
                <w:color w:val="FFFFFF" w:themeColor="background1"/>
              </w:rPr>
              <w:t>imatinib</w:t>
            </w:r>
            <w:proofErr w:type="spellEnd"/>
            <w:r w:rsidR="00CC02EE">
              <w:rPr>
                <w:color w:val="FFFFFF" w:themeColor="background1"/>
              </w:rPr>
              <w:t xml:space="preserve"> </w:t>
            </w:r>
            <w:proofErr w:type="spellStart"/>
            <w:r w:rsidR="00CC02EE">
              <w:rPr>
                <w:color w:val="FFFFFF" w:themeColor="background1"/>
              </w:rPr>
              <w:t>mesylate</w:t>
            </w:r>
            <w:proofErr w:type="spellEnd"/>
          </w:p>
        </w:tc>
      </w:tr>
      <w:tr w:rsidR="00E07F15" w:rsidRPr="00B64760" w:rsidTr="00E07F15">
        <w:tc>
          <w:tcPr>
            <w:tcW w:w="9079" w:type="dxa"/>
          </w:tcPr>
          <w:p w:rsidR="00E07F15" w:rsidRPr="008E7846" w:rsidRDefault="00CC02EE" w:rsidP="00CC02EE">
            <w:pPr>
              <w:pStyle w:val="Subtitle"/>
              <w:rPr>
                <w:color w:val="FFFFFF" w:themeColor="background1"/>
              </w:rPr>
            </w:pPr>
            <w:r>
              <w:rPr>
                <w:color w:val="FFFFFF" w:themeColor="background1"/>
              </w:rPr>
              <w:t xml:space="preserve">Proprietary Product Name: </w:t>
            </w:r>
            <w:proofErr w:type="spellStart"/>
            <w:r>
              <w:rPr>
                <w:color w:val="FFFFFF" w:themeColor="background1"/>
              </w:rPr>
              <w:t>Glivec</w:t>
            </w:r>
            <w:proofErr w:type="spellEnd"/>
          </w:p>
        </w:tc>
      </w:tr>
      <w:tr w:rsidR="00E07F15" w:rsidRPr="00B64760" w:rsidTr="00E07F15">
        <w:trPr>
          <w:trHeight w:val="486"/>
        </w:trPr>
        <w:tc>
          <w:tcPr>
            <w:tcW w:w="9079" w:type="dxa"/>
          </w:tcPr>
          <w:p w:rsidR="00E07F15" w:rsidRPr="008E7846" w:rsidRDefault="00E07F15" w:rsidP="00CC02EE">
            <w:pPr>
              <w:pStyle w:val="Subtitle"/>
              <w:rPr>
                <w:color w:val="FFFFFF" w:themeColor="background1"/>
              </w:rPr>
            </w:pPr>
            <w:r w:rsidRPr="008E7846">
              <w:rPr>
                <w:color w:val="FFFFFF" w:themeColor="background1"/>
              </w:rPr>
              <w:t xml:space="preserve">Sponsor: </w:t>
            </w:r>
            <w:r w:rsidR="00CC02EE">
              <w:rPr>
                <w:color w:val="FFFFFF" w:themeColor="background1"/>
              </w:rPr>
              <w:t>Novartis Pharmaceuticals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50734C" w:rsidRDefault="003D0A3B" w:rsidP="0050734C">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r w:rsidR="0050734C">
        <w:t xml:space="preserve"> Text in this extract has been amended from the original text to correct errors contained in the original </w:t>
      </w:r>
      <w:r w:rsidR="00B44C56">
        <w:t>CER</w:t>
      </w:r>
      <w:r w:rsidR="0050734C">
        <w:t>.</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B1425E" w:rsidRPr="00B1425E">
          <w:rPr>
            <w:rStyle w:val="Hyperlink"/>
          </w:rPr>
          <w:t>http://www.tga.gov.au/hp/information-medicines-pi.htm</w:t>
        </w:r>
      </w:hyperlink>
      <w:r w:rsidR="0017078F">
        <w:t>&gt;.</w:t>
      </w:r>
    </w:p>
    <w:p w:rsidR="00924482" w:rsidRPr="00DF1D7F" w:rsidRDefault="00924482" w:rsidP="00B737AD">
      <w:pPr>
        <w:pStyle w:val="LegalSubheading"/>
        <w:spacing w:before="408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12070">
        <w:rPr>
          <w:rFonts w:cs="Arial"/>
          <w:lang w:val="en-GB"/>
        </w:rPr>
        <w:t>3</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BF4AA6" w:rsidRDefault="00AE1EE0">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82578274" w:history="1">
            <w:r w:rsidR="00BF4AA6" w:rsidRPr="00A347E3">
              <w:rPr>
                <w:rStyle w:val="Hyperlink"/>
                <w:noProof/>
              </w:rPr>
              <w:t>List of abbreviations</w:t>
            </w:r>
            <w:r w:rsidR="00BF4AA6">
              <w:rPr>
                <w:noProof/>
                <w:webHidden/>
              </w:rPr>
              <w:tab/>
            </w:r>
            <w:r w:rsidR="00BF4AA6">
              <w:rPr>
                <w:noProof/>
                <w:webHidden/>
              </w:rPr>
              <w:fldChar w:fldCharType="begin"/>
            </w:r>
            <w:r w:rsidR="00BF4AA6">
              <w:rPr>
                <w:noProof/>
                <w:webHidden/>
              </w:rPr>
              <w:instrText xml:space="preserve"> PAGEREF _Toc382578274 \h </w:instrText>
            </w:r>
            <w:r w:rsidR="00BF4AA6">
              <w:rPr>
                <w:noProof/>
                <w:webHidden/>
              </w:rPr>
            </w:r>
            <w:r w:rsidR="00BF4AA6">
              <w:rPr>
                <w:noProof/>
                <w:webHidden/>
              </w:rPr>
              <w:fldChar w:fldCharType="separate"/>
            </w:r>
            <w:r w:rsidR="00BF4AA6">
              <w:rPr>
                <w:noProof/>
                <w:webHidden/>
              </w:rPr>
              <w:t>4</w:t>
            </w:r>
            <w:r w:rsidR="00BF4AA6">
              <w:rPr>
                <w:noProof/>
                <w:webHidden/>
              </w:rPr>
              <w:fldChar w:fldCharType="end"/>
            </w:r>
          </w:hyperlink>
        </w:p>
        <w:p w:rsidR="00BF4AA6" w:rsidRDefault="00BF4AA6">
          <w:pPr>
            <w:pStyle w:val="TOC2"/>
            <w:tabs>
              <w:tab w:val="left" w:pos="1100"/>
            </w:tabs>
            <w:rPr>
              <w:rFonts w:asciiTheme="minorHAnsi" w:eastAsiaTheme="minorEastAsia" w:hAnsiTheme="minorHAnsi" w:cstheme="minorBidi"/>
              <w:b w:val="0"/>
              <w:noProof/>
              <w:sz w:val="22"/>
              <w:lang w:eastAsia="en-AU"/>
            </w:rPr>
          </w:pPr>
          <w:hyperlink w:anchor="_Toc382578275" w:history="1">
            <w:r w:rsidRPr="00A347E3">
              <w:rPr>
                <w:rStyle w:val="Hyperlink"/>
                <w:noProof/>
                <w:lang w:eastAsia="en-AU"/>
              </w:rPr>
              <w:t>1.</w:t>
            </w:r>
            <w:r>
              <w:rPr>
                <w:rFonts w:asciiTheme="minorHAnsi" w:eastAsiaTheme="minorEastAsia" w:hAnsiTheme="minorHAnsi" w:cstheme="minorBidi"/>
                <w:b w:val="0"/>
                <w:noProof/>
                <w:sz w:val="22"/>
                <w:lang w:eastAsia="en-AU"/>
              </w:rPr>
              <w:tab/>
            </w:r>
            <w:r w:rsidRPr="00A347E3">
              <w:rPr>
                <w:rStyle w:val="Hyperlink"/>
                <w:noProof/>
                <w:lang w:eastAsia="en-AU"/>
              </w:rPr>
              <w:t>Introduction</w:t>
            </w:r>
            <w:r>
              <w:rPr>
                <w:noProof/>
                <w:webHidden/>
              </w:rPr>
              <w:tab/>
            </w:r>
            <w:r>
              <w:rPr>
                <w:noProof/>
                <w:webHidden/>
              </w:rPr>
              <w:fldChar w:fldCharType="begin"/>
            </w:r>
            <w:r>
              <w:rPr>
                <w:noProof/>
                <w:webHidden/>
              </w:rPr>
              <w:instrText xml:space="preserve"> PAGEREF _Toc382578275 \h </w:instrText>
            </w:r>
            <w:r>
              <w:rPr>
                <w:noProof/>
                <w:webHidden/>
              </w:rPr>
            </w:r>
            <w:r>
              <w:rPr>
                <w:noProof/>
                <w:webHidden/>
              </w:rPr>
              <w:fldChar w:fldCharType="separate"/>
            </w:r>
            <w:r>
              <w:rPr>
                <w:noProof/>
                <w:webHidden/>
              </w:rPr>
              <w:t>6</w:t>
            </w:r>
            <w:r>
              <w:rPr>
                <w:noProof/>
                <w:webHidden/>
              </w:rPr>
              <w:fldChar w:fldCharType="end"/>
            </w:r>
          </w:hyperlink>
        </w:p>
        <w:p w:rsidR="00BF4AA6" w:rsidRDefault="00BF4AA6">
          <w:pPr>
            <w:pStyle w:val="TOC2"/>
            <w:tabs>
              <w:tab w:val="left" w:pos="1100"/>
            </w:tabs>
            <w:rPr>
              <w:rFonts w:asciiTheme="minorHAnsi" w:eastAsiaTheme="minorEastAsia" w:hAnsiTheme="minorHAnsi" w:cstheme="minorBidi"/>
              <w:b w:val="0"/>
              <w:noProof/>
              <w:sz w:val="22"/>
              <w:lang w:eastAsia="en-AU"/>
            </w:rPr>
          </w:pPr>
          <w:hyperlink w:anchor="_Toc382578276" w:history="1">
            <w:r w:rsidRPr="00A347E3">
              <w:rPr>
                <w:rStyle w:val="Hyperlink"/>
                <w:noProof/>
              </w:rPr>
              <w:t>2.</w:t>
            </w:r>
            <w:r>
              <w:rPr>
                <w:rFonts w:asciiTheme="minorHAnsi" w:eastAsiaTheme="minorEastAsia" w:hAnsiTheme="minorHAnsi" w:cstheme="minorBidi"/>
                <w:b w:val="0"/>
                <w:noProof/>
                <w:sz w:val="22"/>
                <w:lang w:eastAsia="en-AU"/>
              </w:rPr>
              <w:tab/>
            </w:r>
            <w:r w:rsidRPr="00A347E3">
              <w:rPr>
                <w:rStyle w:val="Hyperlink"/>
                <w:noProof/>
              </w:rPr>
              <w:t>Clinical rationale</w:t>
            </w:r>
            <w:r>
              <w:rPr>
                <w:noProof/>
                <w:webHidden/>
              </w:rPr>
              <w:tab/>
            </w:r>
            <w:r>
              <w:rPr>
                <w:noProof/>
                <w:webHidden/>
              </w:rPr>
              <w:fldChar w:fldCharType="begin"/>
            </w:r>
            <w:r>
              <w:rPr>
                <w:noProof/>
                <w:webHidden/>
              </w:rPr>
              <w:instrText xml:space="preserve"> PAGEREF _Toc382578276 \h </w:instrText>
            </w:r>
            <w:r>
              <w:rPr>
                <w:noProof/>
                <w:webHidden/>
              </w:rPr>
            </w:r>
            <w:r>
              <w:rPr>
                <w:noProof/>
                <w:webHidden/>
              </w:rPr>
              <w:fldChar w:fldCharType="separate"/>
            </w:r>
            <w:r>
              <w:rPr>
                <w:noProof/>
                <w:webHidden/>
              </w:rPr>
              <w:t>6</w:t>
            </w:r>
            <w:r>
              <w:rPr>
                <w:noProof/>
                <w:webHidden/>
              </w:rPr>
              <w:fldChar w:fldCharType="end"/>
            </w:r>
          </w:hyperlink>
        </w:p>
        <w:p w:rsidR="00BF4AA6" w:rsidRDefault="00BF4AA6">
          <w:pPr>
            <w:pStyle w:val="TOC2"/>
            <w:tabs>
              <w:tab w:val="left" w:pos="1100"/>
            </w:tabs>
            <w:rPr>
              <w:rFonts w:asciiTheme="minorHAnsi" w:eastAsiaTheme="minorEastAsia" w:hAnsiTheme="minorHAnsi" w:cstheme="minorBidi"/>
              <w:b w:val="0"/>
              <w:noProof/>
              <w:sz w:val="22"/>
              <w:lang w:eastAsia="en-AU"/>
            </w:rPr>
          </w:pPr>
          <w:hyperlink w:anchor="_Toc382578277" w:history="1">
            <w:r w:rsidRPr="00A347E3">
              <w:rPr>
                <w:rStyle w:val="Hyperlink"/>
                <w:noProof/>
                <w:lang w:eastAsia="en-AU"/>
              </w:rPr>
              <w:t>3.</w:t>
            </w:r>
            <w:r>
              <w:rPr>
                <w:rFonts w:asciiTheme="minorHAnsi" w:eastAsiaTheme="minorEastAsia" w:hAnsiTheme="minorHAnsi" w:cstheme="minorBidi"/>
                <w:b w:val="0"/>
                <w:noProof/>
                <w:sz w:val="22"/>
                <w:lang w:eastAsia="en-AU"/>
              </w:rPr>
              <w:tab/>
            </w:r>
            <w:r w:rsidRPr="00A347E3">
              <w:rPr>
                <w:rStyle w:val="Hyperlink"/>
                <w:noProof/>
                <w:lang w:eastAsia="en-AU"/>
              </w:rPr>
              <w:t>Contents of the clinical dossier</w:t>
            </w:r>
            <w:r>
              <w:rPr>
                <w:noProof/>
                <w:webHidden/>
              </w:rPr>
              <w:tab/>
            </w:r>
            <w:r>
              <w:rPr>
                <w:noProof/>
                <w:webHidden/>
              </w:rPr>
              <w:fldChar w:fldCharType="begin"/>
            </w:r>
            <w:r>
              <w:rPr>
                <w:noProof/>
                <w:webHidden/>
              </w:rPr>
              <w:instrText xml:space="preserve"> PAGEREF _Toc382578277 \h </w:instrText>
            </w:r>
            <w:r>
              <w:rPr>
                <w:noProof/>
                <w:webHidden/>
              </w:rPr>
            </w:r>
            <w:r>
              <w:rPr>
                <w:noProof/>
                <w:webHidden/>
              </w:rPr>
              <w:fldChar w:fldCharType="separate"/>
            </w:r>
            <w:r>
              <w:rPr>
                <w:noProof/>
                <w:webHidden/>
              </w:rPr>
              <w:t>7</w:t>
            </w:r>
            <w:r>
              <w:rPr>
                <w:noProof/>
                <w:webHidden/>
              </w:rPr>
              <w:fldChar w:fldCharType="end"/>
            </w:r>
          </w:hyperlink>
        </w:p>
        <w:p w:rsidR="00BF4AA6" w:rsidRDefault="00BF4AA6">
          <w:pPr>
            <w:pStyle w:val="TOC3"/>
            <w:tabs>
              <w:tab w:val="left" w:pos="1760"/>
            </w:tabs>
            <w:rPr>
              <w:rFonts w:asciiTheme="minorHAnsi" w:eastAsiaTheme="minorEastAsia" w:hAnsiTheme="minorHAnsi" w:cstheme="minorBidi"/>
              <w:noProof/>
              <w:lang w:eastAsia="en-AU"/>
            </w:rPr>
          </w:pPr>
          <w:hyperlink w:anchor="_Toc382578278" w:history="1">
            <w:r w:rsidRPr="00A347E3">
              <w:rPr>
                <w:rStyle w:val="Hyperlink"/>
                <w:noProof/>
              </w:rPr>
              <w:t>3.1.</w:t>
            </w:r>
            <w:r>
              <w:rPr>
                <w:rFonts w:asciiTheme="minorHAnsi" w:eastAsiaTheme="minorEastAsia" w:hAnsiTheme="minorHAnsi" w:cstheme="minorBidi"/>
                <w:noProof/>
                <w:lang w:eastAsia="en-AU"/>
              </w:rPr>
              <w:tab/>
            </w:r>
            <w:r w:rsidRPr="00A347E3">
              <w:rPr>
                <w:rStyle w:val="Hyperlink"/>
                <w:noProof/>
              </w:rPr>
              <w:t>Scope of the clinical dossier</w:t>
            </w:r>
            <w:r>
              <w:rPr>
                <w:noProof/>
                <w:webHidden/>
              </w:rPr>
              <w:tab/>
            </w:r>
            <w:r>
              <w:rPr>
                <w:noProof/>
                <w:webHidden/>
              </w:rPr>
              <w:fldChar w:fldCharType="begin"/>
            </w:r>
            <w:r>
              <w:rPr>
                <w:noProof/>
                <w:webHidden/>
              </w:rPr>
              <w:instrText xml:space="preserve"> PAGEREF _Toc382578278 \h </w:instrText>
            </w:r>
            <w:r>
              <w:rPr>
                <w:noProof/>
                <w:webHidden/>
              </w:rPr>
            </w:r>
            <w:r>
              <w:rPr>
                <w:noProof/>
                <w:webHidden/>
              </w:rPr>
              <w:fldChar w:fldCharType="separate"/>
            </w:r>
            <w:r>
              <w:rPr>
                <w:noProof/>
                <w:webHidden/>
              </w:rPr>
              <w:t>7</w:t>
            </w:r>
            <w:r>
              <w:rPr>
                <w:noProof/>
                <w:webHidden/>
              </w:rPr>
              <w:fldChar w:fldCharType="end"/>
            </w:r>
          </w:hyperlink>
        </w:p>
        <w:p w:rsidR="00BF4AA6" w:rsidRDefault="00BF4AA6">
          <w:pPr>
            <w:pStyle w:val="TOC3"/>
            <w:tabs>
              <w:tab w:val="left" w:pos="1760"/>
            </w:tabs>
            <w:rPr>
              <w:rFonts w:asciiTheme="minorHAnsi" w:eastAsiaTheme="minorEastAsia" w:hAnsiTheme="minorHAnsi" w:cstheme="minorBidi"/>
              <w:noProof/>
              <w:lang w:eastAsia="en-AU"/>
            </w:rPr>
          </w:pPr>
          <w:hyperlink w:anchor="_Toc382578279" w:history="1">
            <w:r w:rsidRPr="00A347E3">
              <w:rPr>
                <w:rStyle w:val="Hyperlink"/>
                <w:noProof/>
              </w:rPr>
              <w:t>3.2.</w:t>
            </w:r>
            <w:r>
              <w:rPr>
                <w:rFonts w:asciiTheme="minorHAnsi" w:eastAsiaTheme="minorEastAsia" w:hAnsiTheme="minorHAnsi" w:cstheme="minorBidi"/>
                <w:noProof/>
                <w:lang w:eastAsia="en-AU"/>
              </w:rPr>
              <w:tab/>
            </w:r>
            <w:r w:rsidRPr="00A347E3">
              <w:rPr>
                <w:rStyle w:val="Hyperlink"/>
                <w:noProof/>
              </w:rPr>
              <w:t>Paediatric data</w:t>
            </w:r>
            <w:r>
              <w:rPr>
                <w:noProof/>
                <w:webHidden/>
              </w:rPr>
              <w:tab/>
            </w:r>
            <w:r>
              <w:rPr>
                <w:noProof/>
                <w:webHidden/>
              </w:rPr>
              <w:fldChar w:fldCharType="begin"/>
            </w:r>
            <w:r>
              <w:rPr>
                <w:noProof/>
                <w:webHidden/>
              </w:rPr>
              <w:instrText xml:space="preserve"> PAGEREF _Toc382578279 \h </w:instrText>
            </w:r>
            <w:r>
              <w:rPr>
                <w:noProof/>
                <w:webHidden/>
              </w:rPr>
            </w:r>
            <w:r>
              <w:rPr>
                <w:noProof/>
                <w:webHidden/>
              </w:rPr>
              <w:fldChar w:fldCharType="separate"/>
            </w:r>
            <w:r>
              <w:rPr>
                <w:noProof/>
                <w:webHidden/>
              </w:rPr>
              <w:t>7</w:t>
            </w:r>
            <w:r>
              <w:rPr>
                <w:noProof/>
                <w:webHidden/>
              </w:rPr>
              <w:fldChar w:fldCharType="end"/>
            </w:r>
          </w:hyperlink>
        </w:p>
        <w:p w:rsidR="00BF4AA6" w:rsidRDefault="00BF4AA6">
          <w:pPr>
            <w:pStyle w:val="TOC3"/>
            <w:tabs>
              <w:tab w:val="left" w:pos="1760"/>
            </w:tabs>
            <w:rPr>
              <w:rFonts w:asciiTheme="minorHAnsi" w:eastAsiaTheme="minorEastAsia" w:hAnsiTheme="minorHAnsi" w:cstheme="minorBidi"/>
              <w:noProof/>
              <w:lang w:eastAsia="en-AU"/>
            </w:rPr>
          </w:pPr>
          <w:hyperlink w:anchor="_Toc382578280" w:history="1">
            <w:r w:rsidRPr="00A347E3">
              <w:rPr>
                <w:rStyle w:val="Hyperlink"/>
                <w:noProof/>
              </w:rPr>
              <w:t>3.3.</w:t>
            </w:r>
            <w:r>
              <w:rPr>
                <w:rFonts w:asciiTheme="minorHAnsi" w:eastAsiaTheme="minorEastAsia" w:hAnsiTheme="minorHAnsi" w:cstheme="minorBidi"/>
                <w:noProof/>
                <w:lang w:eastAsia="en-AU"/>
              </w:rPr>
              <w:tab/>
            </w:r>
            <w:r w:rsidRPr="00A347E3">
              <w:rPr>
                <w:rStyle w:val="Hyperlink"/>
                <w:noProof/>
              </w:rPr>
              <w:t>Good clinical practice</w:t>
            </w:r>
            <w:r>
              <w:rPr>
                <w:noProof/>
                <w:webHidden/>
              </w:rPr>
              <w:tab/>
            </w:r>
            <w:r>
              <w:rPr>
                <w:noProof/>
                <w:webHidden/>
              </w:rPr>
              <w:fldChar w:fldCharType="begin"/>
            </w:r>
            <w:r>
              <w:rPr>
                <w:noProof/>
                <w:webHidden/>
              </w:rPr>
              <w:instrText xml:space="preserve"> PAGEREF _Toc382578280 \h </w:instrText>
            </w:r>
            <w:r>
              <w:rPr>
                <w:noProof/>
                <w:webHidden/>
              </w:rPr>
            </w:r>
            <w:r>
              <w:rPr>
                <w:noProof/>
                <w:webHidden/>
              </w:rPr>
              <w:fldChar w:fldCharType="separate"/>
            </w:r>
            <w:r>
              <w:rPr>
                <w:noProof/>
                <w:webHidden/>
              </w:rPr>
              <w:t>7</w:t>
            </w:r>
            <w:r>
              <w:rPr>
                <w:noProof/>
                <w:webHidden/>
              </w:rPr>
              <w:fldChar w:fldCharType="end"/>
            </w:r>
          </w:hyperlink>
        </w:p>
        <w:p w:rsidR="00BF4AA6" w:rsidRDefault="00BF4AA6">
          <w:pPr>
            <w:pStyle w:val="TOC2"/>
            <w:tabs>
              <w:tab w:val="left" w:pos="1100"/>
            </w:tabs>
            <w:rPr>
              <w:rFonts w:asciiTheme="minorHAnsi" w:eastAsiaTheme="minorEastAsia" w:hAnsiTheme="minorHAnsi" w:cstheme="minorBidi"/>
              <w:b w:val="0"/>
              <w:noProof/>
              <w:sz w:val="22"/>
              <w:lang w:eastAsia="en-AU"/>
            </w:rPr>
          </w:pPr>
          <w:hyperlink w:anchor="_Toc382578281" w:history="1">
            <w:r w:rsidRPr="00A347E3">
              <w:rPr>
                <w:rStyle w:val="Hyperlink"/>
                <w:noProof/>
              </w:rPr>
              <w:t>4.</w:t>
            </w:r>
            <w:r>
              <w:rPr>
                <w:rFonts w:asciiTheme="minorHAnsi" w:eastAsiaTheme="minorEastAsia" w:hAnsiTheme="minorHAnsi" w:cstheme="minorBidi"/>
                <w:b w:val="0"/>
                <w:noProof/>
                <w:sz w:val="22"/>
                <w:lang w:eastAsia="en-AU"/>
              </w:rPr>
              <w:tab/>
            </w:r>
            <w:r w:rsidRPr="00A347E3">
              <w:rPr>
                <w:rStyle w:val="Hyperlink"/>
                <w:noProof/>
              </w:rPr>
              <w:t>Pharmacokinetics</w:t>
            </w:r>
            <w:r>
              <w:rPr>
                <w:noProof/>
                <w:webHidden/>
              </w:rPr>
              <w:tab/>
            </w:r>
            <w:r>
              <w:rPr>
                <w:noProof/>
                <w:webHidden/>
              </w:rPr>
              <w:fldChar w:fldCharType="begin"/>
            </w:r>
            <w:r>
              <w:rPr>
                <w:noProof/>
                <w:webHidden/>
              </w:rPr>
              <w:instrText xml:space="preserve"> PAGEREF _Toc382578281 \h </w:instrText>
            </w:r>
            <w:r>
              <w:rPr>
                <w:noProof/>
                <w:webHidden/>
              </w:rPr>
            </w:r>
            <w:r>
              <w:rPr>
                <w:noProof/>
                <w:webHidden/>
              </w:rPr>
              <w:fldChar w:fldCharType="separate"/>
            </w:r>
            <w:r>
              <w:rPr>
                <w:noProof/>
                <w:webHidden/>
              </w:rPr>
              <w:t>8</w:t>
            </w:r>
            <w:r>
              <w:rPr>
                <w:noProof/>
                <w:webHidden/>
              </w:rPr>
              <w:fldChar w:fldCharType="end"/>
            </w:r>
          </w:hyperlink>
        </w:p>
        <w:p w:rsidR="00BF4AA6" w:rsidRDefault="00BF4AA6">
          <w:pPr>
            <w:pStyle w:val="TOC3"/>
            <w:tabs>
              <w:tab w:val="left" w:pos="1760"/>
            </w:tabs>
            <w:rPr>
              <w:rFonts w:asciiTheme="minorHAnsi" w:eastAsiaTheme="minorEastAsia" w:hAnsiTheme="minorHAnsi" w:cstheme="minorBidi"/>
              <w:noProof/>
              <w:lang w:eastAsia="en-AU"/>
            </w:rPr>
          </w:pPr>
          <w:hyperlink w:anchor="_Toc382578282" w:history="1">
            <w:r w:rsidRPr="00A347E3">
              <w:rPr>
                <w:rStyle w:val="Hyperlink"/>
                <w:noProof/>
              </w:rPr>
              <w:t>4.1.</w:t>
            </w:r>
            <w:r>
              <w:rPr>
                <w:rFonts w:asciiTheme="minorHAnsi" w:eastAsiaTheme="minorEastAsia" w:hAnsiTheme="minorHAnsi" w:cstheme="minorBidi"/>
                <w:noProof/>
                <w:lang w:eastAsia="en-AU"/>
              </w:rPr>
              <w:tab/>
            </w:r>
            <w:r w:rsidRPr="00A347E3">
              <w:rPr>
                <w:rStyle w:val="Hyperlink"/>
                <w:noProof/>
              </w:rPr>
              <w:t>Studies providing pharmacokinetic data</w:t>
            </w:r>
            <w:r>
              <w:rPr>
                <w:noProof/>
                <w:webHidden/>
              </w:rPr>
              <w:tab/>
            </w:r>
            <w:r>
              <w:rPr>
                <w:noProof/>
                <w:webHidden/>
              </w:rPr>
              <w:fldChar w:fldCharType="begin"/>
            </w:r>
            <w:r>
              <w:rPr>
                <w:noProof/>
                <w:webHidden/>
              </w:rPr>
              <w:instrText xml:space="preserve"> PAGEREF _Toc382578282 \h </w:instrText>
            </w:r>
            <w:r>
              <w:rPr>
                <w:noProof/>
                <w:webHidden/>
              </w:rPr>
            </w:r>
            <w:r>
              <w:rPr>
                <w:noProof/>
                <w:webHidden/>
              </w:rPr>
              <w:fldChar w:fldCharType="separate"/>
            </w:r>
            <w:r>
              <w:rPr>
                <w:noProof/>
                <w:webHidden/>
              </w:rPr>
              <w:t>8</w:t>
            </w:r>
            <w:r>
              <w:rPr>
                <w:noProof/>
                <w:webHidden/>
              </w:rPr>
              <w:fldChar w:fldCharType="end"/>
            </w:r>
          </w:hyperlink>
        </w:p>
        <w:p w:rsidR="00BF4AA6" w:rsidRDefault="00BF4AA6">
          <w:pPr>
            <w:pStyle w:val="TOC3"/>
            <w:tabs>
              <w:tab w:val="left" w:pos="1760"/>
            </w:tabs>
            <w:rPr>
              <w:rFonts w:asciiTheme="minorHAnsi" w:eastAsiaTheme="minorEastAsia" w:hAnsiTheme="minorHAnsi" w:cstheme="minorBidi"/>
              <w:noProof/>
              <w:lang w:eastAsia="en-AU"/>
            </w:rPr>
          </w:pPr>
          <w:hyperlink w:anchor="_Toc382578283" w:history="1">
            <w:r w:rsidRPr="00A347E3">
              <w:rPr>
                <w:rStyle w:val="Hyperlink"/>
                <w:noProof/>
              </w:rPr>
              <w:t>4.2.</w:t>
            </w:r>
            <w:r>
              <w:rPr>
                <w:rFonts w:asciiTheme="minorHAnsi" w:eastAsiaTheme="minorEastAsia" w:hAnsiTheme="minorHAnsi" w:cstheme="minorBidi"/>
                <w:noProof/>
                <w:lang w:eastAsia="en-AU"/>
              </w:rPr>
              <w:tab/>
            </w:r>
            <w:r w:rsidRPr="00A347E3">
              <w:rPr>
                <w:rStyle w:val="Hyperlink"/>
                <w:noProof/>
              </w:rPr>
              <w:t>Pooled population pharmacokinetic modelling report:</w:t>
            </w:r>
            <w:r>
              <w:rPr>
                <w:noProof/>
                <w:webHidden/>
              </w:rPr>
              <w:tab/>
            </w:r>
            <w:r>
              <w:rPr>
                <w:noProof/>
                <w:webHidden/>
              </w:rPr>
              <w:fldChar w:fldCharType="begin"/>
            </w:r>
            <w:r>
              <w:rPr>
                <w:noProof/>
                <w:webHidden/>
              </w:rPr>
              <w:instrText xml:space="preserve"> PAGEREF _Toc382578283 \h </w:instrText>
            </w:r>
            <w:r>
              <w:rPr>
                <w:noProof/>
                <w:webHidden/>
              </w:rPr>
            </w:r>
            <w:r>
              <w:rPr>
                <w:noProof/>
                <w:webHidden/>
              </w:rPr>
              <w:fldChar w:fldCharType="separate"/>
            </w:r>
            <w:r>
              <w:rPr>
                <w:noProof/>
                <w:webHidden/>
              </w:rPr>
              <w:t>8</w:t>
            </w:r>
            <w:r>
              <w:rPr>
                <w:noProof/>
                <w:webHidden/>
              </w:rPr>
              <w:fldChar w:fldCharType="end"/>
            </w:r>
          </w:hyperlink>
        </w:p>
        <w:p w:rsidR="00BF4AA6" w:rsidRDefault="00BF4AA6">
          <w:pPr>
            <w:pStyle w:val="TOC3"/>
            <w:tabs>
              <w:tab w:val="left" w:pos="1760"/>
            </w:tabs>
            <w:rPr>
              <w:rFonts w:asciiTheme="minorHAnsi" w:eastAsiaTheme="minorEastAsia" w:hAnsiTheme="minorHAnsi" w:cstheme="minorBidi"/>
              <w:noProof/>
              <w:lang w:eastAsia="en-AU"/>
            </w:rPr>
          </w:pPr>
          <w:hyperlink w:anchor="_Toc382578284" w:history="1">
            <w:r w:rsidRPr="00A347E3">
              <w:rPr>
                <w:rStyle w:val="Hyperlink"/>
                <w:noProof/>
                <w:lang w:val="en-US"/>
              </w:rPr>
              <w:t>4.3.</w:t>
            </w:r>
            <w:r>
              <w:rPr>
                <w:rFonts w:asciiTheme="minorHAnsi" w:eastAsiaTheme="minorEastAsia" w:hAnsiTheme="minorHAnsi" w:cstheme="minorBidi"/>
                <w:noProof/>
                <w:lang w:eastAsia="en-AU"/>
              </w:rPr>
              <w:tab/>
            </w:r>
            <w:r w:rsidRPr="00A347E3">
              <w:rPr>
                <w:rStyle w:val="Hyperlink"/>
                <w:noProof/>
                <w:lang w:val="en-US"/>
              </w:rPr>
              <w:t>Physiology–based PK (PBPK) modeling</w:t>
            </w:r>
            <w:r>
              <w:rPr>
                <w:noProof/>
                <w:webHidden/>
              </w:rPr>
              <w:tab/>
            </w:r>
            <w:r>
              <w:rPr>
                <w:noProof/>
                <w:webHidden/>
              </w:rPr>
              <w:fldChar w:fldCharType="begin"/>
            </w:r>
            <w:r>
              <w:rPr>
                <w:noProof/>
                <w:webHidden/>
              </w:rPr>
              <w:instrText xml:space="preserve"> PAGEREF _Toc382578284 \h </w:instrText>
            </w:r>
            <w:r>
              <w:rPr>
                <w:noProof/>
                <w:webHidden/>
              </w:rPr>
            </w:r>
            <w:r>
              <w:rPr>
                <w:noProof/>
                <w:webHidden/>
              </w:rPr>
              <w:fldChar w:fldCharType="separate"/>
            </w:r>
            <w:r>
              <w:rPr>
                <w:noProof/>
                <w:webHidden/>
              </w:rPr>
              <w:t>12</w:t>
            </w:r>
            <w:r>
              <w:rPr>
                <w:noProof/>
                <w:webHidden/>
              </w:rPr>
              <w:fldChar w:fldCharType="end"/>
            </w:r>
          </w:hyperlink>
        </w:p>
        <w:p w:rsidR="00BF4AA6" w:rsidRDefault="00BF4AA6">
          <w:pPr>
            <w:pStyle w:val="TOC3"/>
            <w:tabs>
              <w:tab w:val="left" w:pos="1760"/>
            </w:tabs>
            <w:rPr>
              <w:rFonts w:asciiTheme="minorHAnsi" w:eastAsiaTheme="minorEastAsia" w:hAnsiTheme="minorHAnsi" w:cstheme="minorBidi"/>
              <w:noProof/>
              <w:lang w:eastAsia="en-AU"/>
            </w:rPr>
          </w:pPr>
          <w:hyperlink w:anchor="_Toc382578285" w:history="1">
            <w:r w:rsidRPr="00A347E3">
              <w:rPr>
                <w:rStyle w:val="Hyperlink"/>
                <w:noProof/>
                <w:lang w:val="en-US"/>
              </w:rPr>
              <w:t>4.4.</w:t>
            </w:r>
            <w:r>
              <w:rPr>
                <w:rFonts w:asciiTheme="minorHAnsi" w:eastAsiaTheme="minorEastAsia" w:hAnsiTheme="minorHAnsi" w:cstheme="minorBidi"/>
                <w:noProof/>
                <w:lang w:eastAsia="en-AU"/>
              </w:rPr>
              <w:tab/>
            </w:r>
            <w:r w:rsidRPr="00A347E3">
              <w:rPr>
                <w:rStyle w:val="Hyperlink"/>
                <w:noProof/>
                <w:lang w:val="en-US"/>
              </w:rPr>
              <w:t>Study A2110:</w:t>
            </w:r>
            <w:r>
              <w:rPr>
                <w:noProof/>
                <w:webHidden/>
              </w:rPr>
              <w:tab/>
            </w:r>
            <w:r>
              <w:rPr>
                <w:noProof/>
                <w:webHidden/>
              </w:rPr>
              <w:fldChar w:fldCharType="begin"/>
            </w:r>
            <w:r>
              <w:rPr>
                <w:noProof/>
                <w:webHidden/>
              </w:rPr>
              <w:instrText xml:space="preserve"> PAGEREF _Toc382578285 \h </w:instrText>
            </w:r>
            <w:r>
              <w:rPr>
                <w:noProof/>
                <w:webHidden/>
              </w:rPr>
            </w:r>
            <w:r>
              <w:rPr>
                <w:noProof/>
                <w:webHidden/>
              </w:rPr>
              <w:fldChar w:fldCharType="separate"/>
            </w:r>
            <w:r>
              <w:rPr>
                <w:noProof/>
                <w:webHidden/>
              </w:rPr>
              <w:t>13</w:t>
            </w:r>
            <w:r>
              <w:rPr>
                <w:noProof/>
                <w:webHidden/>
              </w:rPr>
              <w:fldChar w:fldCharType="end"/>
            </w:r>
          </w:hyperlink>
        </w:p>
        <w:p w:rsidR="00BF4AA6" w:rsidRDefault="00BF4AA6">
          <w:pPr>
            <w:pStyle w:val="TOC2"/>
            <w:tabs>
              <w:tab w:val="left" w:pos="1100"/>
            </w:tabs>
            <w:rPr>
              <w:rFonts w:asciiTheme="minorHAnsi" w:eastAsiaTheme="minorEastAsia" w:hAnsiTheme="minorHAnsi" w:cstheme="minorBidi"/>
              <w:b w:val="0"/>
              <w:noProof/>
              <w:sz w:val="22"/>
              <w:lang w:eastAsia="en-AU"/>
            </w:rPr>
          </w:pPr>
          <w:hyperlink w:anchor="_Toc382578286" w:history="1">
            <w:r w:rsidRPr="00A347E3">
              <w:rPr>
                <w:rStyle w:val="Hyperlink"/>
                <w:noProof/>
              </w:rPr>
              <w:t>5.</w:t>
            </w:r>
            <w:r>
              <w:rPr>
                <w:rFonts w:asciiTheme="minorHAnsi" w:eastAsiaTheme="minorEastAsia" w:hAnsiTheme="minorHAnsi" w:cstheme="minorBidi"/>
                <w:b w:val="0"/>
                <w:noProof/>
                <w:sz w:val="22"/>
                <w:lang w:eastAsia="en-AU"/>
              </w:rPr>
              <w:tab/>
            </w:r>
            <w:r w:rsidRPr="00A347E3">
              <w:rPr>
                <w:rStyle w:val="Hyperlink"/>
                <w:noProof/>
              </w:rPr>
              <w:t>Pharmacodynamics</w:t>
            </w:r>
            <w:r>
              <w:rPr>
                <w:noProof/>
                <w:webHidden/>
              </w:rPr>
              <w:tab/>
            </w:r>
            <w:r>
              <w:rPr>
                <w:noProof/>
                <w:webHidden/>
              </w:rPr>
              <w:fldChar w:fldCharType="begin"/>
            </w:r>
            <w:r>
              <w:rPr>
                <w:noProof/>
                <w:webHidden/>
              </w:rPr>
              <w:instrText xml:space="preserve"> PAGEREF _Toc382578286 \h </w:instrText>
            </w:r>
            <w:r>
              <w:rPr>
                <w:noProof/>
                <w:webHidden/>
              </w:rPr>
            </w:r>
            <w:r>
              <w:rPr>
                <w:noProof/>
                <w:webHidden/>
              </w:rPr>
              <w:fldChar w:fldCharType="separate"/>
            </w:r>
            <w:r>
              <w:rPr>
                <w:noProof/>
                <w:webHidden/>
              </w:rPr>
              <w:t>13</w:t>
            </w:r>
            <w:r>
              <w:rPr>
                <w:noProof/>
                <w:webHidden/>
              </w:rPr>
              <w:fldChar w:fldCharType="end"/>
            </w:r>
          </w:hyperlink>
        </w:p>
        <w:p w:rsidR="00BF4AA6" w:rsidRDefault="00BF4AA6">
          <w:pPr>
            <w:pStyle w:val="TOC3"/>
            <w:tabs>
              <w:tab w:val="left" w:pos="1760"/>
            </w:tabs>
            <w:rPr>
              <w:rFonts w:asciiTheme="minorHAnsi" w:eastAsiaTheme="minorEastAsia" w:hAnsiTheme="minorHAnsi" w:cstheme="minorBidi"/>
              <w:noProof/>
              <w:lang w:eastAsia="en-AU"/>
            </w:rPr>
          </w:pPr>
          <w:hyperlink w:anchor="_Toc382578287" w:history="1">
            <w:r w:rsidRPr="00A347E3">
              <w:rPr>
                <w:rStyle w:val="Hyperlink"/>
                <w:noProof/>
              </w:rPr>
              <w:t>5.1.</w:t>
            </w:r>
            <w:r>
              <w:rPr>
                <w:rFonts w:asciiTheme="minorHAnsi" w:eastAsiaTheme="minorEastAsia" w:hAnsiTheme="minorHAnsi" w:cstheme="minorBidi"/>
                <w:noProof/>
                <w:lang w:eastAsia="en-AU"/>
              </w:rPr>
              <w:tab/>
            </w:r>
            <w:r w:rsidRPr="00A347E3">
              <w:rPr>
                <w:rStyle w:val="Hyperlink"/>
                <w:noProof/>
              </w:rPr>
              <w:t>Studies providing pharmacodynamic data</w:t>
            </w:r>
            <w:r>
              <w:rPr>
                <w:noProof/>
                <w:webHidden/>
              </w:rPr>
              <w:tab/>
            </w:r>
            <w:r>
              <w:rPr>
                <w:noProof/>
                <w:webHidden/>
              </w:rPr>
              <w:fldChar w:fldCharType="begin"/>
            </w:r>
            <w:r>
              <w:rPr>
                <w:noProof/>
                <w:webHidden/>
              </w:rPr>
              <w:instrText xml:space="preserve"> PAGEREF _Toc382578287 \h </w:instrText>
            </w:r>
            <w:r>
              <w:rPr>
                <w:noProof/>
                <w:webHidden/>
              </w:rPr>
            </w:r>
            <w:r>
              <w:rPr>
                <w:noProof/>
                <w:webHidden/>
              </w:rPr>
              <w:fldChar w:fldCharType="separate"/>
            </w:r>
            <w:r>
              <w:rPr>
                <w:noProof/>
                <w:webHidden/>
              </w:rPr>
              <w:t>13</w:t>
            </w:r>
            <w:r>
              <w:rPr>
                <w:noProof/>
                <w:webHidden/>
              </w:rPr>
              <w:fldChar w:fldCharType="end"/>
            </w:r>
          </w:hyperlink>
        </w:p>
        <w:p w:rsidR="00BF4AA6" w:rsidRDefault="00BF4AA6">
          <w:pPr>
            <w:pStyle w:val="TOC2"/>
            <w:tabs>
              <w:tab w:val="left" w:pos="1100"/>
            </w:tabs>
            <w:rPr>
              <w:rFonts w:asciiTheme="minorHAnsi" w:eastAsiaTheme="minorEastAsia" w:hAnsiTheme="minorHAnsi" w:cstheme="minorBidi"/>
              <w:b w:val="0"/>
              <w:noProof/>
              <w:sz w:val="22"/>
              <w:lang w:eastAsia="en-AU"/>
            </w:rPr>
          </w:pPr>
          <w:hyperlink w:anchor="_Toc382578288" w:history="1">
            <w:r w:rsidRPr="00A347E3">
              <w:rPr>
                <w:rStyle w:val="Hyperlink"/>
                <w:noProof/>
              </w:rPr>
              <w:t>6.</w:t>
            </w:r>
            <w:r>
              <w:rPr>
                <w:rFonts w:asciiTheme="minorHAnsi" w:eastAsiaTheme="minorEastAsia" w:hAnsiTheme="minorHAnsi" w:cstheme="minorBidi"/>
                <w:b w:val="0"/>
                <w:noProof/>
                <w:sz w:val="22"/>
                <w:lang w:eastAsia="en-AU"/>
              </w:rPr>
              <w:tab/>
            </w:r>
            <w:r w:rsidRPr="00A347E3">
              <w:rPr>
                <w:rStyle w:val="Hyperlink"/>
                <w:noProof/>
              </w:rPr>
              <w:t>Dosage selection for the pivotal studies</w:t>
            </w:r>
            <w:r>
              <w:rPr>
                <w:noProof/>
                <w:webHidden/>
              </w:rPr>
              <w:tab/>
            </w:r>
            <w:r>
              <w:rPr>
                <w:noProof/>
                <w:webHidden/>
              </w:rPr>
              <w:fldChar w:fldCharType="begin"/>
            </w:r>
            <w:r>
              <w:rPr>
                <w:noProof/>
                <w:webHidden/>
              </w:rPr>
              <w:instrText xml:space="preserve"> PAGEREF _Toc382578288 \h </w:instrText>
            </w:r>
            <w:r>
              <w:rPr>
                <w:noProof/>
                <w:webHidden/>
              </w:rPr>
            </w:r>
            <w:r>
              <w:rPr>
                <w:noProof/>
                <w:webHidden/>
              </w:rPr>
              <w:fldChar w:fldCharType="separate"/>
            </w:r>
            <w:r>
              <w:rPr>
                <w:noProof/>
                <w:webHidden/>
              </w:rPr>
              <w:t>13</w:t>
            </w:r>
            <w:r>
              <w:rPr>
                <w:noProof/>
                <w:webHidden/>
              </w:rPr>
              <w:fldChar w:fldCharType="end"/>
            </w:r>
          </w:hyperlink>
        </w:p>
        <w:p w:rsidR="00BF4AA6" w:rsidRDefault="00BF4AA6">
          <w:pPr>
            <w:pStyle w:val="TOC2"/>
            <w:tabs>
              <w:tab w:val="left" w:pos="1100"/>
            </w:tabs>
            <w:rPr>
              <w:rFonts w:asciiTheme="minorHAnsi" w:eastAsiaTheme="minorEastAsia" w:hAnsiTheme="minorHAnsi" w:cstheme="minorBidi"/>
              <w:b w:val="0"/>
              <w:noProof/>
              <w:sz w:val="22"/>
              <w:lang w:eastAsia="en-AU"/>
            </w:rPr>
          </w:pPr>
          <w:hyperlink w:anchor="_Toc382578289" w:history="1">
            <w:r w:rsidRPr="00A347E3">
              <w:rPr>
                <w:rStyle w:val="Hyperlink"/>
                <w:noProof/>
              </w:rPr>
              <w:t>7.</w:t>
            </w:r>
            <w:r>
              <w:rPr>
                <w:rFonts w:asciiTheme="minorHAnsi" w:eastAsiaTheme="minorEastAsia" w:hAnsiTheme="minorHAnsi" w:cstheme="minorBidi"/>
                <w:b w:val="0"/>
                <w:noProof/>
                <w:sz w:val="22"/>
                <w:lang w:eastAsia="en-AU"/>
              </w:rPr>
              <w:tab/>
            </w:r>
            <w:r w:rsidRPr="00A347E3">
              <w:rPr>
                <w:rStyle w:val="Hyperlink"/>
                <w:noProof/>
              </w:rPr>
              <w:t>Clinical efficacy</w:t>
            </w:r>
            <w:r>
              <w:rPr>
                <w:noProof/>
                <w:webHidden/>
              </w:rPr>
              <w:tab/>
            </w:r>
            <w:r>
              <w:rPr>
                <w:noProof/>
                <w:webHidden/>
              </w:rPr>
              <w:fldChar w:fldCharType="begin"/>
            </w:r>
            <w:r>
              <w:rPr>
                <w:noProof/>
                <w:webHidden/>
              </w:rPr>
              <w:instrText xml:space="preserve"> PAGEREF _Toc382578289 \h </w:instrText>
            </w:r>
            <w:r>
              <w:rPr>
                <w:noProof/>
                <w:webHidden/>
              </w:rPr>
            </w:r>
            <w:r>
              <w:rPr>
                <w:noProof/>
                <w:webHidden/>
              </w:rPr>
              <w:fldChar w:fldCharType="separate"/>
            </w:r>
            <w:r>
              <w:rPr>
                <w:noProof/>
                <w:webHidden/>
              </w:rPr>
              <w:t>14</w:t>
            </w:r>
            <w:r>
              <w:rPr>
                <w:noProof/>
                <w:webHidden/>
              </w:rPr>
              <w:fldChar w:fldCharType="end"/>
            </w:r>
          </w:hyperlink>
        </w:p>
        <w:p w:rsidR="00BF4AA6" w:rsidRDefault="00BF4AA6">
          <w:pPr>
            <w:pStyle w:val="TOC3"/>
            <w:tabs>
              <w:tab w:val="left" w:pos="1760"/>
            </w:tabs>
            <w:rPr>
              <w:rFonts w:asciiTheme="minorHAnsi" w:eastAsiaTheme="minorEastAsia" w:hAnsiTheme="minorHAnsi" w:cstheme="minorBidi"/>
              <w:noProof/>
              <w:lang w:eastAsia="en-AU"/>
            </w:rPr>
          </w:pPr>
          <w:hyperlink w:anchor="_Toc382578290" w:history="1">
            <w:r w:rsidRPr="00A347E3">
              <w:rPr>
                <w:rStyle w:val="Hyperlink"/>
                <w:noProof/>
              </w:rPr>
              <w:t>7.1.</w:t>
            </w:r>
            <w:r>
              <w:rPr>
                <w:rFonts w:asciiTheme="minorHAnsi" w:eastAsiaTheme="minorEastAsia" w:hAnsiTheme="minorHAnsi" w:cstheme="minorBidi"/>
                <w:noProof/>
                <w:lang w:eastAsia="en-AU"/>
              </w:rPr>
              <w:tab/>
            </w:r>
            <w:r w:rsidRPr="00A347E3">
              <w:rPr>
                <w:rStyle w:val="Hyperlink"/>
                <w:noProof/>
              </w:rPr>
              <w:t>Studies providing efficacy data</w:t>
            </w:r>
            <w:r>
              <w:rPr>
                <w:noProof/>
                <w:webHidden/>
              </w:rPr>
              <w:tab/>
            </w:r>
            <w:r>
              <w:rPr>
                <w:noProof/>
                <w:webHidden/>
              </w:rPr>
              <w:fldChar w:fldCharType="begin"/>
            </w:r>
            <w:r>
              <w:rPr>
                <w:noProof/>
                <w:webHidden/>
              </w:rPr>
              <w:instrText xml:space="preserve"> PAGEREF _Toc382578290 \h </w:instrText>
            </w:r>
            <w:r>
              <w:rPr>
                <w:noProof/>
                <w:webHidden/>
              </w:rPr>
            </w:r>
            <w:r>
              <w:rPr>
                <w:noProof/>
                <w:webHidden/>
              </w:rPr>
              <w:fldChar w:fldCharType="separate"/>
            </w:r>
            <w:r>
              <w:rPr>
                <w:noProof/>
                <w:webHidden/>
              </w:rPr>
              <w:t>14</w:t>
            </w:r>
            <w:r>
              <w:rPr>
                <w:noProof/>
                <w:webHidden/>
              </w:rPr>
              <w:fldChar w:fldCharType="end"/>
            </w:r>
          </w:hyperlink>
        </w:p>
        <w:p w:rsidR="00BF4AA6" w:rsidRDefault="00BF4AA6">
          <w:pPr>
            <w:pStyle w:val="TOC3"/>
            <w:tabs>
              <w:tab w:val="left" w:pos="1760"/>
            </w:tabs>
            <w:rPr>
              <w:rFonts w:asciiTheme="minorHAnsi" w:eastAsiaTheme="minorEastAsia" w:hAnsiTheme="minorHAnsi" w:cstheme="minorBidi"/>
              <w:noProof/>
              <w:lang w:eastAsia="en-AU"/>
            </w:rPr>
          </w:pPr>
          <w:hyperlink w:anchor="_Toc382578291" w:history="1">
            <w:r w:rsidRPr="00A347E3">
              <w:rPr>
                <w:rStyle w:val="Hyperlink"/>
                <w:noProof/>
              </w:rPr>
              <w:t>7.2.</w:t>
            </w:r>
            <w:r>
              <w:rPr>
                <w:rFonts w:asciiTheme="minorHAnsi" w:eastAsiaTheme="minorEastAsia" w:hAnsiTheme="minorHAnsi" w:cstheme="minorBidi"/>
                <w:noProof/>
                <w:lang w:eastAsia="en-AU"/>
              </w:rPr>
              <w:tab/>
            </w:r>
            <w:r w:rsidRPr="00A347E3">
              <w:rPr>
                <w:rStyle w:val="Hyperlink"/>
                <w:noProof/>
              </w:rPr>
              <w:t>Pivotal efficacy study STI571I2301</w:t>
            </w:r>
            <w:r>
              <w:rPr>
                <w:noProof/>
                <w:webHidden/>
              </w:rPr>
              <w:tab/>
            </w:r>
            <w:r>
              <w:rPr>
                <w:noProof/>
                <w:webHidden/>
              </w:rPr>
              <w:fldChar w:fldCharType="begin"/>
            </w:r>
            <w:r>
              <w:rPr>
                <w:noProof/>
                <w:webHidden/>
              </w:rPr>
              <w:instrText xml:space="preserve"> PAGEREF _Toc382578291 \h </w:instrText>
            </w:r>
            <w:r>
              <w:rPr>
                <w:noProof/>
                <w:webHidden/>
              </w:rPr>
            </w:r>
            <w:r>
              <w:rPr>
                <w:noProof/>
                <w:webHidden/>
              </w:rPr>
              <w:fldChar w:fldCharType="separate"/>
            </w:r>
            <w:r>
              <w:rPr>
                <w:noProof/>
                <w:webHidden/>
              </w:rPr>
              <w:t>14</w:t>
            </w:r>
            <w:r>
              <w:rPr>
                <w:noProof/>
                <w:webHidden/>
              </w:rPr>
              <w:fldChar w:fldCharType="end"/>
            </w:r>
          </w:hyperlink>
        </w:p>
        <w:p w:rsidR="00BF4AA6" w:rsidRDefault="00BF4AA6">
          <w:pPr>
            <w:pStyle w:val="TOC3"/>
            <w:tabs>
              <w:tab w:val="left" w:pos="1760"/>
            </w:tabs>
            <w:rPr>
              <w:rFonts w:asciiTheme="minorHAnsi" w:eastAsiaTheme="minorEastAsia" w:hAnsiTheme="minorHAnsi" w:cstheme="minorBidi"/>
              <w:noProof/>
              <w:lang w:eastAsia="en-AU"/>
            </w:rPr>
          </w:pPr>
          <w:hyperlink w:anchor="_Toc382578292" w:history="1">
            <w:r w:rsidRPr="00A347E3">
              <w:rPr>
                <w:rStyle w:val="Hyperlink"/>
                <w:noProof/>
              </w:rPr>
              <w:t>7.3.</w:t>
            </w:r>
            <w:r>
              <w:rPr>
                <w:rFonts w:asciiTheme="minorHAnsi" w:eastAsiaTheme="minorEastAsia" w:hAnsiTheme="minorHAnsi" w:cstheme="minorBidi"/>
                <w:noProof/>
                <w:lang w:eastAsia="en-AU"/>
              </w:rPr>
              <w:tab/>
            </w:r>
            <w:r w:rsidRPr="00A347E3">
              <w:rPr>
                <w:rStyle w:val="Hyperlink"/>
                <w:noProof/>
              </w:rPr>
              <w:t>Evaluator’s conclusions on pivotal efficacy study STI571I2301</w:t>
            </w:r>
            <w:r>
              <w:rPr>
                <w:noProof/>
                <w:webHidden/>
              </w:rPr>
              <w:tab/>
            </w:r>
            <w:r>
              <w:rPr>
                <w:noProof/>
                <w:webHidden/>
              </w:rPr>
              <w:fldChar w:fldCharType="begin"/>
            </w:r>
            <w:r>
              <w:rPr>
                <w:noProof/>
                <w:webHidden/>
              </w:rPr>
              <w:instrText xml:space="preserve"> PAGEREF _Toc382578292 \h </w:instrText>
            </w:r>
            <w:r>
              <w:rPr>
                <w:noProof/>
                <w:webHidden/>
              </w:rPr>
            </w:r>
            <w:r>
              <w:rPr>
                <w:noProof/>
                <w:webHidden/>
              </w:rPr>
              <w:fldChar w:fldCharType="separate"/>
            </w:r>
            <w:r>
              <w:rPr>
                <w:noProof/>
                <w:webHidden/>
              </w:rPr>
              <w:t>26</w:t>
            </w:r>
            <w:r>
              <w:rPr>
                <w:noProof/>
                <w:webHidden/>
              </w:rPr>
              <w:fldChar w:fldCharType="end"/>
            </w:r>
          </w:hyperlink>
        </w:p>
        <w:p w:rsidR="00BF4AA6" w:rsidRDefault="00BF4AA6">
          <w:pPr>
            <w:pStyle w:val="TOC3"/>
            <w:tabs>
              <w:tab w:val="left" w:pos="1760"/>
            </w:tabs>
            <w:rPr>
              <w:rFonts w:asciiTheme="minorHAnsi" w:eastAsiaTheme="minorEastAsia" w:hAnsiTheme="minorHAnsi" w:cstheme="minorBidi"/>
              <w:noProof/>
              <w:lang w:eastAsia="en-AU"/>
            </w:rPr>
          </w:pPr>
          <w:hyperlink w:anchor="_Toc382578293" w:history="1">
            <w:r w:rsidRPr="00A347E3">
              <w:rPr>
                <w:rStyle w:val="Hyperlink"/>
                <w:noProof/>
              </w:rPr>
              <w:t>7.4.</w:t>
            </w:r>
            <w:r>
              <w:rPr>
                <w:rFonts w:asciiTheme="minorHAnsi" w:eastAsiaTheme="minorEastAsia" w:hAnsiTheme="minorHAnsi" w:cstheme="minorBidi"/>
                <w:noProof/>
                <w:lang w:eastAsia="en-AU"/>
              </w:rPr>
              <w:tab/>
            </w:r>
            <w:r w:rsidRPr="00A347E3">
              <w:rPr>
                <w:rStyle w:val="Hyperlink"/>
                <w:noProof/>
              </w:rPr>
              <w:t>Supportive study STI571AIT07</w:t>
            </w:r>
            <w:r>
              <w:rPr>
                <w:noProof/>
                <w:webHidden/>
              </w:rPr>
              <w:tab/>
            </w:r>
            <w:r>
              <w:rPr>
                <w:noProof/>
                <w:webHidden/>
              </w:rPr>
              <w:fldChar w:fldCharType="begin"/>
            </w:r>
            <w:r>
              <w:rPr>
                <w:noProof/>
                <w:webHidden/>
              </w:rPr>
              <w:instrText xml:space="preserve"> PAGEREF _Toc382578293 \h </w:instrText>
            </w:r>
            <w:r>
              <w:rPr>
                <w:noProof/>
                <w:webHidden/>
              </w:rPr>
            </w:r>
            <w:r>
              <w:rPr>
                <w:noProof/>
                <w:webHidden/>
              </w:rPr>
              <w:fldChar w:fldCharType="separate"/>
            </w:r>
            <w:r>
              <w:rPr>
                <w:noProof/>
                <w:webHidden/>
              </w:rPr>
              <w:t>26</w:t>
            </w:r>
            <w:r>
              <w:rPr>
                <w:noProof/>
                <w:webHidden/>
              </w:rPr>
              <w:fldChar w:fldCharType="end"/>
            </w:r>
          </w:hyperlink>
        </w:p>
        <w:p w:rsidR="00BF4AA6" w:rsidRDefault="00BF4AA6">
          <w:pPr>
            <w:pStyle w:val="TOC3"/>
            <w:tabs>
              <w:tab w:val="left" w:pos="1760"/>
            </w:tabs>
            <w:rPr>
              <w:rFonts w:asciiTheme="minorHAnsi" w:eastAsiaTheme="minorEastAsia" w:hAnsiTheme="minorHAnsi" w:cstheme="minorBidi"/>
              <w:noProof/>
              <w:lang w:eastAsia="en-AU"/>
            </w:rPr>
          </w:pPr>
          <w:hyperlink w:anchor="_Toc382578294" w:history="1">
            <w:r w:rsidRPr="00A347E3">
              <w:rPr>
                <w:rStyle w:val="Hyperlink"/>
                <w:noProof/>
              </w:rPr>
              <w:t>7.5.</w:t>
            </w:r>
            <w:r>
              <w:rPr>
                <w:rFonts w:asciiTheme="minorHAnsi" w:eastAsiaTheme="minorEastAsia" w:hAnsiTheme="minorHAnsi" w:cstheme="minorBidi"/>
                <w:noProof/>
                <w:lang w:eastAsia="en-AU"/>
              </w:rPr>
              <w:tab/>
            </w:r>
            <w:r w:rsidRPr="00A347E3">
              <w:rPr>
                <w:rStyle w:val="Hyperlink"/>
                <w:noProof/>
              </w:rPr>
              <w:t>Evaluator’s conclusions on supportive study STI571AIT07</w:t>
            </w:r>
            <w:r>
              <w:rPr>
                <w:noProof/>
                <w:webHidden/>
              </w:rPr>
              <w:tab/>
            </w:r>
            <w:r>
              <w:rPr>
                <w:noProof/>
                <w:webHidden/>
              </w:rPr>
              <w:fldChar w:fldCharType="begin"/>
            </w:r>
            <w:r>
              <w:rPr>
                <w:noProof/>
                <w:webHidden/>
              </w:rPr>
              <w:instrText xml:space="preserve"> PAGEREF _Toc382578294 \h </w:instrText>
            </w:r>
            <w:r>
              <w:rPr>
                <w:noProof/>
                <w:webHidden/>
              </w:rPr>
            </w:r>
            <w:r>
              <w:rPr>
                <w:noProof/>
                <w:webHidden/>
              </w:rPr>
              <w:fldChar w:fldCharType="separate"/>
            </w:r>
            <w:r>
              <w:rPr>
                <w:noProof/>
                <w:webHidden/>
              </w:rPr>
              <w:t>27</w:t>
            </w:r>
            <w:r>
              <w:rPr>
                <w:noProof/>
                <w:webHidden/>
              </w:rPr>
              <w:fldChar w:fldCharType="end"/>
            </w:r>
          </w:hyperlink>
        </w:p>
        <w:p w:rsidR="00BF4AA6" w:rsidRDefault="00BF4AA6">
          <w:pPr>
            <w:pStyle w:val="TOC2"/>
            <w:tabs>
              <w:tab w:val="left" w:pos="1100"/>
            </w:tabs>
            <w:rPr>
              <w:rFonts w:asciiTheme="minorHAnsi" w:eastAsiaTheme="minorEastAsia" w:hAnsiTheme="minorHAnsi" w:cstheme="minorBidi"/>
              <w:b w:val="0"/>
              <w:noProof/>
              <w:sz w:val="22"/>
              <w:lang w:eastAsia="en-AU"/>
            </w:rPr>
          </w:pPr>
          <w:hyperlink w:anchor="_Toc382578295" w:history="1">
            <w:r w:rsidRPr="00A347E3">
              <w:rPr>
                <w:rStyle w:val="Hyperlink"/>
                <w:noProof/>
              </w:rPr>
              <w:t>8.</w:t>
            </w:r>
            <w:r>
              <w:rPr>
                <w:rFonts w:asciiTheme="minorHAnsi" w:eastAsiaTheme="minorEastAsia" w:hAnsiTheme="minorHAnsi" w:cstheme="minorBidi"/>
                <w:b w:val="0"/>
                <w:noProof/>
                <w:sz w:val="22"/>
                <w:lang w:eastAsia="en-AU"/>
              </w:rPr>
              <w:tab/>
            </w:r>
            <w:r w:rsidRPr="00A347E3">
              <w:rPr>
                <w:rStyle w:val="Hyperlink"/>
                <w:noProof/>
              </w:rPr>
              <w:t>Clinical safety</w:t>
            </w:r>
            <w:r>
              <w:rPr>
                <w:noProof/>
                <w:webHidden/>
              </w:rPr>
              <w:tab/>
            </w:r>
            <w:r>
              <w:rPr>
                <w:noProof/>
                <w:webHidden/>
              </w:rPr>
              <w:fldChar w:fldCharType="begin"/>
            </w:r>
            <w:r>
              <w:rPr>
                <w:noProof/>
                <w:webHidden/>
              </w:rPr>
              <w:instrText xml:space="preserve"> PAGEREF _Toc382578295 \h </w:instrText>
            </w:r>
            <w:r>
              <w:rPr>
                <w:noProof/>
                <w:webHidden/>
              </w:rPr>
            </w:r>
            <w:r>
              <w:rPr>
                <w:noProof/>
                <w:webHidden/>
              </w:rPr>
              <w:fldChar w:fldCharType="separate"/>
            </w:r>
            <w:r>
              <w:rPr>
                <w:noProof/>
                <w:webHidden/>
              </w:rPr>
              <w:t>27</w:t>
            </w:r>
            <w:r>
              <w:rPr>
                <w:noProof/>
                <w:webHidden/>
              </w:rPr>
              <w:fldChar w:fldCharType="end"/>
            </w:r>
          </w:hyperlink>
        </w:p>
        <w:p w:rsidR="00BF4AA6" w:rsidRDefault="00BF4AA6">
          <w:pPr>
            <w:pStyle w:val="TOC3"/>
            <w:tabs>
              <w:tab w:val="left" w:pos="1760"/>
            </w:tabs>
            <w:rPr>
              <w:rFonts w:asciiTheme="minorHAnsi" w:eastAsiaTheme="minorEastAsia" w:hAnsiTheme="minorHAnsi" w:cstheme="minorBidi"/>
              <w:noProof/>
              <w:lang w:eastAsia="en-AU"/>
            </w:rPr>
          </w:pPr>
          <w:hyperlink w:anchor="_Toc382578296" w:history="1">
            <w:r w:rsidRPr="00A347E3">
              <w:rPr>
                <w:rStyle w:val="Hyperlink"/>
                <w:noProof/>
              </w:rPr>
              <w:t>8.1.</w:t>
            </w:r>
            <w:r>
              <w:rPr>
                <w:rFonts w:asciiTheme="minorHAnsi" w:eastAsiaTheme="minorEastAsia" w:hAnsiTheme="minorHAnsi" w:cstheme="minorBidi"/>
                <w:noProof/>
                <w:lang w:eastAsia="en-AU"/>
              </w:rPr>
              <w:tab/>
            </w:r>
            <w:r w:rsidRPr="00A347E3">
              <w:rPr>
                <w:rStyle w:val="Hyperlink"/>
                <w:noProof/>
              </w:rPr>
              <w:t>Studies providing evaluable safety data</w:t>
            </w:r>
            <w:r>
              <w:rPr>
                <w:noProof/>
                <w:webHidden/>
              </w:rPr>
              <w:tab/>
            </w:r>
            <w:r>
              <w:rPr>
                <w:noProof/>
                <w:webHidden/>
              </w:rPr>
              <w:fldChar w:fldCharType="begin"/>
            </w:r>
            <w:r>
              <w:rPr>
                <w:noProof/>
                <w:webHidden/>
              </w:rPr>
              <w:instrText xml:space="preserve"> PAGEREF _Toc382578296 \h </w:instrText>
            </w:r>
            <w:r>
              <w:rPr>
                <w:noProof/>
                <w:webHidden/>
              </w:rPr>
            </w:r>
            <w:r>
              <w:rPr>
                <w:noProof/>
                <w:webHidden/>
              </w:rPr>
              <w:fldChar w:fldCharType="separate"/>
            </w:r>
            <w:r>
              <w:rPr>
                <w:noProof/>
                <w:webHidden/>
              </w:rPr>
              <w:t>27</w:t>
            </w:r>
            <w:r>
              <w:rPr>
                <w:noProof/>
                <w:webHidden/>
              </w:rPr>
              <w:fldChar w:fldCharType="end"/>
            </w:r>
          </w:hyperlink>
        </w:p>
        <w:p w:rsidR="00BF4AA6" w:rsidRDefault="00BF4AA6">
          <w:pPr>
            <w:pStyle w:val="TOC3"/>
            <w:tabs>
              <w:tab w:val="left" w:pos="1760"/>
            </w:tabs>
            <w:rPr>
              <w:rFonts w:asciiTheme="minorHAnsi" w:eastAsiaTheme="minorEastAsia" w:hAnsiTheme="minorHAnsi" w:cstheme="minorBidi"/>
              <w:noProof/>
              <w:lang w:eastAsia="en-AU"/>
            </w:rPr>
          </w:pPr>
          <w:hyperlink w:anchor="_Toc382578297" w:history="1">
            <w:r w:rsidRPr="00A347E3">
              <w:rPr>
                <w:rStyle w:val="Hyperlink"/>
                <w:noProof/>
              </w:rPr>
              <w:t>8.2.</w:t>
            </w:r>
            <w:r>
              <w:rPr>
                <w:rFonts w:asciiTheme="minorHAnsi" w:eastAsiaTheme="minorEastAsia" w:hAnsiTheme="minorHAnsi" w:cstheme="minorBidi"/>
                <w:noProof/>
                <w:lang w:eastAsia="en-AU"/>
              </w:rPr>
              <w:tab/>
            </w:r>
            <w:r w:rsidRPr="00A347E3">
              <w:rPr>
                <w:rStyle w:val="Hyperlink"/>
                <w:noProof/>
              </w:rPr>
              <w:t>Exposure</w:t>
            </w:r>
            <w:r>
              <w:rPr>
                <w:noProof/>
                <w:webHidden/>
              </w:rPr>
              <w:tab/>
            </w:r>
            <w:r>
              <w:rPr>
                <w:noProof/>
                <w:webHidden/>
              </w:rPr>
              <w:fldChar w:fldCharType="begin"/>
            </w:r>
            <w:r>
              <w:rPr>
                <w:noProof/>
                <w:webHidden/>
              </w:rPr>
              <w:instrText xml:space="preserve"> PAGEREF _Toc382578297 \h </w:instrText>
            </w:r>
            <w:r>
              <w:rPr>
                <w:noProof/>
                <w:webHidden/>
              </w:rPr>
            </w:r>
            <w:r>
              <w:rPr>
                <w:noProof/>
                <w:webHidden/>
              </w:rPr>
              <w:fldChar w:fldCharType="separate"/>
            </w:r>
            <w:r>
              <w:rPr>
                <w:noProof/>
                <w:webHidden/>
              </w:rPr>
              <w:t>30</w:t>
            </w:r>
            <w:r>
              <w:rPr>
                <w:noProof/>
                <w:webHidden/>
              </w:rPr>
              <w:fldChar w:fldCharType="end"/>
            </w:r>
          </w:hyperlink>
        </w:p>
        <w:p w:rsidR="00BF4AA6" w:rsidRDefault="00BF4AA6">
          <w:pPr>
            <w:pStyle w:val="TOC3"/>
            <w:tabs>
              <w:tab w:val="left" w:pos="1760"/>
            </w:tabs>
            <w:rPr>
              <w:rFonts w:asciiTheme="minorHAnsi" w:eastAsiaTheme="minorEastAsia" w:hAnsiTheme="minorHAnsi" w:cstheme="minorBidi"/>
              <w:noProof/>
              <w:lang w:eastAsia="en-AU"/>
            </w:rPr>
          </w:pPr>
          <w:hyperlink w:anchor="_Toc382578298" w:history="1">
            <w:r w:rsidRPr="00A347E3">
              <w:rPr>
                <w:rStyle w:val="Hyperlink"/>
                <w:noProof/>
              </w:rPr>
              <w:t>8.3.</w:t>
            </w:r>
            <w:r>
              <w:rPr>
                <w:rFonts w:asciiTheme="minorHAnsi" w:eastAsiaTheme="minorEastAsia" w:hAnsiTheme="minorHAnsi" w:cstheme="minorBidi"/>
                <w:noProof/>
                <w:lang w:eastAsia="en-AU"/>
              </w:rPr>
              <w:tab/>
            </w:r>
            <w:r w:rsidRPr="00A347E3">
              <w:rPr>
                <w:rStyle w:val="Hyperlink"/>
                <w:noProof/>
              </w:rPr>
              <w:t>Adverse events</w:t>
            </w:r>
            <w:r>
              <w:rPr>
                <w:noProof/>
                <w:webHidden/>
              </w:rPr>
              <w:tab/>
            </w:r>
            <w:r>
              <w:rPr>
                <w:noProof/>
                <w:webHidden/>
              </w:rPr>
              <w:fldChar w:fldCharType="begin"/>
            </w:r>
            <w:r>
              <w:rPr>
                <w:noProof/>
                <w:webHidden/>
              </w:rPr>
              <w:instrText xml:space="preserve"> PAGEREF _Toc382578298 \h </w:instrText>
            </w:r>
            <w:r>
              <w:rPr>
                <w:noProof/>
                <w:webHidden/>
              </w:rPr>
            </w:r>
            <w:r>
              <w:rPr>
                <w:noProof/>
                <w:webHidden/>
              </w:rPr>
              <w:fldChar w:fldCharType="separate"/>
            </w:r>
            <w:r>
              <w:rPr>
                <w:noProof/>
                <w:webHidden/>
              </w:rPr>
              <w:t>34</w:t>
            </w:r>
            <w:r>
              <w:rPr>
                <w:noProof/>
                <w:webHidden/>
              </w:rPr>
              <w:fldChar w:fldCharType="end"/>
            </w:r>
          </w:hyperlink>
        </w:p>
        <w:p w:rsidR="00BF4AA6" w:rsidRDefault="00BF4AA6">
          <w:pPr>
            <w:pStyle w:val="TOC3"/>
            <w:tabs>
              <w:tab w:val="left" w:pos="1760"/>
            </w:tabs>
            <w:rPr>
              <w:rFonts w:asciiTheme="minorHAnsi" w:eastAsiaTheme="minorEastAsia" w:hAnsiTheme="minorHAnsi" w:cstheme="minorBidi"/>
              <w:noProof/>
              <w:lang w:eastAsia="en-AU"/>
            </w:rPr>
          </w:pPr>
          <w:hyperlink w:anchor="_Toc382578299" w:history="1">
            <w:r w:rsidRPr="00A347E3">
              <w:rPr>
                <w:rStyle w:val="Hyperlink"/>
                <w:noProof/>
              </w:rPr>
              <w:t>8.4.</w:t>
            </w:r>
            <w:r>
              <w:rPr>
                <w:rFonts w:asciiTheme="minorHAnsi" w:eastAsiaTheme="minorEastAsia" w:hAnsiTheme="minorHAnsi" w:cstheme="minorBidi"/>
                <w:noProof/>
                <w:lang w:eastAsia="en-AU"/>
              </w:rPr>
              <w:tab/>
            </w:r>
            <w:r w:rsidRPr="00A347E3">
              <w:rPr>
                <w:rStyle w:val="Hyperlink"/>
                <w:noProof/>
              </w:rPr>
              <w:t>Clinical laboratory evaluations</w:t>
            </w:r>
            <w:r>
              <w:rPr>
                <w:noProof/>
                <w:webHidden/>
              </w:rPr>
              <w:tab/>
            </w:r>
            <w:r>
              <w:rPr>
                <w:noProof/>
                <w:webHidden/>
              </w:rPr>
              <w:fldChar w:fldCharType="begin"/>
            </w:r>
            <w:r>
              <w:rPr>
                <w:noProof/>
                <w:webHidden/>
              </w:rPr>
              <w:instrText xml:space="preserve"> PAGEREF _Toc382578299 \h </w:instrText>
            </w:r>
            <w:r>
              <w:rPr>
                <w:noProof/>
                <w:webHidden/>
              </w:rPr>
            </w:r>
            <w:r>
              <w:rPr>
                <w:noProof/>
                <w:webHidden/>
              </w:rPr>
              <w:fldChar w:fldCharType="separate"/>
            </w:r>
            <w:r>
              <w:rPr>
                <w:noProof/>
                <w:webHidden/>
              </w:rPr>
              <w:t>43</w:t>
            </w:r>
            <w:r>
              <w:rPr>
                <w:noProof/>
                <w:webHidden/>
              </w:rPr>
              <w:fldChar w:fldCharType="end"/>
            </w:r>
          </w:hyperlink>
        </w:p>
        <w:p w:rsidR="00BF4AA6" w:rsidRDefault="00BF4AA6">
          <w:pPr>
            <w:pStyle w:val="TOC3"/>
            <w:tabs>
              <w:tab w:val="left" w:pos="1760"/>
            </w:tabs>
            <w:rPr>
              <w:rFonts w:asciiTheme="minorHAnsi" w:eastAsiaTheme="minorEastAsia" w:hAnsiTheme="minorHAnsi" w:cstheme="minorBidi"/>
              <w:noProof/>
              <w:lang w:eastAsia="en-AU"/>
            </w:rPr>
          </w:pPr>
          <w:hyperlink w:anchor="_Toc382578300" w:history="1">
            <w:r w:rsidRPr="00A347E3">
              <w:rPr>
                <w:rStyle w:val="Hyperlink"/>
                <w:noProof/>
              </w:rPr>
              <w:t>8.5.</w:t>
            </w:r>
            <w:r>
              <w:rPr>
                <w:rFonts w:asciiTheme="minorHAnsi" w:eastAsiaTheme="minorEastAsia" w:hAnsiTheme="minorHAnsi" w:cstheme="minorBidi"/>
                <w:noProof/>
                <w:lang w:eastAsia="en-AU"/>
              </w:rPr>
              <w:tab/>
            </w:r>
            <w:r w:rsidRPr="00A347E3">
              <w:rPr>
                <w:rStyle w:val="Hyperlink"/>
                <w:rFonts w:eastAsiaTheme="minorHAnsi"/>
                <w:noProof/>
              </w:rPr>
              <w:t>Safety in special groups and situations</w:t>
            </w:r>
            <w:r>
              <w:rPr>
                <w:noProof/>
                <w:webHidden/>
              </w:rPr>
              <w:tab/>
            </w:r>
            <w:r>
              <w:rPr>
                <w:noProof/>
                <w:webHidden/>
              </w:rPr>
              <w:fldChar w:fldCharType="begin"/>
            </w:r>
            <w:r>
              <w:rPr>
                <w:noProof/>
                <w:webHidden/>
              </w:rPr>
              <w:instrText xml:space="preserve"> PAGEREF _Toc382578300 \h </w:instrText>
            </w:r>
            <w:r>
              <w:rPr>
                <w:noProof/>
                <w:webHidden/>
              </w:rPr>
            </w:r>
            <w:r>
              <w:rPr>
                <w:noProof/>
                <w:webHidden/>
              </w:rPr>
              <w:fldChar w:fldCharType="separate"/>
            </w:r>
            <w:r>
              <w:rPr>
                <w:noProof/>
                <w:webHidden/>
              </w:rPr>
              <w:t>43</w:t>
            </w:r>
            <w:r>
              <w:rPr>
                <w:noProof/>
                <w:webHidden/>
              </w:rPr>
              <w:fldChar w:fldCharType="end"/>
            </w:r>
          </w:hyperlink>
        </w:p>
        <w:p w:rsidR="00BF4AA6" w:rsidRDefault="00BF4AA6">
          <w:pPr>
            <w:pStyle w:val="TOC3"/>
            <w:tabs>
              <w:tab w:val="left" w:pos="1760"/>
            </w:tabs>
            <w:rPr>
              <w:rFonts w:asciiTheme="minorHAnsi" w:eastAsiaTheme="minorEastAsia" w:hAnsiTheme="minorHAnsi" w:cstheme="minorBidi"/>
              <w:noProof/>
              <w:lang w:eastAsia="en-AU"/>
            </w:rPr>
          </w:pPr>
          <w:hyperlink w:anchor="_Toc382578301" w:history="1">
            <w:r w:rsidRPr="00A347E3">
              <w:rPr>
                <w:rStyle w:val="Hyperlink"/>
                <w:noProof/>
              </w:rPr>
              <w:t>8.6.</w:t>
            </w:r>
            <w:r>
              <w:rPr>
                <w:rFonts w:asciiTheme="minorHAnsi" w:eastAsiaTheme="minorEastAsia" w:hAnsiTheme="minorHAnsi" w:cstheme="minorBidi"/>
                <w:noProof/>
                <w:lang w:eastAsia="en-AU"/>
              </w:rPr>
              <w:tab/>
            </w:r>
            <w:r w:rsidRPr="00A347E3">
              <w:rPr>
                <w:rStyle w:val="Hyperlink"/>
                <w:noProof/>
              </w:rPr>
              <w:t>Post-marketing data</w:t>
            </w:r>
            <w:r>
              <w:rPr>
                <w:noProof/>
                <w:webHidden/>
              </w:rPr>
              <w:tab/>
            </w:r>
            <w:r>
              <w:rPr>
                <w:noProof/>
                <w:webHidden/>
              </w:rPr>
              <w:fldChar w:fldCharType="begin"/>
            </w:r>
            <w:r>
              <w:rPr>
                <w:noProof/>
                <w:webHidden/>
              </w:rPr>
              <w:instrText xml:space="preserve"> PAGEREF _Toc382578301 \h </w:instrText>
            </w:r>
            <w:r>
              <w:rPr>
                <w:noProof/>
                <w:webHidden/>
              </w:rPr>
            </w:r>
            <w:r>
              <w:rPr>
                <w:noProof/>
                <w:webHidden/>
              </w:rPr>
              <w:fldChar w:fldCharType="separate"/>
            </w:r>
            <w:r>
              <w:rPr>
                <w:noProof/>
                <w:webHidden/>
              </w:rPr>
              <w:t>44</w:t>
            </w:r>
            <w:r>
              <w:rPr>
                <w:noProof/>
                <w:webHidden/>
              </w:rPr>
              <w:fldChar w:fldCharType="end"/>
            </w:r>
          </w:hyperlink>
        </w:p>
        <w:p w:rsidR="00BF4AA6" w:rsidRDefault="00BF4AA6">
          <w:pPr>
            <w:pStyle w:val="TOC3"/>
            <w:tabs>
              <w:tab w:val="left" w:pos="1760"/>
            </w:tabs>
            <w:rPr>
              <w:rFonts w:asciiTheme="minorHAnsi" w:eastAsiaTheme="minorEastAsia" w:hAnsiTheme="minorHAnsi" w:cstheme="minorBidi"/>
              <w:noProof/>
              <w:lang w:eastAsia="en-AU"/>
            </w:rPr>
          </w:pPr>
          <w:hyperlink w:anchor="_Toc382578302" w:history="1">
            <w:r w:rsidRPr="00A347E3">
              <w:rPr>
                <w:rStyle w:val="Hyperlink"/>
                <w:noProof/>
              </w:rPr>
              <w:t>8.7.</w:t>
            </w:r>
            <w:r>
              <w:rPr>
                <w:rFonts w:asciiTheme="minorHAnsi" w:eastAsiaTheme="minorEastAsia" w:hAnsiTheme="minorHAnsi" w:cstheme="minorBidi"/>
                <w:noProof/>
                <w:lang w:eastAsia="en-AU"/>
              </w:rPr>
              <w:tab/>
            </w:r>
            <w:r w:rsidRPr="00A347E3">
              <w:rPr>
                <w:rStyle w:val="Hyperlink"/>
                <w:noProof/>
              </w:rPr>
              <w:t>Evaluator’s conclusions on safety</w:t>
            </w:r>
            <w:r>
              <w:rPr>
                <w:noProof/>
                <w:webHidden/>
              </w:rPr>
              <w:tab/>
            </w:r>
            <w:r>
              <w:rPr>
                <w:noProof/>
                <w:webHidden/>
              </w:rPr>
              <w:fldChar w:fldCharType="begin"/>
            </w:r>
            <w:r>
              <w:rPr>
                <w:noProof/>
                <w:webHidden/>
              </w:rPr>
              <w:instrText xml:space="preserve"> PAGEREF _Toc382578302 \h </w:instrText>
            </w:r>
            <w:r>
              <w:rPr>
                <w:noProof/>
                <w:webHidden/>
              </w:rPr>
            </w:r>
            <w:r>
              <w:rPr>
                <w:noProof/>
                <w:webHidden/>
              </w:rPr>
              <w:fldChar w:fldCharType="separate"/>
            </w:r>
            <w:r>
              <w:rPr>
                <w:noProof/>
                <w:webHidden/>
              </w:rPr>
              <w:t>45</w:t>
            </w:r>
            <w:r>
              <w:rPr>
                <w:noProof/>
                <w:webHidden/>
              </w:rPr>
              <w:fldChar w:fldCharType="end"/>
            </w:r>
          </w:hyperlink>
        </w:p>
        <w:p w:rsidR="00BF4AA6" w:rsidRDefault="00BF4AA6">
          <w:pPr>
            <w:pStyle w:val="TOC2"/>
            <w:tabs>
              <w:tab w:val="left" w:pos="1100"/>
            </w:tabs>
            <w:rPr>
              <w:rFonts w:asciiTheme="minorHAnsi" w:eastAsiaTheme="minorEastAsia" w:hAnsiTheme="minorHAnsi" w:cstheme="minorBidi"/>
              <w:b w:val="0"/>
              <w:noProof/>
              <w:sz w:val="22"/>
              <w:lang w:eastAsia="en-AU"/>
            </w:rPr>
          </w:pPr>
          <w:hyperlink w:anchor="_Toc382578303" w:history="1">
            <w:r w:rsidRPr="00A347E3">
              <w:rPr>
                <w:rStyle w:val="Hyperlink"/>
                <w:noProof/>
              </w:rPr>
              <w:t>9.</w:t>
            </w:r>
            <w:r>
              <w:rPr>
                <w:rFonts w:asciiTheme="minorHAnsi" w:eastAsiaTheme="minorEastAsia" w:hAnsiTheme="minorHAnsi" w:cstheme="minorBidi"/>
                <w:b w:val="0"/>
                <w:noProof/>
                <w:sz w:val="22"/>
                <w:lang w:eastAsia="en-AU"/>
              </w:rPr>
              <w:tab/>
            </w:r>
            <w:r w:rsidRPr="00A347E3">
              <w:rPr>
                <w:rStyle w:val="Hyperlink"/>
                <w:noProof/>
              </w:rPr>
              <w:t>First round benefit-risk assessment</w:t>
            </w:r>
            <w:r>
              <w:rPr>
                <w:noProof/>
                <w:webHidden/>
              </w:rPr>
              <w:tab/>
            </w:r>
            <w:r>
              <w:rPr>
                <w:noProof/>
                <w:webHidden/>
              </w:rPr>
              <w:fldChar w:fldCharType="begin"/>
            </w:r>
            <w:r>
              <w:rPr>
                <w:noProof/>
                <w:webHidden/>
              </w:rPr>
              <w:instrText xml:space="preserve"> PAGEREF _Toc382578303 \h </w:instrText>
            </w:r>
            <w:r>
              <w:rPr>
                <w:noProof/>
                <w:webHidden/>
              </w:rPr>
            </w:r>
            <w:r>
              <w:rPr>
                <w:noProof/>
                <w:webHidden/>
              </w:rPr>
              <w:fldChar w:fldCharType="separate"/>
            </w:r>
            <w:r>
              <w:rPr>
                <w:noProof/>
                <w:webHidden/>
              </w:rPr>
              <w:t>45</w:t>
            </w:r>
            <w:r>
              <w:rPr>
                <w:noProof/>
                <w:webHidden/>
              </w:rPr>
              <w:fldChar w:fldCharType="end"/>
            </w:r>
          </w:hyperlink>
        </w:p>
        <w:p w:rsidR="00BF4AA6" w:rsidRDefault="00BF4AA6">
          <w:pPr>
            <w:pStyle w:val="TOC3"/>
            <w:tabs>
              <w:tab w:val="left" w:pos="1760"/>
            </w:tabs>
            <w:rPr>
              <w:rFonts w:asciiTheme="minorHAnsi" w:eastAsiaTheme="minorEastAsia" w:hAnsiTheme="minorHAnsi" w:cstheme="minorBidi"/>
              <w:noProof/>
              <w:lang w:eastAsia="en-AU"/>
            </w:rPr>
          </w:pPr>
          <w:hyperlink w:anchor="_Toc382578304" w:history="1">
            <w:r w:rsidRPr="00A347E3">
              <w:rPr>
                <w:rStyle w:val="Hyperlink"/>
                <w:noProof/>
              </w:rPr>
              <w:t>9.1.</w:t>
            </w:r>
            <w:r>
              <w:rPr>
                <w:rFonts w:asciiTheme="minorHAnsi" w:eastAsiaTheme="minorEastAsia" w:hAnsiTheme="minorHAnsi" w:cstheme="minorBidi"/>
                <w:noProof/>
                <w:lang w:eastAsia="en-AU"/>
              </w:rPr>
              <w:tab/>
            </w:r>
            <w:r w:rsidRPr="00A347E3">
              <w:rPr>
                <w:rStyle w:val="Hyperlink"/>
                <w:noProof/>
              </w:rPr>
              <w:t>First round assessment of benefits</w:t>
            </w:r>
            <w:r>
              <w:rPr>
                <w:noProof/>
                <w:webHidden/>
              </w:rPr>
              <w:tab/>
            </w:r>
            <w:r>
              <w:rPr>
                <w:noProof/>
                <w:webHidden/>
              </w:rPr>
              <w:fldChar w:fldCharType="begin"/>
            </w:r>
            <w:r>
              <w:rPr>
                <w:noProof/>
                <w:webHidden/>
              </w:rPr>
              <w:instrText xml:space="preserve"> PAGEREF _Toc382578304 \h </w:instrText>
            </w:r>
            <w:r>
              <w:rPr>
                <w:noProof/>
                <w:webHidden/>
              </w:rPr>
            </w:r>
            <w:r>
              <w:rPr>
                <w:noProof/>
                <w:webHidden/>
              </w:rPr>
              <w:fldChar w:fldCharType="separate"/>
            </w:r>
            <w:r>
              <w:rPr>
                <w:noProof/>
                <w:webHidden/>
              </w:rPr>
              <w:t>45</w:t>
            </w:r>
            <w:r>
              <w:rPr>
                <w:noProof/>
                <w:webHidden/>
              </w:rPr>
              <w:fldChar w:fldCharType="end"/>
            </w:r>
          </w:hyperlink>
        </w:p>
        <w:p w:rsidR="00BF4AA6" w:rsidRDefault="00BF4AA6">
          <w:pPr>
            <w:pStyle w:val="TOC3"/>
            <w:tabs>
              <w:tab w:val="left" w:pos="1760"/>
            </w:tabs>
            <w:rPr>
              <w:rFonts w:asciiTheme="minorHAnsi" w:eastAsiaTheme="minorEastAsia" w:hAnsiTheme="minorHAnsi" w:cstheme="minorBidi"/>
              <w:noProof/>
              <w:lang w:eastAsia="en-AU"/>
            </w:rPr>
          </w:pPr>
          <w:hyperlink w:anchor="_Toc382578305" w:history="1">
            <w:r w:rsidRPr="00A347E3">
              <w:rPr>
                <w:rStyle w:val="Hyperlink"/>
                <w:noProof/>
              </w:rPr>
              <w:t>9.2.</w:t>
            </w:r>
            <w:r>
              <w:rPr>
                <w:rFonts w:asciiTheme="minorHAnsi" w:eastAsiaTheme="minorEastAsia" w:hAnsiTheme="minorHAnsi" w:cstheme="minorBidi"/>
                <w:noProof/>
                <w:lang w:eastAsia="en-AU"/>
              </w:rPr>
              <w:tab/>
            </w:r>
            <w:r w:rsidRPr="00A347E3">
              <w:rPr>
                <w:rStyle w:val="Hyperlink"/>
                <w:noProof/>
              </w:rPr>
              <w:t>First round assessment of risk</w:t>
            </w:r>
            <w:r>
              <w:rPr>
                <w:noProof/>
                <w:webHidden/>
              </w:rPr>
              <w:tab/>
            </w:r>
            <w:r>
              <w:rPr>
                <w:noProof/>
                <w:webHidden/>
              </w:rPr>
              <w:fldChar w:fldCharType="begin"/>
            </w:r>
            <w:r>
              <w:rPr>
                <w:noProof/>
                <w:webHidden/>
              </w:rPr>
              <w:instrText xml:space="preserve"> PAGEREF _Toc382578305 \h </w:instrText>
            </w:r>
            <w:r>
              <w:rPr>
                <w:noProof/>
                <w:webHidden/>
              </w:rPr>
            </w:r>
            <w:r>
              <w:rPr>
                <w:noProof/>
                <w:webHidden/>
              </w:rPr>
              <w:fldChar w:fldCharType="separate"/>
            </w:r>
            <w:r>
              <w:rPr>
                <w:noProof/>
                <w:webHidden/>
              </w:rPr>
              <w:t>45</w:t>
            </w:r>
            <w:r>
              <w:rPr>
                <w:noProof/>
                <w:webHidden/>
              </w:rPr>
              <w:fldChar w:fldCharType="end"/>
            </w:r>
          </w:hyperlink>
        </w:p>
        <w:p w:rsidR="00BF4AA6" w:rsidRDefault="00BF4AA6">
          <w:pPr>
            <w:pStyle w:val="TOC3"/>
            <w:tabs>
              <w:tab w:val="left" w:pos="1760"/>
            </w:tabs>
            <w:rPr>
              <w:rFonts w:asciiTheme="minorHAnsi" w:eastAsiaTheme="minorEastAsia" w:hAnsiTheme="minorHAnsi" w:cstheme="minorBidi"/>
              <w:noProof/>
              <w:lang w:eastAsia="en-AU"/>
            </w:rPr>
          </w:pPr>
          <w:hyperlink w:anchor="_Toc382578306" w:history="1">
            <w:r w:rsidRPr="00A347E3">
              <w:rPr>
                <w:rStyle w:val="Hyperlink"/>
                <w:noProof/>
                <w:lang w:val="en-US"/>
              </w:rPr>
              <w:t>9.3.</w:t>
            </w:r>
            <w:r>
              <w:rPr>
                <w:rFonts w:asciiTheme="minorHAnsi" w:eastAsiaTheme="minorEastAsia" w:hAnsiTheme="minorHAnsi" w:cstheme="minorBidi"/>
                <w:noProof/>
                <w:lang w:eastAsia="en-AU"/>
              </w:rPr>
              <w:tab/>
            </w:r>
            <w:r w:rsidRPr="00A347E3">
              <w:rPr>
                <w:rStyle w:val="Hyperlink"/>
                <w:noProof/>
                <w:lang w:val="en-US"/>
              </w:rPr>
              <w:t>First round assessment of benefit/risk balance</w:t>
            </w:r>
            <w:r>
              <w:rPr>
                <w:noProof/>
                <w:webHidden/>
              </w:rPr>
              <w:tab/>
            </w:r>
            <w:r>
              <w:rPr>
                <w:noProof/>
                <w:webHidden/>
              </w:rPr>
              <w:fldChar w:fldCharType="begin"/>
            </w:r>
            <w:r>
              <w:rPr>
                <w:noProof/>
                <w:webHidden/>
              </w:rPr>
              <w:instrText xml:space="preserve"> PAGEREF _Toc382578306 \h </w:instrText>
            </w:r>
            <w:r>
              <w:rPr>
                <w:noProof/>
                <w:webHidden/>
              </w:rPr>
            </w:r>
            <w:r>
              <w:rPr>
                <w:noProof/>
                <w:webHidden/>
              </w:rPr>
              <w:fldChar w:fldCharType="separate"/>
            </w:r>
            <w:r>
              <w:rPr>
                <w:noProof/>
                <w:webHidden/>
              </w:rPr>
              <w:t>46</w:t>
            </w:r>
            <w:r>
              <w:rPr>
                <w:noProof/>
                <w:webHidden/>
              </w:rPr>
              <w:fldChar w:fldCharType="end"/>
            </w:r>
          </w:hyperlink>
        </w:p>
        <w:p w:rsidR="00BF4AA6" w:rsidRDefault="00BF4AA6">
          <w:pPr>
            <w:pStyle w:val="TOC2"/>
            <w:tabs>
              <w:tab w:val="left" w:pos="1320"/>
            </w:tabs>
            <w:rPr>
              <w:rFonts w:asciiTheme="minorHAnsi" w:eastAsiaTheme="minorEastAsia" w:hAnsiTheme="minorHAnsi" w:cstheme="minorBidi"/>
              <w:b w:val="0"/>
              <w:noProof/>
              <w:sz w:val="22"/>
              <w:lang w:eastAsia="en-AU"/>
            </w:rPr>
          </w:pPr>
          <w:hyperlink w:anchor="_Toc382578307" w:history="1">
            <w:r w:rsidRPr="00A347E3">
              <w:rPr>
                <w:rStyle w:val="Hyperlink"/>
                <w:noProof/>
              </w:rPr>
              <w:t>10.</w:t>
            </w:r>
            <w:r>
              <w:rPr>
                <w:rFonts w:asciiTheme="minorHAnsi" w:eastAsiaTheme="minorEastAsia" w:hAnsiTheme="minorHAnsi" w:cstheme="minorBidi"/>
                <w:b w:val="0"/>
                <w:noProof/>
                <w:sz w:val="22"/>
                <w:lang w:eastAsia="en-AU"/>
              </w:rPr>
              <w:tab/>
            </w:r>
            <w:r w:rsidRPr="00A347E3">
              <w:rPr>
                <w:rStyle w:val="Hyperlink"/>
                <w:noProof/>
              </w:rPr>
              <w:t>First round recommendation regarding authorisation</w:t>
            </w:r>
            <w:r>
              <w:rPr>
                <w:noProof/>
                <w:webHidden/>
              </w:rPr>
              <w:tab/>
            </w:r>
            <w:r>
              <w:rPr>
                <w:noProof/>
                <w:webHidden/>
              </w:rPr>
              <w:fldChar w:fldCharType="begin"/>
            </w:r>
            <w:r>
              <w:rPr>
                <w:noProof/>
                <w:webHidden/>
              </w:rPr>
              <w:instrText xml:space="preserve"> PAGEREF _Toc382578307 \h </w:instrText>
            </w:r>
            <w:r>
              <w:rPr>
                <w:noProof/>
                <w:webHidden/>
              </w:rPr>
            </w:r>
            <w:r>
              <w:rPr>
                <w:noProof/>
                <w:webHidden/>
              </w:rPr>
              <w:fldChar w:fldCharType="separate"/>
            </w:r>
            <w:r>
              <w:rPr>
                <w:noProof/>
                <w:webHidden/>
              </w:rPr>
              <w:t>46</w:t>
            </w:r>
            <w:r>
              <w:rPr>
                <w:noProof/>
                <w:webHidden/>
              </w:rPr>
              <w:fldChar w:fldCharType="end"/>
            </w:r>
          </w:hyperlink>
        </w:p>
        <w:p w:rsidR="00BF4AA6" w:rsidRDefault="00BF4AA6">
          <w:pPr>
            <w:pStyle w:val="TOC2"/>
            <w:tabs>
              <w:tab w:val="left" w:pos="1320"/>
            </w:tabs>
            <w:rPr>
              <w:rFonts w:asciiTheme="minorHAnsi" w:eastAsiaTheme="minorEastAsia" w:hAnsiTheme="minorHAnsi" w:cstheme="minorBidi"/>
              <w:b w:val="0"/>
              <w:noProof/>
              <w:sz w:val="22"/>
              <w:lang w:eastAsia="en-AU"/>
            </w:rPr>
          </w:pPr>
          <w:hyperlink w:anchor="_Toc382578308" w:history="1">
            <w:r w:rsidRPr="00A347E3">
              <w:rPr>
                <w:rStyle w:val="Hyperlink"/>
                <w:noProof/>
              </w:rPr>
              <w:t>11.</w:t>
            </w:r>
            <w:r>
              <w:rPr>
                <w:rFonts w:asciiTheme="minorHAnsi" w:eastAsiaTheme="minorEastAsia" w:hAnsiTheme="minorHAnsi" w:cstheme="minorBidi"/>
                <w:b w:val="0"/>
                <w:noProof/>
                <w:sz w:val="22"/>
                <w:lang w:eastAsia="en-AU"/>
              </w:rPr>
              <w:tab/>
            </w:r>
            <w:r w:rsidRPr="00A347E3">
              <w:rPr>
                <w:rStyle w:val="Hyperlink"/>
                <w:noProof/>
              </w:rPr>
              <w:t>Clinical questions</w:t>
            </w:r>
            <w:r>
              <w:rPr>
                <w:noProof/>
                <w:webHidden/>
              </w:rPr>
              <w:tab/>
            </w:r>
            <w:r>
              <w:rPr>
                <w:noProof/>
                <w:webHidden/>
              </w:rPr>
              <w:fldChar w:fldCharType="begin"/>
            </w:r>
            <w:r>
              <w:rPr>
                <w:noProof/>
                <w:webHidden/>
              </w:rPr>
              <w:instrText xml:space="preserve"> PAGEREF _Toc382578308 \h </w:instrText>
            </w:r>
            <w:r>
              <w:rPr>
                <w:noProof/>
                <w:webHidden/>
              </w:rPr>
            </w:r>
            <w:r>
              <w:rPr>
                <w:noProof/>
                <w:webHidden/>
              </w:rPr>
              <w:fldChar w:fldCharType="separate"/>
            </w:r>
            <w:r>
              <w:rPr>
                <w:noProof/>
                <w:webHidden/>
              </w:rPr>
              <w:t>46</w:t>
            </w:r>
            <w:r>
              <w:rPr>
                <w:noProof/>
                <w:webHidden/>
              </w:rPr>
              <w:fldChar w:fldCharType="end"/>
            </w:r>
          </w:hyperlink>
        </w:p>
        <w:p w:rsidR="003A7F6C" w:rsidRPr="00B811C6" w:rsidRDefault="00BF4AA6" w:rsidP="00BF4AA6">
          <w:pPr>
            <w:pStyle w:val="TOC2"/>
            <w:tabs>
              <w:tab w:val="left" w:pos="1320"/>
            </w:tabs>
          </w:pPr>
          <w:hyperlink w:anchor="_Toc382578309" w:history="1">
            <w:r w:rsidRPr="00A347E3">
              <w:rPr>
                <w:rStyle w:val="Hyperlink"/>
                <w:noProof/>
              </w:rPr>
              <w:t>12.</w:t>
            </w:r>
            <w:r>
              <w:rPr>
                <w:rFonts w:asciiTheme="minorHAnsi" w:eastAsiaTheme="minorEastAsia" w:hAnsiTheme="minorHAnsi" w:cstheme="minorBidi"/>
                <w:b w:val="0"/>
                <w:noProof/>
                <w:sz w:val="22"/>
                <w:lang w:eastAsia="en-AU"/>
              </w:rPr>
              <w:tab/>
            </w:r>
            <w:r w:rsidRPr="00A347E3">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_Toc382578309 \h </w:instrText>
            </w:r>
            <w:r>
              <w:rPr>
                <w:noProof/>
                <w:webHidden/>
              </w:rPr>
            </w:r>
            <w:r>
              <w:rPr>
                <w:noProof/>
                <w:webHidden/>
              </w:rPr>
              <w:fldChar w:fldCharType="separate"/>
            </w:r>
            <w:r>
              <w:rPr>
                <w:noProof/>
                <w:webHidden/>
              </w:rPr>
              <w:t>47</w:t>
            </w:r>
            <w:r>
              <w:rPr>
                <w:noProof/>
                <w:webHidden/>
              </w:rPr>
              <w:fldChar w:fldCharType="end"/>
            </w:r>
          </w:hyperlink>
          <w:r w:rsidR="00AE1EE0">
            <w:fldChar w:fldCharType="end"/>
          </w:r>
        </w:p>
        <w:bookmarkStart w:id="2" w:name="_GoBack" w:displacedByCustomXml="next"/>
        <w:bookmarkEnd w:id="2" w:displacedByCustomXml="next"/>
      </w:sdtContent>
    </w:sdt>
    <w:bookmarkStart w:id="3" w:name="_Toc314842482" w:displacedByCustomXml="prev"/>
    <w:p w:rsidR="00586F98" w:rsidRDefault="00586F98" w:rsidP="00D12070">
      <w:pPr>
        <w:pStyle w:val="Heading2"/>
        <w:numPr>
          <w:ilvl w:val="0"/>
          <w:numId w:val="0"/>
        </w:numPr>
        <w:ind w:left="567" w:hanging="567"/>
      </w:pPr>
      <w:bookmarkStart w:id="4" w:name="_Toc351716269"/>
      <w:bookmarkStart w:id="5" w:name="_Toc351718881"/>
      <w:bookmarkStart w:id="6" w:name="_Toc355338616"/>
      <w:bookmarkStart w:id="7" w:name="_Toc382578274"/>
      <w:r>
        <w:t>List of abbreviations</w:t>
      </w:r>
      <w:bookmarkEnd w:id="4"/>
      <w:bookmarkEnd w:id="5"/>
      <w:bookmarkEnd w:id="6"/>
      <w:bookmarkEnd w:id="7"/>
    </w:p>
    <w:tbl>
      <w:tblPr>
        <w:tblStyle w:val="TableTGAblue"/>
        <w:tblW w:w="0" w:type="auto"/>
        <w:tblLook w:val="0620" w:firstRow="1" w:lastRow="0" w:firstColumn="0" w:lastColumn="0" w:noHBand="1" w:noVBand="1"/>
      </w:tblPr>
      <w:tblGrid>
        <w:gridCol w:w="1890"/>
        <w:gridCol w:w="6911"/>
      </w:tblGrid>
      <w:tr w:rsidR="00557B3B" w:rsidRPr="007023E8" w:rsidTr="00D12070">
        <w:trPr>
          <w:cnfStyle w:val="100000000000" w:firstRow="1" w:lastRow="0" w:firstColumn="0" w:lastColumn="0" w:oddVBand="0" w:evenVBand="0" w:oddHBand="0" w:evenHBand="0" w:firstRowFirstColumn="0" w:firstRowLastColumn="0" w:lastRowFirstColumn="0" w:lastRowLastColumn="0"/>
          <w:tblHeader/>
        </w:trPr>
        <w:tc>
          <w:tcPr>
            <w:tcW w:w="1809" w:type="dxa"/>
          </w:tcPr>
          <w:p w:rsidR="00557B3B" w:rsidRPr="007023E8" w:rsidRDefault="00557B3B" w:rsidP="00D12070">
            <w:pPr>
              <w:rPr>
                <w:b w:val="0"/>
              </w:rPr>
            </w:pPr>
            <w:r w:rsidRPr="007023E8">
              <w:t>Abbreviation</w:t>
            </w:r>
          </w:p>
        </w:tc>
        <w:tc>
          <w:tcPr>
            <w:tcW w:w="6911" w:type="dxa"/>
          </w:tcPr>
          <w:p w:rsidR="00557B3B" w:rsidRPr="007023E8" w:rsidRDefault="00557B3B" w:rsidP="00D12070">
            <w:pPr>
              <w:rPr>
                <w:b w:val="0"/>
              </w:rPr>
            </w:pPr>
            <w:r w:rsidRPr="007023E8">
              <w:t>Meaning</w:t>
            </w:r>
          </w:p>
        </w:tc>
      </w:tr>
      <w:tr w:rsidR="00557B3B" w:rsidRPr="007023E8" w:rsidTr="00D12070">
        <w:tc>
          <w:tcPr>
            <w:tcW w:w="1809" w:type="dxa"/>
          </w:tcPr>
          <w:p w:rsidR="00557B3B" w:rsidRPr="007023E8" w:rsidRDefault="00557B3B" w:rsidP="00D12070">
            <w:r w:rsidRPr="007023E8">
              <w:t>AL</w:t>
            </w:r>
            <w:r>
              <w:t>L</w:t>
            </w:r>
          </w:p>
        </w:tc>
        <w:tc>
          <w:tcPr>
            <w:tcW w:w="6911" w:type="dxa"/>
          </w:tcPr>
          <w:p w:rsidR="00557B3B" w:rsidRPr="007023E8" w:rsidRDefault="00557B3B" w:rsidP="00D12070">
            <w:r w:rsidRPr="007023E8">
              <w:t>A</w:t>
            </w:r>
            <w:r>
              <w:t xml:space="preserve">cute lymphoblastic </w:t>
            </w:r>
            <w:r w:rsidRPr="007023E8">
              <w:t>l</w:t>
            </w:r>
            <w:r>
              <w:t>eukaemia</w:t>
            </w:r>
          </w:p>
        </w:tc>
      </w:tr>
      <w:tr w:rsidR="00557B3B" w:rsidRPr="007023E8" w:rsidTr="00D12070">
        <w:tc>
          <w:tcPr>
            <w:tcW w:w="1809" w:type="dxa"/>
          </w:tcPr>
          <w:p w:rsidR="00557B3B" w:rsidRPr="007023E8" w:rsidRDefault="00D12070" w:rsidP="00D12070">
            <w:r>
              <w:t>Apo</w:t>
            </w:r>
          </w:p>
        </w:tc>
        <w:tc>
          <w:tcPr>
            <w:tcW w:w="6911" w:type="dxa"/>
          </w:tcPr>
          <w:p w:rsidR="00557B3B" w:rsidRPr="007023E8" w:rsidRDefault="00557B3B" w:rsidP="00D12070">
            <w:proofErr w:type="spellStart"/>
            <w:r w:rsidRPr="007023E8">
              <w:t>Apolipoprotein</w:t>
            </w:r>
            <w:proofErr w:type="spellEnd"/>
          </w:p>
        </w:tc>
      </w:tr>
      <w:tr w:rsidR="00557B3B" w:rsidRPr="007023E8" w:rsidTr="00D12070">
        <w:tc>
          <w:tcPr>
            <w:tcW w:w="1809" w:type="dxa"/>
          </w:tcPr>
          <w:p w:rsidR="00557B3B" w:rsidRPr="007023E8" w:rsidRDefault="00D12070" w:rsidP="00D12070">
            <w:r>
              <w:t>AST</w:t>
            </w:r>
          </w:p>
        </w:tc>
        <w:tc>
          <w:tcPr>
            <w:tcW w:w="6911" w:type="dxa"/>
          </w:tcPr>
          <w:p w:rsidR="00557B3B" w:rsidRPr="007023E8" w:rsidRDefault="00557B3B" w:rsidP="00D12070">
            <w:r w:rsidRPr="007023E8">
              <w:t>Aspartate aminotransferase</w:t>
            </w:r>
          </w:p>
        </w:tc>
      </w:tr>
      <w:tr w:rsidR="00557B3B" w:rsidRPr="007023E8" w:rsidTr="00D12070">
        <w:tc>
          <w:tcPr>
            <w:tcW w:w="1809" w:type="dxa"/>
          </w:tcPr>
          <w:p w:rsidR="00557B3B" w:rsidRPr="007023E8" w:rsidRDefault="00557B3B" w:rsidP="00D12070">
            <w:r w:rsidRPr="007023E8">
              <w:t>ATP</w:t>
            </w:r>
          </w:p>
        </w:tc>
        <w:tc>
          <w:tcPr>
            <w:tcW w:w="6911" w:type="dxa"/>
          </w:tcPr>
          <w:p w:rsidR="00557B3B" w:rsidRPr="007023E8" w:rsidRDefault="00557B3B" w:rsidP="00D12070">
            <w:r w:rsidRPr="007023E8">
              <w:t>Adult treatment panel</w:t>
            </w:r>
          </w:p>
        </w:tc>
      </w:tr>
      <w:tr w:rsidR="00557B3B" w:rsidRPr="007023E8" w:rsidTr="00D12070">
        <w:tc>
          <w:tcPr>
            <w:tcW w:w="1809" w:type="dxa"/>
          </w:tcPr>
          <w:p w:rsidR="00557B3B" w:rsidRPr="007023E8" w:rsidRDefault="00557B3B" w:rsidP="00D12070">
            <w:r>
              <w:t>AUC</w:t>
            </w:r>
          </w:p>
        </w:tc>
        <w:tc>
          <w:tcPr>
            <w:tcW w:w="6911" w:type="dxa"/>
          </w:tcPr>
          <w:p w:rsidR="00557B3B" w:rsidRPr="007023E8" w:rsidRDefault="00557B3B" w:rsidP="00D12070">
            <w:r w:rsidRPr="00E96130">
              <w:t>Area und</w:t>
            </w:r>
            <w:r w:rsidR="00D12070">
              <w:t>er the concentration-time curve</w:t>
            </w:r>
          </w:p>
        </w:tc>
      </w:tr>
      <w:tr w:rsidR="00557B3B" w:rsidRPr="007023E8" w:rsidTr="00D12070">
        <w:tc>
          <w:tcPr>
            <w:tcW w:w="1809" w:type="dxa"/>
          </w:tcPr>
          <w:p w:rsidR="00557B3B" w:rsidRDefault="00557B3B" w:rsidP="00D12070">
            <w:r>
              <w:t>BMI</w:t>
            </w:r>
          </w:p>
        </w:tc>
        <w:tc>
          <w:tcPr>
            <w:tcW w:w="6911" w:type="dxa"/>
          </w:tcPr>
          <w:p w:rsidR="00557B3B" w:rsidRPr="007023E8" w:rsidRDefault="00557B3B" w:rsidP="00D12070">
            <w:r>
              <w:t>Body mass index</w:t>
            </w:r>
          </w:p>
        </w:tc>
      </w:tr>
      <w:tr w:rsidR="00557B3B" w:rsidRPr="007023E8" w:rsidTr="00D12070">
        <w:tc>
          <w:tcPr>
            <w:tcW w:w="1809" w:type="dxa"/>
          </w:tcPr>
          <w:p w:rsidR="00557B3B" w:rsidRPr="007023E8" w:rsidRDefault="00D12070" w:rsidP="00D12070">
            <w:r>
              <w:t>BP</w:t>
            </w:r>
          </w:p>
        </w:tc>
        <w:tc>
          <w:tcPr>
            <w:tcW w:w="6911" w:type="dxa"/>
          </w:tcPr>
          <w:p w:rsidR="00557B3B" w:rsidRPr="007023E8" w:rsidRDefault="00557B3B" w:rsidP="00D12070">
            <w:r w:rsidRPr="007023E8">
              <w:t>Blood pressure</w:t>
            </w:r>
          </w:p>
        </w:tc>
      </w:tr>
      <w:tr w:rsidR="00557B3B" w:rsidRPr="007023E8" w:rsidTr="00D12070">
        <w:tc>
          <w:tcPr>
            <w:tcW w:w="1809" w:type="dxa"/>
          </w:tcPr>
          <w:p w:rsidR="00557B3B" w:rsidRDefault="00557B3B" w:rsidP="00D12070">
            <w:r>
              <w:t>BSA</w:t>
            </w:r>
          </w:p>
        </w:tc>
        <w:tc>
          <w:tcPr>
            <w:tcW w:w="6911" w:type="dxa"/>
          </w:tcPr>
          <w:p w:rsidR="00557B3B" w:rsidRDefault="00557B3B" w:rsidP="00D12070">
            <w:r>
              <w:t>Body surface area</w:t>
            </w:r>
          </w:p>
        </w:tc>
      </w:tr>
      <w:tr w:rsidR="00557B3B" w:rsidRPr="007023E8" w:rsidTr="00D12070">
        <w:tc>
          <w:tcPr>
            <w:tcW w:w="1809" w:type="dxa"/>
          </w:tcPr>
          <w:p w:rsidR="00557B3B" w:rsidRPr="007023E8" w:rsidRDefault="00D12070" w:rsidP="00D12070">
            <w:r>
              <w:t>BUN</w:t>
            </w:r>
          </w:p>
        </w:tc>
        <w:tc>
          <w:tcPr>
            <w:tcW w:w="6911" w:type="dxa"/>
          </w:tcPr>
          <w:p w:rsidR="00557B3B" w:rsidRPr="007023E8" w:rsidRDefault="00557B3B" w:rsidP="00D12070">
            <w:r w:rsidRPr="007023E8">
              <w:t>Blood urea nitrogen</w:t>
            </w:r>
          </w:p>
        </w:tc>
      </w:tr>
      <w:tr w:rsidR="00557B3B" w:rsidRPr="007023E8" w:rsidTr="00D12070">
        <w:tc>
          <w:tcPr>
            <w:tcW w:w="1809" w:type="dxa"/>
          </w:tcPr>
          <w:p w:rsidR="00557B3B" w:rsidRPr="007023E8" w:rsidRDefault="00D12070" w:rsidP="00D12070">
            <w:r>
              <w:t>CHD</w:t>
            </w:r>
          </w:p>
        </w:tc>
        <w:tc>
          <w:tcPr>
            <w:tcW w:w="6911" w:type="dxa"/>
          </w:tcPr>
          <w:p w:rsidR="00557B3B" w:rsidRPr="007023E8" w:rsidRDefault="00557B3B" w:rsidP="00D12070">
            <w:r w:rsidRPr="007023E8">
              <w:t>Coronary Heart Disease</w:t>
            </w:r>
          </w:p>
        </w:tc>
      </w:tr>
      <w:tr w:rsidR="00557B3B" w:rsidRPr="007023E8" w:rsidTr="00D12070">
        <w:tc>
          <w:tcPr>
            <w:tcW w:w="1809" w:type="dxa"/>
          </w:tcPr>
          <w:p w:rsidR="00557B3B" w:rsidRPr="007023E8" w:rsidRDefault="00D12070" w:rsidP="00D12070">
            <w:r>
              <w:t>CI</w:t>
            </w:r>
          </w:p>
        </w:tc>
        <w:tc>
          <w:tcPr>
            <w:tcW w:w="6911" w:type="dxa"/>
          </w:tcPr>
          <w:p w:rsidR="00557B3B" w:rsidRPr="007023E8" w:rsidRDefault="00557B3B" w:rsidP="00D12070">
            <w:r w:rsidRPr="007023E8">
              <w:t>Confidence interval</w:t>
            </w:r>
          </w:p>
        </w:tc>
      </w:tr>
      <w:tr w:rsidR="00557B3B" w:rsidRPr="007023E8" w:rsidTr="00D12070">
        <w:tc>
          <w:tcPr>
            <w:tcW w:w="1809" w:type="dxa"/>
          </w:tcPr>
          <w:p w:rsidR="00557B3B" w:rsidRPr="007023E8" w:rsidRDefault="00D12070" w:rsidP="00D12070">
            <w:r>
              <w:t>CK</w:t>
            </w:r>
          </w:p>
        </w:tc>
        <w:tc>
          <w:tcPr>
            <w:tcW w:w="6911" w:type="dxa"/>
          </w:tcPr>
          <w:p w:rsidR="00557B3B" w:rsidRPr="007023E8" w:rsidRDefault="00557B3B" w:rsidP="00D12070">
            <w:proofErr w:type="spellStart"/>
            <w:r w:rsidRPr="007023E8">
              <w:t>Creatine</w:t>
            </w:r>
            <w:proofErr w:type="spellEnd"/>
            <w:r w:rsidRPr="007023E8">
              <w:t xml:space="preserve"> phosphokinase</w:t>
            </w:r>
          </w:p>
        </w:tc>
      </w:tr>
      <w:tr w:rsidR="00557B3B" w:rsidRPr="007023E8" w:rsidTr="00D12070">
        <w:tc>
          <w:tcPr>
            <w:tcW w:w="1809" w:type="dxa"/>
          </w:tcPr>
          <w:p w:rsidR="00557B3B" w:rsidRPr="007023E8" w:rsidRDefault="00D12070" w:rsidP="00D12070">
            <w:proofErr w:type="spellStart"/>
            <w:r>
              <w:t>Cmax</w:t>
            </w:r>
            <w:proofErr w:type="spellEnd"/>
          </w:p>
        </w:tc>
        <w:tc>
          <w:tcPr>
            <w:tcW w:w="6911" w:type="dxa"/>
          </w:tcPr>
          <w:p w:rsidR="00557B3B" w:rsidRPr="007023E8" w:rsidRDefault="00557B3B" w:rsidP="00D12070">
            <w:r w:rsidRPr="007023E8">
              <w:t>Maximum concentration</w:t>
            </w:r>
          </w:p>
        </w:tc>
      </w:tr>
      <w:tr w:rsidR="00557B3B" w:rsidRPr="007023E8" w:rsidTr="00D12070">
        <w:tc>
          <w:tcPr>
            <w:tcW w:w="1809" w:type="dxa"/>
          </w:tcPr>
          <w:p w:rsidR="00557B3B" w:rsidRPr="007023E8" w:rsidRDefault="00557B3B" w:rsidP="00D12070">
            <w:r>
              <w:t>CML</w:t>
            </w:r>
          </w:p>
        </w:tc>
        <w:tc>
          <w:tcPr>
            <w:tcW w:w="6911" w:type="dxa"/>
          </w:tcPr>
          <w:p w:rsidR="00557B3B" w:rsidRPr="007023E8" w:rsidRDefault="00557B3B" w:rsidP="00D12070">
            <w:r>
              <w:t xml:space="preserve">Chronic </w:t>
            </w:r>
            <w:proofErr w:type="spellStart"/>
            <w:r>
              <w:t>myelogenous</w:t>
            </w:r>
            <w:proofErr w:type="spellEnd"/>
            <w:r>
              <w:t xml:space="preserve"> leukaemia</w:t>
            </w:r>
          </w:p>
        </w:tc>
      </w:tr>
      <w:tr w:rsidR="00557B3B" w:rsidRPr="007023E8" w:rsidTr="00D12070">
        <w:tc>
          <w:tcPr>
            <w:tcW w:w="1809" w:type="dxa"/>
          </w:tcPr>
          <w:p w:rsidR="00557B3B" w:rsidRDefault="00557B3B" w:rsidP="00D12070">
            <w:r>
              <w:t>CNS</w:t>
            </w:r>
          </w:p>
        </w:tc>
        <w:tc>
          <w:tcPr>
            <w:tcW w:w="6911" w:type="dxa"/>
          </w:tcPr>
          <w:p w:rsidR="00557B3B" w:rsidRDefault="00557B3B" w:rsidP="00D12070">
            <w:r>
              <w:t>Central nervous system</w:t>
            </w:r>
          </w:p>
        </w:tc>
      </w:tr>
      <w:tr w:rsidR="00557B3B" w:rsidRPr="007023E8" w:rsidTr="00D12070">
        <w:tc>
          <w:tcPr>
            <w:tcW w:w="1809" w:type="dxa"/>
          </w:tcPr>
          <w:p w:rsidR="00557B3B" w:rsidRPr="007023E8" w:rsidRDefault="00557B3B" w:rsidP="00D12070">
            <w:r>
              <w:t>COG</w:t>
            </w:r>
          </w:p>
        </w:tc>
        <w:tc>
          <w:tcPr>
            <w:tcW w:w="6911" w:type="dxa"/>
          </w:tcPr>
          <w:p w:rsidR="00557B3B" w:rsidRPr="007023E8" w:rsidRDefault="00557B3B" w:rsidP="00D12070">
            <w:r>
              <w:t>Central oncology group</w:t>
            </w:r>
          </w:p>
        </w:tc>
      </w:tr>
      <w:tr w:rsidR="00557B3B" w:rsidRPr="007023E8" w:rsidTr="00D12070">
        <w:tc>
          <w:tcPr>
            <w:tcW w:w="1809" w:type="dxa"/>
          </w:tcPr>
          <w:p w:rsidR="00557B3B" w:rsidRPr="007023E8" w:rsidRDefault="00557B3B" w:rsidP="00D12070">
            <w:r w:rsidRPr="007023E8">
              <w:t>CRF</w:t>
            </w:r>
          </w:p>
        </w:tc>
        <w:tc>
          <w:tcPr>
            <w:tcW w:w="6911" w:type="dxa"/>
          </w:tcPr>
          <w:p w:rsidR="00557B3B" w:rsidRPr="007023E8" w:rsidRDefault="00557B3B" w:rsidP="00D12070">
            <w:r w:rsidRPr="007023E8">
              <w:t>Case Report Form</w:t>
            </w:r>
          </w:p>
        </w:tc>
      </w:tr>
      <w:tr w:rsidR="00557B3B" w:rsidRPr="007023E8" w:rsidTr="00D12070">
        <w:tc>
          <w:tcPr>
            <w:tcW w:w="1809" w:type="dxa"/>
          </w:tcPr>
          <w:p w:rsidR="00557B3B" w:rsidRPr="007023E8" w:rsidRDefault="00D12070" w:rsidP="00D12070">
            <w:r>
              <w:t>CSR</w:t>
            </w:r>
          </w:p>
        </w:tc>
        <w:tc>
          <w:tcPr>
            <w:tcW w:w="6911" w:type="dxa"/>
          </w:tcPr>
          <w:p w:rsidR="00557B3B" w:rsidRPr="007023E8" w:rsidRDefault="00557B3B" w:rsidP="00D12070">
            <w:r w:rsidRPr="007023E8">
              <w:t>Clinical study report</w:t>
            </w:r>
          </w:p>
        </w:tc>
      </w:tr>
      <w:tr w:rsidR="00557B3B" w:rsidRPr="007023E8" w:rsidTr="00D12070">
        <w:tc>
          <w:tcPr>
            <w:tcW w:w="1809" w:type="dxa"/>
          </w:tcPr>
          <w:p w:rsidR="00557B3B" w:rsidRPr="007023E8" w:rsidRDefault="00D12070" w:rsidP="00D12070">
            <w:r>
              <w:t>CV</w:t>
            </w:r>
          </w:p>
        </w:tc>
        <w:tc>
          <w:tcPr>
            <w:tcW w:w="6911" w:type="dxa"/>
          </w:tcPr>
          <w:p w:rsidR="00557B3B" w:rsidRPr="007023E8" w:rsidRDefault="00557B3B" w:rsidP="00D12070">
            <w:r w:rsidRPr="007023E8">
              <w:t>Coefficient of variation</w:t>
            </w:r>
          </w:p>
        </w:tc>
      </w:tr>
      <w:tr w:rsidR="00557B3B" w:rsidRPr="007023E8" w:rsidTr="00D12070">
        <w:tc>
          <w:tcPr>
            <w:tcW w:w="1809" w:type="dxa"/>
          </w:tcPr>
          <w:p w:rsidR="00557B3B" w:rsidRPr="007023E8" w:rsidRDefault="00557B3B" w:rsidP="00D12070">
            <w:r w:rsidRPr="007023E8">
              <w:t>DDI</w:t>
            </w:r>
          </w:p>
        </w:tc>
        <w:tc>
          <w:tcPr>
            <w:tcW w:w="6911" w:type="dxa"/>
          </w:tcPr>
          <w:p w:rsidR="00557B3B" w:rsidRPr="007023E8" w:rsidRDefault="00557B3B" w:rsidP="00D12070">
            <w:r w:rsidRPr="007023E8">
              <w:t xml:space="preserve">Drug </w:t>
            </w:r>
            <w:proofErr w:type="spellStart"/>
            <w:r w:rsidRPr="007023E8">
              <w:t>drug</w:t>
            </w:r>
            <w:proofErr w:type="spellEnd"/>
            <w:r w:rsidRPr="007023E8">
              <w:t xml:space="preserve"> interaction</w:t>
            </w:r>
          </w:p>
        </w:tc>
      </w:tr>
      <w:tr w:rsidR="00557B3B" w:rsidRPr="007023E8" w:rsidTr="00D12070">
        <w:tc>
          <w:tcPr>
            <w:tcW w:w="1809" w:type="dxa"/>
          </w:tcPr>
          <w:p w:rsidR="00557B3B" w:rsidRDefault="00557B3B" w:rsidP="00D12070">
            <w:r>
              <w:t>DFS</w:t>
            </w:r>
          </w:p>
        </w:tc>
        <w:tc>
          <w:tcPr>
            <w:tcW w:w="6911" w:type="dxa"/>
          </w:tcPr>
          <w:p w:rsidR="00557B3B" w:rsidRDefault="00557B3B" w:rsidP="00D12070">
            <w:r>
              <w:t>D</w:t>
            </w:r>
            <w:r w:rsidRPr="00DC6973">
              <w:t>isease free survival</w:t>
            </w:r>
          </w:p>
        </w:tc>
      </w:tr>
      <w:tr w:rsidR="00557B3B" w:rsidRPr="007023E8" w:rsidTr="00D12070">
        <w:tc>
          <w:tcPr>
            <w:tcW w:w="1809" w:type="dxa"/>
          </w:tcPr>
          <w:p w:rsidR="00557B3B" w:rsidRDefault="00557B3B" w:rsidP="00D12070">
            <w:r>
              <w:lastRenderedPageBreak/>
              <w:t>EFS</w:t>
            </w:r>
          </w:p>
        </w:tc>
        <w:tc>
          <w:tcPr>
            <w:tcW w:w="6911" w:type="dxa"/>
          </w:tcPr>
          <w:p w:rsidR="00557B3B" w:rsidRDefault="00557B3B" w:rsidP="00D12070">
            <w:r>
              <w:t>E</w:t>
            </w:r>
            <w:r w:rsidRPr="00670421">
              <w:t>vent free survival</w:t>
            </w:r>
          </w:p>
        </w:tc>
      </w:tr>
      <w:tr w:rsidR="00557B3B" w:rsidRPr="007023E8" w:rsidTr="00D12070">
        <w:tc>
          <w:tcPr>
            <w:tcW w:w="1809" w:type="dxa"/>
          </w:tcPr>
          <w:p w:rsidR="00557B3B" w:rsidRPr="007023E8" w:rsidRDefault="00557B3B" w:rsidP="00D12070">
            <w:r w:rsidRPr="007023E8">
              <w:t>FDC</w:t>
            </w:r>
          </w:p>
        </w:tc>
        <w:tc>
          <w:tcPr>
            <w:tcW w:w="6911" w:type="dxa"/>
          </w:tcPr>
          <w:p w:rsidR="00557B3B" w:rsidRPr="007023E8" w:rsidRDefault="00557B3B" w:rsidP="00D12070">
            <w:r w:rsidRPr="007023E8">
              <w:t>Fixed dose combination</w:t>
            </w:r>
          </w:p>
        </w:tc>
      </w:tr>
      <w:tr w:rsidR="00557B3B" w:rsidRPr="007023E8" w:rsidTr="00D12070">
        <w:tc>
          <w:tcPr>
            <w:tcW w:w="1809" w:type="dxa"/>
          </w:tcPr>
          <w:p w:rsidR="00557B3B" w:rsidRPr="007023E8" w:rsidRDefault="00557B3B" w:rsidP="00D12070">
            <w:r w:rsidRPr="007023E8">
              <w:t>FMI</w:t>
            </w:r>
          </w:p>
        </w:tc>
        <w:tc>
          <w:tcPr>
            <w:tcW w:w="6911" w:type="dxa"/>
          </w:tcPr>
          <w:p w:rsidR="00557B3B" w:rsidRPr="007023E8" w:rsidRDefault="00557B3B" w:rsidP="00D12070">
            <w:r w:rsidRPr="007023E8">
              <w:t>Final marketing image</w:t>
            </w:r>
          </w:p>
        </w:tc>
      </w:tr>
      <w:tr w:rsidR="00557B3B" w:rsidRPr="007023E8" w:rsidTr="00D12070">
        <w:tc>
          <w:tcPr>
            <w:tcW w:w="1809" w:type="dxa"/>
          </w:tcPr>
          <w:p w:rsidR="00557B3B" w:rsidRPr="007023E8" w:rsidRDefault="00D12070" w:rsidP="00D12070">
            <w:r>
              <w:t>GMR</w:t>
            </w:r>
          </w:p>
        </w:tc>
        <w:tc>
          <w:tcPr>
            <w:tcW w:w="6911" w:type="dxa"/>
          </w:tcPr>
          <w:p w:rsidR="00557B3B" w:rsidRPr="007023E8" w:rsidRDefault="00557B3B" w:rsidP="00D12070">
            <w:r w:rsidRPr="007023E8">
              <w:t>Geometric mean ratio</w:t>
            </w:r>
          </w:p>
        </w:tc>
      </w:tr>
      <w:tr w:rsidR="00557B3B" w:rsidRPr="007023E8" w:rsidTr="00D12070">
        <w:tc>
          <w:tcPr>
            <w:tcW w:w="1809" w:type="dxa"/>
          </w:tcPr>
          <w:p w:rsidR="00557B3B" w:rsidRPr="007023E8" w:rsidRDefault="00D12070" w:rsidP="00D12070">
            <w:r>
              <w:t>HR</w:t>
            </w:r>
          </w:p>
        </w:tc>
        <w:tc>
          <w:tcPr>
            <w:tcW w:w="6911" w:type="dxa"/>
          </w:tcPr>
          <w:p w:rsidR="00557B3B" w:rsidRPr="007023E8" w:rsidRDefault="00557B3B" w:rsidP="00D12070">
            <w:r w:rsidRPr="007023E8">
              <w:t>Heart rate</w:t>
            </w:r>
          </w:p>
        </w:tc>
      </w:tr>
      <w:tr w:rsidR="00557B3B" w:rsidRPr="007023E8" w:rsidTr="00D12070">
        <w:tc>
          <w:tcPr>
            <w:tcW w:w="1809" w:type="dxa"/>
          </w:tcPr>
          <w:p w:rsidR="00557B3B" w:rsidRPr="007023E8" w:rsidRDefault="00557B3B" w:rsidP="00D12070">
            <w:r>
              <w:t>HSCT</w:t>
            </w:r>
          </w:p>
        </w:tc>
        <w:tc>
          <w:tcPr>
            <w:tcW w:w="6911" w:type="dxa"/>
          </w:tcPr>
          <w:p w:rsidR="00557B3B" w:rsidRPr="007023E8" w:rsidRDefault="00557B3B" w:rsidP="00D12070">
            <w:proofErr w:type="spellStart"/>
            <w:r>
              <w:t>Haemopoetic</w:t>
            </w:r>
            <w:proofErr w:type="spellEnd"/>
            <w:r>
              <w:t xml:space="preserve"> stem cell transplant</w:t>
            </w:r>
          </w:p>
        </w:tc>
      </w:tr>
      <w:tr w:rsidR="00557B3B" w:rsidRPr="007023E8" w:rsidTr="00D12070">
        <w:tc>
          <w:tcPr>
            <w:tcW w:w="1809" w:type="dxa"/>
          </w:tcPr>
          <w:p w:rsidR="00557B3B" w:rsidRPr="007023E8" w:rsidRDefault="00D12070" w:rsidP="00D12070">
            <w:r>
              <w:t>IV</w:t>
            </w:r>
          </w:p>
        </w:tc>
        <w:tc>
          <w:tcPr>
            <w:tcW w:w="6911" w:type="dxa"/>
          </w:tcPr>
          <w:p w:rsidR="00557B3B" w:rsidRPr="007023E8" w:rsidRDefault="00557B3B" w:rsidP="00D12070">
            <w:r w:rsidRPr="007023E8">
              <w:t>Intravenous</w:t>
            </w:r>
          </w:p>
        </w:tc>
      </w:tr>
      <w:tr w:rsidR="00557B3B" w:rsidRPr="007023E8" w:rsidTr="00D12070">
        <w:tc>
          <w:tcPr>
            <w:tcW w:w="1809" w:type="dxa"/>
          </w:tcPr>
          <w:p w:rsidR="00557B3B" w:rsidRPr="007023E8" w:rsidRDefault="00557B3B" w:rsidP="00D12070">
            <w:r w:rsidRPr="007023E8">
              <w:t xml:space="preserve">IVRS </w:t>
            </w:r>
          </w:p>
        </w:tc>
        <w:tc>
          <w:tcPr>
            <w:tcW w:w="6911" w:type="dxa"/>
          </w:tcPr>
          <w:p w:rsidR="00557B3B" w:rsidRPr="007023E8" w:rsidRDefault="00557B3B" w:rsidP="00D12070">
            <w:r w:rsidRPr="007023E8">
              <w:t>Interactive Voice Response System</w:t>
            </w:r>
          </w:p>
        </w:tc>
      </w:tr>
      <w:tr w:rsidR="00557B3B" w:rsidRPr="007023E8" w:rsidTr="00D12070">
        <w:tc>
          <w:tcPr>
            <w:tcW w:w="1809" w:type="dxa"/>
          </w:tcPr>
          <w:p w:rsidR="00557B3B" w:rsidRPr="007023E8" w:rsidRDefault="00D12070" w:rsidP="00D12070">
            <w:r>
              <w:t>LDL-C</w:t>
            </w:r>
          </w:p>
        </w:tc>
        <w:tc>
          <w:tcPr>
            <w:tcW w:w="6911" w:type="dxa"/>
          </w:tcPr>
          <w:p w:rsidR="00557B3B" w:rsidRPr="007023E8" w:rsidRDefault="00557B3B" w:rsidP="00D12070">
            <w:r w:rsidRPr="007023E8">
              <w:t>Low-density lipoprotein cholesterol</w:t>
            </w:r>
          </w:p>
        </w:tc>
      </w:tr>
      <w:tr w:rsidR="00557B3B" w:rsidRPr="007023E8" w:rsidTr="00D12070">
        <w:tc>
          <w:tcPr>
            <w:tcW w:w="1809" w:type="dxa"/>
          </w:tcPr>
          <w:p w:rsidR="00557B3B" w:rsidRPr="007023E8" w:rsidRDefault="00D12070" w:rsidP="00D12070">
            <w:r>
              <w:t>LS mean</w:t>
            </w:r>
          </w:p>
        </w:tc>
        <w:tc>
          <w:tcPr>
            <w:tcW w:w="6911" w:type="dxa"/>
          </w:tcPr>
          <w:p w:rsidR="00557B3B" w:rsidRPr="007023E8" w:rsidRDefault="00557B3B" w:rsidP="00D12070">
            <w:r w:rsidRPr="007023E8">
              <w:t>Least-squares mean</w:t>
            </w:r>
          </w:p>
        </w:tc>
      </w:tr>
      <w:tr w:rsidR="00557B3B" w:rsidRPr="007023E8" w:rsidTr="00D12070">
        <w:tc>
          <w:tcPr>
            <w:tcW w:w="1809" w:type="dxa"/>
          </w:tcPr>
          <w:p w:rsidR="00557B3B" w:rsidRPr="007023E8" w:rsidRDefault="00557B3B" w:rsidP="00D12070">
            <w:r w:rsidRPr="007023E8">
              <w:t>NDA</w:t>
            </w:r>
          </w:p>
        </w:tc>
        <w:tc>
          <w:tcPr>
            <w:tcW w:w="6911" w:type="dxa"/>
          </w:tcPr>
          <w:p w:rsidR="00557B3B" w:rsidRPr="007023E8" w:rsidRDefault="00557B3B" w:rsidP="00D12070">
            <w:r w:rsidRPr="007023E8">
              <w:t>New drug application</w:t>
            </w:r>
          </w:p>
        </w:tc>
      </w:tr>
      <w:tr w:rsidR="00557B3B" w:rsidRPr="007023E8" w:rsidTr="00D12070">
        <w:tc>
          <w:tcPr>
            <w:tcW w:w="1809" w:type="dxa"/>
          </w:tcPr>
          <w:p w:rsidR="00557B3B" w:rsidRPr="007023E8" w:rsidRDefault="00557B3B" w:rsidP="00D12070">
            <w:r>
              <w:t>PBPK</w:t>
            </w:r>
          </w:p>
        </w:tc>
        <w:tc>
          <w:tcPr>
            <w:tcW w:w="6911" w:type="dxa"/>
          </w:tcPr>
          <w:p w:rsidR="00557B3B" w:rsidRPr="007023E8" w:rsidRDefault="00557B3B" w:rsidP="00D12070">
            <w:r>
              <w:t>Physiological based pharmacokinetics</w:t>
            </w:r>
          </w:p>
        </w:tc>
      </w:tr>
      <w:tr w:rsidR="00557B3B" w:rsidRPr="007023E8" w:rsidTr="00D12070">
        <w:tc>
          <w:tcPr>
            <w:tcW w:w="1809" w:type="dxa"/>
          </w:tcPr>
          <w:p w:rsidR="00557B3B" w:rsidRPr="007023E8" w:rsidRDefault="00557B3B" w:rsidP="00D12070">
            <w:r w:rsidRPr="007023E8">
              <w:t xml:space="preserve">PD </w:t>
            </w:r>
          </w:p>
        </w:tc>
        <w:tc>
          <w:tcPr>
            <w:tcW w:w="6911" w:type="dxa"/>
          </w:tcPr>
          <w:p w:rsidR="00557B3B" w:rsidRPr="007023E8" w:rsidRDefault="00557B3B" w:rsidP="00D12070">
            <w:r w:rsidRPr="007023E8">
              <w:t>Pharmacodynamic(s)</w:t>
            </w:r>
          </w:p>
        </w:tc>
      </w:tr>
      <w:tr w:rsidR="00557B3B" w:rsidRPr="007023E8" w:rsidTr="00D12070">
        <w:tc>
          <w:tcPr>
            <w:tcW w:w="1809" w:type="dxa"/>
          </w:tcPr>
          <w:p w:rsidR="00557B3B" w:rsidRDefault="00557B3B" w:rsidP="00D12070">
            <w:r>
              <w:t>Ph</w:t>
            </w:r>
          </w:p>
        </w:tc>
        <w:tc>
          <w:tcPr>
            <w:tcW w:w="6911" w:type="dxa"/>
          </w:tcPr>
          <w:p w:rsidR="00557B3B" w:rsidRDefault="00557B3B" w:rsidP="00D12070">
            <w:r>
              <w:t>Philadelphia</w:t>
            </w:r>
          </w:p>
        </w:tc>
      </w:tr>
      <w:tr w:rsidR="00557B3B" w:rsidRPr="007023E8" w:rsidTr="00D12070">
        <w:tc>
          <w:tcPr>
            <w:tcW w:w="1809" w:type="dxa"/>
          </w:tcPr>
          <w:p w:rsidR="00557B3B" w:rsidRPr="007023E8" w:rsidRDefault="00D12070" w:rsidP="00D12070">
            <w:r>
              <w:t>PK</w:t>
            </w:r>
          </w:p>
        </w:tc>
        <w:tc>
          <w:tcPr>
            <w:tcW w:w="6911" w:type="dxa"/>
          </w:tcPr>
          <w:p w:rsidR="00557B3B" w:rsidRPr="007023E8" w:rsidRDefault="00557B3B" w:rsidP="00D12070">
            <w:r w:rsidRPr="007023E8">
              <w:t>Pharmacokinetic(s)</w:t>
            </w:r>
          </w:p>
        </w:tc>
      </w:tr>
      <w:tr w:rsidR="00557B3B" w:rsidRPr="007023E8" w:rsidTr="00D12070">
        <w:tc>
          <w:tcPr>
            <w:tcW w:w="1809" w:type="dxa"/>
          </w:tcPr>
          <w:p w:rsidR="00557B3B" w:rsidRPr="007023E8" w:rsidRDefault="00557B3B" w:rsidP="00D12070">
            <w:proofErr w:type="spellStart"/>
            <w:r>
              <w:t>PopPK</w:t>
            </w:r>
            <w:proofErr w:type="spellEnd"/>
          </w:p>
        </w:tc>
        <w:tc>
          <w:tcPr>
            <w:tcW w:w="6911" w:type="dxa"/>
          </w:tcPr>
          <w:p w:rsidR="00557B3B" w:rsidRPr="007023E8" w:rsidRDefault="00557B3B" w:rsidP="00D12070">
            <w:r>
              <w:t>Populations pharmacokinetics</w:t>
            </w:r>
          </w:p>
        </w:tc>
      </w:tr>
      <w:tr w:rsidR="00557B3B" w:rsidRPr="007023E8" w:rsidTr="00D12070">
        <w:tc>
          <w:tcPr>
            <w:tcW w:w="1809" w:type="dxa"/>
          </w:tcPr>
          <w:p w:rsidR="00557B3B" w:rsidRPr="007023E8" w:rsidRDefault="00D12070" w:rsidP="00D12070">
            <w:r>
              <w:t>QD</w:t>
            </w:r>
          </w:p>
        </w:tc>
        <w:tc>
          <w:tcPr>
            <w:tcW w:w="6911" w:type="dxa"/>
          </w:tcPr>
          <w:p w:rsidR="00557B3B" w:rsidRPr="007023E8" w:rsidRDefault="00557B3B" w:rsidP="00D12070">
            <w:r w:rsidRPr="007023E8">
              <w:t>once daily</w:t>
            </w:r>
          </w:p>
        </w:tc>
      </w:tr>
      <w:tr w:rsidR="00557B3B" w:rsidRPr="007023E8" w:rsidTr="00D12070">
        <w:tc>
          <w:tcPr>
            <w:tcW w:w="1809" w:type="dxa"/>
          </w:tcPr>
          <w:p w:rsidR="00557B3B" w:rsidRPr="007023E8" w:rsidRDefault="00D12070" w:rsidP="00D12070">
            <w:r>
              <w:t>RBC</w:t>
            </w:r>
          </w:p>
        </w:tc>
        <w:tc>
          <w:tcPr>
            <w:tcW w:w="6911" w:type="dxa"/>
          </w:tcPr>
          <w:p w:rsidR="00557B3B" w:rsidRPr="007023E8" w:rsidRDefault="00557B3B" w:rsidP="00D12070">
            <w:r w:rsidRPr="007023E8">
              <w:t>Red blood (cell) count</w:t>
            </w:r>
          </w:p>
        </w:tc>
      </w:tr>
      <w:tr w:rsidR="00557B3B" w:rsidRPr="007023E8" w:rsidTr="00D12070">
        <w:tc>
          <w:tcPr>
            <w:tcW w:w="1809" w:type="dxa"/>
          </w:tcPr>
          <w:p w:rsidR="00557B3B" w:rsidRPr="007023E8" w:rsidRDefault="00D12070" w:rsidP="00D12070">
            <w:r>
              <w:t>SD</w:t>
            </w:r>
          </w:p>
        </w:tc>
        <w:tc>
          <w:tcPr>
            <w:tcW w:w="6911" w:type="dxa"/>
          </w:tcPr>
          <w:p w:rsidR="00557B3B" w:rsidRPr="007023E8" w:rsidRDefault="00557B3B" w:rsidP="00D12070">
            <w:r w:rsidRPr="007023E8">
              <w:t>Standard deviation</w:t>
            </w:r>
          </w:p>
        </w:tc>
      </w:tr>
      <w:tr w:rsidR="00557B3B" w:rsidRPr="007023E8" w:rsidTr="00D12070">
        <w:tc>
          <w:tcPr>
            <w:tcW w:w="1809" w:type="dxa"/>
          </w:tcPr>
          <w:p w:rsidR="00557B3B" w:rsidRPr="007023E8" w:rsidRDefault="00D12070" w:rsidP="00D12070">
            <w:r>
              <w:t>SEM</w:t>
            </w:r>
          </w:p>
        </w:tc>
        <w:tc>
          <w:tcPr>
            <w:tcW w:w="6911" w:type="dxa"/>
          </w:tcPr>
          <w:p w:rsidR="00557B3B" w:rsidRPr="007023E8" w:rsidRDefault="00557B3B" w:rsidP="00D12070">
            <w:r w:rsidRPr="007023E8">
              <w:t>Standard error of the mean</w:t>
            </w:r>
          </w:p>
        </w:tc>
      </w:tr>
      <w:tr w:rsidR="00557B3B" w:rsidRPr="007023E8" w:rsidTr="00D12070">
        <w:tc>
          <w:tcPr>
            <w:tcW w:w="1809" w:type="dxa"/>
          </w:tcPr>
          <w:p w:rsidR="00557B3B" w:rsidRPr="007023E8" w:rsidRDefault="00D12070" w:rsidP="00D12070">
            <w:r>
              <w:t>SOC</w:t>
            </w:r>
          </w:p>
        </w:tc>
        <w:tc>
          <w:tcPr>
            <w:tcW w:w="6911" w:type="dxa"/>
          </w:tcPr>
          <w:p w:rsidR="00557B3B" w:rsidRPr="007023E8" w:rsidRDefault="00557B3B" w:rsidP="00D12070">
            <w:r w:rsidRPr="007023E8">
              <w:t>System Organ Class</w:t>
            </w:r>
          </w:p>
        </w:tc>
      </w:tr>
      <w:tr w:rsidR="00557B3B" w:rsidRPr="007023E8" w:rsidTr="00D12070">
        <w:tc>
          <w:tcPr>
            <w:tcW w:w="1809" w:type="dxa"/>
          </w:tcPr>
          <w:p w:rsidR="00557B3B" w:rsidRPr="007023E8" w:rsidRDefault="00557B3B" w:rsidP="00D12070">
            <w:r w:rsidRPr="007023E8">
              <w:t>SPC</w:t>
            </w:r>
          </w:p>
        </w:tc>
        <w:tc>
          <w:tcPr>
            <w:tcW w:w="6911" w:type="dxa"/>
          </w:tcPr>
          <w:p w:rsidR="00557B3B" w:rsidRPr="007023E8" w:rsidRDefault="00557B3B" w:rsidP="00D12070">
            <w:r w:rsidRPr="007023E8">
              <w:t>Summary of product characteristics</w:t>
            </w:r>
          </w:p>
        </w:tc>
      </w:tr>
      <w:tr w:rsidR="00557B3B" w:rsidRPr="007023E8" w:rsidTr="00D12070">
        <w:tc>
          <w:tcPr>
            <w:tcW w:w="1809" w:type="dxa"/>
          </w:tcPr>
          <w:p w:rsidR="00557B3B" w:rsidRPr="007023E8" w:rsidRDefault="00557B3B" w:rsidP="00D12070">
            <w:r>
              <w:t>SS</w:t>
            </w:r>
          </w:p>
        </w:tc>
        <w:tc>
          <w:tcPr>
            <w:tcW w:w="6911" w:type="dxa"/>
          </w:tcPr>
          <w:p w:rsidR="00557B3B" w:rsidRPr="007023E8" w:rsidRDefault="00557B3B" w:rsidP="00D12070">
            <w:r>
              <w:t>Steady state</w:t>
            </w:r>
          </w:p>
        </w:tc>
      </w:tr>
      <w:tr w:rsidR="00557B3B" w:rsidRPr="007023E8" w:rsidTr="00D12070">
        <w:tc>
          <w:tcPr>
            <w:tcW w:w="1809" w:type="dxa"/>
          </w:tcPr>
          <w:p w:rsidR="00557B3B" w:rsidRPr="007023E8" w:rsidRDefault="00D12070" w:rsidP="00D12070">
            <w:r>
              <w:t>ULN</w:t>
            </w:r>
          </w:p>
        </w:tc>
        <w:tc>
          <w:tcPr>
            <w:tcW w:w="6911" w:type="dxa"/>
          </w:tcPr>
          <w:p w:rsidR="00557B3B" w:rsidRPr="007023E8" w:rsidRDefault="00557B3B" w:rsidP="00D12070">
            <w:r w:rsidRPr="007023E8">
              <w:t>Upper limit of normal</w:t>
            </w:r>
          </w:p>
        </w:tc>
      </w:tr>
      <w:tr w:rsidR="00557B3B" w:rsidRPr="007023E8" w:rsidTr="00D12070">
        <w:tc>
          <w:tcPr>
            <w:tcW w:w="1809" w:type="dxa"/>
          </w:tcPr>
          <w:p w:rsidR="00557B3B" w:rsidRPr="007023E8" w:rsidRDefault="00D12070" w:rsidP="00D12070">
            <w:r>
              <w:t>VLDL-C</w:t>
            </w:r>
          </w:p>
        </w:tc>
        <w:tc>
          <w:tcPr>
            <w:tcW w:w="6911" w:type="dxa"/>
          </w:tcPr>
          <w:p w:rsidR="00557B3B" w:rsidRPr="007023E8" w:rsidRDefault="00557B3B" w:rsidP="00D12070">
            <w:r w:rsidRPr="007023E8">
              <w:t>Very low-density lipoprotein cholesterol.</w:t>
            </w:r>
          </w:p>
        </w:tc>
      </w:tr>
    </w:tbl>
    <w:p w:rsidR="00CC02EE" w:rsidRDefault="00CC02EE" w:rsidP="00D12070">
      <w:pPr>
        <w:pStyle w:val="Heading2"/>
        <w:rPr>
          <w:lang w:eastAsia="en-AU"/>
        </w:rPr>
      </w:pPr>
      <w:bookmarkStart w:id="8" w:name="_Toc351718900"/>
      <w:bookmarkStart w:id="9" w:name="_Toc355338635"/>
      <w:bookmarkStart w:id="10" w:name="_Toc382578275"/>
      <w:r>
        <w:rPr>
          <w:lang w:eastAsia="en-AU"/>
        </w:rPr>
        <w:lastRenderedPageBreak/>
        <w:t>Introduction</w:t>
      </w:r>
      <w:bookmarkEnd w:id="10"/>
    </w:p>
    <w:p w:rsidR="00CC02EE" w:rsidRPr="00AC6E8F" w:rsidRDefault="00CC02EE" w:rsidP="00D12070">
      <w:r w:rsidRPr="00E775A3">
        <w:t>This is a submission to amend the currently approved indication for Philadelphia chromosome positive acute lymphoblastic leuk</w:t>
      </w:r>
      <w:r w:rsidR="00E775A3" w:rsidRPr="00E775A3">
        <w:t>a</w:t>
      </w:r>
      <w:r w:rsidRPr="00E775A3">
        <w:t xml:space="preserve">emia (PH+ALL) </w:t>
      </w:r>
      <w:r w:rsidR="00E775A3">
        <w:t>to</w:t>
      </w:r>
      <w:r w:rsidR="00E775A3" w:rsidRPr="00AC6E8F">
        <w:rPr>
          <w:i/>
          <w:iCs/>
        </w:rPr>
        <w:t xml:space="preserve"> </w:t>
      </w:r>
      <w:r w:rsidR="00AC6E8F" w:rsidRPr="00AC6E8F">
        <w:rPr>
          <w:i/>
          <w:iCs/>
        </w:rPr>
        <w:t>“Imatinib,</w:t>
      </w:r>
      <w:r w:rsidR="00AC6E8F">
        <w:rPr>
          <w:i/>
          <w:iCs/>
        </w:rPr>
        <w:t xml:space="preserve"> </w:t>
      </w:r>
      <w:r w:rsidR="00AC6E8F" w:rsidRPr="00AC6E8F">
        <w:rPr>
          <w:i/>
          <w:iCs/>
        </w:rPr>
        <w:t xml:space="preserve">integrated with chemotherapy, is indicated for the treatment of newly diagnosed </w:t>
      </w:r>
      <w:r w:rsidR="00AC6E8F">
        <w:rPr>
          <w:i/>
          <w:iCs/>
        </w:rPr>
        <w:t xml:space="preserve">paediatric </w:t>
      </w:r>
      <w:r w:rsidR="00AC6E8F" w:rsidRPr="00AC6E8F">
        <w:rPr>
          <w:i/>
          <w:iCs/>
        </w:rPr>
        <w:t>patients with Philadelphia chromosome positive acute lymphoblastic leuk</w:t>
      </w:r>
      <w:r w:rsidR="00AC6E8F">
        <w:rPr>
          <w:i/>
          <w:iCs/>
        </w:rPr>
        <w:t>a</w:t>
      </w:r>
      <w:r w:rsidR="00AC6E8F" w:rsidRPr="00AC6E8F">
        <w:rPr>
          <w:i/>
          <w:iCs/>
        </w:rPr>
        <w:t>emia”</w:t>
      </w:r>
      <w:r w:rsidR="00D12070" w:rsidRPr="00D12070">
        <w:rPr>
          <w:iCs/>
        </w:rPr>
        <w:t>.</w:t>
      </w:r>
    </w:p>
    <w:p w:rsidR="00CC02EE" w:rsidRPr="00E775A3" w:rsidRDefault="00CC02EE" w:rsidP="00D12070">
      <w:proofErr w:type="spellStart"/>
      <w:r w:rsidRPr="00E775A3">
        <w:t>Imatinib</w:t>
      </w:r>
      <w:proofErr w:type="spellEnd"/>
      <w:r w:rsidRPr="00E775A3">
        <w:t xml:space="preserve"> is a small molecule protein tyrosine kinase inhibitor.  It inhibits the activity of several tyrosine kinases i.e.: c-Kit, the receptor for stem cell factor coded by the c-Kit proto-oncogene, the platelet derived growth factor receptors alpha and beta (PDGFR alpha and PDGFR beta), the ABL family of non-receptor tyrosine kinases consisting of ABL1 and ABL2, </w:t>
      </w:r>
      <w:r w:rsidR="00E40F11">
        <w:t xml:space="preserve">the </w:t>
      </w:r>
      <w:proofErr w:type="spellStart"/>
      <w:r w:rsidRPr="00E775A3">
        <w:t>discoidin</w:t>
      </w:r>
      <w:proofErr w:type="spellEnd"/>
      <w:r w:rsidRPr="00E775A3">
        <w:t xml:space="preserve"> domain receptors DDR1 and DDR2 which are receptors for collagen</w:t>
      </w:r>
      <w:r w:rsidR="00E40F11">
        <w:t>,</w:t>
      </w:r>
      <w:r w:rsidRPr="00E775A3">
        <w:t xml:space="preserve"> and c-</w:t>
      </w:r>
      <w:proofErr w:type="spellStart"/>
      <w:r w:rsidRPr="00E775A3">
        <w:t>Fms</w:t>
      </w:r>
      <w:proofErr w:type="spellEnd"/>
      <w:r w:rsidRPr="00E775A3">
        <w:t xml:space="preserve"> the receptor for </w:t>
      </w:r>
      <w:r w:rsidR="00D12070">
        <w:t>macrophage stimulating factor.</w:t>
      </w:r>
    </w:p>
    <w:p w:rsidR="00CC02EE" w:rsidRPr="00E775A3" w:rsidRDefault="00CC02EE" w:rsidP="00D12070">
      <w:proofErr w:type="spellStart"/>
      <w:r w:rsidRPr="00E775A3">
        <w:t>Imatinib</w:t>
      </w:r>
      <w:proofErr w:type="spellEnd"/>
      <w:r w:rsidRPr="00E775A3">
        <w:t xml:space="preserve"> was first registered on 13 August 2001 and has been approved in Australia for the treatment of a number of solid tumour and haematological conditions where tyrosine kinases play a role in the disease.  This includes acute lymphoblastic leuk</w:t>
      </w:r>
      <w:r w:rsidR="00E775A3">
        <w:t>a</w:t>
      </w:r>
      <w:r w:rsidRPr="00E775A3">
        <w:t>emia (ALL) the most common disease</w:t>
      </w:r>
      <w:r w:rsidR="00E775A3">
        <w:t xml:space="preserve"> in the paediatric population. </w:t>
      </w:r>
      <w:r w:rsidRPr="00E775A3">
        <w:t>Imatinib was approved for the treatment of adult patients with Philadelphi</w:t>
      </w:r>
      <w:r w:rsidR="00D12070">
        <w:t>a positive ALL on 10 May 2007.</w:t>
      </w:r>
    </w:p>
    <w:p w:rsidR="00CC02EE" w:rsidRPr="00E775A3" w:rsidRDefault="00CC02EE" w:rsidP="00D12070">
      <w:r w:rsidRPr="00E775A3">
        <w:t>The proposed additional indication is to include paediatric patients thereby the indication to read for treatment of adult and paediatric patients with newly diagnosed Philadelphia chromosome positive acute lymphoblastic leuk</w:t>
      </w:r>
      <w:r w:rsidR="00E775A3">
        <w:t>a</w:t>
      </w:r>
      <w:r w:rsidRPr="00E775A3">
        <w:t>emia</w:t>
      </w:r>
      <w:r w:rsidR="00D12070">
        <w:t xml:space="preserve"> integrated with chemotherapy.</w:t>
      </w:r>
    </w:p>
    <w:p w:rsidR="00CC02EE" w:rsidRPr="00E775A3" w:rsidRDefault="00CC02EE" w:rsidP="00D12070">
      <w:r w:rsidRPr="00E775A3">
        <w:t xml:space="preserve">Imatinib is presently marketed as hard gelatine capsules containing 50mg or 100mg of </w:t>
      </w:r>
      <w:r w:rsidR="00E775A3">
        <w:t>i</w:t>
      </w:r>
      <w:r w:rsidRPr="00E775A3">
        <w:t xml:space="preserve">matinib and a film coated tablet containing 100mg or 400mg of </w:t>
      </w:r>
      <w:proofErr w:type="spellStart"/>
      <w:r w:rsidR="00E775A3">
        <w:t>i</w:t>
      </w:r>
      <w:r w:rsidR="00D12070">
        <w:t>matinib</w:t>
      </w:r>
      <w:proofErr w:type="spellEnd"/>
      <w:r w:rsidR="00D12070">
        <w:t>.</w:t>
      </w:r>
    </w:p>
    <w:p w:rsidR="00CC02EE" w:rsidRDefault="00CC02EE" w:rsidP="00D12070">
      <w:r w:rsidRPr="00E775A3">
        <w:t>Proposed dosage and administration</w:t>
      </w:r>
      <w:r w:rsidR="00E775A3">
        <w:t xml:space="preserve">: </w:t>
      </w:r>
      <w:r w:rsidRPr="00CC02EE">
        <w:t>For the treatment of PH positive ALL in children should be based on body surface area (mg per meter squared</w:t>
      </w:r>
      <w:r w:rsidR="00BF6EFA">
        <w:t xml:space="preserve"> (/m</w:t>
      </w:r>
      <w:r w:rsidR="00BF6EFA" w:rsidRPr="00BF6EFA">
        <w:rPr>
          <w:vertAlign w:val="superscript"/>
        </w:rPr>
        <w:t>2</w:t>
      </w:r>
      <w:r w:rsidRPr="00CC02EE">
        <w:t>).  A dose of 340mg</w:t>
      </w:r>
      <w:r w:rsidR="00BF6EFA">
        <w:t>/</w:t>
      </w:r>
      <w:r w:rsidR="00BF6EFA" w:rsidRPr="00BF6EFA">
        <w:t>m</w:t>
      </w:r>
      <w:r w:rsidR="00BF6EFA" w:rsidRPr="00BF6EFA">
        <w:rPr>
          <w:vertAlign w:val="superscript"/>
        </w:rPr>
        <w:t>2</w:t>
      </w:r>
      <w:r w:rsidRPr="00CC02EE">
        <w:t xml:space="preserve"> daily is recommended for children with Philadelphia positive ALL not to exceed a total dose of 600mg per day.  Treatment can </w:t>
      </w:r>
      <w:r w:rsidR="00D12070">
        <w:t>be given as a once daily dose.</w:t>
      </w:r>
    </w:p>
    <w:p w:rsidR="00057385" w:rsidRDefault="00057385" w:rsidP="00D12070">
      <w:r w:rsidRPr="00057385">
        <w:t>Imatinib has been given orphan drug designation for Ph positive ALL from</w:t>
      </w:r>
      <w:r>
        <w:t xml:space="preserve"> </w:t>
      </w:r>
      <w:r w:rsidR="008C0D11">
        <w:t>May 2006</w:t>
      </w:r>
      <w:r w:rsidRPr="00057385">
        <w:t>.</w:t>
      </w:r>
    </w:p>
    <w:p w:rsidR="00586F98" w:rsidRDefault="00586F98" w:rsidP="00D12070">
      <w:pPr>
        <w:pStyle w:val="Heading2"/>
      </w:pPr>
      <w:bookmarkStart w:id="11" w:name="_Toc382578276"/>
      <w:r>
        <w:t>Clinical rationale</w:t>
      </w:r>
      <w:bookmarkEnd w:id="11"/>
    </w:p>
    <w:p w:rsidR="00CC02EE" w:rsidRPr="008C625E" w:rsidRDefault="00CC02EE" w:rsidP="00015C6A">
      <w:r w:rsidRPr="008C625E">
        <w:t xml:space="preserve">Imatinib is currently approved in over 110 countries for the treatment of both haematological or </w:t>
      </w:r>
      <w:r w:rsidR="00E775A3">
        <w:t xml:space="preserve">malignancies in solid tumours. </w:t>
      </w:r>
      <w:r w:rsidRPr="008C625E">
        <w:t xml:space="preserve">Imatinib is already approved in a paediatric indication namely Philadelphia chromosome positive </w:t>
      </w:r>
      <w:r w:rsidRPr="00E775A3">
        <w:t xml:space="preserve">chronic </w:t>
      </w:r>
      <w:proofErr w:type="spellStart"/>
      <w:r w:rsidRPr="00E775A3">
        <w:t>myelogenous</w:t>
      </w:r>
      <w:proofErr w:type="spellEnd"/>
      <w:r w:rsidRPr="00E775A3">
        <w:t xml:space="preserve"> leukaemia</w:t>
      </w:r>
      <w:r>
        <w:t xml:space="preserve"> (</w:t>
      </w:r>
      <w:r w:rsidRPr="008C625E">
        <w:t>CML</w:t>
      </w:r>
      <w:r>
        <w:t>)</w:t>
      </w:r>
      <w:r w:rsidRPr="008C625E">
        <w:t xml:space="preserve"> in blast crisis, accelerated phase or chronic phase after failure of Interferon – alpha therapy.  The recommended dose is 340mg</w:t>
      </w:r>
      <w:r w:rsidR="00BF6EFA">
        <w:t>/</w:t>
      </w:r>
      <w:r w:rsidR="00BF6EFA" w:rsidRPr="00BF6EFA">
        <w:t>m</w:t>
      </w:r>
      <w:r w:rsidR="00BF6EFA" w:rsidRPr="00BF6EFA">
        <w:rPr>
          <w:vertAlign w:val="superscript"/>
        </w:rPr>
        <w:t>2</w:t>
      </w:r>
      <w:r w:rsidRPr="008C625E">
        <w:t xml:space="preserve"> daily.  Imatinib is also currently approved in the European Union </w:t>
      </w:r>
      <w:r>
        <w:t xml:space="preserve">(EU) </w:t>
      </w:r>
      <w:r w:rsidRPr="008C625E">
        <w:t xml:space="preserve">for the treatment of adult patients with newly diagnosed Philadelphia positive </w:t>
      </w:r>
      <w:r>
        <w:t>a</w:t>
      </w:r>
      <w:r w:rsidRPr="00261F75">
        <w:t xml:space="preserve">cute lymphoblastic leukaemia </w:t>
      </w:r>
      <w:r>
        <w:t>(</w:t>
      </w:r>
      <w:r w:rsidRPr="008C625E">
        <w:t>ALL</w:t>
      </w:r>
      <w:r>
        <w:t>)</w:t>
      </w:r>
      <w:r w:rsidRPr="008C625E">
        <w:t xml:space="preserve"> integrated with chemotherapy at a recommend dose of 600mg per day.  Imatinib is also approved in the EU and the US for the treatment of adult patients with relapsed</w:t>
      </w:r>
      <w:r w:rsidR="00015C6A">
        <w:t xml:space="preserve"> or refractory </w:t>
      </w:r>
      <w:proofErr w:type="spellStart"/>
      <w:r w:rsidR="00015C6A">
        <w:t>Ph</w:t>
      </w:r>
      <w:proofErr w:type="spellEnd"/>
      <w:r w:rsidR="00015C6A">
        <w:t xml:space="preserve"> positive ALL.</w:t>
      </w:r>
    </w:p>
    <w:p w:rsidR="00CC02EE" w:rsidRPr="008C625E" w:rsidRDefault="00CC02EE" w:rsidP="00015C6A">
      <w:r w:rsidRPr="008C625E">
        <w:t>Accordingly</w:t>
      </w:r>
      <w:r>
        <w:t>,</w:t>
      </w:r>
      <w:r w:rsidRPr="008C625E">
        <w:t xml:space="preserve"> the current pivotal study ST1571I2301 </w:t>
      </w:r>
      <w:r>
        <w:t>(</w:t>
      </w:r>
      <w:r w:rsidRPr="008C625E">
        <w:t>to be known as 2301</w:t>
      </w:r>
      <w:r>
        <w:t>)</w:t>
      </w:r>
      <w:r w:rsidRPr="008C625E">
        <w:t xml:space="preserve"> is presented as a pivotal study supporting efficacy and safety in the treatment of newly diagnosed ALL very high risk paediatric patients.  Also presented as a supportive study, study A1T07 was undertaken with newly diagnosed Philadelphia positive ALL patients who were both good and poor risk.  However because of problems with randomi</w:t>
      </w:r>
      <w:r>
        <w:t>s</w:t>
      </w:r>
      <w:r w:rsidRPr="008C625E">
        <w:t>ation and patient accrual the study has been determined as appropriate for assessment for safety o</w:t>
      </w:r>
      <w:r w:rsidR="00015C6A">
        <w:t>nly in the present submission.</w:t>
      </w:r>
    </w:p>
    <w:p w:rsidR="00586F98" w:rsidRDefault="00586F98" w:rsidP="00015C6A">
      <w:pPr>
        <w:pStyle w:val="Heading2"/>
        <w:rPr>
          <w:lang w:eastAsia="en-AU"/>
        </w:rPr>
      </w:pPr>
      <w:bookmarkStart w:id="12" w:name="_Toc382578277"/>
      <w:r>
        <w:rPr>
          <w:lang w:eastAsia="en-AU"/>
        </w:rPr>
        <w:lastRenderedPageBreak/>
        <w:t>Contents of the clinical dossier</w:t>
      </w:r>
      <w:bookmarkEnd w:id="8"/>
      <w:bookmarkEnd w:id="9"/>
      <w:bookmarkEnd w:id="12"/>
    </w:p>
    <w:p w:rsidR="00586F98" w:rsidRDefault="00586F98" w:rsidP="00015C6A">
      <w:pPr>
        <w:pStyle w:val="Heading3"/>
      </w:pPr>
      <w:bookmarkStart w:id="13" w:name="_Toc382578278"/>
      <w:r>
        <w:t>Scope of the clinical dossier</w:t>
      </w:r>
      <w:bookmarkEnd w:id="13"/>
    </w:p>
    <w:p w:rsidR="00CC02EE" w:rsidRPr="009817D8" w:rsidRDefault="00CC02EE" w:rsidP="00015C6A">
      <w:r w:rsidRPr="009817D8">
        <w:t>The submission contained the following clinical information:</w:t>
      </w:r>
    </w:p>
    <w:p w:rsidR="00CC02EE" w:rsidRPr="009817D8" w:rsidRDefault="00CC02EE" w:rsidP="00015C6A">
      <w:r w:rsidRPr="009817D8">
        <w:t>Module 5 includes a pooled population PK analysis from four studies involving patients with Philadelphia positive CML, Philadelphia positive ALL and other haematological disorders as indicated in Table 1.  Also provided is a physiologically based PK (PBPK) model involving paediatric patients f</w:t>
      </w:r>
      <w:r w:rsidR="00015C6A">
        <w:t>rom the ages of 1 to 18 years.</w:t>
      </w:r>
    </w:p>
    <w:p w:rsidR="00CC02EE" w:rsidRPr="00CC02EE" w:rsidRDefault="00CC02EE" w:rsidP="00015C6A">
      <w:pPr>
        <w:pStyle w:val="TableTitle"/>
        <w:rPr>
          <w:lang w:eastAsia="ja-JP"/>
        </w:rPr>
      </w:pPr>
      <w:r w:rsidRPr="00CC02EE">
        <w:rPr>
          <w:lang w:eastAsia="ja-JP"/>
        </w:rPr>
        <w:t>Table 1: Summary of clinical and PK studies and PBPK analyses included in the submission</w:t>
      </w:r>
    </w:p>
    <w:p w:rsidR="00CC02EE" w:rsidRPr="00CC02EE" w:rsidRDefault="00CC02EE" w:rsidP="00015C6A">
      <w:pPr>
        <w:rPr>
          <w:lang w:eastAsia="ja-JP"/>
        </w:rPr>
      </w:pPr>
      <w:r w:rsidRPr="00CC02EE">
        <w:rPr>
          <w:noProof/>
          <w:lang w:eastAsia="en-AU"/>
        </w:rPr>
        <w:drawing>
          <wp:inline distT="0" distB="0" distL="0" distR="0" wp14:anchorId="409EA1AE" wp14:editId="20AD5CDD">
            <wp:extent cx="5400040" cy="2268017"/>
            <wp:effectExtent l="19050" t="0" r="0" b="0"/>
            <wp:docPr id="1" name="Picture 80" descr="Table 1: Summary of clinical and PK studies and PBPK analyses included in the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 cstate="print"/>
                    <a:srcRect/>
                    <a:stretch>
                      <a:fillRect/>
                    </a:stretch>
                  </pic:blipFill>
                  <pic:spPr bwMode="auto">
                    <a:xfrm>
                      <a:off x="0" y="0"/>
                      <a:ext cx="5400040" cy="2268017"/>
                    </a:xfrm>
                    <a:prstGeom prst="rect">
                      <a:avLst/>
                    </a:prstGeom>
                    <a:noFill/>
                    <a:ln w="9525">
                      <a:noFill/>
                      <a:miter lim="800000"/>
                      <a:headEnd/>
                      <a:tailEnd/>
                    </a:ln>
                  </pic:spPr>
                </pic:pic>
              </a:graphicData>
            </a:graphic>
          </wp:inline>
        </w:drawing>
      </w:r>
    </w:p>
    <w:p w:rsidR="00CC02EE" w:rsidRDefault="00CC02EE" w:rsidP="00015C6A">
      <w:pPr>
        <w:rPr>
          <w:lang w:eastAsia="ja-JP"/>
        </w:rPr>
      </w:pPr>
      <w:r w:rsidRPr="00CC02EE">
        <w:rPr>
          <w:lang w:eastAsia="ja-JP"/>
        </w:rPr>
        <w:t xml:space="preserve">The pivotal study for evaluation of efficacy and safety was study 2301 in newly diagnosed ALL very high risk patients.  Also </w:t>
      </w:r>
      <w:r w:rsidR="00E775A3">
        <w:rPr>
          <w:lang w:eastAsia="ja-JP"/>
        </w:rPr>
        <w:t xml:space="preserve">provided </w:t>
      </w:r>
      <w:r w:rsidRPr="00CC02EE">
        <w:rPr>
          <w:lang w:eastAsia="ja-JP"/>
        </w:rPr>
        <w:t>is a supportive study A1T07 which again was in newly diagnosed Philadelphia positive ALL patients of both good and poor risk.  As will be discussed within this submission the data provided in relation to efficacy for the supportive study is extremely limited and therefore not considered to be satisfactory for evaluation.  The safety</w:t>
      </w:r>
      <w:r w:rsidR="00015C6A">
        <w:rPr>
          <w:lang w:eastAsia="ja-JP"/>
        </w:rPr>
        <w:t xml:space="preserve"> data is considered pertinent.</w:t>
      </w:r>
    </w:p>
    <w:p w:rsidR="00CC02EE" w:rsidRPr="00E775A3" w:rsidRDefault="00CC02EE" w:rsidP="00015C6A">
      <w:pPr>
        <w:rPr>
          <w:lang w:eastAsia="ja-JP"/>
        </w:rPr>
      </w:pPr>
      <w:r w:rsidRPr="00E775A3">
        <w:rPr>
          <w:lang w:eastAsia="ja-JP"/>
        </w:rPr>
        <w:t>Module 1 contains the relevant application letter and forms, draft Australian PI and European summary of product characteristics.</w:t>
      </w:r>
    </w:p>
    <w:p w:rsidR="00CC02EE" w:rsidRPr="00E775A3" w:rsidRDefault="00CC02EE" w:rsidP="00015C6A">
      <w:pPr>
        <w:rPr>
          <w:lang w:eastAsia="ja-JP"/>
        </w:rPr>
      </w:pPr>
      <w:r w:rsidRPr="00E775A3">
        <w:rPr>
          <w:lang w:eastAsia="ja-JP"/>
        </w:rPr>
        <w:t>Module 2 also contains relevant clinical over views, summary of clinical pharmacology, clinical efficacy, clinical safety and literature</w:t>
      </w:r>
      <w:r w:rsidR="00015C6A">
        <w:rPr>
          <w:lang w:eastAsia="ja-JP"/>
        </w:rPr>
        <w:t xml:space="preserve"> references.</w:t>
      </w:r>
    </w:p>
    <w:p w:rsidR="00586F98" w:rsidRDefault="00586F98" w:rsidP="00015C6A">
      <w:pPr>
        <w:pStyle w:val="Heading3"/>
      </w:pPr>
      <w:bookmarkStart w:id="14" w:name="_Toc382578279"/>
      <w:r>
        <w:t>Paediatric data</w:t>
      </w:r>
      <w:bookmarkEnd w:id="14"/>
    </w:p>
    <w:p w:rsidR="00CC02EE" w:rsidRPr="00CC02EE" w:rsidRDefault="00CC02EE" w:rsidP="00015C6A">
      <w:pPr>
        <w:rPr>
          <w:lang w:eastAsia="ja-JP"/>
        </w:rPr>
      </w:pPr>
      <w:r w:rsidRPr="00CC02EE">
        <w:rPr>
          <w:lang w:eastAsia="ja-JP"/>
        </w:rPr>
        <w:t>All the data presented in this submission are in relation to paediatric patients.  This includes all pharmacological analyses together with the data from the pivotal study 2301 and various supportive studies.</w:t>
      </w:r>
    </w:p>
    <w:p w:rsidR="00586F98" w:rsidRDefault="00586F98" w:rsidP="00015C6A">
      <w:pPr>
        <w:pStyle w:val="Heading3"/>
      </w:pPr>
      <w:bookmarkStart w:id="15" w:name="_Toc382578280"/>
      <w:r>
        <w:t xml:space="preserve">Good clinical </w:t>
      </w:r>
      <w:r w:rsidRPr="00015C6A">
        <w:t>practice</w:t>
      </w:r>
      <w:bookmarkEnd w:id="15"/>
    </w:p>
    <w:p w:rsidR="00CC02EE" w:rsidRPr="00CC02EE" w:rsidRDefault="00CC02EE" w:rsidP="00015C6A">
      <w:pPr>
        <w:rPr>
          <w:lang w:eastAsia="ja-JP"/>
        </w:rPr>
      </w:pPr>
      <w:r w:rsidRPr="00CC02EE">
        <w:rPr>
          <w:lang w:eastAsia="ja-JP"/>
        </w:rPr>
        <w:t>All aspects of good clinical practice have been observed in the pivotal study and supportive studies.</w:t>
      </w:r>
    </w:p>
    <w:p w:rsidR="00586F98" w:rsidRDefault="00586F98" w:rsidP="00015C6A">
      <w:pPr>
        <w:pStyle w:val="Heading2"/>
      </w:pPr>
      <w:bookmarkStart w:id="16" w:name="_Toc355338639"/>
      <w:bookmarkStart w:id="17" w:name="_Toc382578281"/>
      <w:r>
        <w:lastRenderedPageBreak/>
        <w:t>Pharmacokinetics</w:t>
      </w:r>
      <w:bookmarkEnd w:id="16"/>
      <w:bookmarkEnd w:id="17"/>
    </w:p>
    <w:p w:rsidR="00CC02EE" w:rsidRPr="00CC02EE" w:rsidRDefault="00CC02EE" w:rsidP="00015C6A">
      <w:pPr>
        <w:pStyle w:val="Heading3"/>
      </w:pPr>
      <w:bookmarkStart w:id="18" w:name="_Ref271017296"/>
      <w:bookmarkStart w:id="19" w:name="_Ref271018924"/>
      <w:bookmarkStart w:id="20" w:name="_Ref271018934"/>
      <w:bookmarkStart w:id="21" w:name="_Toc272414614"/>
      <w:bookmarkStart w:id="22" w:name="_Toc290846238"/>
      <w:bookmarkStart w:id="23" w:name="_Toc338331089"/>
      <w:bookmarkStart w:id="24" w:name="_Toc373395166"/>
      <w:bookmarkStart w:id="25" w:name="_Toc382578282"/>
      <w:r w:rsidRPr="00CC02EE">
        <w:t>Studies</w:t>
      </w:r>
      <w:bookmarkEnd w:id="18"/>
      <w:bookmarkEnd w:id="19"/>
      <w:bookmarkEnd w:id="20"/>
      <w:r w:rsidRPr="00CC02EE">
        <w:t xml:space="preserve"> providing </w:t>
      </w:r>
      <w:r w:rsidRPr="00015C6A">
        <w:t>pharmacokinetic</w:t>
      </w:r>
      <w:r w:rsidRPr="00CC02EE">
        <w:t xml:space="preserve"> data</w:t>
      </w:r>
      <w:bookmarkEnd w:id="21"/>
      <w:bookmarkEnd w:id="22"/>
      <w:bookmarkEnd w:id="23"/>
      <w:bookmarkEnd w:id="24"/>
      <w:bookmarkEnd w:id="25"/>
    </w:p>
    <w:p w:rsidR="00CC02EE" w:rsidRPr="00CC02EE" w:rsidRDefault="00CC02EE" w:rsidP="00015C6A">
      <w:r w:rsidRPr="00CC02EE">
        <w:t>The clinical pharmacology of imatinib has previously been extensively described in the imatinib original application for newly diagnosed CML in adult and paediatric patients and patients with gastrointestinal stromal tumours.  T</w:t>
      </w:r>
      <w:r w:rsidR="006F0955">
        <w:t>his evaluation provides an over</w:t>
      </w:r>
      <w:r w:rsidRPr="00CC02EE">
        <w:t>view of the studies which support the cl</w:t>
      </w:r>
      <w:r w:rsidR="006F0955">
        <w:t>inical pharmacology summary of i</w:t>
      </w:r>
      <w:r w:rsidRPr="00CC02EE">
        <w:t xml:space="preserve">matinib in the paediatric </w:t>
      </w:r>
      <w:r w:rsidR="00B737AD" w:rsidRPr="00B737AD">
        <w:t>Philadelphia</w:t>
      </w:r>
      <w:r w:rsidRPr="00CC02EE">
        <w:t xml:space="preserve"> </w:t>
      </w:r>
      <w:r w:rsidR="00B737AD">
        <w:t xml:space="preserve">(Ph) </w:t>
      </w:r>
      <w:r w:rsidRPr="00CC02EE">
        <w:t>positive ALL indication</w:t>
      </w:r>
      <w:r w:rsidR="006F0955">
        <w:t>,</w:t>
      </w:r>
      <w:r w:rsidR="00015C6A">
        <w:t xml:space="preserve"> as indicated in Table 2.</w:t>
      </w:r>
    </w:p>
    <w:p w:rsidR="00015C6A" w:rsidRDefault="00CC02EE" w:rsidP="00015C6A">
      <w:pPr>
        <w:pStyle w:val="TableTitle"/>
      </w:pPr>
      <w:r w:rsidRPr="00CC02EE">
        <w:t>Table 2: Summary of clinical studies included in the previous submission and this submission</w:t>
      </w:r>
    </w:p>
    <w:p w:rsidR="00CC02EE" w:rsidRPr="00CC02EE" w:rsidRDefault="00CC02EE" w:rsidP="00015C6A">
      <w:r w:rsidRPr="00CC02EE">
        <w:rPr>
          <w:noProof/>
          <w:lang w:eastAsia="en-AU"/>
        </w:rPr>
        <w:drawing>
          <wp:inline distT="0" distB="0" distL="0" distR="0" wp14:anchorId="35D05D28" wp14:editId="15929D54">
            <wp:extent cx="5394198" cy="2348179"/>
            <wp:effectExtent l="19050" t="0" r="0" b="0"/>
            <wp:docPr id="2" name="Picture 77" descr="Table 2: Summary of clinical studies included in the previous submission and this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 cstate="print"/>
                    <a:srcRect/>
                    <a:stretch>
                      <a:fillRect/>
                    </a:stretch>
                  </pic:blipFill>
                  <pic:spPr bwMode="auto">
                    <a:xfrm>
                      <a:off x="0" y="0"/>
                      <a:ext cx="5400040" cy="2350722"/>
                    </a:xfrm>
                    <a:prstGeom prst="rect">
                      <a:avLst/>
                    </a:prstGeom>
                    <a:noFill/>
                    <a:ln w="9525">
                      <a:noFill/>
                      <a:miter lim="800000"/>
                      <a:headEnd/>
                      <a:tailEnd/>
                    </a:ln>
                  </pic:spPr>
                </pic:pic>
              </a:graphicData>
            </a:graphic>
          </wp:inline>
        </w:drawing>
      </w:r>
    </w:p>
    <w:p w:rsidR="00705792" w:rsidRDefault="00CC02EE" w:rsidP="00015C6A">
      <w:r w:rsidRPr="00CC02EE">
        <w:t xml:space="preserve">This paediatric </w:t>
      </w:r>
      <w:r w:rsidR="006F0955">
        <w:t xml:space="preserve">PK data in the </w:t>
      </w:r>
      <w:r w:rsidRPr="00CC02EE">
        <w:t>submission comprises two modelling study reports namely the pooled population pharmacokinetic modelling report update (IP PBPK) and the study report A2110.  The pooled population pharmacokinetic analysis was conducted in paediatric patients aged 2 to 18 years with haematological disorders including CML, PH positive ALL or other indicated haematological disorders in four clinical studies A0103, 3001, 2108 and A2110.  Since the 100 and 400mg tablet formulations were bioequivalent with the 100mg hard gelatine capsule there was no reason not to pool this P</w:t>
      </w:r>
      <w:r w:rsidR="00015C6A">
        <w:t>K data from the above studies.</w:t>
      </w:r>
    </w:p>
    <w:p w:rsidR="00CC02EE" w:rsidRPr="00CC02EE" w:rsidRDefault="00CC02EE" w:rsidP="00015C6A">
      <w:r w:rsidRPr="00CC02EE">
        <w:t>The PBPK modelling report did not use any clinical data and was based on a physiological simulation.  The PBPK model assessed the effect of the developmental pharmacology on systemic exposure to imatinib in paediatric patients.  The objectives of the PBPK modelling report were:</w:t>
      </w:r>
    </w:p>
    <w:p w:rsidR="00CC02EE" w:rsidRPr="00CC02EE" w:rsidRDefault="00CC02EE" w:rsidP="00015C6A">
      <w:pPr>
        <w:pStyle w:val="ListBullet"/>
      </w:pPr>
      <w:r w:rsidRPr="00CC02EE">
        <w:t>to predict paediatric PK using the PBPK approach based on the imatinib clearance in adult population then compare the results to the experimentally observed values</w:t>
      </w:r>
    </w:p>
    <w:p w:rsidR="00CC02EE" w:rsidRPr="00CC02EE" w:rsidRDefault="00CC02EE" w:rsidP="00015C6A">
      <w:pPr>
        <w:pStyle w:val="ListBullet"/>
      </w:pPr>
      <w:r w:rsidRPr="00CC02EE">
        <w:t xml:space="preserve">to predict Imatinib plasma concentration – time profiles in plasma and </w:t>
      </w:r>
      <w:r w:rsidRPr="00015C6A">
        <w:t>tissue</w:t>
      </w:r>
      <w:r w:rsidRPr="00CC02EE">
        <w:t xml:space="preserve"> in paediatric subjects and to assess the effect of paediatric growth process usi</w:t>
      </w:r>
      <w:r w:rsidR="00015C6A">
        <w:t>ng the PBPK model developed and</w:t>
      </w:r>
    </w:p>
    <w:p w:rsidR="00CC02EE" w:rsidRPr="00CC02EE" w:rsidRDefault="00CC02EE" w:rsidP="00015C6A">
      <w:pPr>
        <w:pStyle w:val="ListBullet"/>
      </w:pPr>
      <w:proofErr w:type="gramStart"/>
      <w:r w:rsidRPr="00CC02EE">
        <w:t>to</w:t>
      </w:r>
      <w:proofErr w:type="gramEnd"/>
      <w:r w:rsidRPr="00CC02EE">
        <w:t xml:space="preserve"> evaluate </w:t>
      </w:r>
      <w:r w:rsidRPr="00015C6A">
        <w:t>factors</w:t>
      </w:r>
      <w:r w:rsidRPr="00CC02EE">
        <w:t xml:space="preserve"> influencing the Imatinib exposure in paediatric patients with particular attention to children in </w:t>
      </w:r>
      <w:r w:rsidR="00015C6A">
        <w:t>the age range of 1 to 2 years.</w:t>
      </w:r>
    </w:p>
    <w:p w:rsidR="00CC02EE" w:rsidRPr="00CC02EE" w:rsidRDefault="00CC02EE" w:rsidP="00015C6A">
      <w:pPr>
        <w:pStyle w:val="Heading3"/>
      </w:pPr>
      <w:bookmarkStart w:id="26" w:name="_Toc373395167"/>
      <w:bookmarkStart w:id="27" w:name="_Toc382578283"/>
      <w:r w:rsidRPr="00CC02EE">
        <w:t xml:space="preserve">Pooled population pharmacokinetic </w:t>
      </w:r>
      <w:r w:rsidRPr="00015C6A">
        <w:t>modelling</w:t>
      </w:r>
      <w:r w:rsidRPr="00CC02EE">
        <w:t xml:space="preserve"> report:</w:t>
      </w:r>
      <w:bookmarkEnd w:id="26"/>
      <w:bookmarkEnd w:id="27"/>
    </w:p>
    <w:p w:rsidR="00CC02EE" w:rsidRPr="00CC02EE" w:rsidRDefault="00CC02EE" w:rsidP="00015C6A">
      <w:r w:rsidRPr="00CC02EE">
        <w:t>A population PK analysis was undertaken from four clinical studies A211</w:t>
      </w:r>
      <w:r w:rsidR="00705792">
        <w:t xml:space="preserve">0, A2108, 3001 and 0103. </w:t>
      </w:r>
      <w:r w:rsidRPr="00CC02EE">
        <w:t xml:space="preserve">The study designs for these four trials </w:t>
      </w:r>
      <w:r w:rsidR="00705792">
        <w:t xml:space="preserve">are </w:t>
      </w:r>
      <w:r w:rsidRPr="00CC02EE">
        <w:t>given in Table 3.  Objectives of the analysis were to:</w:t>
      </w:r>
    </w:p>
    <w:p w:rsidR="00CC02EE" w:rsidRPr="00BF6EFA" w:rsidRDefault="00CC02EE" w:rsidP="00015C6A">
      <w:pPr>
        <w:pStyle w:val="ListBullet"/>
      </w:pPr>
      <w:r w:rsidRPr="00BF6EFA">
        <w:t>characterise the pharmacokinetic profile of imatinib in paediatric patients</w:t>
      </w:r>
    </w:p>
    <w:p w:rsidR="00CC02EE" w:rsidRPr="00BF6EFA" w:rsidRDefault="00CC02EE" w:rsidP="00015C6A">
      <w:pPr>
        <w:pStyle w:val="ListBullet"/>
      </w:pPr>
      <w:r w:rsidRPr="00BF6EFA">
        <w:lastRenderedPageBreak/>
        <w:t xml:space="preserve">confirm pharmacokinetics in children from 2 years </w:t>
      </w:r>
      <w:r w:rsidRPr="00015C6A">
        <w:t>of</w:t>
      </w:r>
      <w:r w:rsidR="00015C6A">
        <w:t xml:space="preserve"> age on and</w:t>
      </w:r>
    </w:p>
    <w:p w:rsidR="00CC02EE" w:rsidRPr="00BF6EFA" w:rsidRDefault="00CC02EE" w:rsidP="00015C6A">
      <w:pPr>
        <w:pStyle w:val="ListBullet"/>
      </w:pPr>
      <w:proofErr w:type="gramStart"/>
      <w:r w:rsidRPr="00BF6EFA">
        <w:t>establish</w:t>
      </w:r>
      <w:proofErr w:type="gramEnd"/>
      <w:r w:rsidRPr="00BF6EFA">
        <w:t xml:space="preserve"> adequate dosing schedule schemes for paediatric </w:t>
      </w:r>
      <w:r w:rsidRPr="00015C6A">
        <w:t>patients</w:t>
      </w:r>
      <w:r w:rsidRPr="00BF6EFA">
        <w:t xml:space="preserve"> by model – based simulation using the final Pop PK model.</w:t>
      </w:r>
    </w:p>
    <w:p w:rsidR="00CC02EE" w:rsidRPr="00CC02EE" w:rsidRDefault="00CC02EE" w:rsidP="00015C6A">
      <w:pPr>
        <w:pStyle w:val="TableTitle"/>
      </w:pPr>
      <w:r w:rsidRPr="00CC02EE">
        <w:t xml:space="preserve">Table 3: Study designs and pharmacokinetic sampling times for studies contributing to the </w:t>
      </w:r>
      <w:proofErr w:type="spellStart"/>
      <w:r w:rsidRPr="00CC02EE">
        <w:t>PopPK</w:t>
      </w:r>
      <w:proofErr w:type="spellEnd"/>
      <w:r w:rsidRPr="00CC02EE">
        <w:t xml:space="preserve"> analysis (N=67)</w:t>
      </w:r>
    </w:p>
    <w:p w:rsidR="00CC02EE" w:rsidRPr="00CC02EE" w:rsidRDefault="00CC02EE" w:rsidP="00015C6A">
      <w:r w:rsidRPr="00CC02EE">
        <w:rPr>
          <w:noProof/>
          <w:lang w:eastAsia="en-AU"/>
        </w:rPr>
        <w:drawing>
          <wp:inline distT="0" distB="0" distL="0" distR="0" wp14:anchorId="34AA522B" wp14:editId="051F0D5F">
            <wp:extent cx="5400040" cy="3092391"/>
            <wp:effectExtent l="19050" t="0" r="0" b="0"/>
            <wp:docPr id="3" name="Picture 86" descr="Table 3: Study designs and pharmacokinetic sampling times for studies contributing to the PopPK analysis (N=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 cstate="print"/>
                    <a:srcRect/>
                    <a:stretch>
                      <a:fillRect/>
                    </a:stretch>
                  </pic:blipFill>
                  <pic:spPr bwMode="auto">
                    <a:xfrm>
                      <a:off x="0" y="0"/>
                      <a:ext cx="5400040" cy="3092391"/>
                    </a:xfrm>
                    <a:prstGeom prst="rect">
                      <a:avLst/>
                    </a:prstGeom>
                    <a:noFill/>
                    <a:ln w="9525">
                      <a:noFill/>
                      <a:miter lim="800000"/>
                      <a:headEnd/>
                      <a:tailEnd/>
                    </a:ln>
                  </pic:spPr>
                </pic:pic>
              </a:graphicData>
            </a:graphic>
          </wp:inline>
        </w:drawing>
      </w:r>
    </w:p>
    <w:p w:rsidR="00CC02EE" w:rsidRDefault="00CC02EE" w:rsidP="00015C6A">
      <w:r w:rsidRPr="00BF6EFA">
        <w:t xml:space="preserve">Data from subjects between 2 and 18 years of age were pooled from the four studies and plasma concentrations were measured for imatinib and the major pharmacologically active metabolite CPG74588.  Non-linear mixed effects models for the Pop PK imatinib and the metabolite were developed using </w:t>
      </w:r>
      <w:proofErr w:type="spellStart"/>
      <w:r w:rsidRPr="00BF6EFA">
        <w:t>Nonmem</w:t>
      </w:r>
      <w:proofErr w:type="spellEnd"/>
      <w:r w:rsidRPr="00BF6EFA">
        <w:t xml:space="preserve"> version V1 level 2 with 1 interaction.  The final model was used to assess clearance across body surface area, body weight and age.  The clearance relationship with body weight from the final model was compared to the previously reported adult model.  The final model was then used to simulate PK parameters and related PK exposure measures including AUC, </w:t>
      </w:r>
      <w:proofErr w:type="spellStart"/>
      <w:r w:rsidRPr="00BF6EFA">
        <w:t>Cmax</w:t>
      </w:r>
      <w:proofErr w:type="spellEnd"/>
      <w:r w:rsidRPr="00BF6EFA">
        <w:t xml:space="preserve">, </w:t>
      </w:r>
      <w:proofErr w:type="spellStart"/>
      <w:proofErr w:type="gramStart"/>
      <w:r w:rsidRPr="00BF6EFA">
        <w:t>Cmin</w:t>
      </w:r>
      <w:proofErr w:type="spellEnd"/>
      <w:proofErr w:type="gramEnd"/>
      <w:r w:rsidRPr="00BF6EFA">
        <w:t xml:space="preserve"> for the proposed paediatric dose of 260 and 340mg/</w:t>
      </w:r>
      <w:r w:rsidR="00BF6EFA" w:rsidRPr="00BF6EFA">
        <w:t>m</w:t>
      </w:r>
      <w:r w:rsidR="00BF6EFA" w:rsidRPr="00BF6EFA">
        <w:rPr>
          <w:vertAlign w:val="superscript"/>
        </w:rPr>
        <w:t>2</w:t>
      </w:r>
      <w:r w:rsidRPr="00BF6EFA">
        <w:t>as well as for various alternative dosing schemes including those designed to match the AUC for children with adults</w:t>
      </w:r>
      <w:r w:rsidR="00D57669">
        <w:t xml:space="preserve"> as indicated in Table 4</w:t>
      </w:r>
      <w:r w:rsidR="005A4F29">
        <w:t>.</w:t>
      </w:r>
    </w:p>
    <w:p w:rsidR="00D57669" w:rsidRDefault="00D57669" w:rsidP="00015C6A">
      <w:pPr>
        <w:pStyle w:val="TableTitle"/>
      </w:pPr>
      <w:r>
        <w:t xml:space="preserve">Table 4: </w:t>
      </w:r>
      <w:r w:rsidRPr="00D57669">
        <w:t>Dosing strategies evaluated by simulation in terms of their impact on</w:t>
      </w:r>
      <w:r>
        <w:t xml:space="preserve"> </w:t>
      </w:r>
      <w:r w:rsidRPr="00D57669">
        <w:t xml:space="preserve">AUC, </w:t>
      </w:r>
      <w:proofErr w:type="spellStart"/>
      <w:r w:rsidRPr="00D57669">
        <w:t>Cmax</w:t>
      </w:r>
      <w:proofErr w:type="spellEnd"/>
      <w:r w:rsidRPr="00D57669">
        <w:t xml:space="preserve">, and </w:t>
      </w:r>
      <w:proofErr w:type="spellStart"/>
      <w:r w:rsidRPr="00D57669">
        <w:t>Cmin</w:t>
      </w:r>
      <w:proofErr w:type="spellEnd"/>
    </w:p>
    <w:p w:rsidR="00D57669" w:rsidRPr="00BF6EFA" w:rsidRDefault="00D57669" w:rsidP="00015C6A">
      <w:r>
        <w:rPr>
          <w:noProof/>
          <w:lang w:eastAsia="en-AU"/>
        </w:rPr>
        <w:drawing>
          <wp:inline distT="0" distB="0" distL="0" distR="0" wp14:anchorId="1350AF82" wp14:editId="1969D855">
            <wp:extent cx="5731510" cy="1768833"/>
            <wp:effectExtent l="19050" t="0" r="2540" b="0"/>
            <wp:docPr id="75" name="Picture 75" descr="Table 4: Dosing strategies evaluated by simulation in terms of their impact on AUC, Cmax, and C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 cstate="print"/>
                    <a:srcRect/>
                    <a:stretch>
                      <a:fillRect/>
                    </a:stretch>
                  </pic:blipFill>
                  <pic:spPr bwMode="auto">
                    <a:xfrm>
                      <a:off x="0" y="0"/>
                      <a:ext cx="5731510" cy="1768833"/>
                    </a:xfrm>
                    <a:prstGeom prst="rect">
                      <a:avLst/>
                    </a:prstGeom>
                    <a:noFill/>
                    <a:ln w="9525">
                      <a:noFill/>
                      <a:miter lim="800000"/>
                      <a:headEnd/>
                      <a:tailEnd/>
                    </a:ln>
                  </pic:spPr>
                </pic:pic>
              </a:graphicData>
            </a:graphic>
          </wp:inline>
        </w:drawing>
      </w:r>
    </w:p>
    <w:p w:rsidR="00CC02EE" w:rsidRPr="00CC02EE" w:rsidRDefault="00CC02EE" w:rsidP="00015C6A">
      <w:pPr>
        <w:rPr>
          <w:lang w:val="en-US"/>
        </w:rPr>
      </w:pPr>
      <w:r w:rsidRPr="005A4F29">
        <w:t xml:space="preserve">The results of the analysis revealed the Pop PK imatinib were characterised by a one compartmental model with zero </w:t>
      </w:r>
      <w:r w:rsidR="00705792">
        <w:t xml:space="preserve">order </w:t>
      </w:r>
      <w:r w:rsidRPr="005A4F29">
        <w:t>absorption and first order elimination.  The model was parameterised in terms of apparent clearance (C</w:t>
      </w:r>
      <w:r w:rsidR="00705792">
        <w:t>L/</w:t>
      </w:r>
      <w:r w:rsidRPr="005A4F29">
        <w:t>F), apparent volume of distribution (V</w:t>
      </w:r>
      <w:r w:rsidR="00705792">
        <w:t xml:space="preserve">/F), </w:t>
      </w:r>
      <w:r w:rsidR="00705792">
        <w:lastRenderedPageBreak/>
        <w:t>and duration of zero</w:t>
      </w:r>
      <w:r w:rsidRPr="005A4F29">
        <w:t>–</w:t>
      </w:r>
      <w:r w:rsidR="00705792">
        <w:t xml:space="preserve">order input (D1). </w:t>
      </w:r>
      <w:r w:rsidRPr="005A4F29">
        <w:t>Inter-individual variability in CL</w:t>
      </w:r>
      <w:r w:rsidR="00705792">
        <w:t>/</w:t>
      </w:r>
      <w:r w:rsidRPr="005A4F29">
        <w:t>F and V</w:t>
      </w:r>
      <w:r w:rsidR="00705792">
        <w:t>/</w:t>
      </w:r>
      <w:r w:rsidRPr="005A4F29">
        <w:t>F were characterised by log normal distributions and the residual error by a combined error model.</w:t>
      </w:r>
      <w:r w:rsidRPr="00CC02EE">
        <w:rPr>
          <w:lang w:val="en-US"/>
        </w:rPr>
        <w:t xml:space="preserve">  </w:t>
      </w:r>
      <w:r w:rsidRPr="005A4F29">
        <w:t>Analysis revealed that CL</w:t>
      </w:r>
      <w:r w:rsidR="00705792">
        <w:t>/</w:t>
      </w:r>
      <w:r w:rsidRPr="005A4F29">
        <w:t>F and V</w:t>
      </w:r>
      <w:r w:rsidR="00705792">
        <w:t>/</w:t>
      </w:r>
      <w:r w:rsidRPr="005A4F29">
        <w:t xml:space="preserve">F increased with body surface area.  After correcting for the body surface area (BSA) effect the following </w:t>
      </w:r>
      <w:r w:rsidR="0050734C">
        <w:t xml:space="preserve">covariates </w:t>
      </w:r>
      <w:r w:rsidRPr="005A4F29">
        <w:t xml:space="preserve">were </w:t>
      </w:r>
      <w:r w:rsidR="0050734C">
        <w:t xml:space="preserve">not </w:t>
      </w:r>
      <w:r w:rsidRPr="005A4F29">
        <w:t>found to have clinically significant effects on the exposure of imatinib</w:t>
      </w:r>
      <w:r w:rsidR="0050734C">
        <w:t>:</w:t>
      </w:r>
      <w:r w:rsidRPr="005A4F29">
        <w:t xml:space="preserve"> age, gender, race, white blood count, haemoglobin, body weight, body mass index (BMI) and disease type.  The clearance for a subject whose BSA was equal to</w:t>
      </w:r>
      <w:r w:rsidR="00BF6EFA" w:rsidRPr="005A4F29">
        <w:t xml:space="preserve"> 1.73/m</w:t>
      </w:r>
      <w:r w:rsidR="00BF6EFA" w:rsidRPr="005A4F29">
        <w:rPr>
          <w:vertAlign w:val="superscript"/>
        </w:rPr>
        <w:t>2</w:t>
      </w:r>
      <w:r w:rsidRPr="005A4F29">
        <w:t>was 9.06 litres per hour which corresponds with estimates from previous work in the adult population.</w:t>
      </w:r>
    </w:p>
    <w:p w:rsidR="0050734C" w:rsidRPr="0050734C" w:rsidRDefault="00CC02EE" w:rsidP="00015C6A">
      <w:r w:rsidRPr="006F0955">
        <w:t xml:space="preserve">There was no statistically significant difference in imatinib clearance among disease types as indicated in Figure 1 </w:t>
      </w:r>
      <w:r w:rsidR="00002ECF">
        <w:t>P</w:t>
      </w:r>
      <w:r w:rsidR="0050734C" w:rsidRPr="0050734C">
        <w:t xml:space="preserve">atients with Ph positive ALL </w:t>
      </w:r>
      <w:r w:rsidR="00002ECF">
        <w:t xml:space="preserve">were </w:t>
      </w:r>
      <w:r w:rsidR="0050734C" w:rsidRPr="0050734C">
        <w:t xml:space="preserve">estimated to have an imatinib clearance of 9.7% </w:t>
      </w:r>
      <w:r w:rsidR="00002ECF">
        <w:t>(</w:t>
      </w:r>
      <w:r w:rsidR="0050734C" w:rsidRPr="0050734C">
        <w:t>SE 15.9</w:t>
      </w:r>
      <w:r w:rsidR="00002ECF">
        <w:t xml:space="preserve">%) </w:t>
      </w:r>
      <w:r w:rsidR="0050734C" w:rsidRPr="0050734C">
        <w:t xml:space="preserve">less </w:t>
      </w:r>
      <w:r w:rsidR="00015C6A">
        <w:t xml:space="preserve">than that for </w:t>
      </w:r>
      <w:proofErr w:type="spellStart"/>
      <w:r w:rsidR="00015C6A">
        <w:t>Ph</w:t>
      </w:r>
      <w:proofErr w:type="spellEnd"/>
      <w:r w:rsidR="00015C6A">
        <w:t xml:space="preserve"> positive CML.</w:t>
      </w:r>
    </w:p>
    <w:p w:rsidR="00CC02EE" w:rsidRPr="006F0955" w:rsidRDefault="00CC02EE" w:rsidP="00015C6A">
      <w:pPr>
        <w:pStyle w:val="FigureTitle"/>
      </w:pPr>
      <w:r w:rsidRPr="006F0955">
        <w:t>Figure 1: Imatinib clearance normalized to BSA=1.73m² by disease type (N=67)</w:t>
      </w:r>
    </w:p>
    <w:p w:rsidR="00CC02EE" w:rsidRPr="00CC02EE" w:rsidRDefault="00CC02EE" w:rsidP="00015C6A">
      <w:r w:rsidRPr="00CC02EE">
        <w:rPr>
          <w:noProof/>
          <w:lang w:eastAsia="en-AU"/>
        </w:rPr>
        <w:drawing>
          <wp:inline distT="0" distB="0" distL="0" distR="0" wp14:anchorId="0C9D0102" wp14:editId="7E3C722E">
            <wp:extent cx="3609289" cy="3716122"/>
            <wp:effectExtent l="19050" t="0" r="0" b="0"/>
            <wp:docPr id="6" name="Picture 95" descr="Figure 1: Imatinib clearance normalized to BSA=1.73m² by disease type (N=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8" cstate="print"/>
                    <a:srcRect/>
                    <a:stretch>
                      <a:fillRect/>
                    </a:stretch>
                  </pic:blipFill>
                  <pic:spPr bwMode="auto">
                    <a:xfrm>
                      <a:off x="0" y="0"/>
                      <a:ext cx="3609515" cy="3716355"/>
                    </a:xfrm>
                    <a:prstGeom prst="rect">
                      <a:avLst/>
                    </a:prstGeom>
                    <a:noFill/>
                    <a:ln w="9525">
                      <a:noFill/>
                      <a:miter lim="800000"/>
                      <a:headEnd/>
                      <a:tailEnd/>
                    </a:ln>
                  </pic:spPr>
                </pic:pic>
              </a:graphicData>
            </a:graphic>
          </wp:inline>
        </w:drawing>
      </w:r>
    </w:p>
    <w:p w:rsidR="00CC02EE" w:rsidRPr="006F0955" w:rsidRDefault="00CC02EE" w:rsidP="00015C6A">
      <w:r w:rsidRPr="006F0955">
        <w:t>Comparison of the relationship between clearance and body weight in the final model with a previously developed adult model shows that the models are consistent with each other for body weights of 60 kilograms and higher.  Refitting the final model without subjects younger than 4 years led to similar parameter estimate</w:t>
      </w:r>
      <w:r w:rsidR="006F0955">
        <w:t>s.  Prediction of concentration</w:t>
      </w:r>
      <w:r w:rsidRPr="006F0955">
        <w:t xml:space="preserve">–time profiles </w:t>
      </w:r>
      <w:r w:rsidR="00E27A06">
        <w:t xml:space="preserve">for the </w:t>
      </w:r>
      <w:r w:rsidRPr="006F0955">
        <w:t>exclude</w:t>
      </w:r>
      <w:r w:rsidR="00E27A06">
        <w:t>d</w:t>
      </w:r>
      <w:r w:rsidRPr="006F0955">
        <w:t xml:space="preserve"> </w:t>
      </w:r>
      <w:proofErr w:type="gramStart"/>
      <w:r w:rsidRPr="006F0955">
        <w:t>subjects</w:t>
      </w:r>
      <w:proofErr w:type="gramEnd"/>
      <w:r w:rsidRPr="006F0955">
        <w:t xml:space="preserve"> show that the observed concentrations were generally within the predicted 90 percent variability band.  Pop PK model was used to assess AUC for 1 year old children.  The uncertainty was greater for 1 year olds than 2 year olds.  Slightly lower exposure was observed for 1 year olds as </w:t>
      </w:r>
      <w:r w:rsidR="00015C6A">
        <w:t>compared to 2 years and above.</w:t>
      </w:r>
    </w:p>
    <w:p w:rsidR="00CC02EE" w:rsidRPr="006F0955" w:rsidRDefault="00CC02EE" w:rsidP="00015C6A">
      <w:r w:rsidRPr="006F0955">
        <w:t>The pop PK of CGP74588 was characterised by a two compartment model parameterised in t</w:t>
      </w:r>
      <w:r w:rsidR="00E27A06">
        <w:t>erms of apparent clearance (CML/</w:t>
      </w:r>
      <w:r w:rsidRPr="006F0955">
        <w:t xml:space="preserve">F), apparent volumes </w:t>
      </w:r>
      <w:r w:rsidR="00E27A06">
        <w:t>of the central compartment (VCM/</w:t>
      </w:r>
      <w:r w:rsidRPr="006F0955">
        <w:t xml:space="preserve">F) </w:t>
      </w:r>
      <w:r w:rsidR="00E27A06">
        <w:t>and peripheral compartment (VPM/</w:t>
      </w:r>
      <w:r w:rsidRPr="006F0955">
        <w:t xml:space="preserve">F) and the apparent </w:t>
      </w:r>
      <w:proofErr w:type="spellStart"/>
      <w:r w:rsidRPr="006F0955">
        <w:t>i</w:t>
      </w:r>
      <w:r w:rsidR="00E27A06">
        <w:t>ntercompartmental</w:t>
      </w:r>
      <w:proofErr w:type="spellEnd"/>
      <w:r w:rsidR="00E27A06">
        <w:t xml:space="preserve"> clearance (QM/</w:t>
      </w:r>
      <w:r w:rsidRPr="006F0955">
        <w:t xml:space="preserve">F).  </w:t>
      </w:r>
      <w:r w:rsidR="00E27A06">
        <w:t xml:space="preserve">The fraction of </w:t>
      </w:r>
      <w:r w:rsidRPr="006F0955">
        <w:t xml:space="preserve">imatinib and metabolised to CGP74588 in parent- metabolite modelling was fixed to 0.13 or 13 percent.  The final pop PK model for the metabolite includes BSA as </w:t>
      </w:r>
      <w:r w:rsidR="00E27A06">
        <w:t xml:space="preserve">a covariate with </w:t>
      </w:r>
      <w:r w:rsidRPr="006F0955">
        <w:t xml:space="preserve">clearances </w:t>
      </w:r>
      <w:r w:rsidR="00E27A06">
        <w:t xml:space="preserve">and </w:t>
      </w:r>
      <w:r w:rsidR="00015C6A">
        <w:t>volumes increased with BSA.</w:t>
      </w:r>
    </w:p>
    <w:p w:rsidR="009570DE" w:rsidRPr="009570DE" w:rsidRDefault="00CC02EE" w:rsidP="00015C6A">
      <w:r w:rsidRPr="006F0955">
        <w:t xml:space="preserve">The exposure of 18 year old subjects </w:t>
      </w:r>
      <w:r w:rsidR="009570DE">
        <w:t>(</w:t>
      </w:r>
      <w:r w:rsidRPr="006F0955">
        <w:t xml:space="preserve">dosing scheme </w:t>
      </w:r>
      <w:r w:rsidR="009570DE">
        <w:t xml:space="preserve">of </w:t>
      </w:r>
      <w:r w:rsidRPr="006F0955">
        <w:t>340mg/</w:t>
      </w:r>
      <w:r w:rsidR="00BF6EFA" w:rsidRPr="006F0955">
        <w:t>m</w:t>
      </w:r>
      <w:r w:rsidR="00BF6EFA" w:rsidRPr="006F0955">
        <w:rPr>
          <w:vertAlign w:val="superscript"/>
        </w:rPr>
        <w:t>2</w:t>
      </w:r>
      <w:r w:rsidRPr="006F0955">
        <w:t xml:space="preserve"> and not to exceed 600mg</w:t>
      </w:r>
      <w:r w:rsidR="009570DE">
        <w:t>)</w:t>
      </w:r>
      <w:r w:rsidRPr="006F0955">
        <w:t xml:space="preserve"> was simulated using the adult model, as indicated in Figure 2</w:t>
      </w:r>
      <w:r w:rsidR="009570DE">
        <w:t xml:space="preserve">. </w:t>
      </w:r>
      <w:r w:rsidR="009570DE" w:rsidRPr="009570DE">
        <w:t xml:space="preserve">The exposure of children in </w:t>
      </w:r>
      <w:r w:rsidR="009570DE" w:rsidRPr="009570DE">
        <w:lastRenderedPageBreak/>
        <w:t>different age groups for 340mg/m</w:t>
      </w:r>
      <w:r w:rsidR="009570DE" w:rsidRPr="009570DE">
        <w:rPr>
          <w:vertAlign w:val="superscript"/>
        </w:rPr>
        <w:t>2</w:t>
      </w:r>
      <w:r w:rsidR="009570DE" w:rsidRPr="009570DE">
        <w:t xml:space="preserve"> corresponds closely to the exposure of adults s</w:t>
      </w:r>
      <w:r w:rsidR="00015C6A">
        <w:t>imulated using the same model.</w:t>
      </w:r>
    </w:p>
    <w:p w:rsidR="00015C6A" w:rsidRDefault="00CC02EE" w:rsidP="00015C6A">
      <w:pPr>
        <w:pStyle w:val="FigureTitle"/>
      </w:pPr>
      <w:r w:rsidRPr="00CC02EE">
        <w:t xml:space="preserve">Figure2: Simulated </w:t>
      </w:r>
      <w:r w:rsidRPr="00015C6A">
        <w:t>AUC</w:t>
      </w:r>
      <w:r w:rsidRPr="00CC02EE">
        <w:t xml:space="preserve"> by age group for 304 mg/m² not to exceed at 600 mg dose, compared against </w:t>
      </w:r>
      <w:r w:rsidR="009570DE">
        <w:t xml:space="preserve">adults </w:t>
      </w:r>
      <w:r w:rsidRPr="00CC02EE">
        <w:t>simulated with the adult model receiving 600 mg fixed dose.</w:t>
      </w:r>
    </w:p>
    <w:p w:rsidR="00CC02EE" w:rsidRPr="00CC02EE" w:rsidRDefault="00CC02EE" w:rsidP="00015C6A">
      <w:r w:rsidRPr="00CC02EE">
        <w:rPr>
          <w:noProof/>
          <w:lang w:eastAsia="en-AU"/>
        </w:rPr>
        <w:drawing>
          <wp:inline distT="0" distB="0" distL="0" distR="0" wp14:anchorId="6FF54159" wp14:editId="2ED8F017">
            <wp:extent cx="3575050" cy="1887745"/>
            <wp:effectExtent l="19050" t="0" r="6350" b="0"/>
            <wp:docPr id="7" name="Picture 98" descr="Figure2: Simulated AUC by age group for 304 mg/m² not to exceed at 600 mg dose, compared against simulated with the adult model receiving 600 mg fixed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 cstate="print"/>
                    <a:srcRect l="3638" t="2466" r="5512"/>
                    <a:stretch>
                      <a:fillRect/>
                    </a:stretch>
                  </pic:blipFill>
                  <pic:spPr bwMode="auto">
                    <a:xfrm>
                      <a:off x="0" y="0"/>
                      <a:ext cx="3578850" cy="1889752"/>
                    </a:xfrm>
                    <a:prstGeom prst="rect">
                      <a:avLst/>
                    </a:prstGeom>
                    <a:noFill/>
                    <a:ln w="9525">
                      <a:noFill/>
                      <a:miter lim="800000"/>
                      <a:headEnd/>
                      <a:tailEnd/>
                    </a:ln>
                  </pic:spPr>
                </pic:pic>
              </a:graphicData>
            </a:graphic>
          </wp:inline>
        </w:drawing>
      </w:r>
    </w:p>
    <w:p w:rsidR="00CC02EE" w:rsidRPr="00CC02EE" w:rsidRDefault="00CC02EE" w:rsidP="00015C6A">
      <w:r w:rsidRPr="00CC02EE">
        <w:t>Model based simulation of various dosing schemes showed the dose of 260mg/</w:t>
      </w:r>
      <w:r w:rsidR="00BF6EFA" w:rsidRPr="00BF6EFA">
        <w:t>m</w:t>
      </w:r>
      <w:r w:rsidR="00BF6EFA" w:rsidRPr="00BF6EFA">
        <w:rPr>
          <w:vertAlign w:val="superscript"/>
        </w:rPr>
        <w:t>2</w:t>
      </w:r>
      <w:r w:rsidR="00BF6EFA">
        <w:rPr>
          <w:vertAlign w:val="superscript"/>
        </w:rPr>
        <w:t xml:space="preserve"> </w:t>
      </w:r>
      <w:r w:rsidRPr="00CC02EE">
        <w:t>not to exceed 400mg or 340mg/</w:t>
      </w:r>
      <w:r w:rsidR="00BF6EFA" w:rsidRPr="00BF6EFA">
        <w:t>m</w:t>
      </w:r>
      <w:r w:rsidR="00BF6EFA" w:rsidRPr="00BF6EFA">
        <w:rPr>
          <w:vertAlign w:val="superscript"/>
        </w:rPr>
        <w:t>2</w:t>
      </w:r>
      <w:r w:rsidRPr="00CC02EE">
        <w:t xml:space="preserve"> not to exceed 600mg lead to relatively constant exposures for AUC, </w:t>
      </w:r>
      <w:proofErr w:type="spellStart"/>
      <w:r w:rsidRPr="00CC02EE">
        <w:t>Cmax</w:t>
      </w:r>
      <w:proofErr w:type="spellEnd"/>
      <w:r w:rsidRPr="00CC02EE">
        <w:t xml:space="preserve"> and </w:t>
      </w:r>
      <w:proofErr w:type="spellStart"/>
      <w:r w:rsidRPr="00CC02EE">
        <w:t>Cmin</w:t>
      </w:r>
      <w:proofErr w:type="spellEnd"/>
      <w:r w:rsidRPr="00CC02EE">
        <w:t xml:space="preserve"> across the range of observed body surface area and ages.  The AUC is achieved by these doses are similar to adul</w:t>
      </w:r>
      <w:r w:rsidR="00015C6A">
        <w:t>t AUC as indicated in Figure 3.</w:t>
      </w:r>
    </w:p>
    <w:p w:rsidR="00CC02EE" w:rsidRPr="00CC02EE" w:rsidRDefault="00CC02EE" w:rsidP="00015C6A">
      <w:pPr>
        <w:pStyle w:val="FigureTitle"/>
      </w:pPr>
      <w:r w:rsidRPr="00CC02EE">
        <w:t xml:space="preserve">Figure 3: AUC versus age in the different dosing </w:t>
      </w:r>
      <w:r w:rsidRPr="00015C6A">
        <w:t>strategies</w:t>
      </w:r>
    </w:p>
    <w:p w:rsidR="00CC02EE" w:rsidRPr="00CC02EE" w:rsidRDefault="00CC02EE" w:rsidP="00015C6A">
      <w:r w:rsidRPr="00CC02EE">
        <w:rPr>
          <w:noProof/>
          <w:lang w:eastAsia="en-AU"/>
        </w:rPr>
        <w:drawing>
          <wp:inline distT="0" distB="0" distL="0" distR="0" wp14:anchorId="537F6677" wp14:editId="598AC157">
            <wp:extent cx="3606800" cy="4703219"/>
            <wp:effectExtent l="19050" t="0" r="0" b="0"/>
            <wp:docPr id="8" name="Picture 101" descr="Figure 3: AUC versus age in the different dosing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 cstate="print"/>
                    <a:srcRect l="2961" t="633" r="3214"/>
                    <a:stretch>
                      <a:fillRect/>
                    </a:stretch>
                  </pic:blipFill>
                  <pic:spPr bwMode="auto">
                    <a:xfrm>
                      <a:off x="0" y="0"/>
                      <a:ext cx="3606800" cy="4703219"/>
                    </a:xfrm>
                    <a:prstGeom prst="rect">
                      <a:avLst/>
                    </a:prstGeom>
                    <a:noFill/>
                    <a:ln w="9525">
                      <a:noFill/>
                      <a:miter lim="800000"/>
                      <a:headEnd/>
                      <a:tailEnd/>
                    </a:ln>
                  </pic:spPr>
                </pic:pic>
              </a:graphicData>
            </a:graphic>
          </wp:inline>
        </w:drawing>
      </w:r>
    </w:p>
    <w:p w:rsidR="00CC02EE" w:rsidRPr="00CC02EE" w:rsidRDefault="00CC02EE" w:rsidP="00015C6A">
      <w:pPr>
        <w:pStyle w:val="Heading4"/>
        <w:numPr>
          <w:ilvl w:val="0"/>
          <w:numId w:val="0"/>
        </w:numPr>
      </w:pPr>
      <w:r w:rsidRPr="00CC02EE">
        <w:lastRenderedPageBreak/>
        <w:t>Comment:</w:t>
      </w:r>
    </w:p>
    <w:p w:rsidR="00CC02EE" w:rsidRPr="00CC02EE" w:rsidRDefault="00CC02EE" w:rsidP="00015C6A">
      <w:pPr>
        <w:rPr>
          <w:lang w:val="en-US"/>
        </w:rPr>
      </w:pPr>
      <w:r w:rsidRPr="00CC02EE">
        <w:rPr>
          <w:lang w:val="en-US"/>
        </w:rPr>
        <w:t xml:space="preserve">Clearance of imatinib was found to increase with increasing BSA supporting a BSA based dosing scheme for imatinib in paediatric patients.  The various cohorts </w:t>
      </w:r>
      <w:proofErr w:type="spellStart"/>
      <w:r w:rsidRPr="00CC02EE">
        <w:rPr>
          <w:lang w:val="en-US"/>
        </w:rPr>
        <w:t>analysed</w:t>
      </w:r>
      <w:proofErr w:type="spellEnd"/>
      <w:r w:rsidRPr="00CC02EE">
        <w:rPr>
          <w:lang w:val="en-US"/>
        </w:rPr>
        <w:t xml:space="preserve"> did not have clinically significant effects after correcting for BSA effects.  This model corresponds well with the observed data when compared to an adult model and shows that the final model is able to successfully extrapolate to younger children between the ages of 2 and 4 years as well as adults.  It is therefore reasonable to conclude that the current dosing schemes of 260mg/</w:t>
      </w:r>
      <w:r w:rsidR="00BF6EFA" w:rsidRPr="00BF6EFA">
        <w:t>m</w:t>
      </w:r>
      <w:r w:rsidR="00BF6EFA" w:rsidRPr="00BF6EFA">
        <w:rPr>
          <w:vertAlign w:val="superscript"/>
        </w:rPr>
        <w:t>2</w:t>
      </w:r>
      <w:r w:rsidRPr="00CC02EE">
        <w:rPr>
          <w:lang w:val="en-US"/>
        </w:rPr>
        <w:t xml:space="preserve"> or 340mg/</w:t>
      </w:r>
      <w:r w:rsidR="00BF6EFA" w:rsidRPr="00BF6EFA">
        <w:t>m</w:t>
      </w:r>
      <w:r w:rsidR="00BF6EFA" w:rsidRPr="00BF6EFA">
        <w:rPr>
          <w:vertAlign w:val="superscript"/>
        </w:rPr>
        <w:t>2</w:t>
      </w:r>
      <w:r w:rsidR="00B737AD">
        <w:rPr>
          <w:lang w:val="en-US"/>
        </w:rPr>
        <w:t xml:space="preserve">, </w:t>
      </w:r>
      <w:r w:rsidRPr="00CC02EE">
        <w:rPr>
          <w:lang w:val="en-US"/>
        </w:rPr>
        <w:t>not to exceed 400mg or 600mg</w:t>
      </w:r>
      <w:r w:rsidR="00B737AD">
        <w:rPr>
          <w:lang w:val="en-US"/>
        </w:rPr>
        <w:t>,</w:t>
      </w:r>
      <w:r w:rsidRPr="00CC02EE">
        <w:rPr>
          <w:lang w:val="en-US"/>
        </w:rPr>
        <w:t xml:space="preserve"> respectively</w:t>
      </w:r>
      <w:r w:rsidR="00B737AD">
        <w:rPr>
          <w:lang w:val="en-US"/>
        </w:rPr>
        <w:t>,</w:t>
      </w:r>
      <w:r w:rsidRPr="00CC02EE">
        <w:rPr>
          <w:lang w:val="en-US"/>
        </w:rPr>
        <w:t xml:space="preserve"> are applicable for </w:t>
      </w:r>
      <w:r w:rsidR="00015C6A">
        <w:rPr>
          <w:lang w:val="en-US"/>
        </w:rPr>
        <w:t>patients aged 1 year or older.</w:t>
      </w:r>
    </w:p>
    <w:p w:rsidR="00CC02EE" w:rsidRPr="00CC02EE" w:rsidRDefault="00B737AD" w:rsidP="00015C6A">
      <w:pPr>
        <w:pStyle w:val="Heading3"/>
        <w:rPr>
          <w:lang w:val="en-US"/>
        </w:rPr>
      </w:pPr>
      <w:bookmarkStart w:id="28" w:name="_Toc373395168"/>
      <w:bookmarkStart w:id="29" w:name="_Toc382578284"/>
      <w:r>
        <w:rPr>
          <w:lang w:val="en-US"/>
        </w:rPr>
        <w:t>Physiology</w:t>
      </w:r>
      <w:r w:rsidR="00CC02EE" w:rsidRPr="00CC02EE">
        <w:rPr>
          <w:lang w:val="en-US"/>
        </w:rPr>
        <w:t>–based PK (PBPK) modeling</w:t>
      </w:r>
      <w:bookmarkEnd w:id="28"/>
      <w:bookmarkEnd w:id="29"/>
    </w:p>
    <w:p w:rsidR="00CC02EE" w:rsidRPr="00CC02EE" w:rsidRDefault="00CC02EE" w:rsidP="00015C6A">
      <w:pPr>
        <w:rPr>
          <w:lang w:val="en-US"/>
        </w:rPr>
      </w:pPr>
      <w:r w:rsidRPr="00CC02EE">
        <w:rPr>
          <w:lang w:val="en-US"/>
        </w:rPr>
        <w:t>The objectives of this modeling were:</w:t>
      </w:r>
    </w:p>
    <w:p w:rsidR="00CC02EE" w:rsidRPr="00B737AD" w:rsidRDefault="00CC02EE" w:rsidP="00015C6A">
      <w:pPr>
        <w:pStyle w:val="ListBullet"/>
      </w:pPr>
      <w:proofErr w:type="gramStart"/>
      <w:r w:rsidRPr="00B737AD">
        <w:t>to</w:t>
      </w:r>
      <w:proofErr w:type="gramEnd"/>
      <w:r w:rsidRPr="00B737AD">
        <w:t xml:space="preserve"> predict paediatric AUC steady state using PBPK </w:t>
      </w:r>
      <w:r w:rsidRPr="00015C6A">
        <w:t>approach</w:t>
      </w:r>
      <w:r w:rsidRPr="00B737AD">
        <w:t xml:space="preserve"> based on imatinib clearance in the adult population and compare the results with the experimentally observed AUC values with specific focus on c</w:t>
      </w:r>
      <w:r w:rsidR="00015C6A">
        <w:t>hildren aged 1 year and older.</w:t>
      </w:r>
    </w:p>
    <w:p w:rsidR="00CC02EE" w:rsidRPr="00B737AD" w:rsidRDefault="00CC02EE" w:rsidP="00015C6A">
      <w:pPr>
        <w:pStyle w:val="ListBullet"/>
      </w:pPr>
      <w:r w:rsidRPr="00B737AD">
        <w:t xml:space="preserve">to predict imatinib plasma concentration-time </w:t>
      </w:r>
      <w:r w:rsidRPr="00015C6A">
        <w:t>profiles</w:t>
      </w:r>
      <w:r w:rsidRPr="00B737AD">
        <w:t xml:space="preserve"> in plasma and tissue for paediatric subjects to assess the effect of paediatric growth</w:t>
      </w:r>
      <w:r w:rsidR="00015C6A">
        <w:t xml:space="preserve"> processes using PBPK model and</w:t>
      </w:r>
    </w:p>
    <w:p w:rsidR="00CC02EE" w:rsidRPr="00B737AD" w:rsidRDefault="00CC02EE" w:rsidP="00015C6A">
      <w:pPr>
        <w:pStyle w:val="ListBullet"/>
      </w:pPr>
      <w:proofErr w:type="gramStart"/>
      <w:r w:rsidRPr="00B737AD">
        <w:t>to</w:t>
      </w:r>
      <w:proofErr w:type="gramEnd"/>
      <w:r w:rsidRPr="00B737AD">
        <w:t xml:space="preserve"> evaluate factors influencing imatinib ex</w:t>
      </w:r>
      <w:r w:rsidR="00015C6A">
        <w:t>posure in paediatric patients.</w:t>
      </w:r>
    </w:p>
    <w:p w:rsidR="00CC02EE" w:rsidRPr="00D9321E" w:rsidRDefault="00CC02EE" w:rsidP="00015C6A">
      <w:r w:rsidRPr="00D9321E">
        <w:t>The paediatric growth database</w:t>
      </w:r>
      <w:r w:rsidR="00D9321E">
        <w:t>,</w:t>
      </w:r>
      <w:r w:rsidRPr="00D9321E">
        <w:t xml:space="preserve"> such as organ size, blood flow, enzyme and plasma protein duration</w:t>
      </w:r>
      <w:r w:rsidR="00D9321E">
        <w:t>,</w:t>
      </w:r>
      <w:r w:rsidR="00D9321E" w:rsidRPr="00D9321E">
        <w:t xml:space="preserve"> was obtained from the literature</w:t>
      </w:r>
      <w:r w:rsidRPr="00D9321E">
        <w:t>.  No clinical data was used for the model-based simulation.  Clinical data from pooled studies were used as references to compare with model predictions.</w:t>
      </w:r>
    </w:p>
    <w:p w:rsidR="00CC02EE" w:rsidRPr="00D9321E" w:rsidRDefault="00CC02EE" w:rsidP="00015C6A">
      <w:r w:rsidRPr="00D9321E">
        <w:t>A PBPK model previously developed for imatinib was used and the model parameters were modified using growth and maturation database obtained from the literature.  Clearance range observed in a phase 3 trial in the adult population was used as reference for paediatric scaling.  Two separate approaches were employed:</w:t>
      </w:r>
    </w:p>
    <w:p w:rsidR="00CC02EE" w:rsidRPr="00D9321E" w:rsidRDefault="00CC02EE" w:rsidP="00015C6A">
      <w:pPr>
        <w:pStyle w:val="ListBullet"/>
      </w:pPr>
      <w:r w:rsidRPr="00D9321E">
        <w:t xml:space="preserve">the steady state (SS-model) approach scaling only clearance to steady </w:t>
      </w:r>
      <w:r w:rsidRPr="00015C6A">
        <w:t>state</w:t>
      </w:r>
      <w:r w:rsidR="00015C6A">
        <w:t xml:space="preserve"> AUC and</w:t>
      </w:r>
    </w:p>
    <w:p w:rsidR="00CC02EE" w:rsidRPr="00D9321E" w:rsidRDefault="00CC02EE" w:rsidP="00015C6A">
      <w:pPr>
        <w:pStyle w:val="ListBullet"/>
      </w:pPr>
      <w:proofErr w:type="gramStart"/>
      <w:r w:rsidRPr="00D9321E">
        <w:t>the</w:t>
      </w:r>
      <w:proofErr w:type="gramEnd"/>
      <w:r w:rsidRPr="00D9321E">
        <w:t xml:space="preserve"> dynamic (DYN-model) PK simulation to assess the imatinib concentration – time pr</w:t>
      </w:r>
      <w:r w:rsidR="00015C6A">
        <w:t>ofile within dosing intervals.</w:t>
      </w:r>
    </w:p>
    <w:p w:rsidR="00CC02EE" w:rsidRPr="00D9321E" w:rsidRDefault="00CC02EE" w:rsidP="00015C6A">
      <w:r w:rsidRPr="00D9321E">
        <w:t xml:space="preserve">The effects of body size and blood perfusion on the PK profiles were evaluated in addition to maturation and clearance.  The model evaluations were conducted by comparing the predicted steady state AUC and predicted imatinib concentration-time profile with non-compartmental AUC computed by the trapezoidal rule and observed data from the pooled </w:t>
      </w:r>
      <w:r w:rsidR="00015C6A">
        <w:t>clinical studies respectively.</w:t>
      </w:r>
    </w:p>
    <w:p w:rsidR="00CC02EE" w:rsidRPr="00D9321E" w:rsidRDefault="00CC02EE" w:rsidP="00015C6A">
      <w:r w:rsidRPr="00D9321E">
        <w:t>The results determined that the SS model simulations showed that the majority of actual steady state AUC values (95% or 29 of 31) normalized for 340mg/</w:t>
      </w:r>
      <w:r w:rsidR="00BF6EFA" w:rsidRPr="00D9321E">
        <w:t>m2</w:t>
      </w:r>
      <w:r w:rsidRPr="00D9321E">
        <w:t xml:space="preserve"> in paediatric patients </w:t>
      </w:r>
      <w:r w:rsidR="00D9321E" w:rsidRPr="00D9321E">
        <w:t xml:space="preserve">fell within </w:t>
      </w:r>
      <w:r w:rsidRPr="00D9321E">
        <w:t xml:space="preserve">0.5 and 99.5 percentiles of model projected range scaled from adult measurements.  Based on the DYN-model the predicted plasma concentration-time profiles were generally in good agreement </w:t>
      </w:r>
      <w:r w:rsidR="00D9321E" w:rsidRPr="00D9321E">
        <w:t xml:space="preserve">for most </w:t>
      </w:r>
      <w:r w:rsidRPr="00D9321E">
        <w:t xml:space="preserve">paediatric patients except for younger patients under the age of 2 years for which the exposure appeared to be over-predicted.  The predicted deviation from adult was higher for their first dose then at steady state (day 28).  The largest deviation was observed for </w:t>
      </w:r>
      <w:proofErr w:type="spellStart"/>
      <w:r w:rsidRPr="00D9321E">
        <w:t>Cmax</w:t>
      </w:r>
      <w:proofErr w:type="spellEnd"/>
      <w:r w:rsidRPr="00D9321E">
        <w:t xml:space="preserve">.  The predicted age effect on AUC and </w:t>
      </w:r>
      <w:proofErr w:type="spellStart"/>
      <w:r w:rsidRPr="00D9321E">
        <w:t>Cmin</w:t>
      </w:r>
      <w:proofErr w:type="spellEnd"/>
      <w:r w:rsidRPr="00D9321E">
        <w:t xml:space="preserve"> were less than that on </w:t>
      </w:r>
      <w:proofErr w:type="spellStart"/>
      <w:r w:rsidRPr="00D9321E">
        <w:t>Cmax</w:t>
      </w:r>
      <w:proofErr w:type="spellEnd"/>
      <w:r w:rsidRPr="00D9321E">
        <w:t>.  The differences in predictions of children and adults see</w:t>
      </w:r>
      <w:r w:rsidR="00D9321E" w:rsidRPr="00D9321E">
        <w:t>med to be the mixed results of</w:t>
      </w:r>
      <w:r w:rsidRPr="00D9321E">
        <w:t xml:space="preserve"> changing distribution volume and blood circulating turnover, in addition to clearance maturation with age.  Even taking a conservative approach for the model assumptions the prediction was only 1.5 fold of the adult value at 1 year age suggesting a safe application of PBPK approach in scaling imatinib clearance dow</w:t>
      </w:r>
      <w:r w:rsidR="00015C6A">
        <w:t>n to children of 1 year of age.</w:t>
      </w:r>
    </w:p>
    <w:p w:rsidR="00CC02EE" w:rsidRPr="00CC02EE" w:rsidRDefault="00CC02EE" w:rsidP="00015C6A">
      <w:pPr>
        <w:pStyle w:val="Heading4"/>
        <w:numPr>
          <w:ilvl w:val="0"/>
          <w:numId w:val="0"/>
        </w:numPr>
        <w:rPr>
          <w:lang w:val="en-US"/>
        </w:rPr>
      </w:pPr>
      <w:r w:rsidRPr="00CC02EE">
        <w:rPr>
          <w:lang w:val="en-US"/>
        </w:rPr>
        <w:lastRenderedPageBreak/>
        <w:t>Comment:</w:t>
      </w:r>
    </w:p>
    <w:p w:rsidR="00CC02EE" w:rsidRPr="00D9321E" w:rsidRDefault="00CC02EE" w:rsidP="00015C6A">
      <w:r w:rsidRPr="00D9321E">
        <w:t>The projection of paediatric exposure to imatinib using a PBPK model was generally in good agreement with the actual measured PK exposure values in a limited number of paediatric patients ranging from age 2 to 18 years.  Incorporation of the PK parameters and maturation processes within the model gave reasonable description of imatinib PK in paediatrics from 2 to 18 years.  The exposure for a 1 year subject is likely to be over predicted using the PBPK model based on some bias seen in predictions for age 2 and 3 years.  No major exposure – related safety concerns would be expected in dos</w:t>
      </w:r>
      <w:r w:rsidR="00015C6A">
        <w:t>ing if dosed according to BSA.</w:t>
      </w:r>
    </w:p>
    <w:p w:rsidR="00CC02EE" w:rsidRPr="00CC02EE" w:rsidRDefault="00CC02EE" w:rsidP="00015C6A">
      <w:pPr>
        <w:pStyle w:val="Heading3"/>
        <w:rPr>
          <w:lang w:val="en-US"/>
        </w:rPr>
      </w:pPr>
      <w:bookmarkStart w:id="30" w:name="_Toc373395169"/>
      <w:bookmarkStart w:id="31" w:name="_Toc382578285"/>
      <w:r w:rsidRPr="00CC02EE">
        <w:rPr>
          <w:lang w:val="en-US"/>
        </w:rPr>
        <w:t>Study A2110:</w:t>
      </w:r>
      <w:bookmarkEnd w:id="30"/>
      <w:bookmarkEnd w:id="31"/>
    </w:p>
    <w:p w:rsidR="00CC02EE" w:rsidRPr="007F7D44" w:rsidRDefault="00CC02EE" w:rsidP="00015C6A">
      <w:r w:rsidRPr="007F7D44">
        <w:t xml:space="preserve">The primary objective of this study was to characterise the PK of imatinib in paediatric patients aged 1 to </w:t>
      </w:r>
      <w:r w:rsidR="007F7D44" w:rsidRPr="007F7D44">
        <w:t xml:space="preserve">less than </w:t>
      </w:r>
      <w:r w:rsidRPr="007F7D44">
        <w:t>4 years via a properly integrated physiologically based PK (PBPK) or population PK approaches.  The primary e</w:t>
      </w:r>
      <w:r w:rsidR="007F7D44">
        <w:t>nd points were CL/</w:t>
      </w:r>
      <w:r w:rsidRPr="007F7D44">
        <w:t>F, V</w:t>
      </w:r>
      <w:r w:rsidR="007F7D44">
        <w:t>/</w:t>
      </w:r>
      <w:r w:rsidRPr="007F7D44">
        <w:t xml:space="preserve">F, </w:t>
      </w:r>
      <w:proofErr w:type="spellStart"/>
      <w:r w:rsidRPr="007F7D44">
        <w:t>Tmax</w:t>
      </w:r>
      <w:proofErr w:type="spellEnd"/>
      <w:r w:rsidRPr="007F7D44">
        <w:t xml:space="preserve">, </w:t>
      </w:r>
      <w:r w:rsidR="00015C6A">
        <w:t xml:space="preserve">PBPK parameters, </w:t>
      </w:r>
      <w:proofErr w:type="spellStart"/>
      <w:r w:rsidR="00015C6A">
        <w:t>Cmax</w:t>
      </w:r>
      <w:proofErr w:type="spellEnd"/>
      <w:r w:rsidR="00015C6A">
        <w:t xml:space="preserve"> and AUC.</w:t>
      </w:r>
    </w:p>
    <w:p w:rsidR="00CC02EE" w:rsidRPr="007F7D44" w:rsidRDefault="00CC02EE" w:rsidP="00015C6A">
      <w:r w:rsidRPr="007F7D44">
        <w:t>Due to insufficient patient enrolment (three out of ten pat</w:t>
      </w:r>
      <w:r w:rsidR="007F7D44">
        <w:t xml:space="preserve">ients) and scarcity of PK data, </w:t>
      </w:r>
      <w:r w:rsidRPr="007F7D44">
        <w:t>limited PK data was available</w:t>
      </w:r>
      <w:r w:rsidR="007F7D44">
        <w:t xml:space="preserve"> and</w:t>
      </w:r>
      <w:r w:rsidRPr="007F7D44">
        <w:t xml:space="preserve"> a non-compartment</w:t>
      </w:r>
      <w:r w:rsidR="00015C6A">
        <w:t>al analysis was not conducted.</w:t>
      </w:r>
    </w:p>
    <w:p w:rsidR="00CC02EE" w:rsidRPr="007F7D44" w:rsidRDefault="00CC02EE" w:rsidP="00015C6A">
      <w:r w:rsidRPr="007F7D44">
        <w:t>This was a non-randomised open label study in which patients diagnosed with CML or PH positive ALL between the ages of 1 to 4 years were treated with imatinib administered as a daily dose ranging from 260mg/</w:t>
      </w:r>
      <w:r w:rsidR="00BF6EFA" w:rsidRPr="007F7D44">
        <w:t>m</w:t>
      </w:r>
      <w:r w:rsidR="00BF6EFA" w:rsidRPr="007F7D44">
        <w:rPr>
          <w:vertAlign w:val="superscript"/>
        </w:rPr>
        <w:t>2</w:t>
      </w:r>
      <w:r w:rsidRPr="007F7D44">
        <w:t xml:space="preserve"> to 340mg/</w:t>
      </w:r>
      <w:r w:rsidR="00BF6EFA" w:rsidRPr="007F7D44">
        <w:t>m</w:t>
      </w:r>
      <w:r w:rsidR="00BF6EFA" w:rsidRPr="007F7D44">
        <w:rPr>
          <w:vertAlign w:val="superscript"/>
        </w:rPr>
        <w:t>2</w:t>
      </w:r>
      <w:r w:rsidRPr="007F7D44">
        <w:t>.  The maximum planned duration of treatment in this study was 21 days during which two sets of PK profiles wer</w:t>
      </w:r>
      <w:r w:rsidR="00015C6A">
        <w:t>e collected from each patient.</w:t>
      </w:r>
    </w:p>
    <w:p w:rsidR="00CC02EE" w:rsidRPr="007F7D44" w:rsidRDefault="00CC02EE" w:rsidP="00015C6A">
      <w:r w:rsidRPr="007F7D44">
        <w:t xml:space="preserve">Only three patients were ultimately involved in this study which limited assessment of data.  The PK results did show that there were no major differences in imatinib exposure between the two different visits.  The PK profiles for imatinib and CGP74588 showed a large inter-patient variability.  However the dose normalized </w:t>
      </w:r>
      <w:proofErr w:type="spellStart"/>
      <w:r w:rsidRPr="007F7D44">
        <w:t>Cmax</w:t>
      </w:r>
      <w:proofErr w:type="spellEnd"/>
      <w:r w:rsidRPr="007F7D44">
        <w:t xml:space="preserve"> and </w:t>
      </w:r>
      <w:proofErr w:type="spellStart"/>
      <w:r w:rsidRPr="007F7D44">
        <w:t>Cmin</w:t>
      </w:r>
      <w:proofErr w:type="spellEnd"/>
      <w:r w:rsidRPr="007F7D44">
        <w:t xml:space="preserve"> values were similar to adult patients.  The observed </w:t>
      </w:r>
      <w:proofErr w:type="spellStart"/>
      <w:r w:rsidRPr="007F7D44">
        <w:t>Cmin</w:t>
      </w:r>
      <w:proofErr w:type="spellEnd"/>
      <w:r w:rsidRPr="007F7D44">
        <w:t xml:space="preserve"> for the three patients were consistent with those simulated at a corresponding dose from the final population PK model.  Previous results had shown in adult patients imatinib is highly bound to plasma protein ranging from 94 to 97% over clinical relevant concentration ranges.  The current study showed that imatinib is highly bound to plasma protein in paediatric patients.  The degree of plasma protein binding was comparable to that</w:t>
      </w:r>
      <w:r w:rsidR="00015C6A">
        <w:t xml:space="preserve"> observed in adult patients.</w:t>
      </w:r>
    </w:p>
    <w:p w:rsidR="00CC02EE" w:rsidRPr="00CC02EE" w:rsidRDefault="00CC02EE" w:rsidP="00015C6A">
      <w:pPr>
        <w:pStyle w:val="Heading4"/>
        <w:numPr>
          <w:ilvl w:val="0"/>
          <w:numId w:val="0"/>
        </w:numPr>
        <w:rPr>
          <w:lang w:val="en-US"/>
        </w:rPr>
      </w:pPr>
      <w:r w:rsidRPr="00CC02EE">
        <w:rPr>
          <w:lang w:val="en-US"/>
        </w:rPr>
        <w:t>Comment:</w:t>
      </w:r>
    </w:p>
    <w:p w:rsidR="00586F98" w:rsidRPr="007F7D44" w:rsidRDefault="00CC02EE" w:rsidP="00015C6A">
      <w:r w:rsidRPr="007F7D44">
        <w:t xml:space="preserve">The </w:t>
      </w:r>
      <w:proofErr w:type="spellStart"/>
      <w:r w:rsidRPr="007F7D44">
        <w:t>Cmin</w:t>
      </w:r>
      <w:proofErr w:type="spellEnd"/>
      <w:r w:rsidRPr="007F7D44">
        <w:t xml:space="preserve"> values from this study in the three paediatric patients were consistent with simulated value</w:t>
      </w:r>
      <w:r w:rsidR="00015C6A">
        <w:t>s from the population PK model.</w:t>
      </w:r>
    </w:p>
    <w:p w:rsidR="00586F98" w:rsidRDefault="00586F98" w:rsidP="00015C6A">
      <w:pPr>
        <w:pStyle w:val="Heading2"/>
      </w:pPr>
      <w:bookmarkStart w:id="32" w:name="_Toc382578286"/>
      <w:r>
        <w:t>Pharmacodynamics</w:t>
      </w:r>
      <w:bookmarkEnd w:id="32"/>
    </w:p>
    <w:p w:rsidR="00CC02EE" w:rsidRPr="00CC02EE" w:rsidRDefault="00CC02EE" w:rsidP="00015C6A">
      <w:pPr>
        <w:pStyle w:val="Heading3"/>
      </w:pPr>
      <w:bookmarkStart w:id="33" w:name="_Toc373395171"/>
      <w:bookmarkStart w:id="34" w:name="_Toc338331107"/>
      <w:bookmarkStart w:id="35" w:name="_Toc290846260"/>
      <w:bookmarkStart w:id="36" w:name="_Toc272414637"/>
      <w:bookmarkStart w:id="37" w:name="_Toc382578287"/>
      <w:r w:rsidRPr="00CC02EE">
        <w:t xml:space="preserve">Studies providing </w:t>
      </w:r>
      <w:proofErr w:type="spellStart"/>
      <w:r w:rsidRPr="00015C6A">
        <w:t>pharmacodynamic</w:t>
      </w:r>
      <w:proofErr w:type="spellEnd"/>
      <w:r w:rsidRPr="00CC02EE">
        <w:t xml:space="preserve"> data</w:t>
      </w:r>
      <w:bookmarkEnd w:id="33"/>
      <w:bookmarkEnd w:id="34"/>
      <w:bookmarkEnd w:id="35"/>
      <w:bookmarkEnd w:id="36"/>
      <w:bookmarkEnd w:id="37"/>
    </w:p>
    <w:p w:rsidR="00C22678" w:rsidRPr="007F7D44" w:rsidRDefault="00CC02EE" w:rsidP="00015C6A">
      <w:r w:rsidRPr="007F7D44">
        <w:t xml:space="preserve">No new pharmacodynamic data in relation to paediatric patients was undertaken or </w:t>
      </w:r>
      <w:r w:rsidR="00015C6A">
        <w:t>determined in this evaluation.</w:t>
      </w:r>
    </w:p>
    <w:p w:rsidR="00586F98" w:rsidRDefault="00C22678" w:rsidP="00015C6A">
      <w:pPr>
        <w:pStyle w:val="Heading2"/>
      </w:pPr>
      <w:bookmarkStart w:id="38" w:name="_Toc382578288"/>
      <w:r>
        <w:t>Dosage selection for the pivotal studies</w:t>
      </w:r>
      <w:bookmarkEnd w:id="38"/>
    </w:p>
    <w:p w:rsidR="00CC02EE" w:rsidRPr="007F7D44" w:rsidRDefault="00CC02EE" w:rsidP="00015C6A">
      <w:r w:rsidRPr="00D162E4">
        <w:t>No specific dose finding data was performed in the Ph positive ALL setting.  The choice of once daily dosing with imatinib 340mg/</w:t>
      </w:r>
      <w:r w:rsidR="00BF6EFA" w:rsidRPr="00D162E4">
        <w:t>m</w:t>
      </w:r>
      <w:r w:rsidR="00BF6EFA" w:rsidRPr="00D162E4">
        <w:rPr>
          <w:vertAlign w:val="superscript"/>
        </w:rPr>
        <w:t>2</w:t>
      </w:r>
      <w:r w:rsidRPr="00D162E4">
        <w:t xml:space="preserve"> for the pivotal study was based on the results of a COG paediatric phase 1 study in PH positive leuk</w:t>
      </w:r>
      <w:r w:rsidR="007F7D44" w:rsidRPr="00D162E4">
        <w:t>a</w:t>
      </w:r>
      <w:r w:rsidRPr="00D162E4">
        <w:t xml:space="preserve">emia which included 14 chronic phase </w:t>
      </w:r>
      <w:r w:rsidR="00D162E4">
        <w:t xml:space="preserve">CML </w:t>
      </w:r>
      <w:r w:rsidRPr="00D162E4">
        <w:t xml:space="preserve">patients, seven </w:t>
      </w:r>
      <w:r w:rsidR="00D162E4">
        <w:t xml:space="preserve">AML </w:t>
      </w:r>
      <w:r w:rsidRPr="00D162E4">
        <w:t>patients and 10 ALL patients.</w:t>
      </w:r>
      <w:r w:rsidRPr="007F7D44">
        <w:t xml:space="preserve">  Among the 10 ALL patients </w:t>
      </w:r>
      <w:r w:rsidR="00D162E4">
        <w:t xml:space="preserve">7 </w:t>
      </w:r>
      <w:r w:rsidRPr="007F7D44">
        <w:t xml:space="preserve">achieved an M1 </w:t>
      </w:r>
      <w:r w:rsidRPr="007F7D44">
        <w:lastRenderedPageBreak/>
        <w:t>marrow response and one achieved an M2 marrow response with the recommended dose.  Pharmacokinetic analyses showed that the doses of 260mg and 340mg/</w:t>
      </w:r>
      <w:r w:rsidR="00BF6EFA" w:rsidRPr="007F7D44">
        <w:t>m</w:t>
      </w:r>
      <w:r w:rsidR="00BF6EFA" w:rsidRPr="00D162E4">
        <w:rPr>
          <w:vertAlign w:val="superscript"/>
        </w:rPr>
        <w:t>2</w:t>
      </w:r>
      <w:r w:rsidRPr="007F7D44">
        <w:t xml:space="preserve"> had exposures similar to </w:t>
      </w:r>
      <w:r w:rsidR="00D162E4">
        <w:t xml:space="preserve">those observed </w:t>
      </w:r>
      <w:r w:rsidRPr="007F7D44">
        <w:t>in adults treated daily at 400mg and 600mg.  The study also showed that daily oral imatinib was well tolerated in children at doses ranging from 260 to 570mg/</w:t>
      </w:r>
      <w:r w:rsidR="00BF6EFA" w:rsidRPr="007F7D44">
        <w:t>m</w:t>
      </w:r>
      <w:r w:rsidR="00BF6EFA" w:rsidRPr="00D162E4">
        <w:rPr>
          <w:vertAlign w:val="superscript"/>
        </w:rPr>
        <w:t>2</w:t>
      </w:r>
      <w:r w:rsidRPr="007F7D44">
        <w:t>.  An intermediate dose of 340mg/</w:t>
      </w:r>
      <w:r w:rsidR="00BF6EFA" w:rsidRPr="007F7D44">
        <w:t>m</w:t>
      </w:r>
      <w:r w:rsidR="00BF6EFA" w:rsidRPr="00D162E4">
        <w:rPr>
          <w:vertAlign w:val="superscript"/>
        </w:rPr>
        <w:t>2</w:t>
      </w:r>
      <w:r w:rsidRPr="007F7D44">
        <w:t xml:space="preserve"> was therefore adopted for the pivotal study</w:t>
      </w:r>
      <w:r w:rsidR="00D162E4">
        <w:t xml:space="preserve"> [ST1571I2301]</w:t>
      </w:r>
      <w:r w:rsidR="00015C6A">
        <w:t>.</w:t>
      </w:r>
    </w:p>
    <w:p w:rsidR="00CC02EE" w:rsidRPr="007F7D44" w:rsidRDefault="00CC02EE" w:rsidP="00015C6A">
      <w:r w:rsidRPr="007F7D44">
        <w:t>It was also noted that from the population PK modelling the model based simulation of various dosing schemes confirmed that the exposure of imatinib in paediatric patients receiving 260mg/</w:t>
      </w:r>
      <w:r w:rsidR="00BF6EFA" w:rsidRPr="007F7D44">
        <w:t>m</w:t>
      </w:r>
      <w:r w:rsidR="00BF6EFA" w:rsidRPr="00D162E4">
        <w:rPr>
          <w:vertAlign w:val="superscript"/>
        </w:rPr>
        <w:t>2</w:t>
      </w:r>
      <w:r w:rsidRPr="007F7D44">
        <w:t xml:space="preserve"> not exceeding 400mg once daily or 340mg/</w:t>
      </w:r>
      <w:r w:rsidR="00BF6EFA" w:rsidRPr="007F7D44">
        <w:t>m</w:t>
      </w:r>
      <w:r w:rsidR="00BF6EFA" w:rsidRPr="00D162E4">
        <w:rPr>
          <w:vertAlign w:val="superscript"/>
        </w:rPr>
        <w:t>2</w:t>
      </w:r>
      <w:r w:rsidRPr="007F7D44">
        <w:t xml:space="preserve"> once daily not exceeding 600mg once daily are comparable to those in adult patients receiving 400mg or </w:t>
      </w:r>
      <w:r w:rsidR="00015C6A">
        <w:t>600mg once daily respectively.</w:t>
      </w:r>
    </w:p>
    <w:p w:rsidR="00C22678" w:rsidRPr="00586F98" w:rsidRDefault="00CC02EE" w:rsidP="00015C6A">
      <w:pPr>
        <w:rPr>
          <w:lang w:eastAsia="ja-JP"/>
        </w:rPr>
      </w:pPr>
      <w:r w:rsidRPr="007F7D44">
        <w:t>It is also appropriate to note that there are two dosage for</w:t>
      </w:r>
      <w:r w:rsidR="00D162E4">
        <w:t>ms of i</w:t>
      </w:r>
      <w:r w:rsidRPr="007F7D44">
        <w:t>matinib available, namely hard gelatine capsules and film coated tablets.  For paediatric patients who are unable to swallow</w:t>
      </w:r>
      <w:r w:rsidRPr="00CC02EE">
        <w:rPr>
          <w:lang w:eastAsia="ja-JP"/>
        </w:rPr>
        <w:t xml:space="preserve"> capsules they may be opened and the contents should be dissolved either in water or apple juice.  </w:t>
      </w:r>
      <w:r w:rsidRPr="00AA7DBE">
        <w:rPr>
          <w:i/>
          <w:iCs/>
          <w:lang w:eastAsia="ja-JP"/>
        </w:rPr>
        <w:t>In vitro</w:t>
      </w:r>
      <w:r w:rsidRPr="00CC02EE">
        <w:rPr>
          <w:lang w:eastAsia="ja-JP"/>
        </w:rPr>
        <w:t xml:space="preserve"> data has demonstrated dispersed imatinib remains stable in water or apple juice.</w:t>
      </w:r>
    </w:p>
    <w:p w:rsidR="00C22678" w:rsidRDefault="00C22678" w:rsidP="00015C6A">
      <w:pPr>
        <w:pStyle w:val="Heading2"/>
      </w:pPr>
      <w:bookmarkStart w:id="39" w:name="_Toc382578289"/>
      <w:r w:rsidRPr="00015C6A">
        <w:t>Clinical</w:t>
      </w:r>
      <w:r>
        <w:t xml:space="preserve"> efficacy</w:t>
      </w:r>
      <w:bookmarkEnd w:id="39"/>
    </w:p>
    <w:p w:rsidR="00532593" w:rsidRDefault="00532593" w:rsidP="00015C6A">
      <w:pPr>
        <w:pStyle w:val="Heading3"/>
      </w:pPr>
      <w:bookmarkStart w:id="40" w:name="_Toc382578290"/>
      <w:r w:rsidRPr="00015C6A">
        <w:t>Studies</w:t>
      </w:r>
      <w:r>
        <w:t xml:space="preserve"> providing efficacy data</w:t>
      </w:r>
      <w:bookmarkEnd w:id="40"/>
    </w:p>
    <w:p w:rsidR="00CC02EE" w:rsidRPr="00AA7DBE" w:rsidRDefault="00CC02EE" w:rsidP="00015C6A">
      <w:r w:rsidRPr="00AA7DBE">
        <w:t xml:space="preserve">This submission is based on efficacy and safety data from the pivotal phase 3 study 2301.  It is appropriate to note that a further study AIT07 (a phase 2/ phase 3 trial) which was a multi-centre study initially designed as an open label randomised study to determine whether the addition of imatinib to standard chemotherapy extended disease free survival (DFS) in paediatric patients with Philadelphia positive ALL.  However after the publication of the results from study 2301 demonstrating a significant benefit of adding imatinib to chemotherapy for paediatric patients of all risk for Philadelphia positive ALL, the participating groups considered it unacceptable to randomise patients into chemotherapy only arms.  The protocol was therefore amended so that patients received imatinib regardless of risk category.  This meant the sample size is inadequate to properly test for the primary efficacy analysis.  Accordingly sponsors have not included this study in the efficacy evaluation.  This evaluator will include the efficacy data available although accepts the fact that it represents very limited value in terms of determining the role of imatinib in the treatment of paediatric </w:t>
      </w:r>
      <w:r w:rsidR="00015C6A">
        <w:t xml:space="preserve">patients with </w:t>
      </w:r>
      <w:proofErr w:type="spellStart"/>
      <w:r w:rsidR="00015C6A">
        <w:t>Ph</w:t>
      </w:r>
      <w:proofErr w:type="spellEnd"/>
      <w:r w:rsidR="00015C6A">
        <w:t xml:space="preserve"> positive ALL.</w:t>
      </w:r>
    </w:p>
    <w:p w:rsidR="00532593" w:rsidRDefault="00532593" w:rsidP="00015C6A">
      <w:pPr>
        <w:pStyle w:val="Heading3"/>
      </w:pPr>
      <w:bookmarkStart w:id="41" w:name="_Toc382578291"/>
      <w:r>
        <w:t xml:space="preserve">Pivotal efficacy study </w:t>
      </w:r>
      <w:r w:rsidRPr="00532593">
        <w:t>STI571I2301</w:t>
      </w:r>
      <w:bookmarkEnd w:id="41"/>
    </w:p>
    <w:p w:rsidR="00E01BFF" w:rsidRDefault="00E01BFF" w:rsidP="00015C6A">
      <w:pPr>
        <w:pStyle w:val="Heading4"/>
      </w:pPr>
      <w:r>
        <w:t>Methods</w:t>
      </w:r>
    </w:p>
    <w:p w:rsidR="00CC02EE" w:rsidRPr="00AA7DBE" w:rsidRDefault="00CC02EE" w:rsidP="00015C6A">
      <w:r w:rsidRPr="00AA7DBE">
        <w:t>The pivotal study 2301 was sponsored, designed and conducted by the cooperative group COG.  The primary objective of this study was to determine the feasibility of patient equivalent toxicity of an intensified chemotherapy regimen and incorporating novel agents for the treatment of children and young adults with very high risk ALL including Ph positive ALL.  The study consisted of five cohorts each receiving the same intensive chemotherapy regimen back bone post-induction therapy that varied in the integration of imatinib treatment by increasing exposure in five sequential coh</w:t>
      </w:r>
      <w:r w:rsidR="00D57669">
        <w:t>orts and is indicated in Table 5</w:t>
      </w:r>
      <w:r w:rsidRPr="00AA7DBE">
        <w:t>.</w:t>
      </w:r>
    </w:p>
    <w:p w:rsidR="00CC02EE" w:rsidRPr="00CC02EE" w:rsidRDefault="00CC02EE" w:rsidP="002C7341">
      <w:pPr>
        <w:pStyle w:val="TableTitle"/>
        <w:rPr>
          <w:lang w:eastAsia="ja-JP"/>
        </w:rPr>
      </w:pPr>
      <w:r w:rsidRPr="00CC02EE">
        <w:rPr>
          <w:lang w:eastAsia="ja-JP"/>
        </w:rPr>
        <w:lastRenderedPageBreak/>
        <w:t xml:space="preserve">Table </w:t>
      </w:r>
      <w:r w:rsidR="00D57669">
        <w:rPr>
          <w:lang w:eastAsia="ja-JP"/>
        </w:rPr>
        <w:t>5</w:t>
      </w:r>
      <w:r w:rsidRPr="00CC02EE">
        <w:rPr>
          <w:lang w:eastAsia="ja-JP"/>
        </w:rPr>
        <w:t>: Integration of imatinib into successive blocks of therapy (STI571I2301)</w:t>
      </w:r>
    </w:p>
    <w:p w:rsidR="00CC02EE" w:rsidRPr="00CC02EE" w:rsidRDefault="00CC02EE" w:rsidP="002C7341">
      <w:pPr>
        <w:rPr>
          <w:lang w:eastAsia="ja-JP"/>
        </w:rPr>
      </w:pPr>
      <w:r w:rsidRPr="00CC02EE">
        <w:rPr>
          <w:noProof/>
          <w:lang w:eastAsia="en-AU"/>
        </w:rPr>
        <w:drawing>
          <wp:inline distT="0" distB="0" distL="0" distR="0" wp14:anchorId="3B2805D7" wp14:editId="0974DDC7">
            <wp:extent cx="5400040" cy="3287958"/>
            <wp:effectExtent l="19050" t="0" r="0" b="0"/>
            <wp:docPr id="9" name="Picture 1" descr="Table 5: Integration of imatinib into successive blocks of therapy (STI571I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400040" cy="3287958"/>
                    </a:xfrm>
                    <a:prstGeom prst="rect">
                      <a:avLst/>
                    </a:prstGeom>
                    <a:noFill/>
                    <a:ln w="9525">
                      <a:noFill/>
                      <a:miter lim="800000"/>
                      <a:headEnd/>
                      <a:tailEnd/>
                    </a:ln>
                  </pic:spPr>
                </pic:pic>
              </a:graphicData>
            </a:graphic>
          </wp:inline>
        </w:drawing>
      </w:r>
    </w:p>
    <w:p w:rsidR="00CC02EE" w:rsidRPr="00CC02EE" w:rsidRDefault="00CC02EE" w:rsidP="002C7341">
      <w:pPr>
        <w:rPr>
          <w:lang w:eastAsia="ja-JP"/>
        </w:rPr>
      </w:pPr>
      <w:r w:rsidRPr="00CC02EE">
        <w:rPr>
          <w:lang w:eastAsia="ja-JP"/>
        </w:rPr>
        <w:t xml:space="preserve">Positive interim results showed acceptable tolerability and superior efficacy for patients in cohort 5 which led to an amendment increasing the sample size in the group of Ph positive ALL patients receiving continuous imatinib treatment.  A subsequent interim analysis demonstrated </w:t>
      </w:r>
      <w:r w:rsidR="00897BA9">
        <w:rPr>
          <w:lang w:eastAsia="ja-JP"/>
        </w:rPr>
        <w:t xml:space="preserve">that </w:t>
      </w:r>
      <w:r w:rsidRPr="00CC02EE">
        <w:rPr>
          <w:lang w:eastAsia="ja-JP"/>
        </w:rPr>
        <w:t xml:space="preserve">earlier administration </w:t>
      </w:r>
      <w:r w:rsidR="00897BA9">
        <w:rPr>
          <w:lang w:eastAsia="ja-JP"/>
        </w:rPr>
        <w:t xml:space="preserve">and </w:t>
      </w:r>
      <w:r w:rsidRPr="00CC02EE">
        <w:rPr>
          <w:lang w:eastAsia="ja-JP"/>
        </w:rPr>
        <w:t>high</w:t>
      </w:r>
      <w:r w:rsidR="00897BA9">
        <w:rPr>
          <w:lang w:eastAsia="ja-JP"/>
        </w:rPr>
        <w:t>er</w:t>
      </w:r>
      <w:r w:rsidRPr="00CC02EE">
        <w:rPr>
          <w:lang w:eastAsia="ja-JP"/>
        </w:rPr>
        <w:t xml:space="preserve"> cumulative doses of Imatinib </w:t>
      </w:r>
      <w:r w:rsidR="00897BA9">
        <w:rPr>
          <w:lang w:eastAsia="ja-JP"/>
        </w:rPr>
        <w:t xml:space="preserve">were </w:t>
      </w:r>
      <w:r w:rsidRPr="00CC02EE">
        <w:rPr>
          <w:lang w:eastAsia="ja-JP"/>
        </w:rPr>
        <w:t xml:space="preserve">associated with improved </w:t>
      </w:r>
      <w:r w:rsidR="00897BA9">
        <w:rPr>
          <w:lang w:eastAsia="ja-JP"/>
        </w:rPr>
        <w:t xml:space="preserve">1 </w:t>
      </w:r>
      <w:r w:rsidRPr="00CC02EE">
        <w:rPr>
          <w:lang w:eastAsia="ja-JP"/>
        </w:rPr>
        <w:t xml:space="preserve">year event free survival (EFS) in all cohorts with the best results being observed in patients treated with continuous dosing in cohort 5 (95.3%, </w:t>
      </w:r>
      <w:r w:rsidR="00897BA9">
        <w:rPr>
          <w:lang w:eastAsia="ja-JP"/>
        </w:rPr>
        <w:t xml:space="preserve">n = </w:t>
      </w:r>
      <w:r w:rsidRPr="00CC02EE">
        <w:rPr>
          <w:lang w:eastAsia="ja-JP"/>
        </w:rPr>
        <w:t xml:space="preserve">50) which was higher than the historical controls of 65.7% </w:t>
      </w:r>
      <w:r w:rsidR="00897BA9">
        <w:rPr>
          <w:lang w:eastAsia="ja-JP"/>
        </w:rPr>
        <w:t xml:space="preserve">(n = </w:t>
      </w:r>
      <w:r w:rsidRPr="00CC02EE">
        <w:rPr>
          <w:lang w:eastAsia="ja-JP"/>
        </w:rPr>
        <w:t>56</w:t>
      </w:r>
      <w:r w:rsidR="00897BA9">
        <w:rPr>
          <w:lang w:eastAsia="ja-JP"/>
        </w:rPr>
        <w:t>)</w:t>
      </w:r>
      <w:r w:rsidRPr="00CC02EE">
        <w:rPr>
          <w:lang w:eastAsia="ja-JP"/>
        </w:rPr>
        <w:t xml:space="preserve">.   At a later date COG performed another analysis at the cut off date of 31 October 2008 with a primary end point of </w:t>
      </w:r>
      <w:r w:rsidR="00897BA9">
        <w:rPr>
          <w:lang w:eastAsia="ja-JP"/>
        </w:rPr>
        <w:t xml:space="preserve">3 years </w:t>
      </w:r>
      <w:r w:rsidRPr="00CC02EE">
        <w:rPr>
          <w:lang w:eastAsia="ja-JP"/>
        </w:rPr>
        <w:t xml:space="preserve">EFS in Ph positive ALL patients.  This demonstrated three </w:t>
      </w:r>
      <w:r w:rsidR="00897BA9">
        <w:rPr>
          <w:lang w:eastAsia="ja-JP"/>
        </w:rPr>
        <w:t xml:space="preserve">year </w:t>
      </w:r>
      <w:r w:rsidRPr="00CC02EE">
        <w:rPr>
          <w:lang w:eastAsia="ja-JP"/>
        </w:rPr>
        <w:t xml:space="preserve">EFS results for cohort 5 at 80% with observed EFS rate more than twice that of historical controls at 35% </w:t>
      </w:r>
      <w:r w:rsidR="00897BA9">
        <w:rPr>
          <w:lang w:eastAsia="ja-JP"/>
        </w:rPr>
        <w:t xml:space="preserve">(n = </w:t>
      </w:r>
      <w:r w:rsidRPr="00CC02EE">
        <w:rPr>
          <w:lang w:eastAsia="ja-JP"/>
        </w:rPr>
        <w:t>120</w:t>
      </w:r>
      <w:r w:rsidR="00897BA9">
        <w:rPr>
          <w:lang w:eastAsia="ja-JP"/>
        </w:rPr>
        <w:t>)</w:t>
      </w:r>
      <w:r w:rsidR="002C7341">
        <w:rPr>
          <w:lang w:eastAsia="ja-JP"/>
        </w:rPr>
        <w:t>.</w:t>
      </w:r>
    </w:p>
    <w:p w:rsidR="00CC02EE" w:rsidRPr="00CC02EE" w:rsidRDefault="00CC02EE" w:rsidP="002C7341">
      <w:pPr>
        <w:rPr>
          <w:lang w:eastAsia="ja-JP"/>
        </w:rPr>
      </w:pPr>
      <w:r w:rsidRPr="00CC02EE">
        <w:rPr>
          <w:lang w:eastAsia="ja-JP"/>
        </w:rPr>
        <w:t xml:space="preserve">Accordingly a statistical analysis plan in December 2009 performed additional analyses in cohort 5 with a cut off date of 5 September 2009 with a primary end point of EFS and this was </w:t>
      </w:r>
      <w:r w:rsidR="006A396F">
        <w:rPr>
          <w:lang w:eastAsia="ja-JP"/>
        </w:rPr>
        <w:t xml:space="preserve">assessed </w:t>
      </w:r>
      <w:r w:rsidRPr="00CC02EE">
        <w:rPr>
          <w:lang w:eastAsia="ja-JP"/>
        </w:rPr>
        <w:t xml:space="preserve">in the context of </w:t>
      </w:r>
      <w:r w:rsidR="002C7341">
        <w:rPr>
          <w:lang w:eastAsia="ja-JP"/>
        </w:rPr>
        <w:t>data from historical controls.</w:t>
      </w:r>
    </w:p>
    <w:p w:rsidR="00CC02EE" w:rsidRPr="00CC02EE" w:rsidRDefault="00CC02EE" w:rsidP="002C7341">
      <w:pPr>
        <w:rPr>
          <w:lang w:eastAsia="ja-JP"/>
        </w:rPr>
      </w:pPr>
      <w:proofErr w:type="gramStart"/>
      <w:r w:rsidRPr="00CC02EE">
        <w:rPr>
          <w:lang w:eastAsia="ja-JP"/>
        </w:rPr>
        <w:t>EFS is</w:t>
      </w:r>
      <w:proofErr w:type="gramEnd"/>
      <w:r w:rsidRPr="00CC02EE">
        <w:rPr>
          <w:lang w:eastAsia="ja-JP"/>
        </w:rPr>
        <w:t xml:space="preserve"> defined as relapse </w:t>
      </w:r>
      <w:r w:rsidR="006A396F">
        <w:rPr>
          <w:lang w:eastAsia="ja-JP"/>
        </w:rPr>
        <w:t xml:space="preserve">at </w:t>
      </w:r>
      <w:r w:rsidRPr="00CC02EE">
        <w:rPr>
          <w:lang w:eastAsia="ja-JP"/>
        </w:rPr>
        <w:t>any site, secondary malignancy</w:t>
      </w:r>
      <w:r w:rsidR="006A396F">
        <w:rPr>
          <w:lang w:eastAsia="ja-JP"/>
        </w:rPr>
        <w:t>,</w:t>
      </w:r>
      <w:r w:rsidRPr="00CC02EE">
        <w:rPr>
          <w:lang w:eastAsia="ja-JP"/>
        </w:rPr>
        <w:t xml:space="preserve"> </w:t>
      </w:r>
      <w:r w:rsidR="006A396F">
        <w:rPr>
          <w:lang w:eastAsia="ja-JP"/>
        </w:rPr>
        <w:t xml:space="preserve">and </w:t>
      </w:r>
      <w:r w:rsidRPr="00CC02EE">
        <w:rPr>
          <w:lang w:eastAsia="ja-JP"/>
        </w:rPr>
        <w:t>death fro</w:t>
      </w:r>
      <w:r w:rsidR="002C7341">
        <w:rPr>
          <w:lang w:eastAsia="ja-JP"/>
        </w:rPr>
        <w:t>m any cause after study entry.</w:t>
      </w:r>
    </w:p>
    <w:p w:rsidR="00E01BFF" w:rsidRDefault="00E01BFF" w:rsidP="002C7341">
      <w:pPr>
        <w:pStyle w:val="Heading4"/>
      </w:pPr>
      <w:r>
        <w:t>Endpoints</w:t>
      </w:r>
    </w:p>
    <w:p w:rsidR="00CC02EE" w:rsidRPr="00CC02EE" w:rsidRDefault="00CC02EE" w:rsidP="002C7341">
      <w:pPr>
        <w:rPr>
          <w:lang w:eastAsia="ja-JP"/>
        </w:rPr>
      </w:pPr>
      <w:r w:rsidRPr="00CC02EE">
        <w:rPr>
          <w:lang w:eastAsia="ja-JP"/>
        </w:rPr>
        <w:t>The pivotal study 2301 was a multi-centre phase 3 open label sequential cohort non-randomised study which involved paediatric and young adult patients of less than 22 years with very high risk ALL defined as five year event free survival of less than 45% the large majority of whom had the Ph positive subtypes.  A summary of study en</w:t>
      </w:r>
      <w:r w:rsidR="00D57669">
        <w:rPr>
          <w:lang w:eastAsia="ja-JP"/>
        </w:rPr>
        <w:t xml:space="preserve">d points is indicated in Table </w:t>
      </w:r>
      <w:r w:rsidR="00C81EA2">
        <w:rPr>
          <w:lang w:eastAsia="ja-JP"/>
        </w:rPr>
        <w:t>6</w:t>
      </w:r>
      <w:r w:rsidR="002C7341">
        <w:rPr>
          <w:lang w:eastAsia="ja-JP"/>
        </w:rPr>
        <w:t>.</w:t>
      </w:r>
    </w:p>
    <w:p w:rsidR="00CC02EE" w:rsidRPr="00CC02EE" w:rsidRDefault="00CC02EE" w:rsidP="002C7341">
      <w:pPr>
        <w:pStyle w:val="TableTitle"/>
        <w:rPr>
          <w:lang w:eastAsia="ja-JP"/>
        </w:rPr>
      </w:pPr>
      <w:r w:rsidRPr="00CC02EE">
        <w:rPr>
          <w:lang w:eastAsia="ja-JP"/>
        </w:rPr>
        <w:lastRenderedPageBreak/>
        <w:t xml:space="preserve">Table </w:t>
      </w:r>
      <w:r w:rsidR="00C81EA2">
        <w:rPr>
          <w:lang w:eastAsia="ja-JP"/>
        </w:rPr>
        <w:t>6</w:t>
      </w:r>
      <w:r w:rsidRPr="00CC02EE">
        <w:rPr>
          <w:lang w:eastAsia="ja-JP"/>
        </w:rPr>
        <w:t>: Summary of endpoints for Study STI571I2301</w:t>
      </w:r>
    </w:p>
    <w:p w:rsidR="00CC02EE" w:rsidRPr="00CC02EE" w:rsidRDefault="00CC02EE" w:rsidP="002C7341">
      <w:pPr>
        <w:rPr>
          <w:lang w:eastAsia="ja-JP"/>
        </w:rPr>
      </w:pPr>
      <w:r w:rsidRPr="00CC02EE">
        <w:rPr>
          <w:noProof/>
          <w:lang w:eastAsia="en-AU"/>
        </w:rPr>
        <w:drawing>
          <wp:inline distT="0" distB="0" distL="0" distR="0" wp14:anchorId="636CD882" wp14:editId="61BADC6D">
            <wp:extent cx="5598968" cy="3901999"/>
            <wp:effectExtent l="19050" t="0" r="1732" b="0"/>
            <wp:docPr id="10" name="Picture 4" descr="Table 6: Summary of endpoints for Study STI571I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598842" cy="3901911"/>
                    </a:xfrm>
                    <a:prstGeom prst="rect">
                      <a:avLst/>
                    </a:prstGeom>
                    <a:noFill/>
                    <a:ln w="9525">
                      <a:noFill/>
                      <a:miter lim="800000"/>
                      <a:headEnd/>
                      <a:tailEnd/>
                    </a:ln>
                  </pic:spPr>
                </pic:pic>
              </a:graphicData>
            </a:graphic>
          </wp:inline>
        </w:drawing>
      </w:r>
    </w:p>
    <w:p w:rsidR="00E01BFF" w:rsidRDefault="00E01BFF" w:rsidP="002C7341">
      <w:pPr>
        <w:pStyle w:val="Heading4"/>
      </w:pPr>
      <w:r>
        <w:t>Study design</w:t>
      </w:r>
    </w:p>
    <w:p w:rsidR="00CC02EE" w:rsidRPr="00CC02EE" w:rsidRDefault="00CC02EE" w:rsidP="002C7341">
      <w:pPr>
        <w:rPr>
          <w:lang w:eastAsia="ja-JP"/>
        </w:rPr>
      </w:pPr>
      <w:r w:rsidRPr="00CC02EE">
        <w:rPr>
          <w:lang w:eastAsia="ja-JP"/>
        </w:rPr>
        <w:t>The study design is indicated in Figure 4:</w:t>
      </w:r>
    </w:p>
    <w:p w:rsidR="00CC02EE" w:rsidRPr="002C7341" w:rsidRDefault="00CC02EE" w:rsidP="002C7341">
      <w:pPr>
        <w:pStyle w:val="FigureTitle"/>
      </w:pPr>
      <w:r w:rsidRPr="00CC02EE">
        <w:rPr>
          <w:lang w:eastAsia="ja-JP"/>
        </w:rPr>
        <w:lastRenderedPageBreak/>
        <w:t>Figure 4: Study design STI571I2301</w:t>
      </w:r>
    </w:p>
    <w:p w:rsidR="00CC02EE" w:rsidRPr="00CC02EE" w:rsidRDefault="00CC02EE" w:rsidP="002C7341">
      <w:pPr>
        <w:rPr>
          <w:lang w:eastAsia="ja-JP"/>
        </w:rPr>
      </w:pPr>
      <w:r w:rsidRPr="00CC02EE">
        <w:rPr>
          <w:noProof/>
          <w:lang w:eastAsia="en-AU"/>
        </w:rPr>
        <w:drawing>
          <wp:inline distT="0" distB="0" distL="0" distR="0" wp14:anchorId="58A71C56" wp14:editId="1DF6E7CF">
            <wp:extent cx="5280314" cy="5681751"/>
            <wp:effectExtent l="19050" t="0" r="0" b="0"/>
            <wp:docPr id="11" name="Picture 7" descr="Figure 4: Study design STI571I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283872" cy="5685579"/>
                    </a:xfrm>
                    <a:prstGeom prst="rect">
                      <a:avLst/>
                    </a:prstGeom>
                    <a:noFill/>
                    <a:ln w="9525">
                      <a:noFill/>
                      <a:miter lim="800000"/>
                      <a:headEnd/>
                      <a:tailEnd/>
                    </a:ln>
                  </pic:spPr>
                </pic:pic>
              </a:graphicData>
            </a:graphic>
          </wp:inline>
        </w:drawing>
      </w:r>
    </w:p>
    <w:p w:rsidR="00E01BFF" w:rsidRDefault="00E01BFF" w:rsidP="002C7341">
      <w:pPr>
        <w:pStyle w:val="Heading4"/>
      </w:pPr>
      <w:r>
        <w:t>Patient characteristics and treatments</w:t>
      </w:r>
    </w:p>
    <w:p w:rsidR="00CC02EE" w:rsidRPr="00CC02EE" w:rsidRDefault="00CC02EE" w:rsidP="002C7341">
      <w:pPr>
        <w:rPr>
          <w:lang w:eastAsia="ja-JP"/>
        </w:rPr>
      </w:pPr>
      <w:r w:rsidRPr="00CC02EE">
        <w:rPr>
          <w:lang w:eastAsia="ja-JP"/>
        </w:rPr>
        <w:t xml:space="preserve">All patients in this study received an initial intensive chemotherapy regimen.  The Ph positive patients received imatinib integrated with intensive chemotherapy in successive blocks of increasing imatinib exposure depending on the cohort as indicated in Table </w:t>
      </w:r>
      <w:r w:rsidR="00C81EA2">
        <w:rPr>
          <w:lang w:eastAsia="ja-JP"/>
        </w:rPr>
        <w:t>5</w:t>
      </w:r>
      <w:r w:rsidRPr="00CC02EE">
        <w:rPr>
          <w:lang w:eastAsia="ja-JP"/>
        </w:rPr>
        <w:t>.  In cohorts 1 to 4 imatinib was given at 340mg/</w:t>
      </w:r>
      <w:r w:rsidR="00BF6EFA" w:rsidRPr="00BF6EFA">
        <w:rPr>
          <w:lang w:eastAsia="ja-JP"/>
        </w:rPr>
        <w:t>m</w:t>
      </w:r>
      <w:r w:rsidR="00BF6EFA" w:rsidRPr="00BF6EFA">
        <w:rPr>
          <w:vertAlign w:val="superscript"/>
          <w:lang w:eastAsia="ja-JP"/>
        </w:rPr>
        <w:t>2</w:t>
      </w:r>
      <w:r w:rsidRPr="00CC02EE">
        <w:rPr>
          <w:lang w:eastAsia="ja-JP"/>
        </w:rPr>
        <w:t xml:space="preserve"> in three week blocks while in cohort 5 imatinib was given at 340mg/</w:t>
      </w:r>
      <w:r w:rsidR="00BF6EFA" w:rsidRPr="00BF6EFA">
        <w:rPr>
          <w:lang w:eastAsia="ja-JP"/>
        </w:rPr>
        <w:t>m</w:t>
      </w:r>
      <w:r w:rsidR="00BF6EFA" w:rsidRPr="00BF6EFA">
        <w:rPr>
          <w:vertAlign w:val="superscript"/>
          <w:lang w:eastAsia="ja-JP"/>
        </w:rPr>
        <w:t>2</w:t>
      </w:r>
      <w:r w:rsidRPr="00CC02EE">
        <w:rPr>
          <w:lang w:eastAsia="ja-JP"/>
        </w:rPr>
        <w:t xml:space="preserve"> per day continuously except during maintenance blocks 5 through 12 which consisted of two week imatinib blocks every four weeks.</w:t>
      </w:r>
    </w:p>
    <w:p w:rsidR="00CC02EE" w:rsidRDefault="00CC02EE" w:rsidP="002C7341">
      <w:pPr>
        <w:rPr>
          <w:lang w:eastAsia="ja-JP"/>
        </w:rPr>
      </w:pPr>
      <w:r w:rsidRPr="00CC02EE">
        <w:rPr>
          <w:lang w:eastAsia="ja-JP"/>
        </w:rPr>
        <w:t>It is noted that patients with HLA matched related donors or one antigen mismatch were rated donors eligible for stem cell transplant after consolidation block 2.  At 16 to 24 weeks after per-protocol HSCT treatment with imatinib was resumed initially at a lower dose of 230mg/</w:t>
      </w:r>
      <w:r w:rsidR="00BF6EFA" w:rsidRPr="00BF6EFA">
        <w:rPr>
          <w:lang w:eastAsia="ja-JP"/>
        </w:rPr>
        <w:t>m</w:t>
      </w:r>
      <w:r w:rsidR="00BF6EFA" w:rsidRPr="00BF6EFA">
        <w:rPr>
          <w:vertAlign w:val="superscript"/>
          <w:lang w:eastAsia="ja-JP"/>
        </w:rPr>
        <w:t>2</w:t>
      </w:r>
      <w:r w:rsidRPr="00CC02EE">
        <w:rPr>
          <w:lang w:eastAsia="ja-JP"/>
        </w:rPr>
        <w:t xml:space="preserve"> per day increased to 340mg/</w:t>
      </w:r>
      <w:r w:rsidR="00BF6EFA" w:rsidRPr="00BF6EFA">
        <w:rPr>
          <w:lang w:eastAsia="ja-JP"/>
        </w:rPr>
        <w:t>m</w:t>
      </w:r>
      <w:r w:rsidR="00BF6EFA" w:rsidRPr="00BF6EFA">
        <w:rPr>
          <w:vertAlign w:val="superscript"/>
          <w:lang w:eastAsia="ja-JP"/>
        </w:rPr>
        <w:t>2</w:t>
      </w:r>
      <w:r w:rsidRPr="00CC02EE">
        <w:rPr>
          <w:lang w:eastAsia="ja-JP"/>
        </w:rPr>
        <w:t xml:space="preserve"> per day when no toxicity of at least grade 3 were observed after fo</w:t>
      </w:r>
      <w:r w:rsidR="002C7341">
        <w:rPr>
          <w:lang w:eastAsia="ja-JP"/>
        </w:rPr>
        <w:t xml:space="preserve">ur weeks of post-HSCT </w:t>
      </w:r>
      <w:proofErr w:type="spellStart"/>
      <w:r w:rsidR="002C7341">
        <w:rPr>
          <w:lang w:eastAsia="ja-JP"/>
        </w:rPr>
        <w:t>imatinib</w:t>
      </w:r>
      <w:proofErr w:type="spellEnd"/>
      <w:r w:rsidR="002C7341">
        <w:rPr>
          <w:lang w:eastAsia="ja-JP"/>
        </w:rPr>
        <w:t>.</w:t>
      </w:r>
    </w:p>
    <w:p w:rsidR="00E01BFF" w:rsidRPr="00CC02EE" w:rsidRDefault="00E01BFF" w:rsidP="002C7341">
      <w:pPr>
        <w:pStyle w:val="Heading4"/>
      </w:pPr>
      <w:r>
        <w:t>Analysis populations</w:t>
      </w:r>
    </w:p>
    <w:p w:rsidR="00CC02EE" w:rsidRPr="00CC02EE" w:rsidRDefault="00CC02EE" w:rsidP="002C7341">
      <w:pPr>
        <w:rPr>
          <w:lang w:eastAsia="ja-JP"/>
        </w:rPr>
      </w:pPr>
      <w:r w:rsidRPr="00CC02EE">
        <w:rPr>
          <w:lang w:eastAsia="ja-JP"/>
        </w:rPr>
        <w:t>Breakdown of the population analysis for the 160 patients initially entered on to trial is indicated in Figure 5:</w:t>
      </w:r>
    </w:p>
    <w:p w:rsidR="00CC02EE" w:rsidRPr="002C7341" w:rsidRDefault="00CC02EE" w:rsidP="002C7341">
      <w:pPr>
        <w:pStyle w:val="FigureTitle"/>
      </w:pPr>
      <w:r w:rsidRPr="00CC02EE">
        <w:rPr>
          <w:lang w:eastAsia="ja-JP"/>
        </w:rPr>
        <w:lastRenderedPageBreak/>
        <w:t>Figure 5: Patient Population in Study STI571I2301</w:t>
      </w:r>
    </w:p>
    <w:p w:rsidR="00CC02EE" w:rsidRPr="00CC02EE" w:rsidRDefault="00CC02EE" w:rsidP="002C7341">
      <w:pPr>
        <w:rPr>
          <w:lang w:eastAsia="ja-JP"/>
        </w:rPr>
      </w:pPr>
      <w:r w:rsidRPr="00CC02EE">
        <w:rPr>
          <w:noProof/>
          <w:lang w:eastAsia="en-AU"/>
        </w:rPr>
        <w:drawing>
          <wp:inline distT="0" distB="0" distL="0" distR="0" wp14:anchorId="2427BE80" wp14:editId="23C40739">
            <wp:extent cx="5231823" cy="3209139"/>
            <wp:effectExtent l="19050" t="0" r="6927" b="0"/>
            <wp:docPr id="12" name="Picture 10" descr="Figure 5: Patient Population in Study STI571I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5227168" cy="3206284"/>
                    </a:xfrm>
                    <a:prstGeom prst="rect">
                      <a:avLst/>
                    </a:prstGeom>
                    <a:noFill/>
                    <a:ln w="9525">
                      <a:noFill/>
                      <a:miter lim="800000"/>
                      <a:headEnd/>
                      <a:tailEnd/>
                    </a:ln>
                  </pic:spPr>
                </pic:pic>
              </a:graphicData>
            </a:graphic>
          </wp:inline>
        </w:drawing>
      </w:r>
    </w:p>
    <w:p w:rsidR="00CC02EE" w:rsidRPr="00CC02EE" w:rsidRDefault="00672C2B" w:rsidP="002C7341">
      <w:pPr>
        <w:rPr>
          <w:lang w:eastAsia="ja-JP"/>
        </w:rPr>
      </w:pPr>
      <w:r>
        <w:rPr>
          <w:lang w:eastAsia="ja-JP"/>
        </w:rPr>
        <w:t>T</w:t>
      </w:r>
      <w:r w:rsidR="00CC02EE" w:rsidRPr="00CC02EE">
        <w:rPr>
          <w:lang w:eastAsia="ja-JP"/>
        </w:rPr>
        <w:t>he historical control data set for the analyses presented in this submission included 120 Ph ALL patients previously enrolled in five clinical trials performed by the C</w:t>
      </w:r>
      <w:r w:rsidR="002C7341">
        <w:rPr>
          <w:lang w:eastAsia="ja-JP"/>
        </w:rPr>
        <w:t>OG.</w:t>
      </w:r>
    </w:p>
    <w:p w:rsidR="00CC02EE" w:rsidRPr="00CC02EE" w:rsidRDefault="00CC02EE" w:rsidP="002C7341">
      <w:pPr>
        <w:rPr>
          <w:lang w:eastAsia="ja-JP"/>
        </w:rPr>
      </w:pPr>
      <w:r w:rsidRPr="00CC02EE">
        <w:rPr>
          <w:lang w:eastAsia="ja-JP"/>
        </w:rPr>
        <w:t>Reviewing the results of the pivotal study patients and sequential cohorts with increasing duration of imatinib had intermittent chemotherapy cohort 1 through to cohort 5.  Analyses are presented by cohort or combined cohort groups compared to cohort 5 which included patients who received imatinib for the longest duration.  Both efficacy and safety analyses included the same number of patients and no patients were excluded.  Twenty of the 50 patients in the main analysis group of cohort 5 underwent HSCT.  Thirty patients were treated only with chemotherapy plus imatinib.  Six patients in cohort 5 failed induction t</w:t>
      </w:r>
      <w:r w:rsidR="00C81EA2">
        <w:rPr>
          <w:lang w:eastAsia="ja-JP"/>
        </w:rPr>
        <w:t>reatment as indicated in Table 7</w:t>
      </w:r>
      <w:r w:rsidRPr="00CC02EE">
        <w:rPr>
          <w:lang w:eastAsia="ja-JP"/>
        </w:rPr>
        <w:t>:</w:t>
      </w:r>
    </w:p>
    <w:p w:rsidR="00CC02EE" w:rsidRPr="002C7341" w:rsidRDefault="00D57669" w:rsidP="002C7341">
      <w:pPr>
        <w:pStyle w:val="FigureTitle"/>
      </w:pPr>
      <w:r>
        <w:rPr>
          <w:lang w:eastAsia="ja-JP"/>
        </w:rPr>
        <w:t>Table</w:t>
      </w:r>
      <w:r w:rsidR="00C81EA2">
        <w:rPr>
          <w:lang w:eastAsia="ja-JP"/>
        </w:rPr>
        <w:t xml:space="preserve"> 7</w:t>
      </w:r>
      <w:r w:rsidR="00CC02EE" w:rsidRPr="00CC02EE">
        <w:rPr>
          <w:lang w:eastAsia="ja-JP"/>
        </w:rPr>
        <w:t>: Analysis set and subgroups (STI571I2301)</w:t>
      </w:r>
    </w:p>
    <w:p w:rsidR="00CC02EE" w:rsidRPr="00CC02EE" w:rsidRDefault="00CC02EE" w:rsidP="002C7341">
      <w:pPr>
        <w:rPr>
          <w:lang w:eastAsia="ja-JP"/>
        </w:rPr>
      </w:pPr>
      <w:r w:rsidRPr="00CC02EE">
        <w:rPr>
          <w:noProof/>
          <w:lang w:eastAsia="en-AU"/>
        </w:rPr>
        <w:drawing>
          <wp:inline distT="0" distB="0" distL="0" distR="0" wp14:anchorId="3255DD90" wp14:editId="2321BE92">
            <wp:extent cx="5400040" cy="2991607"/>
            <wp:effectExtent l="19050" t="0" r="0" b="0"/>
            <wp:docPr id="13" name="Picture 13" descr="Table 7: Analysis set and subgroups (STI571I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5400040" cy="2991607"/>
                    </a:xfrm>
                    <a:prstGeom prst="rect">
                      <a:avLst/>
                    </a:prstGeom>
                    <a:noFill/>
                    <a:ln w="9525">
                      <a:noFill/>
                      <a:miter lim="800000"/>
                      <a:headEnd/>
                      <a:tailEnd/>
                    </a:ln>
                  </pic:spPr>
                </pic:pic>
              </a:graphicData>
            </a:graphic>
          </wp:inline>
        </w:drawing>
      </w:r>
    </w:p>
    <w:p w:rsidR="00E01BFF" w:rsidRDefault="00E01BFF" w:rsidP="002C7341">
      <w:pPr>
        <w:pStyle w:val="Heading4"/>
      </w:pPr>
      <w:r>
        <w:lastRenderedPageBreak/>
        <w:t>Patient disposition</w:t>
      </w:r>
    </w:p>
    <w:p w:rsidR="00CC02EE" w:rsidRPr="00CC02EE" w:rsidRDefault="00CC02EE" w:rsidP="002C7341">
      <w:pPr>
        <w:rPr>
          <w:lang w:eastAsia="ja-JP"/>
        </w:rPr>
      </w:pPr>
      <w:r w:rsidRPr="00CC02EE">
        <w:rPr>
          <w:lang w:eastAsia="ja-JP"/>
        </w:rPr>
        <w:t>A total of 160 paediatric patients were enrolled in this study between 14 October 2002 and 20 October 2006.  Ninety three were Ph positive patients and received imatinib plus chemotherapy.  One patient who was considered not evaluable was excluded from analysis.  Approximately half of the Ph positive patients, that is, n=45 or 48.9%</w:t>
      </w:r>
      <w:r w:rsidR="00E01BFF">
        <w:rPr>
          <w:lang w:eastAsia="ja-JP"/>
        </w:rPr>
        <w:t>,</w:t>
      </w:r>
      <w:r w:rsidRPr="00CC02EE">
        <w:rPr>
          <w:lang w:eastAsia="ja-JP"/>
        </w:rPr>
        <w:t xml:space="preserve"> completed protocol treatment and the remaining 47 patients discontinued before completing protocol treatment.  The proportion of patients who discontinued protocol was highest in cohort 1 at 71.4% and lowest in patients receiving imatinib continuously in cohort 5 at 46%.  Overall the three most frequent reasons for discontinuation were patient decision 10.9%, or relapse at any site 10.9% and off protocol HSCT 9.8%.  As of the cut off date 5 September 2009 follow up was ongoing for 57 patients</w:t>
      </w:r>
      <w:r w:rsidR="006621B4">
        <w:rPr>
          <w:lang w:eastAsia="ja-JP"/>
        </w:rPr>
        <w:t>,</w:t>
      </w:r>
      <w:r w:rsidRPr="00CC02EE">
        <w:rPr>
          <w:lang w:eastAsia="ja-JP"/>
        </w:rPr>
        <w:t xml:space="preserve"> follow up was discontinued for 30 patients (32.6%) and 5 patients (5.4%) had no follow date available.  The overall patient disposition for the various cohorts is summarized in Tables 8 and 9:</w:t>
      </w:r>
    </w:p>
    <w:p w:rsidR="00CC02EE" w:rsidRDefault="00CC02EE" w:rsidP="002C7341">
      <w:pPr>
        <w:pStyle w:val="TableTitle"/>
        <w:rPr>
          <w:lang w:eastAsia="ja-JP"/>
        </w:rPr>
      </w:pPr>
      <w:r w:rsidRPr="00CC02EE">
        <w:rPr>
          <w:lang w:eastAsia="ja-JP"/>
        </w:rPr>
        <w:t>Table 8: Overall patient disposition</w:t>
      </w:r>
      <w:r w:rsidR="00A60D6D">
        <w:rPr>
          <w:lang w:eastAsia="ja-JP"/>
        </w:rPr>
        <w:t xml:space="preserve"> Ph+ cohorts</w:t>
      </w:r>
      <w:r w:rsidRPr="00CC02EE">
        <w:rPr>
          <w:lang w:eastAsia="ja-JP"/>
        </w:rPr>
        <w:t xml:space="preserve"> (Enrolled set – STI571I2301)</w:t>
      </w:r>
    </w:p>
    <w:p w:rsidR="00A60D6D" w:rsidRPr="00CC02EE" w:rsidRDefault="00A60D6D" w:rsidP="002C7341">
      <w:pPr>
        <w:rPr>
          <w:lang w:eastAsia="ja-JP"/>
        </w:rPr>
      </w:pPr>
      <w:r>
        <w:rPr>
          <w:noProof/>
          <w:lang w:eastAsia="en-AU"/>
        </w:rPr>
        <w:drawing>
          <wp:inline distT="0" distB="0" distL="0" distR="0" wp14:anchorId="6098B809" wp14:editId="5DD918AB">
            <wp:extent cx="5162550" cy="2671336"/>
            <wp:effectExtent l="19050" t="0" r="0" b="0"/>
            <wp:docPr id="4" name="Picture 2" descr="Table 8: Overall patient disposition Ph+ cohorts (Enrolled set – STI571I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5164065" cy="2672120"/>
                    </a:xfrm>
                    <a:prstGeom prst="rect">
                      <a:avLst/>
                    </a:prstGeom>
                    <a:noFill/>
                    <a:ln w="9525">
                      <a:noFill/>
                      <a:miter lim="800000"/>
                      <a:headEnd/>
                      <a:tailEnd/>
                    </a:ln>
                  </pic:spPr>
                </pic:pic>
              </a:graphicData>
            </a:graphic>
          </wp:inline>
        </w:drawing>
      </w:r>
    </w:p>
    <w:p w:rsidR="00CC02EE" w:rsidRPr="00CC02EE" w:rsidRDefault="00CC02EE" w:rsidP="002C7341">
      <w:pPr>
        <w:pStyle w:val="TableTitle"/>
        <w:rPr>
          <w:lang w:eastAsia="ja-JP"/>
        </w:rPr>
      </w:pPr>
      <w:r w:rsidRPr="00CC02EE">
        <w:rPr>
          <w:lang w:eastAsia="ja-JP"/>
        </w:rPr>
        <w:t>Table 9: Patient disposition for end of protocol treatment, by cohort (Enrolled set – STI571I2301)</w:t>
      </w:r>
    </w:p>
    <w:p w:rsidR="00CC02EE" w:rsidRPr="00CC02EE" w:rsidRDefault="00CC02EE" w:rsidP="002C7341">
      <w:pPr>
        <w:rPr>
          <w:lang w:eastAsia="ja-JP"/>
        </w:rPr>
      </w:pPr>
      <w:r w:rsidRPr="00CC02EE">
        <w:rPr>
          <w:noProof/>
          <w:lang w:eastAsia="en-AU"/>
        </w:rPr>
        <w:drawing>
          <wp:inline distT="0" distB="0" distL="0" distR="0" wp14:anchorId="6C944B6F" wp14:editId="101ED012">
            <wp:extent cx="5162550" cy="2813802"/>
            <wp:effectExtent l="19050" t="0" r="0" b="0"/>
            <wp:docPr id="15" name="Picture 25" descr="Table 9: Patient disposition for end of protocol treatment, by cohort (Enrolled set – STI571I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srcRect/>
                    <a:stretch>
                      <a:fillRect/>
                    </a:stretch>
                  </pic:blipFill>
                  <pic:spPr bwMode="auto">
                    <a:xfrm>
                      <a:off x="0" y="0"/>
                      <a:ext cx="5158910" cy="2811818"/>
                    </a:xfrm>
                    <a:prstGeom prst="rect">
                      <a:avLst/>
                    </a:prstGeom>
                    <a:noFill/>
                    <a:ln w="9525">
                      <a:noFill/>
                      <a:miter lim="800000"/>
                      <a:headEnd/>
                      <a:tailEnd/>
                    </a:ln>
                  </pic:spPr>
                </pic:pic>
              </a:graphicData>
            </a:graphic>
          </wp:inline>
        </w:drawing>
      </w:r>
    </w:p>
    <w:p w:rsidR="006621B4" w:rsidRDefault="006621B4" w:rsidP="002C7341">
      <w:pPr>
        <w:pStyle w:val="Heading4"/>
      </w:pPr>
      <w:r w:rsidRPr="006621B4">
        <w:lastRenderedPageBreak/>
        <w:t>Demographic and other baseline characteristics</w:t>
      </w:r>
    </w:p>
    <w:p w:rsidR="00CC02EE" w:rsidRPr="00CC02EE" w:rsidRDefault="00CC02EE" w:rsidP="002C7341">
      <w:pPr>
        <w:rPr>
          <w:lang w:eastAsia="ja-JP"/>
        </w:rPr>
      </w:pPr>
      <w:r w:rsidRPr="00CC02EE">
        <w:rPr>
          <w:lang w:eastAsia="ja-JP"/>
        </w:rPr>
        <w:t xml:space="preserve">Demographic and baseline characteristics for the patients including the Ph positive patients, the Ph negative patients and the historical control </w:t>
      </w:r>
      <w:r w:rsidR="002C7341">
        <w:rPr>
          <w:lang w:eastAsia="ja-JP"/>
        </w:rPr>
        <w:t>group is indicated in Table 10.</w:t>
      </w:r>
    </w:p>
    <w:p w:rsidR="006621B4" w:rsidRDefault="00CC02EE" w:rsidP="002C7341">
      <w:pPr>
        <w:pStyle w:val="TableTitle"/>
        <w:rPr>
          <w:lang w:eastAsia="ja-JP"/>
        </w:rPr>
      </w:pPr>
      <w:r w:rsidRPr="00CC02EE">
        <w:rPr>
          <w:lang w:eastAsia="ja-JP"/>
        </w:rPr>
        <w:t>Table 10: Demographics at baseline for Ph+ ALL cohorts, Ph-ALL group and historical control group (STI571I2301)</w:t>
      </w:r>
    </w:p>
    <w:p w:rsidR="00CC02EE" w:rsidRPr="00CC02EE" w:rsidRDefault="006621B4" w:rsidP="002C7341">
      <w:pPr>
        <w:rPr>
          <w:lang w:eastAsia="ja-JP"/>
        </w:rPr>
      </w:pPr>
      <w:r>
        <w:rPr>
          <w:noProof/>
          <w:lang w:eastAsia="en-AU"/>
        </w:rPr>
        <w:drawing>
          <wp:inline distT="0" distB="0" distL="0" distR="0" wp14:anchorId="092107DA" wp14:editId="5336EA58">
            <wp:extent cx="5232850" cy="6159500"/>
            <wp:effectExtent l="19050" t="0" r="5900" b="0"/>
            <wp:docPr id="72" name="Picture 72" descr="Table 10: Demographics at baseline for Ph+ ALL cohorts, Ph-ALL group and historical control group (STI571I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8" cstate="print"/>
                    <a:srcRect/>
                    <a:stretch>
                      <a:fillRect/>
                    </a:stretch>
                  </pic:blipFill>
                  <pic:spPr bwMode="auto">
                    <a:xfrm>
                      <a:off x="0" y="0"/>
                      <a:ext cx="5234996" cy="6162025"/>
                    </a:xfrm>
                    <a:prstGeom prst="rect">
                      <a:avLst/>
                    </a:prstGeom>
                    <a:noFill/>
                    <a:ln w="9525">
                      <a:noFill/>
                      <a:miter lim="800000"/>
                      <a:headEnd/>
                      <a:tailEnd/>
                    </a:ln>
                  </pic:spPr>
                </pic:pic>
              </a:graphicData>
            </a:graphic>
          </wp:inline>
        </w:drawing>
      </w:r>
      <w:r w:rsidR="00CC02EE" w:rsidRPr="00CC02EE">
        <w:rPr>
          <w:lang w:eastAsia="ja-JP"/>
        </w:rPr>
        <w:t xml:space="preserve">Demographic and baseline characteristics were comparable across the cohorts.  It is noted that of the Ph positive ALL patients 50% were less than 10 years of age and two patients were less than two years of age both from cohort 5.  Comparisons of minimal residual disease status (MRD) at study entry showed more patients in cohort 3, 4 and 5 with MRD equal to or less than 0.01% included 25% in cohort 4 and 36% in cohort 5.  It is also noted that the distribution of baseline characteristics are similar in cohort 5 to the historical control group.  It is noted that the Ph negative group included a higher percentage of induction failures than the Ph positive ALL cohorts at 33.8% versus 10.9% respectively.  It is also noted 34 of the Ph positive ALL patients or 37% of patients in the pivotal study underwent HSCT an unknown number had </w:t>
      </w:r>
      <w:r w:rsidR="00CC02EE" w:rsidRPr="00CC02EE">
        <w:rPr>
          <w:lang w:eastAsia="ja-JP"/>
        </w:rPr>
        <w:lastRenderedPageBreak/>
        <w:t>HSCT in the historical control groups.  No clinically significant differences in baseline characteristics were observed from patients who received HSCT compared to those that received ch</w:t>
      </w:r>
      <w:r w:rsidR="002C7341">
        <w:rPr>
          <w:lang w:eastAsia="ja-JP"/>
        </w:rPr>
        <w:t xml:space="preserve">emotherapy plus </w:t>
      </w:r>
      <w:proofErr w:type="spellStart"/>
      <w:r w:rsidR="002C7341">
        <w:rPr>
          <w:lang w:eastAsia="ja-JP"/>
        </w:rPr>
        <w:t>imatinib</w:t>
      </w:r>
      <w:proofErr w:type="spellEnd"/>
      <w:r w:rsidR="002C7341">
        <w:rPr>
          <w:lang w:eastAsia="ja-JP"/>
        </w:rPr>
        <w:t xml:space="preserve"> only.</w:t>
      </w:r>
    </w:p>
    <w:p w:rsidR="006621B4" w:rsidRDefault="006621B4" w:rsidP="00260C34">
      <w:pPr>
        <w:pStyle w:val="Heading4"/>
      </w:pPr>
      <w:r w:rsidRPr="006621B4">
        <w:t xml:space="preserve">Primary efficacy endpoint - </w:t>
      </w:r>
      <w:r w:rsidRPr="00260C34">
        <w:t>Event</w:t>
      </w:r>
      <w:r w:rsidRPr="006621B4">
        <w:t xml:space="preserve"> free survival in Study STI571I2301</w:t>
      </w:r>
      <w:r>
        <w:t xml:space="preserve"> </w:t>
      </w:r>
      <w:r w:rsidRPr="006621B4">
        <w:t>and historical control group</w:t>
      </w:r>
    </w:p>
    <w:p w:rsidR="00CC02EE" w:rsidRPr="00CC02EE" w:rsidRDefault="00CC02EE" w:rsidP="00260C34">
      <w:pPr>
        <w:rPr>
          <w:lang w:eastAsia="ja-JP"/>
        </w:rPr>
      </w:pPr>
      <w:r w:rsidRPr="00CC02EE">
        <w:rPr>
          <w:lang w:eastAsia="ja-JP"/>
        </w:rPr>
        <w:t>The primary efficacy end point of the study was EFS from study entry in Ph positive ALL patients and in cohort 5 including the option of HSCT.  Imatinib had its highest impact on EFS in patients with Ph positive ALL when administered early on in the course of treatment and for a longer duration, with the best res</w:t>
      </w:r>
      <w:r w:rsidR="006621B4">
        <w:rPr>
          <w:lang w:eastAsia="ja-JP"/>
        </w:rPr>
        <w:t>ults noted in cohort 5 (n</w:t>
      </w:r>
      <w:r w:rsidRPr="00CC02EE">
        <w:rPr>
          <w:lang w:eastAsia="ja-JP"/>
        </w:rPr>
        <w:t xml:space="preserve">=50): the 48 month EFS rate for cohort 5 was 69.6% which was more than twice that of the historical controls with 31.6% and an HR 0.28% log rank P &lt; </w:t>
      </w:r>
      <w:r w:rsidR="00ED3C8D">
        <w:rPr>
          <w:lang w:eastAsia="ja-JP"/>
        </w:rPr>
        <w:t xml:space="preserve">0.0001 as indicated in Table 11. </w:t>
      </w:r>
      <w:r w:rsidR="00ED3C8D" w:rsidRPr="00ED3C8D">
        <w:rPr>
          <w:lang w:eastAsia="ja-JP"/>
        </w:rPr>
        <w:t>Fourteen patients in cohort 5 showed an EFS event with nine patients relapsing at any site and five patients who died without relapse prior to death.  Of the five patients who died, four had undergone HSCT and one patient received on</w:t>
      </w:r>
      <w:r w:rsidR="00260C34">
        <w:rPr>
          <w:lang w:eastAsia="ja-JP"/>
        </w:rPr>
        <w:t xml:space="preserve">ly chemotherapy plus </w:t>
      </w:r>
      <w:proofErr w:type="spellStart"/>
      <w:r w:rsidR="00260C34">
        <w:rPr>
          <w:lang w:eastAsia="ja-JP"/>
        </w:rPr>
        <w:t>imatinib</w:t>
      </w:r>
      <w:proofErr w:type="spellEnd"/>
      <w:r w:rsidR="00260C34">
        <w:rPr>
          <w:lang w:eastAsia="ja-JP"/>
        </w:rPr>
        <w:t>.</w:t>
      </w:r>
    </w:p>
    <w:p w:rsidR="00260C34" w:rsidRDefault="00CC02EE" w:rsidP="00260C34">
      <w:pPr>
        <w:pStyle w:val="TableTitle"/>
        <w:rPr>
          <w:lang w:eastAsia="ja-JP"/>
        </w:rPr>
      </w:pPr>
      <w:r w:rsidRPr="00CC02EE">
        <w:rPr>
          <w:lang w:eastAsia="ja-JP"/>
        </w:rPr>
        <w:t xml:space="preserve">Table 11: </w:t>
      </w:r>
      <w:r w:rsidR="008E6852" w:rsidRPr="008E6852">
        <w:rPr>
          <w:lang w:eastAsia="ja-JP"/>
        </w:rPr>
        <w:t xml:space="preserve">Event-free survival in </w:t>
      </w:r>
      <w:r w:rsidR="00ED3C8D">
        <w:rPr>
          <w:lang w:eastAsia="ja-JP"/>
        </w:rPr>
        <w:t>cohort 5</w:t>
      </w:r>
      <w:r w:rsidR="008E6852" w:rsidRPr="008E6852">
        <w:rPr>
          <w:lang w:eastAsia="ja-JP"/>
        </w:rPr>
        <w:t xml:space="preserve"> (Efficacy set – STI571I2301)</w:t>
      </w:r>
      <w:r w:rsidR="003B7D54">
        <w:rPr>
          <w:lang w:eastAsia="ja-JP"/>
        </w:rPr>
        <w:t xml:space="preserve"> and in historical control</w:t>
      </w:r>
    </w:p>
    <w:p w:rsidR="00CC02EE" w:rsidRPr="00CC02EE" w:rsidRDefault="00CC02EE" w:rsidP="00260C34">
      <w:pPr>
        <w:rPr>
          <w:lang w:eastAsia="ja-JP"/>
        </w:rPr>
      </w:pPr>
      <w:r w:rsidRPr="00CC02EE">
        <w:rPr>
          <w:noProof/>
          <w:lang w:eastAsia="en-AU"/>
        </w:rPr>
        <w:drawing>
          <wp:inline distT="0" distB="0" distL="0" distR="0" wp14:anchorId="7CC91BFD" wp14:editId="4A43B9F0">
            <wp:extent cx="5400040" cy="3135044"/>
            <wp:effectExtent l="19050" t="0" r="0" b="0"/>
            <wp:docPr id="17" name="Picture 31" descr="Table 11: Event-free survival in cohort 5 (Efficacy set – STI571I2301) and in historical contr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srcRect/>
                    <a:stretch>
                      <a:fillRect/>
                    </a:stretch>
                  </pic:blipFill>
                  <pic:spPr bwMode="auto">
                    <a:xfrm>
                      <a:off x="0" y="0"/>
                      <a:ext cx="5400040" cy="3135044"/>
                    </a:xfrm>
                    <a:prstGeom prst="rect">
                      <a:avLst/>
                    </a:prstGeom>
                    <a:noFill/>
                    <a:ln w="9525">
                      <a:noFill/>
                      <a:miter lim="800000"/>
                      <a:headEnd/>
                      <a:tailEnd/>
                    </a:ln>
                  </pic:spPr>
                </pic:pic>
              </a:graphicData>
            </a:graphic>
          </wp:inline>
        </w:drawing>
      </w:r>
    </w:p>
    <w:p w:rsidR="00CC02EE" w:rsidRPr="00CC02EE" w:rsidRDefault="00ED3C8D" w:rsidP="00260C34">
      <w:pPr>
        <w:rPr>
          <w:lang w:eastAsia="ja-JP"/>
        </w:rPr>
      </w:pPr>
      <w:r w:rsidRPr="00ED3C8D">
        <w:rPr>
          <w:lang w:eastAsia="ja-JP"/>
        </w:rPr>
        <w:t>The estimated rate of EFS at 48 months was 34.7% in cohort 1+2 and was 60.4% in cohort</w:t>
      </w:r>
      <w:r>
        <w:rPr>
          <w:lang w:eastAsia="ja-JP"/>
        </w:rPr>
        <w:t xml:space="preserve"> </w:t>
      </w:r>
      <w:r w:rsidRPr="00ED3C8D">
        <w:rPr>
          <w:lang w:eastAsia="ja-JP"/>
        </w:rPr>
        <w:t>3+4. Comparison between cohort 5 and cohort 1+2 yielded a HR of 0.38 with a p-value of</w:t>
      </w:r>
      <w:r>
        <w:rPr>
          <w:lang w:eastAsia="ja-JP"/>
        </w:rPr>
        <w:t xml:space="preserve"> </w:t>
      </w:r>
      <w:r w:rsidRPr="00ED3C8D">
        <w:rPr>
          <w:lang w:eastAsia="ja-JP"/>
        </w:rPr>
        <w:t>0.0101 (log-rank). Comparison between cohort 5 and cohort 3+4 yielded a HR of 0.76 with a</w:t>
      </w:r>
      <w:r>
        <w:rPr>
          <w:lang w:eastAsia="ja-JP"/>
        </w:rPr>
        <w:t xml:space="preserve"> </w:t>
      </w:r>
      <w:r w:rsidRPr="00ED3C8D">
        <w:rPr>
          <w:lang w:eastAsia="ja-JP"/>
        </w:rPr>
        <w:t>p-value of 0.5292 (log-rank)</w:t>
      </w:r>
      <w:r>
        <w:rPr>
          <w:lang w:eastAsia="ja-JP"/>
        </w:rPr>
        <w:t xml:space="preserve"> </w:t>
      </w:r>
      <w:r w:rsidR="00CC02EE" w:rsidRPr="00CC02EE">
        <w:rPr>
          <w:lang w:eastAsia="ja-JP"/>
        </w:rPr>
        <w:t>Figure 6 represents the Kaplan-Meier estimates of cohort 5 compared to the historical control group obtained from COG.</w:t>
      </w:r>
    </w:p>
    <w:p w:rsidR="00CC02EE" w:rsidRPr="00CC02EE" w:rsidRDefault="00CC02EE" w:rsidP="00260C34">
      <w:pPr>
        <w:pStyle w:val="FigureTitle"/>
        <w:rPr>
          <w:lang w:eastAsia="ja-JP"/>
        </w:rPr>
      </w:pPr>
      <w:r w:rsidRPr="00CC02EE">
        <w:rPr>
          <w:lang w:eastAsia="ja-JP"/>
        </w:rPr>
        <w:lastRenderedPageBreak/>
        <w:t>Figure 6: Kaplan Meier curve of event-</w:t>
      </w:r>
      <w:r w:rsidRPr="00260C34">
        <w:t>free</w:t>
      </w:r>
      <w:r w:rsidRPr="00CC02EE">
        <w:rPr>
          <w:lang w:eastAsia="ja-JP"/>
        </w:rPr>
        <w:t xml:space="preserve"> survival comparing cohort 5 (Efficacy set – STI571I2301)</w:t>
      </w:r>
      <w:r w:rsidR="008E6852">
        <w:rPr>
          <w:lang w:eastAsia="ja-JP"/>
        </w:rPr>
        <w:t xml:space="preserve"> and historical control</w:t>
      </w:r>
    </w:p>
    <w:p w:rsidR="00CC02EE" w:rsidRPr="00CC02EE" w:rsidRDefault="00CC02EE" w:rsidP="00260C34">
      <w:pPr>
        <w:rPr>
          <w:lang w:eastAsia="ja-JP"/>
        </w:rPr>
      </w:pPr>
      <w:r w:rsidRPr="00CC02EE">
        <w:rPr>
          <w:noProof/>
          <w:lang w:eastAsia="en-AU"/>
        </w:rPr>
        <w:drawing>
          <wp:inline distT="0" distB="0" distL="0" distR="0" wp14:anchorId="2340FDC9" wp14:editId="0F54DA72">
            <wp:extent cx="5400040" cy="3516505"/>
            <wp:effectExtent l="19050" t="0" r="0" b="0"/>
            <wp:docPr id="18" name="Picture 34" descr="Figure 6: Kaplan Meier curve of event-free survival comparing cohort 5 (Efficacy set – STI571I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srcRect/>
                    <a:stretch>
                      <a:fillRect/>
                    </a:stretch>
                  </pic:blipFill>
                  <pic:spPr bwMode="auto">
                    <a:xfrm>
                      <a:off x="0" y="0"/>
                      <a:ext cx="5400040" cy="3516505"/>
                    </a:xfrm>
                    <a:prstGeom prst="rect">
                      <a:avLst/>
                    </a:prstGeom>
                    <a:noFill/>
                    <a:ln w="9525">
                      <a:noFill/>
                      <a:miter lim="800000"/>
                      <a:headEnd/>
                      <a:tailEnd/>
                    </a:ln>
                  </pic:spPr>
                </pic:pic>
              </a:graphicData>
            </a:graphic>
          </wp:inline>
        </w:drawing>
      </w:r>
    </w:p>
    <w:p w:rsidR="00ED3C8D" w:rsidRDefault="00ED3C8D" w:rsidP="00260C34">
      <w:pPr>
        <w:pStyle w:val="Heading4"/>
      </w:pPr>
      <w:r>
        <w:t xml:space="preserve">EFS in cohort 5 and </w:t>
      </w:r>
      <w:r w:rsidRPr="00260C34">
        <w:t>historical</w:t>
      </w:r>
      <w:r>
        <w:t xml:space="preserve"> cont</w:t>
      </w:r>
      <w:r w:rsidR="00260C34">
        <w:t>rol by baseline characteristics</w:t>
      </w:r>
    </w:p>
    <w:p w:rsidR="00CC02EE" w:rsidRPr="00CC02EE" w:rsidRDefault="00CC02EE" w:rsidP="00260C34">
      <w:pPr>
        <w:rPr>
          <w:lang w:eastAsia="ja-JP"/>
        </w:rPr>
      </w:pPr>
      <w:r w:rsidRPr="00CC02EE">
        <w:rPr>
          <w:lang w:eastAsia="ja-JP"/>
        </w:rPr>
        <w:t>Event free survival is analysed for cohort 5 and the historical control population considering various baseline characteristics including age at study start, gender, white blood count at diagnosis and CNS involvement and results are summarised in Table 12:</w:t>
      </w:r>
    </w:p>
    <w:p w:rsidR="00CC02EE" w:rsidRPr="00CC02EE" w:rsidRDefault="00CC02EE" w:rsidP="00260C34">
      <w:pPr>
        <w:pStyle w:val="TableTitle"/>
        <w:rPr>
          <w:lang w:eastAsia="ja-JP"/>
        </w:rPr>
      </w:pPr>
      <w:r w:rsidRPr="00CC02EE">
        <w:rPr>
          <w:lang w:eastAsia="ja-JP"/>
        </w:rPr>
        <w:lastRenderedPageBreak/>
        <w:t>Table 12: Kaplan-Meier analysis of EFS in cohort 5 and historical control patients by baseline characteristics (Efficacy set – STI571I2301)</w:t>
      </w:r>
    </w:p>
    <w:p w:rsidR="00CC02EE" w:rsidRPr="00CC02EE" w:rsidRDefault="00CC02EE" w:rsidP="00260C34">
      <w:pPr>
        <w:rPr>
          <w:lang w:eastAsia="ja-JP"/>
        </w:rPr>
      </w:pPr>
      <w:r w:rsidRPr="00CC02EE">
        <w:rPr>
          <w:noProof/>
          <w:lang w:eastAsia="en-AU"/>
        </w:rPr>
        <w:drawing>
          <wp:inline distT="0" distB="0" distL="0" distR="0" wp14:anchorId="454CF366" wp14:editId="34225B6F">
            <wp:extent cx="5106035" cy="5384165"/>
            <wp:effectExtent l="19050" t="0" r="0" b="0"/>
            <wp:docPr id="19" name="Picture 37" descr="Table 12: Kaplan-Meier analysis of EFS in cohort 5 and historical control patients by baseline characteristics (Efficacy set – STI571I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srcRect/>
                    <a:stretch>
                      <a:fillRect/>
                    </a:stretch>
                  </pic:blipFill>
                  <pic:spPr bwMode="auto">
                    <a:xfrm>
                      <a:off x="0" y="0"/>
                      <a:ext cx="5106035" cy="5384165"/>
                    </a:xfrm>
                    <a:prstGeom prst="rect">
                      <a:avLst/>
                    </a:prstGeom>
                    <a:noFill/>
                    <a:ln w="9525">
                      <a:noFill/>
                      <a:miter lim="800000"/>
                      <a:headEnd/>
                      <a:tailEnd/>
                    </a:ln>
                  </pic:spPr>
                </pic:pic>
              </a:graphicData>
            </a:graphic>
          </wp:inline>
        </w:drawing>
      </w:r>
    </w:p>
    <w:p w:rsidR="00CC02EE" w:rsidRPr="00CC02EE" w:rsidRDefault="00CC02EE" w:rsidP="00260C34">
      <w:pPr>
        <w:rPr>
          <w:lang w:eastAsia="ja-JP"/>
        </w:rPr>
      </w:pPr>
      <w:r w:rsidRPr="00CC02EE">
        <w:rPr>
          <w:lang w:eastAsia="ja-JP"/>
        </w:rPr>
        <w:t>For all characteristics assessed there was an advantage in terms of event free survival for the patients in cohort 5 compared to the historical controls.  This was further analysed utilizing a Cox regression analysis for selected baseline characteristics including age, gender and white blood count as the others had insufficient numbers available or not available for the historical controls namely minimal residual disease status.  Again advantages were noted for the cohort 5 patients compared to the historical controls with HR 0.28 log rank P &lt; 0.0001 as indicated in Table 13:</w:t>
      </w:r>
    </w:p>
    <w:p w:rsidR="00CC02EE" w:rsidRPr="00CC02EE" w:rsidRDefault="00CC02EE" w:rsidP="00260C34">
      <w:pPr>
        <w:pStyle w:val="TableTitle"/>
        <w:rPr>
          <w:lang w:eastAsia="ja-JP"/>
        </w:rPr>
      </w:pPr>
      <w:r w:rsidRPr="00CC02EE">
        <w:rPr>
          <w:lang w:eastAsia="ja-JP"/>
        </w:rPr>
        <w:t xml:space="preserve">Table 13: </w:t>
      </w:r>
      <w:proofErr w:type="spellStart"/>
      <w:r w:rsidRPr="00CC02EE">
        <w:rPr>
          <w:lang w:eastAsia="ja-JP"/>
        </w:rPr>
        <w:t>Univariate</w:t>
      </w:r>
      <w:proofErr w:type="spellEnd"/>
      <w:r w:rsidRPr="00CC02EE">
        <w:rPr>
          <w:lang w:eastAsia="ja-JP"/>
        </w:rPr>
        <w:t xml:space="preserve"> and Multivariate Cox proportional hazards model (Efficacy set – STI571I2301)</w:t>
      </w:r>
    </w:p>
    <w:p w:rsidR="00CC02EE" w:rsidRPr="00CC02EE" w:rsidRDefault="00CC02EE" w:rsidP="00260C34">
      <w:pPr>
        <w:rPr>
          <w:lang w:eastAsia="ja-JP"/>
        </w:rPr>
      </w:pPr>
      <w:r w:rsidRPr="00CC02EE">
        <w:rPr>
          <w:noProof/>
          <w:lang w:eastAsia="en-AU"/>
        </w:rPr>
        <w:drawing>
          <wp:inline distT="0" distB="0" distL="0" distR="0" wp14:anchorId="251A80D3" wp14:editId="04CCEDC8">
            <wp:extent cx="5400040" cy="1166905"/>
            <wp:effectExtent l="19050" t="0" r="0" b="0"/>
            <wp:docPr id="20" name="Picture 43" descr="Table 13: Univariate and Multivariate Cox proportional hazards model (Efficacy set – STI571I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srcRect/>
                    <a:stretch>
                      <a:fillRect/>
                    </a:stretch>
                  </pic:blipFill>
                  <pic:spPr bwMode="auto">
                    <a:xfrm>
                      <a:off x="0" y="0"/>
                      <a:ext cx="5400040" cy="1166905"/>
                    </a:xfrm>
                    <a:prstGeom prst="rect">
                      <a:avLst/>
                    </a:prstGeom>
                    <a:noFill/>
                    <a:ln w="9525">
                      <a:noFill/>
                      <a:miter lim="800000"/>
                      <a:headEnd/>
                      <a:tailEnd/>
                    </a:ln>
                  </pic:spPr>
                </pic:pic>
              </a:graphicData>
            </a:graphic>
          </wp:inline>
        </w:drawing>
      </w:r>
    </w:p>
    <w:p w:rsidR="00ED3C8D" w:rsidRDefault="00ED3C8D" w:rsidP="00260C34">
      <w:pPr>
        <w:pStyle w:val="Heading4"/>
      </w:pPr>
      <w:r>
        <w:lastRenderedPageBreak/>
        <w:t>Overall survival</w:t>
      </w:r>
    </w:p>
    <w:p w:rsidR="00ED3C8D" w:rsidRPr="00ED3C8D" w:rsidRDefault="00CC02EE" w:rsidP="00260C34">
      <w:pPr>
        <w:rPr>
          <w:lang w:eastAsia="ja-JP"/>
        </w:rPr>
      </w:pPr>
      <w:r w:rsidRPr="00CC02EE">
        <w:rPr>
          <w:lang w:eastAsia="ja-JP"/>
        </w:rPr>
        <w:t>Comparison of overall survival for the various cohorts compared to the historical cont</w:t>
      </w:r>
      <w:r w:rsidR="00ED3C8D">
        <w:rPr>
          <w:lang w:eastAsia="ja-JP"/>
        </w:rPr>
        <w:t xml:space="preserve">rols is summarised in Table 14. </w:t>
      </w:r>
      <w:r w:rsidR="00ED3C8D" w:rsidRPr="00ED3C8D">
        <w:rPr>
          <w:lang w:eastAsia="ja-JP"/>
        </w:rPr>
        <w:t>The estimated overall 48 month survival rate in cohort 5 was 83.6% compared to a rate of 44.8% for the historical controls with an HR 0.23 log rank P &lt; 0.0001.  This compared to an overall survival at 48 months of 49.2% for cohorts 1 + 2 and 74.7% for cohorts 3 + 4. Comparison between cohort 5 and cohort 1+2 yielded a HR of 0.30 (log-rank p=0.0091). Comparison between cohort 5 and cohort 3+4 yielded a HR of 0.74 (log-rank p=0.5949). This is indicated in Table 14 and Figure 7:</w:t>
      </w:r>
    </w:p>
    <w:p w:rsidR="00CC02EE" w:rsidRPr="00CC02EE" w:rsidRDefault="00CC02EE" w:rsidP="00260C34">
      <w:pPr>
        <w:pStyle w:val="TableTitle"/>
        <w:rPr>
          <w:lang w:eastAsia="ja-JP"/>
        </w:rPr>
      </w:pPr>
      <w:r w:rsidRPr="00CC02EE">
        <w:rPr>
          <w:lang w:eastAsia="ja-JP"/>
        </w:rPr>
        <w:t>Table 14: Overall survival in Ph+ cohorts (Efficacy set – STI571I2301) and historical control</w:t>
      </w:r>
    </w:p>
    <w:p w:rsidR="00CC02EE" w:rsidRPr="00CC02EE" w:rsidRDefault="00CC02EE" w:rsidP="00260C34">
      <w:pPr>
        <w:rPr>
          <w:lang w:eastAsia="ja-JP"/>
        </w:rPr>
      </w:pPr>
      <w:r w:rsidRPr="00CC02EE">
        <w:rPr>
          <w:noProof/>
          <w:lang w:eastAsia="en-AU"/>
        </w:rPr>
        <w:drawing>
          <wp:inline distT="0" distB="0" distL="0" distR="0" wp14:anchorId="44CABDF0" wp14:editId="30E58771">
            <wp:extent cx="5113020" cy="3321050"/>
            <wp:effectExtent l="19050" t="0" r="0" b="0"/>
            <wp:docPr id="21" name="Picture 46" descr="Table 14: Overall survival in Ph+ cohorts (Efficacy set – STI571I2301) and historical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cstate="print"/>
                    <a:srcRect/>
                    <a:stretch>
                      <a:fillRect/>
                    </a:stretch>
                  </pic:blipFill>
                  <pic:spPr bwMode="auto">
                    <a:xfrm>
                      <a:off x="0" y="0"/>
                      <a:ext cx="5113020" cy="3321050"/>
                    </a:xfrm>
                    <a:prstGeom prst="rect">
                      <a:avLst/>
                    </a:prstGeom>
                    <a:noFill/>
                    <a:ln w="9525">
                      <a:noFill/>
                      <a:miter lim="800000"/>
                      <a:headEnd/>
                      <a:tailEnd/>
                    </a:ln>
                  </pic:spPr>
                </pic:pic>
              </a:graphicData>
            </a:graphic>
          </wp:inline>
        </w:drawing>
      </w:r>
    </w:p>
    <w:p w:rsidR="00CC02EE" w:rsidRPr="00596146" w:rsidRDefault="00CC02EE" w:rsidP="00596146">
      <w:pPr>
        <w:pStyle w:val="FigureTitle"/>
      </w:pPr>
      <w:r w:rsidRPr="00CC02EE">
        <w:rPr>
          <w:lang w:eastAsia="ja-JP"/>
        </w:rPr>
        <w:t>Figure 7: Overall survival by cohort groups (Efficacy set – STI571I2301)</w:t>
      </w:r>
    </w:p>
    <w:p w:rsidR="00CC02EE" w:rsidRPr="00CC02EE" w:rsidRDefault="00CC02EE" w:rsidP="00596146">
      <w:pPr>
        <w:rPr>
          <w:lang w:eastAsia="ja-JP"/>
        </w:rPr>
      </w:pPr>
      <w:r w:rsidRPr="00CC02EE">
        <w:rPr>
          <w:noProof/>
          <w:lang w:eastAsia="en-AU"/>
        </w:rPr>
        <w:drawing>
          <wp:inline distT="0" distB="0" distL="0" distR="0" wp14:anchorId="7089B910" wp14:editId="6E8D91CC">
            <wp:extent cx="5264150" cy="2735099"/>
            <wp:effectExtent l="19050" t="0" r="0" b="0"/>
            <wp:docPr id="22" name="Picture 49" descr="Figure 7: Overall survival by cohort groups (Efficacy set – STI571I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srcRect/>
                    <a:stretch>
                      <a:fillRect/>
                    </a:stretch>
                  </pic:blipFill>
                  <pic:spPr bwMode="auto">
                    <a:xfrm>
                      <a:off x="0" y="0"/>
                      <a:ext cx="5262282" cy="2734128"/>
                    </a:xfrm>
                    <a:prstGeom prst="rect">
                      <a:avLst/>
                    </a:prstGeom>
                    <a:noFill/>
                    <a:ln w="9525">
                      <a:noFill/>
                      <a:miter lim="800000"/>
                      <a:headEnd/>
                      <a:tailEnd/>
                    </a:ln>
                  </pic:spPr>
                </pic:pic>
              </a:graphicData>
            </a:graphic>
          </wp:inline>
        </w:drawing>
      </w:r>
    </w:p>
    <w:p w:rsidR="00EF6AC9" w:rsidRDefault="00EF6AC9" w:rsidP="00596146">
      <w:pPr>
        <w:pStyle w:val="Heading4"/>
      </w:pPr>
      <w:r>
        <w:t>E</w:t>
      </w:r>
      <w:r w:rsidRPr="00EF6AC9">
        <w:t xml:space="preserve">ffect of imatinib exposure </w:t>
      </w:r>
      <w:r>
        <w:t>on EFS</w:t>
      </w:r>
    </w:p>
    <w:p w:rsidR="00CC02EE" w:rsidRPr="00CC02EE" w:rsidRDefault="00CC02EE" w:rsidP="00596146">
      <w:pPr>
        <w:rPr>
          <w:lang w:eastAsia="ja-JP"/>
        </w:rPr>
      </w:pPr>
      <w:r w:rsidRPr="00CC02EE">
        <w:rPr>
          <w:lang w:eastAsia="ja-JP"/>
        </w:rPr>
        <w:t xml:space="preserve">The effect of scheduled exposure to imatinib on event free survival using the cohort with increasing exposure from 1 to 5 was examined using the Cox proportional hazards model.  This </w:t>
      </w:r>
      <w:r w:rsidRPr="00CC02EE">
        <w:rPr>
          <w:lang w:eastAsia="ja-JP"/>
        </w:rPr>
        <w:lastRenderedPageBreak/>
        <w:t>revealed that with increasing exposure to Imatinib from cohorts 1 to 5 the respectively estimated event free survival showed a P value of 0.080.  It was estimated that each level increase in cohort number reduced the risk of an event b</w:t>
      </w:r>
      <w:r w:rsidR="00596146">
        <w:rPr>
          <w:lang w:eastAsia="ja-JP"/>
        </w:rPr>
        <w:t>y an estimated average of 23%.</w:t>
      </w:r>
    </w:p>
    <w:p w:rsidR="000210D4" w:rsidRDefault="000210D4" w:rsidP="00596146">
      <w:pPr>
        <w:pStyle w:val="Heading4"/>
      </w:pPr>
      <w:r>
        <w:t>Effect of HSCT</w:t>
      </w:r>
    </w:p>
    <w:p w:rsidR="00CC02EE" w:rsidRPr="00CC02EE" w:rsidRDefault="00CC02EE" w:rsidP="00596146">
      <w:pPr>
        <w:rPr>
          <w:lang w:eastAsia="ja-JP"/>
        </w:rPr>
      </w:pPr>
      <w:r w:rsidRPr="00CC02EE">
        <w:rPr>
          <w:lang w:eastAsia="ja-JP"/>
        </w:rPr>
        <w:t xml:space="preserve">Recognising the potential influence of HSCT on outcomes and involvement of this procedure in many of the patients in the study additional analysis was undertaken excluding all patients who underwent HSCT from cohort 5 </w:t>
      </w:r>
      <w:r w:rsidR="000210D4">
        <w:rPr>
          <w:lang w:eastAsia="ja-JP"/>
        </w:rPr>
        <w:t xml:space="preserve">and </w:t>
      </w:r>
      <w:r w:rsidRPr="00CC02EE">
        <w:rPr>
          <w:lang w:eastAsia="ja-JP"/>
        </w:rPr>
        <w:t xml:space="preserve">comparing this group with all patients who received per protocol HSCT </w:t>
      </w:r>
      <w:r w:rsidR="004B7D59">
        <w:rPr>
          <w:lang w:eastAsia="ja-JP"/>
        </w:rPr>
        <w:t>(</w:t>
      </w:r>
      <w:r w:rsidR="00AB4000">
        <w:rPr>
          <w:lang w:eastAsia="ja-JP"/>
        </w:rPr>
        <w:t>n</w:t>
      </w:r>
      <w:r w:rsidRPr="00CC02EE">
        <w:rPr>
          <w:lang w:eastAsia="ja-JP"/>
        </w:rPr>
        <w:t>=21</w:t>
      </w:r>
      <w:r w:rsidR="004B7D59">
        <w:rPr>
          <w:lang w:eastAsia="ja-JP"/>
        </w:rPr>
        <w:t>)</w:t>
      </w:r>
      <w:r w:rsidRPr="00CC02EE">
        <w:rPr>
          <w:lang w:eastAsia="ja-JP"/>
        </w:rPr>
        <w:t xml:space="preserve"> and all patients who received off protocol HSCT </w:t>
      </w:r>
      <w:r w:rsidR="004B7D59">
        <w:rPr>
          <w:lang w:eastAsia="ja-JP"/>
        </w:rPr>
        <w:t>(</w:t>
      </w:r>
      <w:r w:rsidR="00AB4000">
        <w:rPr>
          <w:lang w:eastAsia="ja-JP"/>
        </w:rPr>
        <w:t>n</w:t>
      </w:r>
      <w:r w:rsidRPr="00CC02EE">
        <w:rPr>
          <w:lang w:eastAsia="ja-JP"/>
        </w:rPr>
        <w:t>=13</w:t>
      </w:r>
      <w:r w:rsidR="004B7D59">
        <w:rPr>
          <w:lang w:eastAsia="ja-JP"/>
        </w:rPr>
        <w:t>)</w:t>
      </w:r>
      <w:r w:rsidRPr="00CC02EE">
        <w:rPr>
          <w:lang w:eastAsia="ja-JP"/>
        </w:rPr>
        <w:t>.  The analysis of EFS is ind</w:t>
      </w:r>
      <w:r w:rsidR="000210D4">
        <w:rPr>
          <w:lang w:eastAsia="ja-JP"/>
        </w:rPr>
        <w:t xml:space="preserve">icated in Table 15 and Figure 8. </w:t>
      </w:r>
      <w:r w:rsidR="000210D4" w:rsidRPr="000210D4">
        <w:rPr>
          <w:lang w:eastAsia="ja-JP"/>
        </w:rPr>
        <w:t xml:space="preserve">A positive trend was noted for EFS favouring per protocol HSCT over off protocol HSCT and cohort 5 chemotherapy plus imatinib over per protocol HSCT.  These figures were however </w:t>
      </w:r>
      <w:r w:rsidR="00596146">
        <w:rPr>
          <w:lang w:eastAsia="ja-JP"/>
        </w:rPr>
        <w:t>not statistically significant.</w:t>
      </w:r>
    </w:p>
    <w:p w:rsidR="00596146" w:rsidRDefault="00CC02EE" w:rsidP="00596146">
      <w:pPr>
        <w:pStyle w:val="TableTitle"/>
        <w:rPr>
          <w:lang w:eastAsia="ja-JP"/>
        </w:rPr>
      </w:pPr>
      <w:r w:rsidRPr="00CC02EE">
        <w:rPr>
          <w:lang w:eastAsia="ja-JP"/>
        </w:rPr>
        <w:t>Table 15: Effect of HSCT on EFS and OS (Efficacy set – STI571I2301)</w:t>
      </w:r>
    </w:p>
    <w:p w:rsidR="00CC02EE" w:rsidRPr="00CC02EE" w:rsidRDefault="00CC02EE" w:rsidP="00596146">
      <w:pPr>
        <w:rPr>
          <w:lang w:eastAsia="ja-JP"/>
        </w:rPr>
      </w:pPr>
      <w:r w:rsidRPr="00CC02EE">
        <w:rPr>
          <w:noProof/>
          <w:lang w:eastAsia="en-AU"/>
        </w:rPr>
        <w:drawing>
          <wp:inline distT="0" distB="0" distL="0" distR="0" wp14:anchorId="481F2A08" wp14:editId="6E9C5689">
            <wp:extent cx="5400040" cy="3412431"/>
            <wp:effectExtent l="19050" t="0" r="0" b="0"/>
            <wp:docPr id="23" name="Picture 55" descr="Table 15: Effect of HSCT on EFS and OS (Efficacy set – STI571I23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srcRect/>
                    <a:stretch>
                      <a:fillRect/>
                    </a:stretch>
                  </pic:blipFill>
                  <pic:spPr bwMode="auto">
                    <a:xfrm>
                      <a:off x="0" y="0"/>
                      <a:ext cx="5400040" cy="3412431"/>
                    </a:xfrm>
                    <a:prstGeom prst="rect">
                      <a:avLst/>
                    </a:prstGeom>
                    <a:noFill/>
                    <a:ln w="9525">
                      <a:noFill/>
                      <a:miter lim="800000"/>
                      <a:headEnd/>
                      <a:tailEnd/>
                    </a:ln>
                  </pic:spPr>
                </pic:pic>
              </a:graphicData>
            </a:graphic>
          </wp:inline>
        </w:drawing>
      </w:r>
    </w:p>
    <w:p w:rsidR="00CC02EE" w:rsidRPr="00596146" w:rsidRDefault="00CC02EE" w:rsidP="00596146">
      <w:pPr>
        <w:pStyle w:val="FigureTitle"/>
      </w:pPr>
      <w:r w:rsidRPr="00CC02EE">
        <w:rPr>
          <w:lang w:eastAsia="ja-JP"/>
        </w:rPr>
        <w:t>Figure 8: Kaplan-Meier curve of EFS comparing coh</w:t>
      </w:r>
      <w:r w:rsidR="004B7D59">
        <w:rPr>
          <w:lang w:eastAsia="ja-JP"/>
        </w:rPr>
        <w:t>ort 5 chemotherapy + imatinib an</w:t>
      </w:r>
      <w:r w:rsidRPr="00CC02EE">
        <w:rPr>
          <w:lang w:eastAsia="ja-JP"/>
        </w:rPr>
        <w:t>d HSCT (Efficacy set – STI571I12301)</w:t>
      </w:r>
    </w:p>
    <w:p w:rsidR="00CC02EE" w:rsidRPr="00CC02EE" w:rsidRDefault="00CC02EE" w:rsidP="00596146">
      <w:pPr>
        <w:rPr>
          <w:lang w:eastAsia="ja-JP"/>
        </w:rPr>
      </w:pPr>
      <w:r w:rsidRPr="00CC02EE">
        <w:rPr>
          <w:noProof/>
          <w:lang w:eastAsia="en-AU"/>
        </w:rPr>
        <w:drawing>
          <wp:inline distT="0" distB="0" distL="0" distR="0" wp14:anchorId="7EB0B99B" wp14:editId="5CCD6877">
            <wp:extent cx="5400040" cy="2507407"/>
            <wp:effectExtent l="19050" t="0" r="0" b="0"/>
            <wp:docPr id="24" name="Picture 52" descr="Figure 8: Kaplan-Meier curve of EFS comparing cohort 5 chemotherapy + imatinib abd HSCT (Efficacy set – STI571I1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cstate="print"/>
                    <a:srcRect/>
                    <a:stretch>
                      <a:fillRect/>
                    </a:stretch>
                  </pic:blipFill>
                  <pic:spPr bwMode="auto">
                    <a:xfrm>
                      <a:off x="0" y="0"/>
                      <a:ext cx="5400040" cy="2507407"/>
                    </a:xfrm>
                    <a:prstGeom prst="rect">
                      <a:avLst/>
                    </a:prstGeom>
                    <a:noFill/>
                    <a:ln w="9525">
                      <a:noFill/>
                      <a:miter lim="800000"/>
                      <a:headEnd/>
                      <a:tailEnd/>
                    </a:ln>
                  </pic:spPr>
                </pic:pic>
              </a:graphicData>
            </a:graphic>
          </wp:inline>
        </w:drawing>
      </w:r>
    </w:p>
    <w:p w:rsidR="00CC02EE" w:rsidRDefault="00CC02EE" w:rsidP="00596146">
      <w:pPr>
        <w:rPr>
          <w:lang w:eastAsia="ja-JP"/>
        </w:rPr>
      </w:pPr>
      <w:r w:rsidRPr="00CC02EE">
        <w:rPr>
          <w:lang w:eastAsia="ja-JP"/>
        </w:rPr>
        <w:lastRenderedPageBreak/>
        <w:t xml:space="preserve">Overall survival for cohort 5 for patients who underwent HSCT both per protocol and off protocol is indicated in Figure </w:t>
      </w:r>
      <w:r w:rsidR="004B7D59">
        <w:rPr>
          <w:lang w:eastAsia="ja-JP"/>
        </w:rPr>
        <w:t>9</w:t>
      </w:r>
      <w:r w:rsidRPr="00CC02EE">
        <w:rPr>
          <w:lang w:eastAsia="ja-JP"/>
        </w:rPr>
        <w:t>.  At 4 years the estimated overall survival rate of cohort 5 (chemotherapy plus Imatinib only</w:t>
      </w:r>
      <w:r w:rsidR="004B7D59">
        <w:rPr>
          <w:lang w:eastAsia="ja-JP"/>
        </w:rPr>
        <w:t>, excluding HSCT n</w:t>
      </w:r>
      <w:r w:rsidRPr="00CC02EE">
        <w:rPr>
          <w:lang w:eastAsia="ja-JP"/>
        </w:rPr>
        <w:t xml:space="preserve">=30) was 89.5% versus 75.4% in </w:t>
      </w:r>
      <w:proofErr w:type="gramStart"/>
      <w:r w:rsidRPr="00CC02EE">
        <w:rPr>
          <w:lang w:eastAsia="ja-JP"/>
        </w:rPr>
        <w:t>the per</w:t>
      </w:r>
      <w:proofErr w:type="gramEnd"/>
      <w:r w:rsidRPr="00CC02EE">
        <w:rPr>
          <w:lang w:eastAsia="ja-JP"/>
        </w:rPr>
        <w:t xml:space="preserve"> protocol HSCT and 59.2% in the off protocol HSCT.  Cox regression analysis adjusting for various baseline factors failed to show any differences in these data.</w:t>
      </w:r>
    </w:p>
    <w:p w:rsidR="004B7D59" w:rsidRPr="004B7D59" w:rsidRDefault="004B7D59" w:rsidP="00596146">
      <w:pPr>
        <w:pStyle w:val="FigureTitle"/>
        <w:rPr>
          <w:lang w:eastAsia="ja-JP"/>
        </w:rPr>
      </w:pPr>
      <w:r w:rsidRPr="004B7D59">
        <w:rPr>
          <w:bCs/>
          <w:lang w:eastAsia="ja-JP"/>
        </w:rPr>
        <w:t>Figure 9: Kaplan</w:t>
      </w:r>
      <w:r w:rsidRPr="004B7D59">
        <w:rPr>
          <w:lang w:eastAsia="ja-JP"/>
        </w:rPr>
        <w:t xml:space="preserve">-Meier curve of </w:t>
      </w:r>
      <w:r>
        <w:rPr>
          <w:lang w:eastAsia="ja-JP"/>
        </w:rPr>
        <w:t xml:space="preserve">OS (months) </w:t>
      </w:r>
      <w:r w:rsidRPr="004B7D59">
        <w:rPr>
          <w:lang w:eastAsia="ja-JP"/>
        </w:rPr>
        <w:t xml:space="preserve">comparing cohort 5 chemotherapy + imatinib </w:t>
      </w:r>
      <w:r>
        <w:rPr>
          <w:lang w:eastAsia="ja-JP"/>
        </w:rPr>
        <w:t xml:space="preserve">vs. </w:t>
      </w:r>
      <w:r w:rsidRPr="004B7D59">
        <w:rPr>
          <w:lang w:eastAsia="ja-JP"/>
        </w:rPr>
        <w:t>HSCT (Efficacy set – STI571I12301)</w:t>
      </w:r>
    </w:p>
    <w:p w:rsidR="004B7D59" w:rsidRPr="00CC02EE" w:rsidRDefault="004B7D59" w:rsidP="00596146">
      <w:pPr>
        <w:rPr>
          <w:lang w:eastAsia="ja-JP"/>
        </w:rPr>
      </w:pPr>
      <w:r>
        <w:rPr>
          <w:noProof/>
          <w:lang w:eastAsia="en-AU"/>
        </w:rPr>
        <w:drawing>
          <wp:inline distT="0" distB="0" distL="0" distR="0" wp14:anchorId="4F2D927E" wp14:editId="2259CFE1">
            <wp:extent cx="5492750" cy="3023987"/>
            <wp:effectExtent l="19050" t="0" r="0" b="0"/>
            <wp:docPr id="28" name="Picture 3" descr="Figure 9: Kaplan-Meier curve of OS (months) comparing cohort 5 chemotherapy + imatinib vs. HSCT (Efficacy set – STI571I1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5502924" cy="3029588"/>
                    </a:xfrm>
                    <a:prstGeom prst="rect">
                      <a:avLst/>
                    </a:prstGeom>
                    <a:noFill/>
                    <a:ln w="9525">
                      <a:noFill/>
                      <a:miter lim="800000"/>
                      <a:headEnd/>
                      <a:tailEnd/>
                    </a:ln>
                  </pic:spPr>
                </pic:pic>
              </a:graphicData>
            </a:graphic>
          </wp:inline>
        </w:drawing>
      </w:r>
    </w:p>
    <w:p w:rsidR="008A235B" w:rsidRPr="008A235B" w:rsidRDefault="000210D4" w:rsidP="00596146">
      <w:pPr>
        <w:pStyle w:val="Heading3"/>
      </w:pPr>
      <w:bookmarkStart w:id="42" w:name="_Toc382578292"/>
      <w:r>
        <w:t>Evaluator’s conclusions</w:t>
      </w:r>
      <w:r w:rsidR="008A235B">
        <w:t xml:space="preserve"> on </w:t>
      </w:r>
      <w:r w:rsidR="004F3292">
        <w:t>p</w:t>
      </w:r>
      <w:r w:rsidR="008A235B" w:rsidRPr="008A235B">
        <w:t xml:space="preserve">ivotal efficacy </w:t>
      </w:r>
      <w:r w:rsidR="008A235B" w:rsidRPr="00596146">
        <w:t>study</w:t>
      </w:r>
      <w:r w:rsidR="008A235B" w:rsidRPr="008A235B">
        <w:t xml:space="preserve"> STI571I2301</w:t>
      </w:r>
      <w:bookmarkEnd w:id="42"/>
    </w:p>
    <w:p w:rsidR="00CC02EE" w:rsidRPr="00CC02EE" w:rsidRDefault="00CC02EE" w:rsidP="00596146">
      <w:pPr>
        <w:rPr>
          <w:lang w:eastAsia="ja-JP"/>
        </w:rPr>
      </w:pPr>
      <w:r w:rsidRPr="00CC02EE">
        <w:rPr>
          <w:lang w:eastAsia="ja-JP"/>
        </w:rPr>
        <w:t xml:space="preserve">This data has clearly shown that for patients in cohort 5 of the pivotal study there was a highly significant benefit for the use of imatinib plus chemotherapy compared to the historical controls in relation to both event free survival and overall survival.  Sub-group analyses confirmed this data.  There was also a lesser but again significant benefit between cohort 5 and cohorts 1 </w:t>
      </w:r>
      <w:r w:rsidR="00532593">
        <w:rPr>
          <w:lang w:eastAsia="ja-JP"/>
        </w:rPr>
        <w:t xml:space="preserve">+ </w:t>
      </w:r>
      <w:r w:rsidRPr="00CC02EE">
        <w:rPr>
          <w:lang w:eastAsia="ja-JP"/>
        </w:rPr>
        <w:t xml:space="preserve">2 who only had limited exposure to imatinib.  The reviewer recognises the fact that as this is a relatively uncommon disease </w:t>
      </w:r>
      <w:r w:rsidR="00C41B5E">
        <w:rPr>
          <w:lang w:eastAsia="ja-JP"/>
        </w:rPr>
        <w:t xml:space="preserve">and </w:t>
      </w:r>
      <w:r w:rsidRPr="00CC02EE">
        <w:rPr>
          <w:lang w:eastAsia="ja-JP"/>
        </w:rPr>
        <w:t>that an appropriately randomised study would have been very difficult to conduct.  The choice of historical controls however does raise some concerns particularly in the context that these came from various COG studies involving earlier chemotherapy protocols.  The chemotherapy involved in induction for patients on study 2301 was extremely intensive involving quite a large number of agents which raises the question whether the intensity of induction therapy may not have been a significant factor in determining event free survival and overall survival irrespective of the role of imatinib.  This would benefit fro</w:t>
      </w:r>
      <w:r w:rsidR="00596146">
        <w:rPr>
          <w:lang w:eastAsia="ja-JP"/>
        </w:rPr>
        <w:t>m further evaluation.</w:t>
      </w:r>
    </w:p>
    <w:p w:rsidR="00532593" w:rsidRDefault="004F3292" w:rsidP="00596146">
      <w:pPr>
        <w:pStyle w:val="Heading3"/>
      </w:pPr>
      <w:bookmarkStart w:id="43" w:name="_Toc382578293"/>
      <w:r>
        <w:t xml:space="preserve">Supportive </w:t>
      </w:r>
      <w:r w:rsidR="00596146">
        <w:t>s</w:t>
      </w:r>
      <w:r w:rsidR="00532593">
        <w:t xml:space="preserve">tudy </w:t>
      </w:r>
      <w:r w:rsidR="00532593" w:rsidRPr="00532593">
        <w:t>STI571AIT07</w:t>
      </w:r>
      <w:bookmarkEnd w:id="43"/>
    </w:p>
    <w:p w:rsidR="000210D4" w:rsidRDefault="000210D4" w:rsidP="00596146">
      <w:pPr>
        <w:pStyle w:val="Heading4"/>
      </w:pPr>
      <w:r>
        <w:t>Methods</w:t>
      </w:r>
    </w:p>
    <w:p w:rsidR="00807B4D" w:rsidRDefault="00CC02EE" w:rsidP="00596146">
      <w:pPr>
        <w:rPr>
          <w:lang w:eastAsia="ja-JP"/>
        </w:rPr>
      </w:pPr>
      <w:r w:rsidRPr="00CC02EE">
        <w:rPr>
          <w:lang w:eastAsia="ja-JP"/>
        </w:rPr>
        <w:t xml:space="preserve">A further study AIT07 was an open labelled randomised phase 2/3 study assessing safety and efficacy of imatinib with chemotherapy in paediatric patients with Philadelphia positive acute lymphoblastic leukaemia and was performed between January 2004 and November 2010 involving 10 paediatric leukaemia study groups.  The primary objective of this study was to evaluate the disease free survival in the good risk group of patients treated either with or without imatinib in correlation with intensive chemotherapy including the option of HSCT.  The </w:t>
      </w:r>
      <w:r w:rsidRPr="00CC02EE">
        <w:rPr>
          <w:lang w:eastAsia="ja-JP"/>
        </w:rPr>
        <w:lastRenderedPageBreak/>
        <w:t>randomisation component involved chemotherapy plus imatinib or chemotherapy alone for the good risk patients.  A total of 229 patients who were randomised were registered for the study and among the 213 eligible patients 35 were not entered onto the study</w:t>
      </w:r>
      <w:r w:rsidR="00ED2045">
        <w:rPr>
          <w:lang w:eastAsia="ja-JP"/>
        </w:rPr>
        <w:t>.</w:t>
      </w:r>
      <w:r w:rsidRPr="00CC02EE">
        <w:rPr>
          <w:lang w:eastAsia="ja-JP"/>
        </w:rPr>
        <w:t xml:space="preserve"> </w:t>
      </w:r>
      <w:r w:rsidR="00ED2045">
        <w:rPr>
          <w:lang w:eastAsia="ja-JP"/>
        </w:rPr>
        <w:t>O</w:t>
      </w:r>
      <w:r w:rsidRPr="00CC02EE">
        <w:rPr>
          <w:lang w:eastAsia="ja-JP"/>
        </w:rPr>
        <w:t>f the 178 eligible patients 108 were good risk patients.  Of these 108 patients 18 were not randomised due to clinical decision and patient refusal and only 90 patients were randomised to imatinib plus chemo</w:t>
      </w:r>
      <w:r w:rsidR="00596146">
        <w:rPr>
          <w:lang w:eastAsia="ja-JP"/>
        </w:rPr>
        <w:t>therapy or chemotherapy alone.</w:t>
      </w:r>
    </w:p>
    <w:p w:rsidR="00807B4D" w:rsidRDefault="00807B4D" w:rsidP="00596146">
      <w:pPr>
        <w:pStyle w:val="Heading4"/>
      </w:pPr>
      <w:r>
        <w:t>Results</w:t>
      </w:r>
    </w:p>
    <w:p w:rsidR="00CC02EE" w:rsidRPr="00CC02EE" w:rsidRDefault="00CC02EE" w:rsidP="00596146">
      <w:pPr>
        <w:rPr>
          <w:lang w:eastAsia="ja-JP"/>
        </w:rPr>
      </w:pPr>
      <w:r w:rsidRPr="00CC02EE">
        <w:rPr>
          <w:lang w:eastAsia="ja-JP"/>
        </w:rPr>
        <w:t>This study was terminated early because of recognition of the results from the pivotal study 2301 and a decision that no further randomisation was appropriate.  This resulted in an insufficient sample size to properly test for the primary efficacy analysis.  Nevertheless in relation to the primary end point of disease free survival</w:t>
      </w:r>
      <w:r w:rsidR="00172597">
        <w:rPr>
          <w:lang w:eastAsia="ja-JP"/>
        </w:rPr>
        <w:t>,</w:t>
      </w:r>
      <w:r w:rsidRPr="00CC02EE">
        <w:rPr>
          <w:lang w:eastAsia="ja-JP"/>
        </w:rPr>
        <w:t xml:space="preserve"> </w:t>
      </w:r>
      <w:r w:rsidR="00172597">
        <w:rPr>
          <w:lang w:eastAsia="ja-JP"/>
        </w:rPr>
        <w:t>6</w:t>
      </w:r>
      <w:r w:rsidRPr="00CC02EE">
        <w:rPr>
          <w:lang w:eastAsia="ja-JP"/>
        </w:rPr>
        <w:t xml:space="preserve"> out of 44 or 14% of chem</w:t>
      </w:r>
      <w:r w:rsidR="00172597">
        <w:rPr>
          <w:lang w:eastAsia="ja-JP"/>
        </w:rPr>
        <w:t>otherapy alone patients and 4</w:t>
      </w:r>
      <w:r w:rsidRPr="00CC02EE">
        <w:rPr>
          <w:lang w:eastAsia="ja-JP"/>
        </w:rPr>
        <w:t xml:space="preserve"> out of 46 or 9% of chemotherapy plus imatinib </w:t>
      </w:r>
      <w:r w:rsidR="00172597">
        <w:rPr>
          <w:lang w:eastAsia="ja-JP"/>
        </w:rPr>
        <w:t xml:space="preserve">patients </w:t>
      </w:r>
      <w:r w:rsidRPr="00CC02EE">
        <w:rPr>
          <w:lang w:eastAsia="ja-JP"/>
        </w:rPr>
        <w:t xml:space="preserve">had a disease free survival event.  This was not statistically significantly different, with a hazard ratio of 0.978 and a log rank test of 0.9733.  </w:t>
      </w:r>
      <w:r w:rsidR="00172597" w:rsidRPr="00172597">
        <w:rPr>
          <w:lang w:eastAsia="ja-JP"/>
        </w:rPr>
        <w:t>The estimated DFS rates at 24 months were comparable in the Good risk-no imatinib arm (65%) and</w:t>
      </w:r>
      <w:r w:rsidR="00172597">
        <w:rPr>
          <w:lang w:eastAsia="ja-JP"/>
        </w:rPr>
        <w:t xml:space="preserve"> </w:t>
      </w:r>
      <w:r w:rsidR="00172597" w:rsidRPr="00172597">
        <w:rPr>
          <w:lang w:eastAsia="ja-JP"/>
        </w:rPr>
        <w:t>Good risk-imatinib arm (81%), with very similar and wide confidence intervals of the estimated rates in</w:t>
      </w:r>
      <w:r w:rsidR="00172597">
        <w:rPr>
          <w:lang w:eastAsia="ja-JP"/>
        </w:rPr>
        <w:t xml:space="preserve"> </w:t>
      </w:r>
      <w:r w:rsidR="00172597" w:rsidRPr="00172597">
        <w:rPr>
          <w:lang w:eastAsia="ja-JP"/>
        </w:rPr>
        <w:t>both groups.</w:t>
      </w:r>
    </w:p>
    <w:p w:rsidR="00CC02EE" w:rsidRPr="00CC02EE" w:rsidRDefault="00CC02EE" w:rsidP="00596146">
      <w:pPr>
        <w:rPr>
          <w:lang w:eastAsia="ja-JP"/>
        </w:rPr>
      </w:pPr>
      <w:r w:rsidRPr="00CC02EE">
        <w:rPr>
          <w:lang w:eastAsia="ja-JP"/>
        </w:rPr>
        <w:t>It is noted that over 80% of patients had undergone HSCT significantly influencing the results, but when disease free survival was assessed not censoring for HSCT 16 of 44 or 36% of the good risk patients receiving chemotherapy alone and 12 of 46 or 26% receiving chemotherapy plus imatinib had a DFS event., with the hazard ratio of 0.635 and P</w:t>
      </w:r>
      <w:r w:rsidR="00172597">
        <w:rPr>
          <w:lang w:eastAsia="ja-JP"/>
        </w:rPr>
        <w:t xml:space="preserve"> value</w:t>
      </w:r>
      <w:r w:rsidRPr="00CC02EE">
        <w:rPr>
          <w:lang w:eastAsia="ja-JP"/>
        </w:rPr>
        <w:t xml:space="preserve"> of 0.2424.  At the end of 24 months the estimated DFS rate was 68% in non-imatinib ar</w:t>
      </w:r>
      <w:r w:rsidR="00596146">
        <w:rPr>
          <w:lang w:eastAsia="ja-JP"/>
        </w:rPr>
        <w:t xml:space="preserve">m and 79% in the </w:t>
      </w:r>
      <w:proofErr w:type="spellStart"/>
      <w:r w:rsidR="00596146">
        <w:rPr>
          <w:lang w:eastAsia="ja-JP"/>
        </w:rPr>
        <w:t>Imatinib</w:t>
      </w:r>
      <w:proofErr w:type="spellEnd"/>
      <w:r w:rsidR="00596146">
        <w:rPr>
          <w:lang w:eastAsia="ja-JP"/>
        </w:rPr>
        <w:t xml:space="preserve"> arm.</w:t>
      </w:r>
    </w:p>
    <w:p w:rsidR="00CC02EE" w:rsidRPr="00CC02EE" w:rsidRDefault="00CC02EE" w:rsidP="00596146">
      <w:pPr>
        <w:rPr>
          <w:lang w:eastAsia="ja-JP"/>
        </w:rPr>
      </w:pPr>
      <w:r w:rsidRPr="00CC02EE">
        <w:rPr>
          <w:lang w:eastAsia="ja-JP"/>
        </w:rPr>
        <w:t xml:space="preserve">In relation to overall survival at 48 months, in the good risk Imatinib patients </w:t>
      </w:r>
      <w:r w:rsidR="00172597">
        <w:rPr>
          <w:lang w:eastAsia="ja-JP"/>
        </w:rPr>
        <w:t xml:space="preserve">it </w:t>
      </w:r>
      <w:r w:rsidRPr="00CC02EE">
        <w:rPr>
          <w:lang w:eastAsia="ja-JP"/>
        </w:rPr>
        <w:t>was 85% which was slightly higher than the non-imatinib patients at 73%, wit</w:t>
      </w:r>
      <w:r w:rsidR="00596146">
        <w:rPr>
          <w:lang w:eastAsia="ja-JP"/>
        </w:rPr>
        <w:t>h a hazard ratio of 0.644.</w:t>
      </w:r>
    </w:p>
    <w:p w:rsidR="00CC02EE" w:rsidRPr="00CC02EE" w:rsidRDefault="00CC02EE" w:rsidP="00596146">
      <w:pPr>
        <w:pStyle w:val="Heading3"/>
      </w:pPr>
      <w:bookmarkStart w:id="44" w:name="_Toc382578294"/>
      <w:r w:rsidRPr="00CC02EE">
        <w:t xml:space="preserve">Evaluator’s </w:t>
      </w:r>
      <w:r w:rsidR="00596146">
        <w:t>c</w:t>
      </w:r>
      <w:r w:rsidRPr="00CC02EE">
        <w:t>onclusion</w:t>
      </w:r>
      <w:r w:rsidR="00172597">
        <w:t xml:space="preserve">s </w:t>
      </w:r>
      <w:r w:rsidR="004F3292">
        <w:t xml:space="preserve">on </w:t>
      </w:r>
      <w:r w:rsidR="00596146">
        <w:t>s</w:t>
      </w:r>
      <w:r w:rsidR="004F3292" w:rsidRPr="004F3292">
        <w:t xml:space="preserve">upportive </w:t>
      </w:r>
      <w:r w:rsidR="00596146" w:rsidRPr="00596146">
        <w:t>s</w:t>
      </w:r>
      <w:r w:rsidR="00532593" w:rsidRPr="00596146">
        <w:t>tudy</w:t>
      </w:r>
      <w:r w:rsidR="00532593" w:rsidRPr="004F3292">
        <w:t xml:space="preserve"> STI571AIT07</w:t>
      </w:r>
      <w:bookmarkEnd w:id="44"/>
    </w:p>
    <w:p w:rsidR="00CC02EE" w:rsidRPr="00CC02EE" w:rsidRDefault="00CC02EE" w:rsidP="00596146">
      <w:pPr>
        <w:rPr>
          <w:lang w:eastAsia="ja-JP"/>
        </w:rPr>
      </w:pPr>
      <w:r w:rsidRPr="00CC02EE">
        <w:rPr>
          <w:lang w:eastAsia="ja-JP"/>
        </w:rPr>
        <w:t>These data certainly did not provide any further evidence supporting the role of imatinib in the maintenance phase of patients having undergone intensive chemotherapy induction for Ph positive ALL.  Nevertheless as determined by the sponsors and investigators the data really is difficult to interpret and thereby provides little to add to the significance of the result</w:t>
      </w:r>
      <w:r w:rsidR="00596146">
        <w:rPr>
          <w:lang w:eastAsia="ja-JP"/>
        </w:rPr>
        <w:t>s from the pivotal trial 2301.</w:t>
      </w:r>
    </w:p>
    <w:p w:rsidR="00C22678" w:rsidRDefault="00C22678" w:rsidP="00596146">
      <w:pPr>
        <w:pStyle w:val="Heading2"/>
      </w:pPr>
      <w:bookmarkStart w:id="45" w:name="_Toc382578295"/>
      <w:r>
        <w:t>Clinical safety</w:t>
      </w:r>
      <w:bookmarkEnd w:id="45"/>
    </w:p>
    <w:p w:rsidR="00191C8A" w:rsidRDefault="00191C8A" w:rsidP="00596146">
      <w:pPr>
        <w:pStyle w:val="Heading3"/>
      </w:pPr>
      <w:bookmarkStart w:id="46" w:name="_Toc382578296"/>
      <w:r w:rsidRPr="00596146">
        <w:t>Studies</w:t>
      </w:r>
      <w:r>
        <w:t xml:space="preserve"> providing evaluable safety data</w:t>
      </w:r>
      <w:bookmarkEnd w:id="46"/>
    </w:p>
    <w:p w:rsidR="00CC02EE" w:rsidRPr="00CC02EE" w:rsidRDefault="00CC02EE" w:rsidP="00596146">
      <w:pPr>
        <w:rPr>
          <w:lang w:eastAsia="ja-JP"/>
        </w:rPr>
      </w:pPr>
      <w:r w:rsidRPr="00CC02EE">
        <w:rPr>
          <w:lang w:eastAsia="ja-JP"/>
        </w:rPr>
        <w:t>This submission presents safety data from 220 Ph positive ALL paediatric patients treated with imatinib from two studies i.e. the pivotal study 2301 involving 92 imatinib treated patients and a supportive study AIT07 involving 128 Imatinib treated patients.  As there was substantial differences in design for the two studies data regarding safety are presented separately. The safety population was defined as patients who received at least one dose of study drug.  The safety population was 92 patients for study 2301 and 128 for AIT07.  The study design and population for the pivotal study has been presented and for the supportive study AI07 these are ind</w:t>
      </w:r>
      <w:r w:rsidR="000A533A">
        <w:rPr>
          <w:lang w:eastAsia="ja-JP"/>
        </w:rPr>
        <w:t>icated in Table 16 and Figures 10</w:t>
      </w:r>
      <w:r w:rsidRPr="00CC02EE">
        <w:rPr>
          <w:lang w:eastAsia="ja-JP"/>
        </w:rPr>
        <w:t>, 1</w:t>
      </w:r>
      <w:r w:rsidR="000A533A">
        <w:rPr>
          <w:lang w:eastAsia="ja-JP"/>
        </w:rPr>
        <w:t>1</w:t>
      </w:r>
      <w:r w:rsidRPr="00CC02EE">
        <w:rPr>
          <w:lang w:eastAsia="ja-JP"/>
        </w:rPr>
        <w:t xml:space="preserve"> and 1</w:t>
      </w:r>
      <w:r w:rsidR="000A533A">
        <w:rPr>
          <w:lang w:eastAsia="ja-JP"/>
        </w:rPr>
        <w:t>2</w:t>
      </w:r>
      <w:r w:rsidRPr="00CC02EE">
        <w:rPr>
          <w:lang w:eastAsia="ja-JP"/>
        </w:rPr>
        <w:t>:</w:t>
      </w:r>
    </w:p>
    <w:p w:rsidR="00CC02EE" w:rsidRPr="00CC02EE" w:rsidRDefault="00CC02EE" w:rsidP="00596146">
      <w:pPr>
        <w:pStyle w:val="TableTitle"/>
        <w:rPr>
          <w:lang w:eastAsia="ja-JP"/>
        </w:rPr>
      </w:pPr>
      <w:r w:rsidRPr="00CC02EE">
        <w:rPr>
          <w:lang w:eastAsia="ja-JP"/>
        </w:rPr>
        <w:lastRenderedPageBreak/>
        <w:t>Table 16: Summary of study STI571AI07</w:t>
      </w:r>
    </w:p>
    <w:p w:rsidR="00CC02EE" w:rsidRPr="00596146" w:rsidRDefault="00CC02EE" w:rsidP="00CC02EE">
      <w:pPr>
        <w:rPr>
          <w:lang w:eastAsia="ja-JP"/>
        </w:rPr>
      </w:pPr>
      <w:r w:rsidRPr="00CC02EE">
        <w:rPr>
          <w:noProof/>
          <w:lang w:eastAsia="en-AU"/>
        </w:rPr>
        <w:drawing>
          <wp:inline distT="0" distB="0" distL="0" distR="0" wp14:anchorId="6A88B7FD" wp14:editId="1A07492B">
            <wp:extent cx="4989195" cy="7695565"/>
            <wp:effectExtent l="19050" t="0" r="1905" b="0"/>
            <wp:docPr id="25" name="Picture 58" descr="Table 16: Summary of study STI571AI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 cstate="print"/>
                    <a:srcRect/>
                    <a:stretch>
                      <a:fillRect/>
                    </a:stretch>
                  </pic:blipFill>
                  <pic:spPr bwMode="auto">
                    <a:xfrm>
                      <a:off x="0" y="0"/>
                      <a:ext cx="4989195" cy="7695565"/>
                    </a:xfrm>
                    <a:prstGeom prst="rect">
                      <a:avLst/>
                    </a:prstGeom>
                    <a:noFill/>
                    <a:ln w="9525">
                      <a:noFill/>
                      <a:miter lim="800000"/>
                      <a:headEnd/>
                      <a:tailEnd/>
                    </a:ln>
                  </pic:spPr>
                </pic:pic>
              </a:graphicData>
            </a:graphic>
          </wp:inline>
        </w:drawing>
      </w:r>
    </w:p>
    <w:p w:rsidR="00CC02EE" w:rsidRPr="00CC02EE" w:rsidRDefault="000A533A" w:rsidP="00596146">
      <w:pPr>
        <w:pStyle w:val="FigureTitle"/>
        <w:rPr>
          <w:lang w:eastAsia="ja-JP"/>
        </w:rPr>
      </w:pPr>
      <w:r>
        <w:rPr>
          <w:lang w:eastAsia="ja-JP"/>
        </w:rPr>
        <w:lastRenderedPageBreak/>
        <w:t>Figure 10</w:t>
      </w:r>
      <w:r w:rsidR="00CC02EE" w:rsidRPr="00CC02EE">
        <w:rPr>
          <w:lang w:eastAsia="ja-JP"/>
        </w:rPr>
        <w:t xml:space="preserve">: Patient </w:t>
      </w:r>
      <w:r w:rsidR="00CC02EE" w:rsidRPr="00596146">
        <w:t>population</w:t>
      </w:r>
      <w:r w:rsidR="00CC02EE" w:rsidRPr="00CC02EE">
        <w:rPr>
          <w:lang w:eastAsia="ja-JP"/>
        </w:rPr>
        <w:t xml:space="preserve"> in Study STI571AIT07</w:t>
      </w:r>
    </w:p>
    <w:p w:rsidR="00CC02EE" w:rsidRPr="00CC02EE" w:rsidRDefault="00CC02EE" w:rsidP="00596146">
      <w:pPr>
        <w:rPr>
          <w:lang w:eastAsia="ja-JP"/>
        </w:rPr>
      </w:pPr>
      <w:r w:rsidRPr="00CC02EE">
        <w:rPr>
          <w:noProof/>
          <w:lang w:eastAsia="en-AU"/>
        </w:rPr>
        <w:drawing>
          <wp:inline distT="0" distB="0" distL="0" distR="0" wp14:anchorId="248EAB73" wp14:editId="1054106E">
            <wp:extent cx="5400040" cy="3011542"/>
            <wp:effectExtent l="19050" t="0" r="0" b="0"/>
            <wp:docPr id="26" name="Picture 61" descr="Figure 10: Patient population in Study STI571AIT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cstate="print"/>
                    <a:srcRect/>
                    <a:stretch>
                      <a:fillRect/>
                    </a:stretch>
                  </pic:blipFill>
                  <pic:spPr bwMode="auto">
                    <a:xfrm>
                      <a:off x="0" y="0"/>
                      <a:ext cx="5400040" cy="3011542"/>
                    </a:xfrm>
                    <a:prstGeom prst="rect">
                      <a:avLst/>
                    </a:prstGeom>
                    <a:noFill/>
                    <a:ln w="9525">
                      <a:noFill/>
                      <a:miter lim="800000"/>
                      <a:headEnd/>
                      <a:tailEnd/>
                    </a:ln>
                  </pic:spPr>
                </pic:pic>
              </a:graphicData>
            </a:graphic>
          </wp:inline>
        </w:drawing>
      </w:r>
    </w:p>
    <w:p w:rsidR="00CC02EE" w:rsidRPr="00CC02EE" w:rsidRDefault="000A533A" w:rsidP="00596146">
      <w:pPr>
        <w:pStyle w:val="FigureTitle"/>
        <w:rPr>
          <w:lang w:eastAsia="ja-JP"/>
        </w:rPr>
      </w:pPr>
      <w:r>
        <w:rPr>
          <w:lang w:eastAsia="ja-JP"/>
        </w:rPr>
        <w:t>Figure 11</w:t>
      </w:r>
      <w:r w:rsidR="00CC02EE" w:rsidRPr="00CC02EE">
        <w:rPr>
          <w:lang w:eastAsia="ja-JP"/>
        </w:rPr>
        <w:t xml:space="preserve">: Treatment of Good risk </w:t>
      </w:r>
      <w:proofErr w:type="spellStart"/>
      <w:r w:rsidR="00CC02EE" w:rsidRPr="00CC02EE">
        <w:rPr>
          <w:lang w:eastAsia="ja-JP"/>
        </w:rPr>
        <w:t>Ph</w:t>
      </w:r>
      <w:proofErr w:type="spellEnd"/>
      <w:r w:rsidR="00CC02EE" w:rsidRPr="00CC02EE">
        <w:rPr>
          <w:lang w:eastAsia="ja-JP"/>
        </w:rPr>
        <w:t xml:space="preserve">+ </w:t>
      </w:r>
      <w:r w:rsidR="00CC02EE" w:rsidRPr="00596146">
        <w:t>ALL</w:t>
      </w:r>
      <w:r w:rsidR="00CC02EE" w:rsidRPr="00CC02EE">
        <w:rPr>
          <w:lang w:eastAsia="ja-JP"/>
        </w:rPr>
        <w:t xml:space="preserve"> with or without imatinib</w:t>
      </w:r>
    </w:p>
    <w:p w:rsidR="00CC02EE" w:rsidRDefault="00CC02EE" w:rsidP="00596146">
      <w:pPr>
        <w:rPr>
          <w:lang w:eastAsia="ja-JP"/>
        </w:rPr>
      </w:pPr>
      <w:r w:rsidRPr="00CC02EE">
        <w:rPr>
          <w:noProof/>
          <w:lang w:eastAsia="en-AU"/>
        </w:rPr>
        <w:drawing>
          <wp:inline distT="0" distB="0" distL="0" distR="0" wp14:anchorId="0407018A" wp14:editId="1BD2B9BE">
            <wp:extent cx="5400040" cy="4373991"/>
            <wp:effectExtent l="19050" t="0" r="0" b="0"/>
            <wp:docPr id="27" name="Picture 64" descr="Figure 11: Treatment of Good risk Ph+ ALL with or without imati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0" cstate="print"/>
                    <a:srcRect/>
                    <a:stretch>
                      <a:fillRect/>
                    </a:stretch>
                  </pic:blipFill>
                  <pic:spPr bwMode="auto">
                    <a:xfrm>
                      <a:off x="0" y="0"/>
                      <a:ext cx="5400040" cy="4373991"/>
                    </a:xfrm>
                    <a:prstGeom prst="rect">
                      <a:avLst/>
                    </a:prstGeom>
                    <a:noFill/>
                    <a:ln w="9525">
                      <a:noFill/>
                      <a:miter lim="800000"/>
                      <a:headEnd/>
                      <a:tailEnd/>
                    </a:ln>
                  </pic:spPr>
                </pic:pic>
              </a:graphicData>
            </a:graphic>
          </wp:inline>
        </w:drawing>
      </w:r>
    </w:p>
    <w:p w:rsidR="00C81EA2" w:rsidRPr="00C81EA2" w:rsidRDefault="00C81EA2" w:rsidP="00596146">
      <w:pPr>
        <w:pStyle w:val="FigureTitle"/>
        <w:rPr>
          <w:lang w:eastAsia="ja-JP"/>
        </w:rPr>
      </w:pPr>
      <w:r w:rsidRPr="00C81EA2">
        <w:rPr>
          <w:lang w:eastAsia="ja-JP"/>
        </w:rPr>
        <w:lastRenderedPageBreak/>
        <w:t>Figure 1</w:t>
      </w:r>
      <w:r w:rsidR="000A533A">
        <w:rPr>
          <w:lang w:eastAsia="ja-JP"/>
        </w:rPr>
        <w:t>2</w:t>
      </w:r>
      <w:r w:rsidRPr="00C81EA2">
        <w:rPr>
          <w:lang w:eastAsia="ja-JP"/>
        </w:rPr>
        <w:t xml:space="preserve">: Treatment of </w:t>
      </w:r>
      <w:r>
        <w:rPr>
          <w:lang w:eastAsia="ja-JP"/>
        </w:rPr>
        <w:t xml:space="preserve">Poor </w:t>
      </w:r>
      <w:r w:rsidRPr="00C81EA2">
        <w:rPr>
          <w:lang w:eastAsia="ja-JP"/>
        </w:rPr>
        <w:t xml:space="preserve">risk </w:t>
      </w:r>
      <w:proofErr w:type="spellStart"/>
      <w:r w:rsidRPr="00C81EA2">
        <w:rPr>
          <w:lang w:eastAsia="ja-JP"/>
        </w:rPr>
        <w:t>Ph</w:t>
      </w:r>
      <w:proofErr w:type="spellEnd"/>
      <w:r w:rsidRPr="00C81EA2">
        <w:rPr>
          <w:lang w:eastAsia="ja-JP"/>
        </w:rPr>
        <w:t xml:space="preserve">+ ALL </w:t>
      </w:r>
      <w:r w:rsidRPr="00596146">
        <w:t>with</w:t>
      </w:r>
      <w:r w:rsidRPr="00C81EA2">
        <w:rPr>
          <w:lang w:eastAsia="ja-JP"/>
        </w:rPr>
        <w:t xml:space="preserve"> or without </w:t>
      </w:r>
      <w:proofErr w:type="spellStart"/>
      <w:r w:rsidRPr="00C81EA2">
        <w:rPr>
          <w:lang w:eastAsia="ja-JP"/>
        </w:rPr>
        <w:t>imatinib</w:t>
      </w:r>
      <w:proofErr w:type="spellEnd"/>
    </w:p>
    <w:p w:rsidR="00C81EA2" w:rsidRPr="00CC02EE" w:rsidRDefault="00C81EA2" w:rsidP="00596146">
      <w:pPr>
        <w:rPr>
          <w:lang w:eastAsia="ja-JP"/>
        </w:rPr>
      </w:pPr>
      <w:r w:rsidRPr="00C81EA2">
        <w:rPr>
          <w:noProof/>
          <w:lang w:eastAsia="en-AU"/>
        </w:rPr>
        <w:drawing>
          <wp:inline distT="0" distB="0" distL="0" distR="0" wp14:anchorId="7E2C60BF" wp14:editId="07887E78">
            <wp:extent cx="5234354" cy="3598984"/>
            <wp:effectExtent l="0" t="0" r="4396" b="0"/>
            <wp:docPr id="48" name="Picture 1" descr="Figure 12: Treatment of Poor risk Ph+ ALL with or without imati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t="7110" r="667"/>
                    <a:stretch>
                      <a:fillRect/>
                    </a:stretch>
                  </pic:blipFill>
                  <pic:spPr bwMode="auto">
                    <a:xfrm>
                      <a:off x="0" y="0"/>
                      <a:ext cx="5234354" cy="3598984"/>
                    </a:xfrm>
                    <a:prstGeom prst="rect">
                      <a:avLst/>
                    </a:prstGeom>
                    <a:noFill/>
                    <a:ln>
                      <a:noFill/>
                    </a:ln>
                  </pic:spPr>
                </pic:pic>
              </a:graphicData>
            </a:graphic>
          </wp:inline>
        </w:drawing>
      </w:r>
    </w:p>
    <w:p w:rsidR="00191C8A" w:rsidRDefault="00191C8A" w:rsidP="00596146">
      <w:pPr>
        <w:pStyle w:val="Heading3"/>
      </w:pPr>
      <w:bookmarkStart w:id="47" w:name="_Toc382578297"/>
      <w:r>
        <w:t>Exposure</w:t>
      </w:r>
      <w:bookmarkEnd w:id="47"/>
    </w:p>
    <w:p w:rsidR="00324E18" w:rsidRDefault="00CC02EE" w:rsidP="00596146">
      <w:pPr>
        <w:rPr>
          <w:lang w:eastAsia="ja-JP"/>
        </w:rPr>
      </w:pPr>
      <w:r w:rsidRPr="00CC02EE">
        <w:rPr>
          <w:lang w:eastAsia="ja-JP"/>
        </w:rPr>
        <w:t>In relation to exposure in the pivotal study median exposure to Imatinib for cohorts 1 to cohort 5 among patients who did not undergo HSCT range from 176 days for cohort 1 to 708 days for cohort 5.  In the non HSCT Philadelphia negative patients the median exposure to chemotherapy was 78</w:t>
      </w:r>
      <w:r w:rsidR="00324E18">
        <w:rPr>
          <w:lang w:eastAsia="ja-JP"/>
        </w:rPr>
        <w:t>3</w:t>
      </w:r>
      <w:r w:rsidRPr="00CC02EE">
        <w:rPr>
          <w:lang w:eastAsia="ja-JP"/>
        </w:rPr>
        <w:t xml:space="preserve"> days and this is illustrated in Table </w:t>
      </w:r>
      <w:r w:rsidR="00C81EA2">
        <w:rPr>
          <w:lang w:eastAsia="ja-JP"/>
        </w:rPr>
        <w:t>17</w:t>
      </w:r>
      <w:r w:rsidR="00596146">
        <w:rPr>
          <w:lang w:eastAsia="ja-JP"/>
        </w:rPr>
        <w:t>.</w:t>
      </w:r>
    </w:p>
    <w:p w:rsidR="00324E18" w:rsidRDefault="00C81EA2" w:rsidP="009E6958">
      <w:pPr>
        <w:pStyle w:val="TableTitle"/>
        <w:rPr>
          <w:lang w:eastAsia="ja-JP"/>
        </w:rPr>
      </w:pPr>
      <w:r>
        <w:rPr>
          <w:lang w:eastAsia="ja-JP"/>
        </w:rPr>
        <w:t>Table 17:</w:t>
      </w:r>
      <w:r w:rsidR="00324E18">
        <w:rPr>
          <w:lang w:eastAsia="ja-JP"/>
        </w:rPr>
        <w:t xml:space="preserve"> </w:t>
      </w:r>
      <w:r w:rsidR="00324E18" w:rsidRPr="00324E18">
        <w:rPr>
          <w:lang w:eastAsia="ja-JP"/>
        </w:rPr>
        <w:t>Overall exposure to imatinib/chemotherapy (Safety set excluding</w:t>
      </w:r>
      <w:r w:rsidR="00324E18">
        <w:rPr>
          <w:lang w:eastAsia="ja-JP"/>
        </w:rPr>
        <w:t xml:space="preserve"> </w:t>
      </w:r>
      <w:r w:rsidR="00324E18" w:rsidRPr="00324E18">
        <w:rPr>
          <w:lang w:eastAsia="ja-JP"/>
        </w:rPr>
        <w:t>HSCT patients – STI571I2301)</w:t>
      </w:r>
    </w:p>
    <w:p w:rsidR="00324E18" w:rsidRDefault="00324E18" w:rsidP="009E6958">
      <w:pPr>
        <w:rPr>
          <w:lang w:eastAsia="ja-JP"/>
        </w:rPr>
      </w:pPr>
      <w:r>
        <w:rPr>
          <w:noProof/>
          <w:lang w:eastAsia="en-AU"/>
        </w:rPr>
        <w:drawing>
          <wp:inline distT="0" distB="0" distL="0" distR="0" wp14:anchorId="1A687778" wp14:editId="34BC0113">
            <wp:extent cx="5505450" cy="2342566"/>
            <wp:effectExtent l="19050" t="0" r="0" b="0"/>
            <wp:docPr id="30" name="Picture 6" descr="Table 17: Overall exposure to imatinib/chemotherapy (Safety set excluding HSCT patients – STI571I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srcRect/>
                    <a:stretch>
                      <a:fillRect/>
                    </a:stretch>
                  </pic:blipFill>
                  <pic:spPr bwMode="auto">
                    <a:xfrm>
                      <a:off x="0" y="0"/>
                      <a:ext cx="5506249" cy="2342906"/>
                    </a:xfrm>
                    <a:prstGeom prst="rect">
                      <a:avLst/>
                    </a:prstGeom>
                    <a:noFill/>
                    <a:ln w="9525">
                      <a:noFill/>
                      <a:miter lim="800000"/>
                      <a:headEnd/>
                      <a:tailEnd/>
                    </a:ln>
                  </pic:spPr>
                </pic:pic>
              </a:graphicData>
            </a:graphic>
          </wp:inline>
        </w:drawing>
      </w:r>
    </w:p>
    <w:p w:rsidR="00324E18" w:rsidRDefault="00CC02EE" w:rsidP="009E6958">
      <w:pPr>
        <w:rPr>
          <w:lang w:eastAsia="ja-JP"/>
        </w:rPr>
      </w:pPr>
      <w:r w:rsidRPr="00CC02EE">
        <w:rPr>
          <w:lang w:eastAsia="ja-JP"/>
        </w:rPr>
        <w:t>Among the PH positive ALL patients receiving per protocol HSCT the overall median intermittent exposure prior to HSCT was 42 days and with a range of 21 to 77 days and median exposure to Imatinib following HSCT was 169 days with a range of 14 to 192 days.  Among the Ph positive patients the overall median Imatinib exposure prior to patients receiving off protocol HSCT was 53 days wit</w:t>
      </w:r>
      <w:r w:rsidR="009E6958">
        <w:rPr>
          <w:lang w:eastAsia="ja-JP"/>
        </w:rPr>
        <w:t>h a range of 28 to 165 days.</w:t>
      </w:r>
    </w:p>
    <w:p w:rsidR="00CC02EE" w:rsidRPr="00CC02EE" w:rsidRDefault="00CC02EE" w:rsidP="009E6958">
      <w:pPr>
        <w:rPr>
          <w:lang w:eastAsia="ja-JP"/>
        </w:rPr>
      </w:pPr>
      <w:r w:rsidRPr="00CC02EE">
        <w:rPr>
          <w:lang w:eastAsia="ja-JP"/>
        </w:rPr>
        <w:lastRenderedPageBreak/>
        <w:t xml:space="preserve">Duration of follow up from start of consultation 1 to the end of study including follow up after discontinuation of treatment is indicated in Table </w:t>
      </w:r>
      <w:r w:rsidR="00C81EA2">
        <w:rPr>
          <w:lang w:eastAsia="ja-JP"/>
        </w:rPr>
        <w:t>18</w:t>
      </w:r>
      <w:r w:rsidRPr="00CC02EE">
        <w:rPr>
          <w:lang w:eastAsia="ja-JP"/>
        </w:rPr>
        <w:t xml:space="preserve">.  As indicated in Table </w:t>
      </w:r>
      <w:r w:rsidR="00C81EA2">
        <w:rPr>
          <w:lang w:eastAsia="ja-JP"/>
        </w:rPr>
        <w:t>19</w:t>
      </w:r>
      <w:r w:rsidRPr="00CC02EE">
        <w:rPr>
          <w:lang w:eastAsia="ja-JP"/>
        </w:rPr>
        <w:t xml:space="preserve"> 65% of all patients had at least one treatment block delayed for more than 14 days.  The most frequent reason for this being del</w:t>
      </w:r>
      <w:r w:rsidR="009E6958">
        <w:rPr>
          <w:lang w:eastAsia="ja-JP"/>
        </w:rPr>
        <w:t>ayed neutrophil count recovery.</w:t>
      </w:r>
    </w:p>
    <w:p w:rsidR="00CC02EE" w:rsidRPr="00C81EA2" w:rsidRDefault="00324E18" w:rsidP="009E6958">
      <w:pPr>
        <w:pStyle w:val="TableTitle"/>
      </w:pPr>
      <w:r w:rsidRPr="00C81EA2">
        <w:t xml:space="preserve">Table </w:t>
      </w:r>
      <w:r w:rsidR="00C81EA2" w:rsidRPr="00C81EA2">
        <w:t>18:</w:t>
      </w:r>
      <w:r w:rsidRPr="00C81EA2">
        <w:t xml:space="preserve"> Duration of follow-up (Safety set - STI571I2301</w:t>
      </w:r>
    </w:p>
    <w:p w:rsidR="00324E18" w:rsidRPr="00CC02EE" w:rsidRDefault="00324E18" w:rsidP="009E6958">
      <w:pPr>
        <w:rPr>
          <w:lang w:eastAsia="ja-JP"/>
        </w:rPr>
      </w:pPr>
      <w:r>
        <w:rPr>
          <w:noProof/>
          <w:lang w:eastAsia="en-AU"/>
        </w:rPr>
        <w:drawing>
          <wp:inline distT="0" distB="0" distL="0" distR="0" wp14:anchorId="2B81FE82" wp14:editId="350D9B71">
            <wp:extent cx="5416550" cy="1561910"/>
            <wp:effectExtent l="19050" t="0" r="0" b="0"/>
            <wp:docPr id="31" name="Picture 9" descr="Table 18: Duration of follow-up (Safety set - STI571I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srcRect/>
                    <a:stretch>
                      <a:fillRect/>
                    </a:stretch>
                  </pic:blipFill>
                  <pic:spPr bwMode="auto">
                    <a:xfrm>
                      <a:off x="0" y="0"/>
                      <a:ext cx="5422232" cy="1563549"/>
                    </a:xfrm>
                    <a:prstGeom prst="rect">
                      <a:avLst/>
                    </a:prstGeom>
                    <a:noFill/>
                    <a:ln w="9525">
                      <a:noFill/>
                      <a:miter lim="800000"/>
                      <a:headEnd/>
                      <a:tailEnd/>
                    </a:ln>
                  </pic:spPr>
                </pic:pic>
              </a:graphicData>
            </a:graphic>
          </wp:inline>
        </w:drawing>
      </w:r>
    </w:p>
    <w:p w:rsidR="00324E18" w:rsidRPr="009E6958" w:rsidRDefault="00C81EA2" w:rsidP="009E6958">
      <w:pPr>
        <w:pStyle w:val="TableTitle"/>
      </w:pPr>
      <w:r>
        <w:rPr>
          <w:lang w:eastAsia="ja-JP"/>
        </w:rPr>
        <w:t>Table 19:</w:t>
      </w:r>
      <w:r w:rsidR="00324E18">
        <w:rPr>
          <w:lang w:eastAsia="ja-JP"/>
        </w:rPr>
        <w:t xml:space="preserve"> Delayed start of next treatment block (Safety set -</w:t>
      </w:r>
      <w:r w:rsidR="00324E18" w:rsidRPr="00324E18">
        <w:t xml:space="preserve"> </w:t>
      </w:r>
      <w:r w:rsidR="00324E18" w:rsidRPr="00324E18">
        <w:rPr>
          <w:lang w:eastAsia="ja-JP"/>
        </w:rPr>
        <w:t>STI571I2301</w:t>
      </w:r>
      <w:r w:rsidR="00324E18">
        <w:rPr>
          <w:lang w:eastAsia="ja-JP"/>
        </w:rPr>
        <w:t>)</w:t>
      </w:r>
    </w:p>
    <w:p w:rsidR="00324E18" w:rsidRDefault="00324E18" w:rsidP="009E6958">
      <w:pPr>
        <w:rPr>
          <w:lang w:eastAsia="ja-JP"/>
        </w:rPr>
      </w:pPr>
      <w:r>
        <w:rPr>
          <w:noProof/>
          <w:lang w:eastAsia="en-AU"/>
        </w:rPr>
        <w:drawing>
          <wp:inline distT="0" distB="0" distL="0" distR="0" wp14:anchorId="66110C33" wp14:editId="370DEBAD">
            <wp:extent cx="5416550" cy="1531456"/>
            <wp:effectExtent l="19050" t="0" r="0" b="0"/>
            <wp:docPr id="33" name="Picture 15" descr="Table 19: Delayed start of next treatment block (Safety set - STI571I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srcRect/>
                    <a:stretch>
                      <a:fillRect/>
                    </a:stretch>
                  </pic:blipFill>
                  <pic:spPr bwMode="auto">
                    <a:xfrm>
                      <a:off x="0" y="0"/>
                      <a:ext cx="5416550" cy="1531456"/>
                    </a:xfrm>
                    <a:prstGeom prst="rect">
                      <a:avLst/>
                    </a:prstGeom>
                    <a:noFill/>
                    <a:ln w="9525">
                      <a:noFill/>
                      <a:miter lim="800000"/>
                      <a:headEnd/>
                      <a:tailEnd/>
                    </a:ln>
                  </pic:spPr>
                </pic:pic>
              </a:graphicData>
            </a:graphic>
          </wp:inline>
        </w:drawing>
      </w:r>
    </w:p>
    <w:p w:rsidR="00CC02EE" w:rsidRPr="00CC02EE" w:rsidRDefault="00CC02EE" w:rsidP="009E6958">
      <w:pPr>
        <w:rPr>
          <w:lang w:eastAsia="ja-JP"/>
        </w:rPr>
      </w:pPr>
      <w:r w:rsidRPr="00CC02EE">
        <w:rPr>
          <w:lang w:eastAsia="ja-JP"/>
        </w:rPr>
        <w:t xml:space="preserve">In relation to study AIT07 overall treatment exposure for Imatinib plus chemotherapy or chemotherapy alone is summarised in Table </w:t>
      </w:r>
      <w:r w:rsidR="00C81EA2">
        <w:rPr>
          <w:lang w:eastAsia="ja-JP"/>
        </w:rPr>
        <w:t xml:space="preserve">20. </w:t>
      </w:r>
      <w:r w:rsidRPr="00CC02EE">
        <w:rPr>
          <w:lang w:eastAsia="ja-JP"/>
        </w:rPr>
        <w:t>Median duration of treatment was s</w:t>
      </w:r>
      <w:r w:rsidR="009E6958">
        <w:rPr>
          <w:lang w:eastAsia="ja-JP"/>
        </w:rPr>
        <w:t>imilar for all patient groups.</w:t>
      </w:r>
    </w:p>
    <w:p w:rsidR="00CC02EE" w:rsidRDefault="00C81EA2" w:rsidP="009E6958">
      <w:pPr>
        <w:pStyle w:val="TableTitle"/>
        <w:rPr>
          <w:lang w:eastAsia="ja-JP"/>
        </w:rPr>
      </w:pPr>
      <w:r>
        <w:rPr>
          <w:lang w:eastAsia="ja-JP"/>
        </w:rPr>
        <w:t>Table 20</w:t>
      </w:r>
      <w:r w:rsidR="00D305DC">
        <w:rPr>
          <w:lang w:eastAsia="ja-JP"/>
        </w:rPr>
        <w:t>:</w:t>
      </w:r>
      <w:r w:rsidR="00587813">
        <w:rPr>
          <w:lang w:eastAsia="ja-JP"/>
        </w:rPr>
        <w:t xml:space="preserve"> Overall treatment exposure* (Safety set </w:t>
      </w:r>
      <w:r w:rsidR="00587813" w:rsidRPr="00587813">
        <w:rPr>
          <w:lang w:eastAsia="ja-JP"/>
        </w:rPr>
        <w:t>STI571I2301</w:t>
      </w:r>
      <w:r w:rsidR="00587813">
        <w:rPr>
          <w:lang w:eastAsia="ja-JP"/>
        </w:rPr>
        <w:t>)</w:t>
      </w:r>
    </w:p>
    <w:p w:rsidR="00587813" w:rsidRDefault="00587813" w:rsidP="009E6958">
      <w:pPr>
        <w:rPr>
          <w:lang w:eastAsia="ja-JP"/>
        </w:rPr>
      </w:pPr>
      <w:r>
        <w:rPr>
          <w:noProof/>
          <w:lang w:eastAsia="en-AU"/>
        </w:rPr>
        <w:drawing>
          <wp:inline distT="0" distB="0" distL="0" distR="0" wp14:anchorId="2C171BF3" wp14:editId="0D97F36D">
            <wp:extent cx="5418361" cy="3329354"/>
            <wp:effectExtent l="19050" t="0" r="0" b="0"/>
            <wp:docPr id="35" name="Picture 21" descr="Table 20. Overall treatment exposure* (Safety set STI571I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srcRect/>
                    <a:stretch>
                      <a:fillRect/>
                    </a:stretch>
                  </pic:blipFill>
                  <pic:spPr bwMode="auto">
                    <a:xfrm>
                      <a:off x="0" y="0"/>
                      <a:ext cx="5416801" cy="3328396"/>
                    </a:xfrm>
                    <a:prstGeom prst="rect">
                      <a:avLst/>
                    </a:prstGeom>
                    <a:noFill/>
                    <a:ln w="9525">
                      <a:noFill/>
                      <a:miter lim="800000"/>
                      <a:headEnd/>
                      <a:tailEnd/>
                    </a:ln>
                  </pic:spPr>
                </pic:pic>
              </a:graphicData>
            </a:graphic>
          </wp:inline>
        </w:drawing>
      </w:r>
    </w:p>
    <w:p w:rsidR="00CC02EE" w:rsidRPr="00CC02EE" w:rsidRDefault="00587813" w:rsidP="009E6958">
      <w:pPr>
        <w:rPr>
          <w:lang w:eastAsia="ja-JP"/>
        </w:rPr>
      </w:pPr>
      <w:r>
        <w:rPr>
          <w:lang w:eastAsia="ja-JP"/>
        </w:rPr>
        <w:lastRenderedPageBreak/>
        <w:t>Overall 24 or 7</w:t>
      </w:r>
      <w:r w:rsidR="00CC02EE" w:rsidRPr="00CC02EE">
        <w:rPr>
          <w:lang w:eastAsia="ja-JP"/>
        </w:rPr>
        <w:t xml:space="preserve">7.4% of the good risk patients who received chemotherapy alone, 48 or 82.8% of </w:t>
      </w:r>
      <w:proofErr w:type="gramStart"/>
      <w:r w:rsidR="00CC02EE" w:rsidRPr="00CC02EE">
        <w:rPr>
          <w:lang w:eastAsia="ja-JP"/>
        </w:rPr>
        <w:t>the</w:t>
      </w:r>
      <w:proofErr w:type="gramEnd"/>
      <w:r w:rsidR="00CC02EE" w:rsidRPr="00CC02EE">
        <w:rPr>
          <w:lang w:eastAsia="ja-JP"/>
        </w:rPr>
        <w:t xml:space="preserve"> good risk patients received Imatinib plus chemotherapy and 61 or 87.1% of the poor risk patients who received Imatinib plus chemotherapy underwent HSCT.  In total 109 or 85.2% of patients who received Imatinib plus chemotherapy in both good and poor risk patients underwent HSCT in this study.  Patients undergoing HSCT did not receive Imatinib post HSCT.</w:t>
      </w:r>
    </w:p>
    <w:p w:rsidR="00CC02EE" w:rsidRPr="00CC02EE" w:rsidRDefault="00CC02EE" w:rsidP="009E6958">
      <w:pPr>
        <w:rPr>
          <w:lang w:eastAsia="ja-JP"/>
        </w:rPr>
      </w:pPr>
      <w:r w:rsidRPr="00CC02EE">
        <w:rPr>
          <w:lang w:eastAsia="ja-JP"/>
        </w:rPr>
        <w:t>The median duration of follow up was similar for good risk patients receiving chemotherapy alone at 38 months with a range 2 to 72 and patients receiving Imatinib plus chemotherapy at 35 months with a range of 2 to 79.  As expected follow time was poor for the poor risk patients at 23 months with a range of 4 to 79 months.  Patients who received Imatinib from start of study treatment were followed up to a maximum of 79 months with a median of 30 months.</w:t>
      </w:r>
    </w:p>
    <w:p w:rsidR="00CC02EE" w:rsidRDefault="00CC02EE" w:rsidP="009E6958">
      <w:pPr>
        <w:rPr>
          <w:lang w:eastAsia="ja-JP"/>
        </w:rPr>
      </w:pPr>
      <w:r w:rsidRPr="00CC02EE">
        <w:rPr>
          <w:lang w:eastAsia="ja-JP"/>
        </w:rPr>
        <w:t xml:space="preserve">The incidence of treatment delay of at least one week was similar among good risk and poor risk patients who received Imatinib at 25 patients or 43% and 25 patients or 36% respectively.  This is illustrated in Table </w:t>
      </w:r>
      <w:r w:rsidR="00C81EA2">
        <w:rPr>
          <w:lang w:eastAsia="ja-JP"/>
        </w:rPr>
        <w:t>21</w:t>
      </w:r>
      <w:r w:rsidRPr="00CC02EE">
        <w:rPr>
          <w:lang w:eastAsia="ja-JP"/>
        </w:rPr>
        <w:t>.</w:t>
      </w:r>
    </w:p>
    <w:p w:rsidR="00890FC1" w:rsidRPr="00CC02EE" w:rsidRDefault="00890FC1" w:rsidP="009E6958">
      <w:pPr>
        <w:pStyle w:val="TableTitle"/>
        <w:rPr>
          <w:lang w:eastAsia="ja-JP"/>
        </w:rPr>
      </w:pPr>
      <w:r>
        <w:rPr>
          <w:lang w:eastAsia="ja-JP"/>
        </w:rPr>
        <w:t xml:space="preserve">Table </w:t>
      </w:r>
      <w:r w:rsidR="00C81EA2">
        <w:rPr>
          <w:lang w:eastAsia="ja-JP"/>
        </w:rPr>
        <w:t>21:</w:t>
      </w:r>
      <w:r>
        <w:rPr>
          <w:lang w:eastAsia="ja-JP"/>
        </w:rPr>
        <w:t xml:space="preserve"> </w:t>
      </w:r>
      <w:r w:rsidRPr="00890FC1">
        <w:rPr>
          <w:lang w:eastAsia="ja-JP"/>
        </w:rPr>
        <w:t>Treatment delays or dose modifications from start of study to</w:t>
      </w:r>
      <w:r>
        <w:rPr>
          <w:lang w:eastAsia="ja-JP"/>
        </w:rPr>
        <w:t xml:space="preserve"> </w:t>
      </w:r>
      <w:r w:rsidRPr="00890FC1">
        <w:rPr>
          <w:lang w:eastAsia="ja-JP"/>
        </w:rPr>
        <w:t>Consolidation 3 (Safety set – STI571AIT07)</w:t>
      </w:r>
    </w:p>
    <w:p w:rsidR="00CC02EE" w:rsidRPr="00CC02EE" w:rsidRDefault="00890FC1" w:rsidP="009E6958">
      <w:pPr>
        <w:rPr>
          <w:lang w:eastAsia="ja-JP"/>
        </w:rPr>
      </w:pPr>
      <w:r>
        <w:rPr>
          <w:noProof/>
          <w:lang w:eastAsia="en-AU"/>
        </w:rPr>
        <w:drawing>
          <wp:inline distT="0" distB="0" distL="0" distR="0" wp14:anchorId="19624E47" wp14:editId="6B61BDAD">
            <wp:extent cx="5509451" cy="3466060"/>
            <wp:effectExtent l="19050" t="0" r="0" b="0"/>
            <wp:docPr id="36" name="Picture 24" descr="Table 21: Treatment delays or dose modifications from start of study to Consolidation 3 (Safety set – STI571AIT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srcRect/>
                    <a:stretch>
                      <a:fillRect/>
                    </a:stretch>
                  </pic:blipFill>
                  <pic:spPr bwMode="auto">
                    <a:xfrm>
                      <a:off x="0" y="0"/>
                      <a:ext cx="5509451" cy="3466060"/>
                    </a:xfrm>
                    <a:prstGeom prst="rect">
                      <a:avLst/>
                    </a:prstGeom>
                    <a:noFill/>
                    <a:ln w="9525">
                      <a:noFill/>
                      <a:miter lim="800000"/>
                      <a:headEnd/>
                      <a:tailEnd/>
                    </a:ln>
                  </pic:spPr>
                </pic:pic>
              </a:graphicData>
            </a:graphic>
          </wp:inline>
        </w:drawing>
      </w:r>
    </w:p>
    <w:p w:rsidR="00CC02EE" w:rsidRDefault="00CC02EE" w:rsidP="009E6958">
      <w:pPr>
        <w:rPr>
          <w:lang w:eastAsia="ja-JP"/>
        </w:rPr>
      </w:pPr>
      <w:r w:rsidRPr="00CC02EE">
        <w:rPr>
          <w:lang w:eastAsia="ja-JP"/>
        </w:rPr>
        <w:t xml:space="preserve">Baseline demographic characteristics for the pivotal study 2301 have been presented and are indicated in Table </w:t>
      </w:r>
      <w:r w:rsidR="00C81EA2">
        <w:rPr>
          <w:lang w:eastAsia="ja-JP"/>
        </w:rPr>
        <w:t>22</w:t>
      </w:r>
      <w:r w:rsidR="009E6958">
        <w:rPr>
          <w:lang w:eastAsia="ja-JP"/>
        </w:rPr>
        <w:t xml:space="preserve"> for study AIT07.</w:t>
      </w:r>
    </w:p>
    <w:p w:rsidR="00890FC1" w:rsidRPr="00CC02EE" w:rsidRDefault="00C81EA2" w:rsidP="009E6958">
      <w:pPr>
        <w:pStyle w:val="TableTitle"/>
        <w:rPr>
          <w:lang w:eastAsia="ja-JP"/>
        </w:rPr>
      </w:pPr>
      <w:r>
        <w:rPr>
          <w:lang w:eastAsia="ja-JP"/>
        </w:rPr>
        <w:lastRenderedPageBreak/>
        <w:t>Table 22:</w:t>
      </w:r>
      <w:r w:rsidR="00890FC1">
        <w:rPr>
          <w:lang w:eastAsia="ja-JP"/>
        </w:rPr>
        <w:t xml:space="preserve"> Demographics at baseline (Safety set - </w:t>
      </w:r>
      <w:r w:rsidR="00890FC1" w:rsidRPr="00890FC1">
        <w:rPr>
          <w:lang w:eastAsia="ja-JP"/>
        </w:rPr>
        <w:t>STI571AIT07</w:t>
      </w:r>
      <w:r w:rsidR="00890FC1">
        <w:rPr>
          <w:lang w:eastAsia="ja-JP"/>
        </w:rPr>
        <w:t>)</w:t>
      </w:r>
    </w:p>
    <w:p w:rsidR="00CC02EE" w:rsidRPr="00CC02EE" w:rsidRDefault="00890FC1" w:rsidP="009E6958">
      <w:pPr>
        <w:rPr>
          <w:lang w:eastAsia="ja-JP"/>
        </w:rPr>
      </w:pPr>
      <w:r>
        <w:rPr>
          <w:noProof/>
          <w:lang w:eastAsia="en-AU"/>
        </w:rPr>
        <w:drawing>
          <wp:inline distT="0" distB="0" distL="0" distR="0" wp14:anchorId="1FB6856B" wp14:editId="38291F2E">
            <wp:extent cx="5268630" cy="6646985"/>
            <wp:effectExtent l="19050" t="0" r="8220" b="0"/>
            <wp:docPr id="37" name="Picture 27" descr="Table 22: Demographics at baseline (Safety set - STI571AIT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srcRect/>
                    <a:stretch>
                      <a:fillRect/>
                    </a:stretch>
                  </pic:blipFill>
                  <pic:spPr bwMode="auto">
                    <a:xfrm>
                      <a:off x="0" y="0"/>
                      <a:ext cx="5267044" cy="6644983"/>
                    </a:xfrm>
                    <a:prstGeom prst="rect">
                      <a:avLst/>
                    </a:prstGeom>
                    <a:noFill/>
                    <a:ln w="9525">
                      <a:noFill/>
                      <a:miter lim="800000"/>
                      <a:headEnd/>
                      <a:tailEnd/>
                    </a:ln>
                  </pic:spPr>
                </pic:pic>
              </a:graphicData>
            </a:graphic>
          </wp:inline>
        </w:drawing>
      </w:r>
    </w:p>
    <w:p w:rsidR="00CC02EE" w:rsidRPr="00CC02EE" w:rsidRDefault="00CC02EE" w:rsidP="009E6958">
      <w:pPr>
        <w:rPr>
          <w:lang w:eastAsia="ja-JP"/>
        </w:rPr>
      </w:pPr>
      <w:r w:rsidRPr="00CC02EE">
        <w:rPr>
          <w:lang w:eastAsia="ja-JP"/>
        </w:rPr>
        <w:t xml:space="preserve">In relation to patient disposition in the pivotal study 2301 approximately half the patients in each group completed patient protocol treatment and the proportion of patients that discontinued protocol treatment prior to completing therapy was similar for both the Ph positive and Ph negative patients as indicated in Table </w:t>
      </w:r>
      <w:r w:rsidR="00C81EA2">
        <w:rPr>
          <w:lang w:eastAsia="ja-JP"/>
        </w:rPr>
        <w:t>23</w:t>
      </w:r>
      <w:r w:rsidR="009E6958">
        <w:rPr>
          <w:lang w:eastAsia="ja-JP"/>
        </w:rPr>
        <w:t>.</w:t>
      </w:r>
    </w:p>
    <w:p w:rsidR="00CC02EE" w:rsidRDefault="00C81EA2" w:rsidP="009E6958">
      <w:pPr>
        <w:pStyle w:val="TableTitle"/>
        <w:rPr>
          <w:lang w:eastAsia="ja-JP"/>
        </w:rPr>
      </w:pPr>
      <w:r>
        <w:rPr>
          <w:lang w:eastAsia="ja-JP"/>
        </w:rPr>
        <w:lastRenderedPageBreak/>
        <w:t>Table 23:</w:t>
      </w:r>
      <w:r w:rsidR="00890FC1">
        <w:rPr>
          <w:lang w:eastAsia="ja-JP"/>
        </w:rPr>
        <w:t xml:space="preserve"> Overall patient disposition (Safety set - </w:t>
      </w:r>
      <w:r w:rsidR="00890FC1" w:rsidRPr="00890FC1">
        <w:rPr>
          <w:lang w:eastAsia="ja-JP"/>
        </w:rPr>
        <w:t>STI571I2301</w:t>
      </w:r>
      <w:r w:rsidR="00890FC1">
        <w:rPr>
          <w:lang w:eastAsia="ja-JP"/>
        </w:rPr>
        <w:t>)</w:t>
      </w:r>
    </w:p>
    <w:p w:rsidR="00890FC1" w:rsidRDefault="00890FC1" w:rsidP="009E6958">
      <w:pPr>
        <w:rPr>
          <w:lang w:eastAsia="ja-JP"/>
        </w:rPr>
      </w:pPr>
      <w:r>
        <w:rPr>
          <w:noProof/>
          <w:lang w:eastAsia="en-AU"/>
        </w:rPr>
        <w:drawing>
          <wp:inline distT="0" distB="0" distL="0" distR="0" wp14:anchorId="1C9E023A" wp14:editId="74C82EBA">
            <wp:extent cx="5162550" cy="3376840"/>
            <wp:effectExtent l="19050" t="0" r="0" b="0"/>
            <wp:docPr id="38" name="Picture 30" descr="Table 23: Overall patient disposition (Safety set - STI571I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srcRect/>
                    <a:stretch>
                      <a:fillRect/>
                    </a:stretch>
                  </pic:blipFill>
                  <pic:spPr bwMode="auto">
                    <a:xfrm>
                      <a:off x="0" y="0"/>
                      <a:ext cx="5165992" cy="3379092"/>
                    </a:xfrm>
                    <a:prstGeom prst="rect">
                      <a:avLst/>
                    </a:prstGeom>
                    <a:noFill/>
                    <a:ln w="9525">
                      <a:noFill/>
                      <a:miter lim="800000"/>
                      <a:headEnd/>
                      <a:tailEnd/>
                    </a:ln>
                  </pic:spPr>
                </pic:pic>
              </a:graphicData>
            </a:graphic>
          </wp:inline>
        </w:drawing>
      </w:r>
    </w:p>
    <w:p w:rsidR="00CC02EE" w:rsidRPr="00CC02EE" w:rsidRDefault="00CC02EE" w:rsidP="009E6958">
      <w:pPr>
        <w:rPr>
          <w:lang w:eastAsia="ja-JP"/>
        </w:rPr>
      </w:pPr>
      <w:r w:rsidRPr="00CC02EE">
        <w:rPr>
          <w:lang w:eastAsia="ja-JP"/>
        </w:rPr>
        <w:t xml:space="preserve">Patient disposition for study AIT07, of the total of 229 patients 178 were enrolled and assigned </w:t>
      </w:r>
      <w:proofErr w:type="gramStart"/>
      <w:r w:rsidRPr="00CC02EE">
        <w:rPr>
          <w:lang w:eastAsia="ja-JP"/>
        </w:rPr>
        <w:t>to</w:t>
      </w:r>
      <w:proofErr w:type="gramEnd"/>
      <w:r w:rsidRPr="00CC02EE">
        <w:rPr>
          <w:lang w:eastAsia="ja-JP"/>
        </w:rPr>
        <w:t xml:space="preserve"> either good risk i.e. 108 or poor risk i.e. 70.  The remaining patients were outside of this protocol.  All 70 patients assigned to the poor risk group received Imatinib plus chemotherapy and of the 108 good risk patients 90 were randomised to Imatinib plus chemotherapy i.e. 46 and chemotherapy alone i.e. 44.  As indicated in Table </w:t>
      </w:r>
      <w:r w:rsidR="00C81EA2">
        <w:rPr>
          <w:lang w:eastAsia="ja-JP"/>
        </w:rPr>
        <w:t>24</w:t>
      </w:r>
      <w:r w:rsidR="009E6958">
        <w:rPr>
          <w:lang w:eastAsia="ja-JP"/>
        </w:rPr>
        <w:t>.</w:t>
      </w:r>
    </w:p>
    <w:p w:rsidR="00CC02EE" w:rsidRPr="00C81EA2" w:rsidRDefault="00890FC1" w:rsidP="009E6958">
      <w:pPr>
        <w:pStyle w:val="TableTitle"/>
      </w:pPr>
      <w:r w:rsidRPr="00C81EA2">
        <w:t xml:space="preserve">Table </w:t>
      </w:r>
      <w:r w:rsidR="00C81EA2" w:rsidRPr="00C81EA2">
        <w:t>24:</w:t>
      </w:r>
      <w:r w:rsidR="00191C8A" w:rsidRPr="00C81EA2">
        <w:t xml:space="preserve"> Patient disposition and primary reasons for discontinuation (FAS –STI571AIT07)</w:t>
      </w:r>
    </w:p>
    <w:p w:rsidR="00191C8A" w:rsidRPr="00CC02EE" w:rsidRDefault="00191C8A" w:rsidP="00634CDD">
      <w:pPr>
        <w:rPr>
          <w:lang w:eastAsia="ja-JP"/>
        </w:rPr>
      </w:pPr>
      <w:r>
        <w:rPr>
          <w:noProof/>
          <w:lang w:eastAsia="en-AU"/>
        </w:rPr>
        <w:drawing>
          <wp:inline distT="0" distB="0" distL="0" distR="0" wp14:anchorId="3EB59699" wp14:editId="575F3D2E">
            <wp:extent cx="5454650" cy="2378582"/>
            <wp:effectExtent l="19050" t="0" r="0" b="0"/>
            <wp:docPr id="39" name="Picture 33" descr="Table 24: Patient disposition and primary reasons for discontinuation (FAS –STI571AIT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cstate="print"/>
                    <a:srcRect/>
                    <a:stretch>
                      <a:fillRect/>
                    </a:stretch>
                  </pic:blipFill>
                  <pic:spPr bwMode="auto">
                    <a:xfrm>
                      <a:off x="0" y="0"/>
                      <a:ext cx="5454650" cy="2378582"/>
                    </a:xfrm>
                    <a:prstGeom prst="rect">
                      <a:avLst/>
                    </a:prstGeom>
                    <a:noFill/>
                    <a:ln w="9525">
                      <a:noFill/>
                      <a:miter lim="800000"/>
                      <a:headEnd/>
                      <a:tailEnd/>
                    </a:ln>
                  </pic:spPr>
                </pic:pic>
              </a:graphicData>
            </a:graphic>
          </wp:inline>
        </w:drawing>
      </w:r>
    </w:p>
    <w:p w:rsidR="00191C8A" w:rsidRDefault="00191C8A" w:rsidP="00634CDD">
      <w:pPr>
        <w:pStyle w:val="Heading3"/>
      </w:pPr>
      <w:bookmarkStart w:id="48" w:name="_Toc382578298"/>
      <w:r>
        <w:t>Adverse events</w:t>
      </w:r>
      <w:bookmarkEnd w:id="48"/>
    </w:p>
    <w:p w:rsidR="00CC02EE" w:rsidRPr="00CC02EE" w:rsidRDefault="00CC02EE" w:rsidP="00634CDD">
      <w:pPr>
        <w:rPr>
          <w:lang w:eastAsia="ja-JP"/>
        </w:rPr>
      </w:pPr>
      <w:r w:rsidRPr="00CC02EE">
        <w:rPr>
          <w:lang w:eastAsia="ja-JP"/>
        </w:rPr>
        <w:t>Adverse event reporting was as per NCI common terminology criter</w:t>
      </w:r>
      <w:r w:rsidR="00634CDD">
        <w:rPr>
          <w:lang w:eastAsia="ja-JP"/>
        </w:rPr>
        <w:t>ia including relevant grading.</w:t>
      </w:r>
    </w:p>
    <w:p w:rsidR="00191C8A" w:rsidRDefault="00CC02EE" w:rsidP="00634CDD">
      <w:pPr>
        <w:rPr>
          <w:lang w:eastAsia="ja-JP"/>
        </w:rPr>
      </w:pPr>
      <w:r w:rsidRPr="00CC02EE">
        <w:rPr>
          <w:lang w:eastAsia="ja-JP"/>
        </w:rPr>
        <w:t xml:space="preserve">Reviewing the overall incidence of adverse effects in Study 2301 the incidence of non-targeted AE at least grade 3 by system organ class and preferred term in Ph positive patients treated with chemotherapy plus Imatinib as well as the Ph negative patients who received chemotherapy alone is indicated in </w:t>
      </w:r>
      <w:r w:rsidR="00C81EA2">
        <w:rPr>
          <w:lang w:eastAsia="ja-JP"/>
        </w:rPr>
        <w:t>Table 25</w:t>
      </w:r>
      <w:r w:rsidR="00634CDD">
        <w:rPr>
          <w:lang w:eastAsia="ja-JP"/>
        </w:rPr>
        <w:t>.</w:t>
      </w:r>
    </w:p>
    <w:p w:rsidR="00191C8A" w:rsidRDefault="00191C8A" w:rsidP="00634CDD">
      <w:pPr>
        <w:pStyle w:val="TableTitle"/>
        <w:rPr>
          <w:lang w:eastAsia="ja-JP"/>
        </w:rPr>
      </w:pPr>
      <w:r>
        <w:rPr>
          <w:lang w:eastAsia="ja-JP"/>
        </w:rPr>
        <w:lastRenderedPageBreak/>
        <w:t xml:space="preserve">Table </w:t>
      </w:r>
      <w:r w:rsidR="00C81EA2">
        <w:rPr>
          <w:lang w:eastAsia="ja-JP"/>
        </w:rPr>
        <w:t>25:</w:t>
      </w:r>
      <w:r>
        <w:rPr>
          <w:lang w:eastAsia="ja-JP"/>
        </w:rPr>
        <w:t xml:space="preserve"> </w:t>
      </w:r>
      <w:r w:rsidRPr="00191C8A">
        <w:rPr>
          <w:lang w:eastAsia="ja-JP"/>
        </w:rPr>
        <w:t>Frequent (at least 5 patients in any group) non-targeted adverse</w:t>
      </w:r>
      <w:r>
        <w:rPr>
          <w:lang w:eastAsia="ja-JP"/>
        </w:rPr>
        <w:t xml:space="preserve"> </w:t>
      </w:r>
      <w:r w:rsidRPr="00191C8A">
        <w:rPr>
          <w:lang w:eastAsia="ja-JP"/>
        </w:rPr>
        <w:t>events (grade 3, 4, 5) regardless of causality by system organ class</w:t>
      </w:r>
      <w:r>
        <w:rPr>
          <w:lang w:eastAsia="ja-JP"/>
        </w:rPr>
        <w:t xml:space="preserve"> </w:t>
      </w:r>
      <w:r w:rsidRPr="00191C8A">
        <w:rPr>
          <w:lang w:eastAsia="ja-JP"/>
        </w:rPr>
        <w:t>and preferred term in Ph+ and Ph- patients (Safety set –STI571I2301)</w:t>
      </w:r>
    </w:p>
    <w:p w:rsidR="00191C8A" w:rsidRDefault="00191C8A" w:rsidP="00634CDD">
      <w:pPr>
        <w:rPr>
          <w:lang w:eastAsia="ja-JP"/>
        </w:rPr>
      </w:pPr>
      <w:r>
        <w:rPr>
          <w:noProof/>
          <w:lang w:eastAsia="en-AU"/>
        </w:rPr>
        <w:drawing>
          <wp:inline distT="0" distB="0" distL="0" distR="0" wp14:anchorId="7BBAE021" wp14:editId="4B354AB3">
            <wp:extent cx="5007610" cy="6712585"/>
            <wp:effectExtent l="19050" t="0" r="2540" b="0"/>
            <wp:docPr id="41" name="Picture 37" descr="Table 25: Frequent (at least 5 patients in any group) non-targeted adverse events (grade 3, 4, 5) regardless of causality by system organ class and preferred term in Ph+ and Ph- patients (Safety set –STI571I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srcRect/>
                    <a:stretch>
                      <a:fillRect/>
                    </a:stretch>
                  </pic:blipFill>
                  <pic:spPr bwMode="auto">
                    <a:xfrm>
                      <a:off x="0" y="0"/>
                      <a:ext cx="5007610" cy="6712585"/>
                    </a:xfrm>
                    <a:prstGeom prst="rect">
                      <a:avLst/>
                    </a:prstGeom>
                    <a:noFill/>
                    <a:ln w="9525">
                      <a:noFill/>
                      <a:miter lim="800000"/>
                      <a:headEnd/>
                      <a:tailEnd/>
                    </a:ln>
                  </pic:spPr>
                </pic:pic>
              </a:graphicData>
            </a:graphic>
          </wp:inline>
        </w:drawing>
      </w:r>
    </w:p>
    <w:p w:rsidR="00CC02EE" w:rsidRPr="00CC02EE" w:rsidRDefault="00CC02EE" w:rsidP="00634CDD">
      <w:pPr>
        <w:rPr>
          <w:lang w:eastAsia="ja-JP"/>
        </w:rPr>
      </w:pPr>
      <w:r w:rsidRPr="00CC02EE">
        <w:rPr>
          <w:lang w:eastAsia="ja-JP"/>
        </w:rPr>
        <w:t xml:space="preserve">The proportion of patients experiencing adverse events were generally higher in those receiving chemotherapy plus Imatinib although as noted except for the Ph negative patients who did not receive Imatinib the incidence of </w:t>
      </w:r>
      <w:proofErr w:type="spellStart"/>
      <w:r w:rsidRPr="00CC02EE">
        <w:rPr>
          <w:lang w:eastAsia="ja-JP"/>
        </w:rPr>
        <w:t>lymphopenia</w:t>
      </w:r>
      <w:proofErr w:type="spellEnd"/>
      <w:r w:rsidR="00191C8A">
        <w:rPr>
          <w:lang w:eastAsia="ja-JP"/>
        </w:rPr>
        <w:t>,</w:t>
      </w:r>
      <w:r w:rsidRPr="00CC02EE">
        <w:rPr>
          <w:lang w:eastAsia="ja-JP"/>
        </w:rPr>
        <w:t xml:space="preserve"> infection, </w:t>
      </w:r>
      <w:proofErr w:type="spellStart"/>
      <w:r w:rsidRPr="00CC02EE">
        <w:rPr>
          <w:lang w:eastAsia="ja-JP"/>
        </w:rPr>
        <w:t>hyperglycemia</w:t>
      </w:r>
      <w:proofErr w:type="spellEnd"/>
      <w:r w:rsidR="00634CDD">
        <w:rPr>
          <w:lang w:eastAsia="ja-JP"/>
        </w:rPr>
        <w:t xml:space="preserve"> and hypocalcaemia was higher.</w:t>
      </w:r>
    </w:p>
    <w:p w:rsidR="00CC02EE" w:rsidRPr="00CC02EE" w:rsidRDefault="00CC02EE" w:rsidP="00634CDD">
      <w:pPr>
        <w:rPr>
          <w:lang w:eastAsia="ja-JP"/>
        </w:rPr>
      </w:pPr>
      <w:r w:rsidRPr="00CC02EE">
        <w:rPr>
          <w:lang w:eastAsia="ja-JP"/>
        </w:rPr>
        <w:t xml:space="preserve">A selection of toxicities that were considered by the sponsor to be targeted toxicities and the incidence of these of at least grade 3 for patients who received chemotherapy plus Imatinib as well as the Ph negative patients who did not receive Imatinib is indicated in Table </w:t>
      </w:r>
      <w:r w:rsidR="006A3F7A">
        <w:rPr>
          <w:lang w:eastAsia="ja-JP"/>
        </w:rPr>
        <w:t>26</w:t>
      </w:r>
      <w:r w:rsidR="00634CDD">
        <w:rPr>
          <w:lang w:eastAsia="ja-JP"/>
        </w:rPr>
        <w:t>.</w:t>
      </w:r>
    </w:p>
    <w:p w:rsidR="00CC02EE" w:rsidRDefault="00191C8A" w:rsidP="00634CDD">
      <w:pPr>
        <w:pStyle w:val="TableTitle"/>
        <w:rPr>
          <w:lang w:eastAsia="ja-JP"/>
        </w:rPr>
      </w:pPr>
      <w:r>
        <w:rPr>
          <w:lang w:eastAsia="ja-JP"/>
        </w:rPr>
        <w:lastRenderedPageBreak/>
        <w:t xml:space="preserve">Table </w:t>
      </w:r>
      <w:r w:rsidR="006A3F7A">
        <w:rPr>
          <w:lang w:eastAsia="ja-JP"/>
        </w:rPr>
        <w:t>26</w:t>
      </w:r>
      <w:r w:rsidR="00D305DC">
        <w:rPr>
          <w:lang w:eastAsia="ja-JP"/>
        </w:rPr>
        <w:t>:</w:t>
      </w:r>
      <w:r>
        <w:rPr>
          <w:lang w:eastAsia="ja-JP"/>
        </w:rPr>
        <w:t xml:space="preserve"> </w:t>
      </w:r>
      <w:r w:rsidRPr="00191C8A">
        <w:rPr>
          <w:lang w:eastAsia="ja-JP"/>
        </w:rPr>
        <w:t>Targeted toxicities (grade 3, 4 or 5) by preferred term in Ph+ and Ph</w:t>
      </w:r>
      <w:r>
        <w:rPr>
          <w:lang w:eastAsia="ja-JP"/>
        </w:rPr>
        <w:t xml:space="preserve">- </w:t>
      </w:r>
      <w:r w:rsidRPr="00191C8A">
        <w:rPr>
          <w:lang w:eastAsia="ja-JP"/>
        </w:rPr>
        <w:t>patients</w:t>
      </w:r>
      <w:r>
        <w:rPr>
          <w:lang w:eastAsia="ja-JP"/>
        </w:rPr>
        <w:t xml:space="preserve"> </w:t>
      </w:r>
      <w:r w:rsidRPr="00191C8A">
        <w:rPr>
          <w:lang w:eastAsia="ja-JP"/>
        </w:rPr>
        <w:t>(Safety set – STI571I2301)</w:t>
      </w:r>
    </w:p>
    <w:p w:rsidR="00191C8A" w:rsidRPr="00CC02EE" w:rsidRDefault="00191C8A" w:rsidP="00634CDD">
      <w:pPr>
        <w:rPr>
          <w:lang w:eastAsia="ja-JP"/>
        </w:rPr>
      </w:pPr>
      <w:r>
        <w:rPr>
          <w:noProof/>
          <w:lang w:eastAsia="en-AU"/>
        </w:rPr>
        <w:drawing>
          <wp:inline distT="0" distB="0" distL="0" distR="0" wp14:anchorId="567F807B" wp14:editId="7470C526">
            <wp:extent cx="5327650" cy="2392031"/>
            <wp:effectExtent l="19050" t="0" r="6350" b="0"/>
            <wp:docPr id="42" name="Picture 40" descr="Table 26. Targeted toxicities (grade 3, 4 or 5) by preferred term in Ph+ and Ph- patients (Safety set – STI571I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cstate="print"/>
                    <a:srcRect/>
                    <a:stretch>
                      <a:fillRect/>
                    </a:stretch>
                  </pic:blipFill>
                  <pic:spPr bwMode="auto">
                    <a:xfrm>
                      <a:off x="0" y="0"/>
                      <a:ext cx="5327650" cy="2392031"/>
                    </a:xfrm>
                    <a:prstGeom prst="rect">
                      <a:avLst/>
                    </a:prstGeom>
                    <a:noFill/>
                    <a:ln w="9525">
                      <a:noFill/>
                      <a:miter lim="800000"/>
                      <a:headEnd/>
                      <a:tailEnd/>
                    </a:ln>
                  </pic:spPr>
                </pic:pic>
              </a:graphicData>
            </a:graphic>
          </wp:inline>
        </w:drawing>
      </w:r>
    </w:p>
    <w:p w:rsidR="00CC02EE" w:rsidRPr="00260C5C" w:rsidRDefault="00191C8A" w:rsidP="00634CDD">
      <w:r w:rsidRPr="00260C5C">
        <w:t xml:space="preserve">The most regular of these were increased ALT, AST and haemorrhage.  </w:t>
      </w:r>
      <w:r w:rsidR="00CC02EE" w:rsidRPr="00260C5C">
        <w:t>Because of this increased incidence of elevated liver enzymes the duration of Imatinib was adjusted from 21 days per cycle to 14 days per cycle for maintenance cycles 5 to 12</w:t>
      </w:r>
      <w:r w:rsidR="00260C5C" w:rsidRPr="00260C5C">
        <w:t>. C</w:t>
      </w:r>
      <w:r w:rsidR="00CC02EE" w:rsidRPr="00260C5C">
        <w:t xml:space="preserve">omparison of the enzyme elevations before and after the adjustment </w:t>
      </w:r>
      <w:r w:rsidR="00260C5C" w:rsidRPr="00260C5C">
        <w:t xml:space="preserve">is </w:t>
      </w:r>
      <w:r w:rsidR="00CC02EE" w:rsidRPr="00260C5C">
        <w:t xml:space="preserve">indicated in </w:t>
      </w:r>
      <w:r w:rsidR="006A3F7A">
        <w:t xml:space="preserve">Table </w:t>
      </w:r>
      <w:r w:rsidR="00CC02EE" w:rsidRPr="00260C5C">
        <w:t>2</w:t>
      </w:r>
      <w:r w:rsidR="006A3F7A">
        <w:t>7</w:t>
      </w:r>
      <w:r w:rsidR="00CC02EE" w:rsidRPr="00260C5C">
        <w:t xml:space="preserve"> which in</w:t>
      </w:r>
      <w:r w:rsidR="00260C5C" w:rsidRPr="00260C5C">
        <w:t xml:space="preserve">dicates a decreased incidence </w:t>
      </w:r>
      <w:r w:rsidR="00CC02EE" w:rsidRPr="00260C5C">
        <w:t>of grade 3 and 4 ALT elevation, AST elevation and b</w:t>
      </w:r>
      <w:r w:rsidR="00634CDD">
        <w:t>ilirubin elevation.</w:t>
      </w:r>
    </w:p>
    <w:p w:rsidR="00CC02EE" w:rsidRPr="00260C5C" w:rsidRDefault="00260C5C" w:rsidP="00634CDD">
      <w:pPr>
        <w:pStyle w:val="TableTitle"/>
      </w:pPr>
      <w:r w:rsidRPr="00260C5C">
        <w:t>Table 2</w:t>
      </w:r>
      <w:r w:rsidR="006A3F7A">
        <w:t>7:</w:t>
      </w:r>
      <w:r w:rsidRPr="00260C5C">
        <w:t xml:space="preserve"> Hepatic toxicities in maintenance cycle 5 pre- and post-Amendment 5B (Safety set – STI571I2301)</w:t>
      </w:r>
    </w:p>
    <w:p w:rsidR="00260C5C" w:rsidRPr="00260C5C" w:rsidRDefault="00260C5C" w:rsidP="00634CDD">
      <w:r>
        <w:rPr>
          <w:noProof/>
          <w:lang w:eastAsia="en-AU"/>
        </w:rPr>
        <w:drawing>
          <wp:inline distT="0" distB="0" distL="0" distR="0" wp14:anchorId="2548342C" wp14:editId="5E064F14">
            <wp:extent cx="4980842" cy="3483072"/>
            <wp:effectExtent l="19050" t="0" r="0" b="0"/>
            <wp:docPr id="43" name="Picture 41" descr="Table 27: Hepatic toxicities in maintenance cycle 5 pre- and post-Amendment 5B (Safety set – STI571I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cstate="print"/>
                    <a:srcRect/>
                    <a:stretch>
                      <a:fillRect/>
                    </a:stretch>
                  </pic:blipFill>
                  <pic:spPr bwMode="auto">
                    <a:xfrm>
                      <a:off x="0" y="0"/>
                      <a:ext cx="4979247" cy="3481957"/>
                    </a:xfrm>
                    <a:prstGeom prst="rect">
                      <a:avLst/>
                    </a:prstGeom>
                    <a:noFill/>
                    <a:ln w="9525">
                      <a:noFill/>
                      <a:miter lim="800000"/>
                      <a:headEnd/>
                      <a:tailEnd/>
                    </a:ln>
                  </pic:spPr>
                </pic:pic>
              </a:graphicData>
            </a:graphic>
          </wp:inline>
        </w:drawing>
      </w:r>
    </w:p>
    <w:p w:rsidR="00260C5C" w:rsidRDefault="00260C5C" w:rsidP="00634CDD">
      <w:pPr>
        <w:pStyle w:val="Heading4"/>
      </w:pPr>
      <w:r w:rsidRPr="00260C5C">
        <w:t>Analysis of adverse events within the Ph+ treatment blocks</w:t>
      </w:r>
    </w:p>
    <w:p w:rsidR="00CC02EE" w:rsidRPr="00CC02EE" w:rsidRDefault="00CC02EE" w:rsidP="00634CDD">
      <w:pPr>
        <w:rPr>
          <w:lang w:eastAsia="ja-JP"/>
        </w:rPr>
      </w:pPr>
      <w:r w:rsidRPr="00CC02EE">
        <w:rPr>
          <w:lang w:eastAsia="ja-JP"/>
        </w:rPr>
        <w:t xml:space="preserve">As illustrated in Table </w:t>
      </w:r>
      <w:r w:rsidR="006A3F7A">
        <w:rPr>
          <w:lang w:eastAsia="ja-JP"/>
        </w:rPr>
        <w:t>28</w:t>
      </w:r>
      <w:r w:rsidRPr="00CC02EE">
        <w:rPr>
          <w:lang w:eastAsia="ja-JP"/>
        </w:rPr>
        <w:t xml:space="preserve"> a number of PH positive ALL patients with grade 3, 4 or 5 adverse events by cohort and treatment block is indicated at the shaded cells which correspond to Imatinib integrated with chemotherapy.  There is a high incidence of adverse events overall in each treatment block as expected due to the i</w:t>
      </w:r>
      <w:r w:rsidR="00634CDD">
        <w:rPr>
          <w:lang w:eastAsia="ja-JP"/>
        </w:rPr>
        <w:t>ntensive chemotherapy regimen.</w:t>
      </w:r>
    </w:p>
    <w:p w:rsidR="00CC02EE" w:rsidRDefault="00260C5C" w:rsidP="00634CDD">
      <w:pPr>
        <w:pStyle w:val="TableTitle"/>
        <w:rPr>
          <w:lang w:eastAsia="ja-JP"/>
        </w:rPr>
      </w:pPr>
      <w:r>
        <w:rPr>
          <w:lang w:eastAsia="ja-JP"/>
        </w:rPr>
        <w:lastRenderedPageBreak/>
        <w:t xml:space="preserve">Table </w:t>
      </w:r>
      <w:r w:rsidR="006A3F7A">
        <w:rPr>
          <w:lang w:eastAsia="ja-JP"/>
        </w:rPr>
        <w:t>28:</w:t>
      </w:r>
      <w:r>
        <w:rPr>
          <w:lang w:eastAsia="ja-JP"/>
        </w:rPr>
        <w:t xml:space="preserve"> </w:t>
      </w:r>
      <w:r w:rsidRPr="00260C5C">
        <w:rPr>
          <w:lang w:eastAsia="ja-JP"/>
        </w:rPr>
        <w:t>Adverse events (grade 3, 4, 5) by treatment block in Ph+ patients</w:t>
      </w:r>
      <w:r>
        <w:rPr>
          <w:lang w:eastAsia="ja-JP"/>
        </w:rPr>
        <w:t xml:space="preserve"> </w:t>
      </w:r>
      <w:r w:rsidRPr="00260C5C">
        <w:rPr>
          <w:lang w:eastAsia="ja-JP"/>
        </w:rPr>
        <w:t>treated with chemotherapy + imatinib (Safety set – STI571I2301)</w:t>
      </w:r>
    </w:p>
    <w:p w:rsidR="00260C5C" w:rsidRDefault="00260C5C" w:rsidP="00634CDD">
      <w:pPr>
        <w:rPr>
          <w:lang w:eastAsia="ja-JP"/>
        </w:rPr>
      </w:pPr>
      <w:r>
        <w:rPr>
          <w:noProof/>
          <w:lang w:eastAsia="en-AU"/>
        </w:rPr>
        <w:drawing>
          <wp:inline distT="0" distB="0" distL="0" distR="0" wp14:anchorId="33149CF7" wp14:editId="38D67C62">
            <wp:extent cx="5454650" cy="3257809"/>
            <wp:effectExtent l="19050" t="0" r="0" b="0"/>
            <wp:docPr id="44" name="Picture 44" descr="Table 28: Adverse events (grade 3, 4, 5) by treatment block in Ph+ patients treated with chemotherapy + imatinib (Safety set – STI571I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cstate="print"/>
                    <a:srcRect/>
                    <a:stretch>
                      <a:fillRect/>
                    </a:stretch>
                  </pic:blipFill>
                  <pic:spPr bwMode="auto">
                    <a:xfrm>
                      <a:off x="0" y="0"/>
                      <a:ext cx="5454650" cy="3257809"/>
                    </a:xfrm>
                    <a:prstGeom prst="rect">
                      <a:avLst/>
                    </a:prstGeom>
                    <a:noFill/>
                    <a:ln w="9525">
                      <a:noFill/>
                      <a:miter lim="800000"/>
                      <a:headEnd/>
                      <a:tailEnd/>
                    </a:ln>
                  </pic:spPr>
                </pic:pic>
              </a:graphicData>
            </a:graphic>
          </wp:inline>
        </w:drawing>
      </w:r>
    </w:p>
    <w:p w:rsidR="00260C5C" w:rsidRPr="00CC02EE" w:rsidRDefault="00260C5C" w:rsidP="00634CDD">
      <w:pPr>
        <w:pStyle w:val="Heading4"/>
      </w:pPr>
      <w:r w:rsidRPr="00260C5C">
        <w:t xml:space="preserve">Common adverse events in </w:t>
      </w:r>
      <w:r w:rsidR="00634CDD">
        <w:t>s</w:t>
      </w:r>
      <w:r w:rsidRPr="00260C5C">
        <w:t>tudy STI571AIT07</w:t>
      </w:r>
    </w:p>
    <w:p w:rsidR="00CC02EE" w:rsidRDefault="00CC02EE" w:rsidP="00634CDD">
      <w:pPr>
        <w:rPr>
          <w:lang w:eastAsia="ja-JP"/>
        </w:rPr>
      </w:pPr>
      <w:r w:rsidRPr="00CC02EE">
        <w:rPr>
          <w:lang w:eastAsia="ja-JP"/>
        </w:rPr>
        <w:t xml:space="preserve">Reviewing adverse events for study AIT07 most patients experienced at least one adverse event during the study and these are consistent with the established safety profile of Imatinib.  Again the most frequent were decreased white blood count, haemoglobin, platelet count and neutrophil count as well as infections as indicated in Table </w:t>
      </w:r>
      <w:r w:rsidR="006A3F7A">
        <w:rPr>
          <w:lang w:eastAsia="ja-JP"/>
        </w:rPr>
        <w:t>29</w:t>
      </w:r>
      <w:r w:rsidRPr="00CC02EE">
        <w:rPr>
          <w:lang w:eastAsia="ja-JP"/>
        </w:rPr>
        <w:t xml:space="preserve">.  For those good risk patients who received Imatinib compared to those who did not there was an increased incidence of neutropenia, infection, increased hepatic enzymes, decreased anti-thrombin 3, gastritis, </w:t>
      </w:r>
      <w:r w:rsidR="00634CDD">
        <w:rPr>
          <w:lang w:eastAsia="ja-JP"/>
        </w:rPr>
        <w:t>proteinuria and euphoric mood.</w:t>
      </w:r>
    </w:p>
    <w:p w:rsidR="00260C5C" w:rsidRDefault="00260C5C" w:rsidP="00634CDD">
      <w:pPr>
        <w:pStyle w:val="TableTitle"/>
        <w:rPr>
          <w:lang w:eastAsia="ja-JP"/>
        </w:rPr>
      </w:pPr>
      <w:r>
        <w:rPr>
          <w:lang w:eastAsia="ja-JP"/>
        </w:rPr>
        <w:lastRenderedPageBreak/>
        <w:t xml:space="preserve">Table </w:t>
      </w:r>
      <w:r w:rsidR="006A3F7A">
        <w:rPr>
          <w:lang w:eastAsia="ja-JP"/>
        </w:rPr>
        <w:t>29:</w:t>
      </w:r>
      <w:r>
        <w:rPr>
          <w:lang w:eastAsia="ja-JP"/>
        </w:rPr>
        <w:t xml:space="preserve"> </w:t>
      </w:r>
      <w:r w:rsidRPr="00260C5C">
        <w:rPr>
          <w:lang w:eastAsia="ja-JP"/>
        </w:rPr>
        <w:t>Adverse events regardless of study drug relationship by preferred</w:t>
      </w:r>
      <w:r>
        <w:rPr>
          <w:lang w:eastAsia="ja-JP"/>
        </w:rPr>
        <w:t xml:space="preserve"> </w:t>
      </w:r>
      <w:r w:rsidRPr="00260C5C">
        <w:rPr>
          <w:lang w:eastAsia="ja-JP"/>
        </w:rPr>
        <w:t>term (Safety set – STI571AIT07)</w:t>
      </w:r>
    </w:p>
    <w:p w:rsidR="00260C5C" w:rsidRPr="00CC02EE" w:rsidRDefault="00260C5C" w:rsidP="00634CDD">
      <w:pPr>
        <w:rPr>
          <w:lang w:eastAsia="ja-JP"/>
        </w:rPr>
      </w:pPr>
      <w:r>
        <w:rPr>
          <w:noProof/>
          <w:lang w:eastAsia="en-AU"/>
        </w:rPr>
        <w:drawing>
          <wp:inline distT="0" distB="0" distL="0" distR="0" wp14:anchorId="176E8E7A" wp14:editId="075C8DC1">
            <wp:extent cx="5056081" cy="6534150"/>
            <wp:effectExtent l="19050" t="0" r="0" b="0"/>
            <wp:docPr id="47" name="Picture 47" descr="Table 29: Adverse events regardless of study drug relationship by preferred term (Safety set – STI571AIT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cstate="print"/>
                    <a:srcRect/>
                    <a:stretch>
                      <a:fillRect/>
                    </a:stretch>
                  </pic:blipFill>
                  <pic:spPr bwMode="auto">
                    <a:xfrm>
                      <a:off x="0" y="0"/>
                      <a:ext cx="5056783" cy="6535058"/>
                    </a:xfrm>
                    <a:prstGeom prst="rect">
                      <a:avLst/>
                    </a:prstGeom>
                    <a:noFill/>
                    <a:ln w="9525">
                      <a:noFill/>
                      <a:miter lim="800000"/>
                      <a:headEnd/>
                      <a:tailEnd/>
                    </a:ln>
                  </pic:spPr>
                </pic:pic>
              </a:graphicData>
            </a:graphic>
          </wp:inline>
        </w:drawing>
      </w:r>
    </w:p>
    <w:p w:rsidR="00260C5C" w:rsidRDefault="00260C5C" w:rsidP="00634CDD">
      <w:pPr>
        <w:pStyle w:val="Heading4"/>
      </w:pPr>
      <w:r w:rsidRPr="00260C5C">
        <w:t xml:space="preserve">Adverse </w:t>
      </w:r>
      <w:r w:rsidR="00634CDD">
        <w:t>e</w:t>
      </w:r>
      <w:r w:rsidRPr="00260C5C">
        <w:t>vents suspected to be drug-</w:t>
      </w:r>
      <w:r w:rsidRPr="00634CDD">
        <w:t>related</w:t>
      </w:r>
    </w:p>
    <w:p w:rsidR="00CC02EE" w:rsidRDefault="00CC02EE" w:rsidP="00634CDD">
      <w:pPr>
        <w:rPr>
          <w:lang w:eastAsia="ja-JP"/>
        </w:rPr>
      </w:pPr>
      <w:r w:rsidRPr="00CC02EE">
        <w:rPr>
          <w:lang w:eastAsia="ja-JP"/>
        </w:rPr>
        <w:t xml:space="preserve">Reviewing adverse events suspected to be drug related for study 2301, Table </w:t>
      </w:r>
      <w:r w:rsidR="006A3F7A">
        <w:rPr>
          <w:lang w:eastAsia="ja-JP"/>
        </w:rPr>
        <w:t xml:space="preserve">30 </w:t>
      </w:r>
      <w:r w:rsidRPr="00CC02EE">
        <w:rPr>
          <w:lang w:eastAsia="ja-JP"/>
        </w:rPr>
        <w:t xml:space="preserve">indicates the most frequent adverse events for those who were at least grade 3 suspected to be related to Imatinib as assessed by the investigator.  The suspected adverse events of </w:t>
      </w:r>
      <w:proofErr w:type="spellStart"/>
      <w:r w:rsidRPr="00CC02EE">
        <w:rPr>
          <w:lang w:eastAsia="ja-JP"/>
        </w:rPr>
        <w:t>myelosuppression</w:t>
      </w:r>
      <w:proofErr w:type="spellEnd"/>
      <w:r w:rsidRPr="00CC02EE">
        <w:rPr>
          <w:lang w:eastAsia="ja-JP"/>
        </w:rPr>
        <w:t xml:space="preserve"> and hepatotoxicity were consistent with the established safety profile of Imatinib.  There were no consistent trends observed of increased or decreased frequency of suspected adverse events according t</w:t>
      </w:r>
      <w:r w:rsidR="00634CDD">
        <w:rPr>
          <w:lang w:eastAsia="ja-JP"/>
        </w:rPr>
        <w:t>o cohorts and treatment block.</w:t>
      </w:r>
    </w:p>
    <w:p w:rsidR="00260C5C" w:rsidRPr="00CC02EE" w:rsidRDefault="00260C5C" w:rsidP="003A4285">
      <w:pPr>
        <w:pStyle w:val="TableTitle"/>
        <w:rPr>
          <w:lang w:eastAsia="ja-JP"/>
        </w:rPr>
      </w:pPr>
      <w:r>
        <w:rPr>
          <w:lang w:eastAsia="ja-JP"/>
        </w:rPr>
        <w:lastRenderedPageBreak/>
        <w:t xml:space="preserve">Table </w:t>
      </w:r>
      <w:r w:rsidR="006A3F7A">
        <w:rPr>
          <w:lang w:eastAsia="ja-JP"/>
        </w:rPr>
        <w:t xml:space="preserve">30: </w:t>
      </w:r>
      <w:r w:rsidRPr="00260C5C">
        <w:rPr>
          <w:lang w:eastAsia="ja-JP"/>
        </w:rPr>
        <w:t>Frequent (at least 5 patients in any group) adverse events (grade 3, 4,</w:t>
      </w:r>
      <w:r>
        <w:rPr>
          <w:lang w:eastAsia="ja-JP"/>
        </w:rPr>
        <w:t xml:space="preserve"> </w:t>
      </w:r>
      <w:r w:rsidRPr="00260C5C">
        <w:rPr>
          <w:lang w:eastAsia="ja-JP"/>
        </w:rPr>
        <w:t>5) suspected to be related to imatinib by preferred term and treatment</w:t>
      </w:r>
      <w:r>
        <w:rPr>
          <w:lang w:eastAsia="ja-JP"/>
        </w:rPr>
        <w:t xml:space="preserve"> </w:t>
      </w:r>
      <w:r w:rsidRPr="00260C5C">
        <w:rPr>
          <w:lang w:eastAsia="ja-JP"/>
        </w:rPr>
        <w:t>block (Safety set – STI571I2301)</w:t>
      </w:r>
    </w:p>
    <w:p w:rsidR="00CC02EE" w:rsidRPr="00CC02EE" w:rsidRDefault="00260C5C" w:rsidP="003A4285">
      <w:pPr>
        <w:rPr>
          <w:lang w:eastAsia="ja-JP"/>
        </w:rPr>
      </w:pPr>
      <w:r>
        <w:rPr>
          <w:noProof/>
          <w:lang w:eastAsia="en-AU"/>
        </w:rPr>
        <w:drawing>
          <wp:inline distT="0" distB="0" distL="0" distR="0" wp14:anchorId="04B6D7C5" wp14:editId="75804BF2">
            <wp:extent cx="4192732" cy="8181646"/>
            <wp:effectExtent l="19050" t="0" r="0" b="0"/>
            <wp:docPr id="50" name="Picture 50" descr="Table 30: Frequent (at least 5 patients in any group) adverse events (grade 3, 4, 5) suspected to be related to imatinib by preferred term and treatment block (Safety set – STI571I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cstate="print"/>
                    <a:srcRect/>
                    <a:stretch>
                      <a:fillRect/>
                    </a:stretch>
                  </pic:blipFill>
                  <pic:spPr bwMode="auto">
                    <a:xfrm>
                      <a:off x="0" y="0"/>
                      <a:ext cx="4191708" cy="8179648"/>
                    </a:xfrm>
                    <a:prstGeom prst="rect">
                      <a:avLst/>
                    </a:prstGeom>
                    <a:noFill/>
                    <a:ln w="9525">
                      <a:noFill/>
                      <a:miter lim="800000"/>
                      <a:headEnd/>
                      <a:tailEnd/>
                    </a:ln>
                  </pic:spPr>
                </pic:pic>
              </a:graphicData>
            </a:graphic>
          </wp:inline>
        </w:drawing>
      </w:r>
    </w:p>
    <w:p w:rsidR="00CC02EE" w:rsidRPr="00CC02EE" w:rsidRDefault="00CC02EE" w:rsidP="003A4285">
      <w:pPr>
        <w:rPr>
          <w:lang w:eastAsia="ja-JP"/>
        </w:rPr>
      </w:pPr>
      <w:r w:rsidRPr="00CC02EE">
        <w:rPr>
          <w:lang w:eastAsia="ja-JP"/>
        </w:rPr>
        <w:lastRenderedPageBreak/>
        <w:t>Information related to events suspected to be drug related was not co</w:t>
      </w:r>
      <w:r w:rsidR="003A4285">
        <w:rPr>
          <w:lang w:eastAsia="ja-JP"/>
        </w:rPr>
        <w:t>llected for study STAIT07.</w:t>
      </w:r>
    </w:p>
    <w:p w:rsidR="00CC02EE" w:rsidRPr="00CC02EE" w:rsidRDefault="003A4285" w:rsidP="003A4285">
      <w:pPr>
        <w:pStyle w:val="Heading4"/>
      </w:pPr>
      <w:r>
        <w:t>Deaths</w:t>
      </w:r>
    </w:p>
    <w:p w:rsidR="00260C5C" w:rsidRDefault="00CC02EE" w:rsidP="003A4285">
      <w:pPr>
        <w:rPr>
          <w:lang w:eastAsia="ja-JP"/>
        </w:rPr>
      </w:pPr>
      <w:r w:rsidRPr="00CC02EE">
        <w:rPr>
          <w:lang w:eastAsia="ja-JP"/>
        </w:rPr>
        <w:t xml:space="preserve">In relation to deaths, in study 2301 the deaths and reasons for these are indicated in Tables </w:t>
      </w:r>
      <w:r w:rsidR="006A3F7A">
        <w:rPr>
          <w:lang w:eastAsia="ja-JP"/>
        </w:rPr>
        <w:t>3</w:t>
      </w:r>
      <w:r w:rsidRPr="00CC02EE">
        <w:rPr>
          <w:lang w:eastAsia="ja-JP"/>
        </w:rPr>
        <w:t xml:space="preserve">1 and </w:t>
      </w:r>
      <w:r w:rsidR="006A3F7A">
        <w:rPr>
          <w:lang w:eastAsia="ja-JP"/>
        </w:rPr>
        <w:t>32</w:t>
      </w:r>
      <w:r w:rsidR="003A4285">
        <w:rPr>
          <w:lang w:eastAsia="ja-JP"/>
        </w:rPr>
        <w:t>.</w:t>
      </w:r>
    </w:p>
    <w:p w:rsidR="00260C5C" w:rsidRDefault="006A3F7A" w:rsidP="003A4285">
      <w:pPr>
        <w:pStyle w:val="TableTitle"/>
        <w:rPr>
          <w:lang w:eastAsia="ja-JP"/>
        </w:rPr>
      </w:pPr>
      <w:r>
        <w:rPr>
          <w:lang w:eastAsia="ja-JP"/>
        </w:rPr>
        <w:t>Table 31:</w:t>
      </w:r>
      <w:r w:rsidR="00260C5C">
        <w:rPr>
          <w:lang w:eastAsia="ja-JP"/>
        </w:rPr>
        <w:t xml:space="preserve"> </w:t>
      </w:r>
      <w:r w:rsidR="00260C5C" w:rsidRPr="00260C5C">
        <w:rPr>
          <w:lang w:eastAsia="ja-JP"/>
        </w:rPr>
        <w:t>Deaths (Safety set – STI571I2301)</w:t>
      </w:r>
    </w:p>
    <w:p w:rsidR="00260C5C" w:rsidRDefault="00260C5C" w:rsidP="003A4285">
      <w:pPr>
        <w:rPr>
          <w:lang w:eastAsia="ja-JP"/>
        </w:rPr>
      </w:pPr>
      <w:r>
        <w:rPr>
          <w:noProof/>
          <w:lang w:eastAsia="en-AU"/>
        </w:rPr>
        <w:drawing>
          <wp:inline distT="0" distB="0" distL="0" distR="0" wp14:anchorId="55EE89A2" wp14:editId="3B22FC52">
            <wp:extent cx="5530850" cy="1157619"/>
            <wp:effectExtent l="19050" t="0" r="0" b="0"/>
            <wp:docPr id="53" name="Picture 53" descr="Table 31: Deaths (Safety set – STI571I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cstate="print"/>
                    <a:srcRect/>
                    <a:stretch>
                      <a:fillRect/>
                    </a:stretch>
                  </pic:blipFill>
                  <pic:spPr bwMode="auto">
                    <a:xfrm>
                      <a:off x="0" y="0"/>
                      <a:ext cx="5557805" cy="1163261"/>
                    </a:xfrm>
                    <a:prstGeom prst="rect">
                      <a:avLst/>
                    </a:prstGeom>
                    <a:noFill/>
                    <a:ln w="9525">
                      <a:noFill/>
                      <a:miter lim="800000"/>
                      <a:headEnd/>
                      <a:tailEnd/>
                    </a:ln>
                  </pic:spPr>
                </pic:pic>
              </a:graphicData>
            </a:graphic>
          </wp:inline>
        </w:drawing>
      </w:r>
    </w:p>
    <w:p w:rsidR="00260C5C" w:rsidRDefault="006A3F7A" w:rsidP="003A4285">
      <w:pPr>
        <w:pStyle w:val="TableTitle"/>
        <w:rPr>
          <w:lang w:eastAsia="ja-JP"/>
        </w:rPr>
      </w:pPr>
      <w:r>
        <w:rPr>
          <w:lang w:eastAsia="ja-JP"/>
        </w:rPr>
        <w:t>Table 32:</w:t>
      </w:r>
      <w:r w:rsidR="00260C5C">
        <w:rPr>
          <w:lang w:eastAsia="ja-JP"/>
        </w:rPr>
        <w:t xml:space="preserve"> Primary cause of death (Safety set - </w:t>
      </w:r>
      <w:r w:rsidR="00260C5C" w:rsidRPr="00260C5C">
        <w:rPr>
          <w:bCs/>
          <w:lang w:eastAsia="ja-JP"/>
        </w:rPr>
        <w:t>STI571I2301)</w:t>
      </w:r>
    </w:p>
    <w:p w:rsidR="00260C5C" w:rsidRDefault="00260C5C" w:rsidP="003A4285">
      <w:pPr>
        <w:rPr>
          <w:lang w:eastAsia="ja-JP"/>
        </w:rPr>
      </w:pPr>
      <w:r>
        <w:rPr>
          <w:noProof/>
          <w:lang w:eastAsia="en-AU"/>
        </w:rPr>
        <w:drawing>
          <wp:inline distT="0" distB="0" distL="0" distR="0" wp14:anchorId="4836A1EB" wp14:editId="72EE7CD3">
            <wp:extent cx="5530850" cy="2533365"/>
            <wp:effectExtent l="19050" t="0" r="0" b="0"/>
            <wp:docPr id="54" name="Picture 54" descr="Table 32: Primary cause of death (Safety set - STI571I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cstate="print"/>
                    <a:srcRect t="2620" r="471"/>
                    <a:stretch>
                      <a:fillRect/>
                    </a:stretch>
                  </pic:blipFill>
                  <pic:spPr bwMode="auto">
                    <a:xfrm>
                      <a:off x="0" y="0"/>
                      <a:ext cx="5526719" cy="2531473"/>
                    </a:xfrm>
                    <a:prstGeom prst="rect">
                      <a:avLst/>
                    </a:prstGeom>
                    <a:noFill/>
                    <a:ln w="9525">
                      <a:noFill/>
                      <a:miter lim="800000"/>
                      <a:headEnd/>
                      <a:tailEnd/>
                    </a:ln>
                  </pic:spPr>
                </pic:pic>
              </a:graphicData>
            </a:graphic>
          </wp:inline>
        </w:drawing>
      </w:r>
    </w:p>
    <w:p w:rsidR="00CC02EE" w:rsidRPr="00CC02EE" w:rsidRDefault="00CC02EE" w:rsidP="003A4285">
      <w:pPr>
        <w:rPr>
          <w:lang w:eastAsia="ja-JP"/>
        </w:rPr>
      </w:pPr>
      <w:r w:rsidRPr="00CC02EE">
        <w:rPr>
          <w:lang w:eastAsia="ja-JP"/>
        </w:rPr>
        <w:t xml:space="preserve">It is noted that four occurred on therapy or within 30 days of the last treatment.  </w:t>
      </w:r>
      <w:r w:rsidR="00260C5C">
        <w:rPr>
          <w:lang w:eastAsia="ja-JP"/>
        </w:rPr>
        <w:t>Of t</w:t>
      </w:r>
      <w:r w:rsidRPr="00CC02EE">
        <w:rPr>
          <w:lang w:eastAsia="ja-JP"/>
        </w:rPr>
        <w:t>hese</w:t>
      </w:r>
      <w:r w:rsidR="00260C5C">
        <w:rPr>
          <w:lang w:eastAsia="ja-JP"/>
        </w:rPr>
        <w:t>,</w:t>
      </w:r>
      <w:r w:rsidRPr="00CC02EE">
        <w:rPr>
          <w:lang w:eastAsia="ja-JP"/>
        </w:rPr>
        <w:t xml:space="preserve"> two were in patients who were receiving chemotherapy and Imatinib and both were related to infection.  A further death was related to infection together with respiratory haemorrhage and failure.  The final death was also associat</w:t>
      </w:r>
      <w:r w:rsidR="003A4285">
        <w:rPr>
          <w:lang w:eastAsia="ja-JP"/>
        </w:rPr>
        <w:t xml:space="preserve">ed with </w:t>
      </w:r>
      <w:proofErr w:type="spellStart"/>
      <w:r w:rsidR="003A4285">
        <w:rPr>
          <w:lang w:eastAsia="ja-JP"/>
        </w:rPr>
        <w:t>neutropenic</w:t>
      </w:r>
      <w:proofErr w:type="spellEnd"/>
      <w:r w:rsidR="003A4285">
        <w:rPr>
          <w:lang w:eastAsia="ja-JP"/>
        </w:rPr>
        <w:t xml:space="preserve"> infection.</w:t>
      </w:r>
    </w:p>
    <w:p w:rsidR="00CC02EE" w:rsidRPr="00CC02EE" w:rsidRDefault="00CC02EE" w:rsidP="003A4285">
      <w:pPr>
        <w:rPr>
          <w:lang w:eastAsia="ja-JP"/>
        </w:rPr>
      </w:pPr>
      <w:r w:rsidRPr="00CC02EE">
        <w:rPr>
          <w:lang w:eastAsia="ja-JP"/>
        </w:rPr>
        <w:t>It is noted the most common cause of death was progression of malignancy and in particular this was three times more common in the Philadelphia negative patients.  It is also noted that patients in cohort 5 with the longest duration of Imatinib exposure experienced a lower incidence of deaths than patients in the other 4 cohorts including those deaths related to progressive disease, infection, haemorrhage and</w:t>
      </w:r>
      <w:r w:rsidR="003A4285">
        <w:rPr>
          <w:lang w:eastAsia="ja-JP"/>
        </w:rPr>
        <w:t xml:space="preserve"> unknown.</w:t>
      </w:r>
    </w:p>
    <w:p w:rsidR="00CC02EE" w:rsidRPr="00CC02EE" w:rsidRDefault="00CC02EE" w:rsidP="003A4285">
      <w:pPr>
        <w:rPr>
          <w:lang w:eastAsia="ja-JP"/>
        </w:rPr>
      </w:pPr>
      <w:r w:rsidRPr="00CC02EE">
        <w:rPr>
          <w:lang w:eastAsia="ja-JP"/>
        </w:rPr>
        <w:t xml:space="preserve">In relation to study AIT07 as indicated in Table </w:t>
      </w:r>
      <w:r w:rsidR="006A3F7A">
        <w:rPr>
          <w:lang w:eastAsia="ja-JP"/>
        </w:rPr>
        <w:t xml:space="preserve">33 </w:t>
      </w:r>
      <w:r w:rsidRPr="00CC02EE">
        <w:rPr>
          <w:lang w:eastAsia="ja-JP"/>
        </w:rPr>
        <w:t xml:space="preserve">a total of 41 deaths occurred during the study with a higher frequency in the poor risk patients </w:t>
      </w:r>
      <w:r w:rsidR="00CB4296">
        <w:rPr>
          <w:lang w:eastAsia="ja-JP"/>
        </w:rPr>
        <w:t>(</w:t>
      </w:r>
      <w:r w:rsidRPr="00CC02EE">
        <w:rPr>
          <w:lang w:eastAsia="ja-JP"/>
        </w:rPr>
        <w:t>34.3%</w:t>
      </w:r>
      <w:r w:rsidR="00CB4296">
        <w:rPr>
          <w:lang w:eastAsia="ja-JP"/>
        </w:rPr>
        <w:t>)</w:t>
      </w:r>
      <w:r w:rsidRPr="00CC02EE">
        <w:rPr>
          <w:lang w:eastAsia="ja-JP"/>
        </w:rPr>
        <w:t xml:space="preserve"> compared to the good risk with no Imatinib </w:t>
      </w:r>
      <w:r w:rsidR="00CB4296">
        <w:rPr>
          <w:lang w:eastAsia="ja-JP"/>
        </w:rPr>
        <w:t>(</w:t>
      </w:r>
      <w:r w:rsidRPr="00CC02EE">
        <w:rPr>
          <w:lang w:eastAsia="ja-JP"/>
        </w:rPr>
        <w:t>25.8%</w:t>
      </w:r>
      <w:r w:rsidR="00CB4296">
        <w:rPr>
          <w:lang w:eastAsia="ja-JP"/>
        </w:rPr>
        <w:t>)</w:t>
      </w:r>
      <w:r w:rsidRPr="00CC02EE">
        <w:rPr>
          <w:lang w:eastAsia="ja-JP"/>
        </w:rPr>
        <w:t xml:space="preserve"> </w:t>
      </w:r>
      <w:r w:rsidR="00CB4296">
        <w:rPr>
          <w:lang w:eastAsia="ja-JP"/>
        </w:rPr>
        <w:t xml:space="preserve">or </w:t>
      </w:r>
      <w:r w:rsidRPr="00CC02EE">
        <w:rPr>
          <w:lang w:eastAsia="ja-JP"/>
        </w:rPr>
        <w:t xml:space="preserve">in good risk with Imatinib </w:t>
      </w:r>
      <w:r w:rsidR="00CB4296">
        <w:rPr>
          <w:lang w:eastAsia="ja-JP"/>
        </w:rPr>
        <w:t>(</w:t>
      </w:r>
      <w:r w:rsidRPr="00CC02EE">
        <w:rPr>
          <w:lang w:eastAsia="ja-JP"/>
        </w:rPr>
        <w:t>15.5%</w:t>
      </w:r>
      <w:r w:rsidR="00CB4296">
        <w:rPr>
          <w:lang w:eastAsia="ja-JP"/>
        </w:rPr>
        <w:t>)</w:t>
      </w:r>
      <w:r w:rsidRPr="00CC02EE">
        <w:rPr>
          <w:lang w:eastAsia="ja-JP"/>
        </w:rPr>
        <w:t xml:space="preserve">.  The reasons for the deaths were generally similar across treatment groups.  Again the most common </w:t>
      </w:r>
      <w:r w:rsidR="009B7129">
        <w:rPr>
          <w:lang w:eastAsia="ja-JP"/>
        </w:rPr>
        <w:t xml:space="preserve">was </w:t>
      </w:r>
      <w:r w:rsidR="003A4285">
        <w:rPr>
          <w:lang w:eastAsia="ja-JP"/>
        </w:rPr>
        <w:t>progressive malignant disease.</w:t>
      </w:r>
    </w:p>
    <w:p w:rsidR="00CB4296" w:rsidRDefault="00CB4296" w:rsidP="003A4285">
      <w:pPr>
        <w:pStyle w:val="TableTitle"/>
        <w:rPr>
          <w:lang w:eastAsia="ja-JP"/>
        </w:rPr>
      </w:pPr>
      <w:r>
        <w:rPr>
          <w:lang w:eastAsia="ja-JP"/>
        </w:rPr>
        <w:lastRenderedPageBreak/>
        <w:t xml:space="preserve">Table </w:t>
      </w:r>
      <w:r w:rsidR="006A3F7A">
        <w:rPr>
          <w:lang w:eastAsia="ja-JP"/>
        </w:rPr>
        <w:t>33:</w:t>
      </w:r>
      <w:r>
        <w:rPr>
          <w:lang w:eastAsia="ja-JP"/>
        </w:rPr>
        <w:t xml:space="preserve"> Deaths and cause of death by Risk and treatment group (Safety Set – STI571AIT07)</w:t>
      </w:r>
    </w:p>
    <w:p w:rsidR="00CB4296" w:rsidRPr="00CC02EE" w:rsidRDefault="00CB4296" w:rsidP="003A4285">
      <w:pPr>
        <w:rPr>
          <w:lang w:eastAsia="ja-JP"/>
        </w:rPr>
      </w:pPr>
      <w:r>
        <w:rPr>
          <w:noProof/>
          <w:lang w:eastAsia="en-AU"/>
        </w:rPr>
        <w:drawing>
          <wp:inline distT="0" distB="0" distL="0" distR="0" wp14:anchorId="42379D4B" wp14:editId="6A9A1CA3">
            <wp:extent cx="4862537" cy="3245081"/>
            <wp:effectExtent l="19050" t="0" r="0" b="0"/>
            <wp:docPr id="57" name="Picture 57" descr="Table 33: Deaths and cause of death by Risk and treatment group (Safety Set – STI571AIT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8" cstate="print"/>
                    <a:srcRect/>
                    <a:stretch>
                      <a:fillRect/>
                    </a:stretch>
                  </pic:blipFill>
                  <pic:spPr bwMode="auto">
                    <a:xfrm>
                      <a:off x="0" y="0"/>
                      <a:ext cx="4860052" cy="3243422"/>
                    </a:xfrm>
                    <a:prstGeom prst="rect">
                      <a:avLst/>
                    </a:prstGeom>
                    <a:noFill/>
                    <a:ln w="9525">
                      <a:noFill/>
                      <a:miter lim="800000"/>
                      <a:headEnd/>
                      <a:tailEnd/>
                    </a:ln>
                  </pic:spPr>
                </pic:pic>
              </a:graphicData>
            </a:graphic>
          </wp:inline>
        </w:drawing>
      </w:r>
    </w:p>
    <w:p w:rsidR="00CB4296" w:rsidRDefault="00CB4296" w:rsidP="003A4285">
      <w:pPr>
        <w:pStyle w:val="Heading4"/>
      </w:pPr>
      <w:r>
        <w:t>Serious adverse events</w:t>
      </w:r>
    </w:p>
    <w:p w:rsidR="00CC02EE" w:rsidRPr="00CC02EE" w:rsidRDefault="00CC02EE" w:rsidP="003A4285">
      <w:pPr>
        <w:rPr>
          <w:lang w:eastAsia="ja-JP"/>
        </w:rPr>
      </w:pPr>
      <w:r w:rsidRPr="00CC02EE">
        <w:rPr>
          <w:lang w:eastAsia="ja-JP"/>
        </w:rPr>
        <w:t xml:space="preserve">In relation to serious adverse events the frequency of these by system organ class for the pivotal study 2301 was higher for cohort 5 patients excluding HSCT at 50% and for all cohort patients who received per protocol HSCT at 33.3% and indicated in Table </w:t>
      </w:r>
      <w:r w:rsidR="006A3F7A">
        <w:rPr>
          <w:lang w:eastAsia="ja-JP"/>
        </w:rPr>
        <w:t xml:space="preserve">34 </w:t>
      </w:r>
      <w:r w:rsidR="00E93B17">
        <w:rPr>
          <w:lang w:eastAsia="ja-JP"/>
        </w:rPr>
        <w:t>(</w:t>
      </w:r>
      <w:proofErr w:type="spellStart"/>
      <w:r w:rsidR="00E93B17">
        <w:rPr>
          <w:lang w:eastAsia="ja-JP"/>
        </w:rPr>
        <w:t>AdEERS</w:t>
      </w:r>
      <w:proofErr w:type="spellEnd"/>
      <w:r w:rsidR="00E93B17">
        <w:rPr>
          <w:lang w:eastAsia="ja-JP"/>
        </w:rPr>
        <w:t xml:space="preserve">: </w:t>
      </w:r>
      <w:r w:rsidR="00E93B17" w:rsidRPr="00E93B17">
        <w:rPr>
          <w:lang w:eastAsia="ja-JP"/>
        </w:rPr>
        <w:t>Adverse Event Expedited Reporting System</w:t>
      </w:r>
      <w:r w:rsidR="00E93B17">
        <w:rPr>
          <w:lang w:eastAsia="ja-JP"/>
        </w:rPr>
        <w:t>)</w:t>
      </w:r>
      <w:r w:rsidR="003A4285">
        <w:rPr>
          <w:lang w:eastAsia="ja-JP"/>
        </w:rPr>
        <w:t>.</w:t>
      </w:r>
    </w:p>
    <w:p w:rsidR="00CC02EE" w:rsidRDefault="006A3F7A" w:rsidP="003A4285">
      <w:pPr>
        <w:pStyle w:val="TableTitle"/>
        <w:rPr>
          <w:lang w:eastAsia="ja-JP"/>
        </w:rPr>
      </w:pPr>
      <w:r>
        <w:rPr>
          <w:lang w:eastAsia="ja-JP"/>
        </w:rPr>
        <w:t>Table 34:</w:t>
      </w:r>
      <w:r w:rsidR="009B7129">
        <w:rPr>
          <w:lang w:eastAsia="ja-JP"/>
        </w:rPr>
        <w:t xml:space="preserve"> </w:t>
      </w:r>
      <w:proofErr w:type="spellStart"/>
      <w:r w:rsidR="009B7129" w:rsidRPr="009B7129">
        <w:rPr>
          <w:lang w:eastAsia="ja-JP"/>
        </w:rPr>
        <w:t>AdEERS</w:t>
      </w:r>
      <w:proofErr w:type="spellEnd"/>
      <w:r w:rsidR="009B7129" w:rsidRPr="009B7129">
        <w:rPr>
          <w:lang w:eastAsia="ja-JP"/>
        </w:rPr>
        <w:t xml:space="preserve"> by system organ class in cohort 5 excluding HSCT vs. all</w:t>
      </w:r>
      <w:r w:rsidR="009B7129">
        <w:rPr>
          <w:lang w:eastAsia="ja-JP"/>
        </w:rPr>
        <w:t xml:space="preserve"> </w:t>
      </w:r>
      <w:r w:rsidR="009B7129" w:rsidRPr="009B7129">
        <w:rPr>
          <w:lang w:eastAsia="ja-JP"/>
        </w:rPr>
        <w:t>cohorts per protocol HSCT (Safety Set – STI571I2301)</w:t>
      </w:r>
    </w:p>
    <w:p w:rsidR="0007347C" w:rsidRDefault="0007347C" w:rsidP="003A4285">
      <w:pPr>
        <w:rPr>
          <w:lang w:eastAsia="ja-JP"/>
        </w:rPr>
      </w:pPr>
      <w:r>
        <w:rPr>
          <w:noProof/>
          <w:lang w:eastAsia="en-AU"/>
        </w:rPr>
        <w:drawing>
          <wp:inline distT="0" distB="0" distL="0" distR="0" wp14:anchorId="3549839D" wp14:editId="604AF52D">
            <wp:extent cx="5197721" cy="3606800"/>
            <wp:effectExtent l="19050" t="0" r="2929" b="0"/>
            <wp:docPr id="60" name="Picture 60" descr="Table 34: AdEERS by system organ class in cohort 5 excluding HSCT vs. all cohorts per protocol HSCT (Safety Set – STI571I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9" cstate="print"/>
                    <a:srcRect/>
                    <a:stretch>
                      <a:fillRect/>
                    </a:stretch>
                  </pic:blipFill>
                  <pic:spPr bwMode="auto">
                    <a:xfrm>
                      <a:off x="0" y="0"/>
                      <a:ext cx="5200476" cy="3608712"/>
                    </a:xfrm>
                    <a:prstGeom prst="rect">
                      <a:avLst/>
                    </a:prstGeom>
                    <a:noFill/>
                    <a:ln w="9525">
                      <a:noFill/>
                      <a:miter lim="800000"/>
                      <a:headEnd/>
                      <a:tailEnd/>
                    </a:ln>
                  </pic:spPr>
                </pic:pic>
              </a:graphicData>
            </a:graphic>
          </wp:inline>
        </w:drawing>
      </w:r>
    </w:p>
    <w:p w:rsidR="00CC02EE" w:rsidRPr="00CC02EE" w:rsidRDefault="00CC02EE" w:rsidP="003A4285">
      <w:pPr>
        <w:rPr>
          <w:lang w:eastAsia="ja-JP"/>
        </w:rPr>
      </w:pPr>
      <w:r w:rsidRPr="00CC02EE">
        <w:rPr>
          <w:lang w:eastAsia="ja-JP"/>
        </w:rPr>
        <w:lastRenderedPageBreak/>
        <w:t>In relation to serious adverse events for study AIT07 the proportion of patients who experienced serious adverse events were similar for patients who received Imatinib at 31.3% versus 32.3% for patients not treated with Imatinib. The proportion of patients experiencing s</w:t>
      </w:r>
      <w:r w:rsidR="00E93B17">
        <w:rPr>
          <w:lang w:eastAsia="ja-JP"/>
        </w:rPr>
        <w:t>erious adverse events was lower</w:t>
      </w:r>
      <w:r w:rsidRPr="00CC02EE">
        <w:rPr>
          <w:lang w:eastAsia="ja-JP"/>
        </w:rPr>
        <w:t xml:space="preserve"> in the good risk Imatinib group at 27.6% </w:t>
      </w:r>
      <w:r w:rsidR="00E93B17">
        <w:rPr>
          <w:lang w:eastAsia="ja-JP"/>
        </w:rPr>
        <w:t xml:space="preserve">than </w:t>
      </w:r>
      <w:r w:rsidRPr="00CC02EE">
        <w:rPr>
          <w:lang w:eastAsia="ja-JP"/>
        </w:rPr>
        <w:t xml:space="preserve">in the good risk no Imatinib group at 32.3%.  This latter figure was similar to that for the poor risk group at 34.3% all who had received Imatinib.  This is illustrated in Table </w:t>
      </w:r>
      <w:r w:rsidR="006A3F7A">
        <w:rPr>
          <w:lang w:eastAsia="ja-JP"/>
        </w:rPr>
        <w:t>35</w:t>
      </w:r>
      <w:r w:rsidRPr="00CC02EE">
        <w:rPr>
          <w:lang w:eastAsia="ja-JP"/>
        </w:rPr>
        <w:t>.  Infections were the most commonly reported serious adver</w:t>
      </w:r>
      <w:r w:rsidR="003A4285">
        <w:rPr>
          <w:lang w:eastAsia="ja-JP"/>
        </w:rPr>
        <w:t>se events in both risk groups.</w:t>
      </w:r>
    </w:p>
    <w:p w:rsidR="0007347C" w:rsidRPr="0007347C" w:rsidRDefault="0007347C" w:rsidP="003A4285">
      <w:pPr>
        <w:pStyle w:val="TableTitle"/>
        <w:rPr>
          <w:lang w:eastAsia="ja-JP"/>
        </w:rPr>
      </w:pPr>
      <w:r w:rsidRPr="0007347C">
        <w:rPr>
          <w:lang w:eastAsia="ja-JP"/>
        </w:rPr>
        <w:t xml:space="preserve">Table </w:t>
      </w:r>
      <w:r w:rsidR="006A3F7A">
        <w:rPr>
          <w:lang w:eastAsia="ja-JP"/>
        </w:rPr>
        <w:t>35:</w:t>
      </w:r>
      <w:r w:rsidR="009B7129">
        <w:rPr>
          <w:lang w:eastAsia="ja-JP"/>
        </w:rPr>
        <w:t xml:space="preserve"> </w:t>
      </w:r>
      <w:r w:rsidR="009B7129" w:rsidRPr="009B7129">
        <w:rPr>
          <w:lang w:eastAsia="ja-JP"/>
        </w:rPr>
        <w:t>Serious adverse events regardless of study drug relationship by</w:t>
      </w:r>
      <w:r w:rsidR="009B7129">
        <w:rPr>
          <w:lang w:eastAsia="ja-JP"/>
        </w:rPr>
        <w:t xml:space="preserve"> </w:t>
      </w:r>
      <w:r w:rsidR="009B7129" w:rsidRPr="009B7129">
        <w:rPr>
          <w:lang w:eastAsia="ja-JP"/>
        </w:rPr>
        <w:t>system organ class and preferred term (Safety set –STI571AIT07)</w:t>
      </w:r>
    </w:p>
    <w:p w:rsidR="0007347C" w:rsidRPr="0007347C" w:rsidRDefault="0007347C" w:rsidP="003A4285">
      <w:pPr>
        <w:rPr>
          <w:lang w:eastAsia="ja-JP"/>
        </w:rPr>
      </w:pPr>
      <w:r w:rsidRPr="0007347C">
        <w:rPr>
          <w:noProof/>
          <w:lang w:eastAsia="en-AU"/>
        </w:rPr>
        <w:drawing>
          <wp:inline distT="0" distB="0" distL="0" distR="0" wp14:anchorId="36ACA2B4" wp14:editId="17EAA7B0">
            <wp:extent cx="5248871" cy="5391150"/>
            <wp:effectExtent l="19050" t="0" r="8929" b="0"/>
            <wp:docPr id="46" name="Picture 63" descr="Table 35: Serious adverse events regardless of study drug relationship by system organ class and preferred term (Safety set –STI571AIT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0" cstate="print"/>
                    <a:srcRect/>
                    <a:stretch>
                      <a:fillRect/>
                    </a:stretch>
                  </pic:blipFill>
                  <pic:spPr bwMode="auto">
                    <a:xfrm>
                      <a:off x="0" y="0"/>
                      <a:ext cx="5249247" cy="5391536"/>
                    </a:xfrm>
                    <a:prstGeom prst="rect">
                      <a:avLst/>
                    </a:prstGeom>
                    <a:noFill/>
                    <a:ln w="9525">
                      <a:noFill/>
                      <a:miter lim="800000"/>
                      <a:headEnd/>
                      <a:tailEnd/>
                    </a:ln>
                  </pic:spPr>
                </pic:pic>
              </a:graphicData>
            </a:graphic>
          </wp:inline>
        </w:drawing>
      </w:r>
    </w:p>
    <w:p w:rsidR="00CC02EE" w:rsidRPr="00CC02EE" w:rsidRDefault="0007347C" w:rsidP="003A4285">
      <w:pPr>
        <w:pStyle w:val="Heading4"/>
      </w:pPr>
      <w:r>
        <w:t>Discontinuations due to adverse events</w:t>
      </w:r>
    </w:p>
    <w:p w:rsidR="00CC02EE" w:rsidRPr="00CC02EE" w:rsidRDefault="00CC02EE" w:rsidP="00CC02EE">
      <w:pPr>
        <w:rPr>
          <w:lang w:eastAsia="ja-JP"/>
        </w:rPr>
      </w:pPr>
      <w:r w:rsidRPr="00CC02EE">
        <w:rPr>
          <w:lang w:eastAsia="ja-JP"/>
        </w:rPr>
        <w:t xml:space="preserve">In relation to discontinuations due to adverse events for study 2301 the percentage of discontinuations was low when Imatinib was added to the chemotherapy regimen.  </w:t>
      </w:r>
      <w:r w:rsidR="00E93B17">
        <w:rPr>
          <w:lang w:eastAsia="ja-JP"/>
        </w:rPr>
        <w:t>Four patients (4.3%) in the Ph+ group (two patients in cohorts 3 + 4 and 2 patients in cohort 5) and one patient in the Ph- group were discontinued prematurely from the study due to toxicity</w:t>
      </w:r>
      <w:r w:rsidR="003A4285">
        <w:rPr>
          <w:lang w:eastAsia="ja-JP"/>
        </w:rPr>
        <w:t>.</w:t>
      </w:r>
    </w:p>
    <w:p w:rsidR="00CC02EE" w:rsidRPr="00CC02EE" w:rsidRDefault="00CC02EE" w:rsidP="003A4285">
      <w:pPr>
        <w:rPr>
          <w:lang w:eastAsia="ja-JP"/>
        </w:rPr>
      </w:pPr>
      <w:r w:rsidRPr="00CC02EE">
        <w:rPr>
          <w:lang w:eastAsia="ja-JP"/>
        </w:rPr>
        <w:t xml:space="preserve">In relation to study AIT07 only one patient discontinued due to toxicity which is considered to be related to one of the chemotherapy agents i.e. </w:t>
      </w:r>
      <w:proofErr w:type="spellStart"/>
      <w:r w:rsidRPr="00CC02EE">
        <w:rPr>
          <w:lang w:eastAsia="ja-JP"/>
        </w:rPr>
        <w:t>Asparaginase</w:t>
      </w:r>
      <w:proofErr w:type="spellEnd"/>
      <w:r w:rsidRPr="00CC02EE">
        <w:rPr>
          <w:lang w:eastAsia="ja-JP"/>
        </w:rPr>
        <w:t xml:space="preserve"> and not</w:t>
      </w:r>
      <w:r w:rsidR="003A4285">
        <w:rPr>
          <w:lang w:eastAsia="ja-JP"/>
        </w:rPr>
        <w:t xml:space="preserve"> causally related to </w:t>
      </w:r>
      <w:proofErr w:type="spellStart"/>
      <w:r w:rsidR="003A4285">
        <w:rPr>
          <w:lang w:eastAsia="ja-JP"/>
        </w:rPr>
        <w:t>Imatinib</w:t>
      </w:r>
      <w:proofErr w:type="spellEnd"/>
      <w:r w:rsidR="003A4285">
        <w:rPr>
          <w:lang w:eastAsia="ja-JP"/>
        </w:rPr>
        <w:t>.</w:t>
      </w:r>
    </w:p>
    <w:p w:rsidR="00CC02EE" w:rsidRPr="00CC02EE" w:rsidRDefault="00E93B17" w:rsidP="003A4285">
      <w:pPr>
        <w:pStyle w:val="Heading3"/>
      </w:pPr>
      <w:bookmarkStart w:id="49" w:name="_Toc382578299"/>
      <w:r>
        <w:lastRenderedPageBreak/>
        <w:t>Clinical l</w:t>
      </w:r>
      <w:r w:rsidR="00A92693">
        <w:t xml:space="preserve">aboratory </w:t>
      </w:r>
      <w:r>
        <w:t>evaluations</w:t>
      </w:r>
      <w:bookmarkEnd w:id="49"/>
    </w:p>
    <w:p w:rsidR="00CC02EE" w:rsidRPr="00CC02EE" w:rsidRDefault="00CC02EE" w:rsidP="003A4285">
      <w:pPr>
        <w:rPr>
          <w:lang w:eastAsia="ja-JP"/>
        </w:rPr>
      </w:pPr>
      <w:r w:rsidRPr="00CC02EE">
        <w:rPr>
          <w:lang w:eastAsia="ja-JP"/>
        </w:rPr>
        <w:t>In relation to clinical laboratory evaluations for the two studies only limited documentation of abnormalities was</w:t>
      </w:r>
      <w:r w:rsidR="003A4285">
        <w:rPr>
          <w:lang w:eastAsia="ja-JP"/>
        </w:rPr>
        <w:t xml:space="preserve"> provided for the two studies.</w:t>
      </w:r>
    </w:p>
    <w:p w:rsidR="00CC02EE" w:rsidRPr="00CC02EE" w:rsidRDefault="00CC02EE" w:rsidP="003A4285">
      <w:pPr>
        <w:rPr>
          <w:lang w:eastAsia="ja-JP"/>
        </w:rPr>
      </w:pPr>
      <w:r w:rsidRPr="00CC02EE">
        <w:rPr>
          <w:lang w:eastAsia="ja-JP"/>
        </w:rPr>
        <w:t xml:space="preserve">In relation to study 2301 assessment of the neutrophil counts revealed that most Ph positive ALL patients had a drop in absolute neutrophil count to less than 750 per </w:t>
      </w:r>
      <w:proofErr w:type="spellStart"/>
      <w:r w:rsidRPr="00CC02EE">
        <w:rPr>
          <w:lang w:eastAsia="ja-JP"/>
        </w:rPr>
        <w:t>microlitre</w:t>
      </w:r>
      <w:proofErr w:type="spellEnd"/>
      <w:r w:rsidRPr="00CC02EE">
        <w:rPr>
          <w:lang w:eastAsia="ja-JP"/>
        </w:rPr>
        <w:t xml:space="preserve"> at some time regardless of Imatinib administration.  For </w:t>
      </w:r>
      <w:r w:rsidR="00FE7EE7">
        <w:rPr>
          <w:lang w:eastAsia="ja-JP"/>
        </w:rPr>
        <w:t>C</w:t>
      </w:r>
      <w:r w:rsidRPr="00CC02EE">
        <w:rPr>
          <w:lang w:eastAsia="ja-JP"/>
        </w:rPr>
        <w:t xml:space="preserve">onsolidation </w:t>
      </w:r>
      <w:r w:rsidR="00FE7EE7">
        <w:rPr>
          <w:lang w:eastAsia="ja-JP"/>
        </w:rPr>
        <w:t xml:space="preserve">1 </w:t>
      </w:r>
      <w:r w:rsidRPr="00CC02EE">
        <w:rPr>
          <w:lang w:eastAsia="ja-JP"/>
        </w:rPr>
        <w:t>this was 85.7% (cohort 1), 58.3% (cohort 2), 54.5% (cohort 3), 72.7% (cohort 4) and 82% for cohort 5.  Recovery time from neutropenia was similar across cohorts ranging from 3 to 35 days.  These recoveries tended to be longer with more prolonged chemotherapy.  There was no apparent difference in the incidence of neutropenia or time to recovery related to the incorporation of Imatin</w:t>
      </w:r>
      <w:r w:rsidR="003A4285">
        <w:rPr>
          <w:lang w:eastAsia="ja-JP"/>
        </w:rPr>
        <w:t>ib into each treatment course.</w:t>
      </w:r>
    </w:p>
    <w:p w:rsidR="00CC02EE" w:rsidRPr="00CC02EE" w:rsidRDefault="00CC02EE" w:rsidP="003A4285">
      <w:pPr>
        <w:rPr>
          <w:lang w:eastAsia="ja-JP"/>
        </w:rPr>
      </w:pPr>
      <w:r w:rsidRPr="00CC02EE">
        <w:rPr>
          <w:lang w:eastAsia="ja-JP"/>
        </w:rPr>
        <w:t xml:space="preserve">In respect of thrombocytopenia patients with platelets less than 75,000 per </w:t>
      </w:r>
      <w:proofErr w:type="spellStart"/>
      <w:r w:rsidRPr="00CC02EE">
        <w:rPr>
          <w:lang w:eastAsia="ja-JP"/>
        </w:rPr>
        <w:t>microlitre</w:t>
      </w:r>
      <w:proofErr w:type="spellEnd"/>
      <w:r w:rsidRPr="00CC02EE">
        <w:rPr>
          <w:lang w:eastAsia="ja-JP"/>
        </w:rPr>
        <w:t xml:space="preserve"> at any time varied in all cohorts via tr</w:t>
      </w:r>
      <w:r w:rsidR="00B916EC">
        <w:rPr>
          <w:lang w:eastAsia="ja-JP"/>
        </w:rPr>
        <w:t>eatment block being highest in C</w:t>
      </w:r>
      <w:r w:rsidRPr="00CC02EE">
        <w:rPr>
          <w:lang w:eastAsia="ja-JP"/>
        </w:rPr>
        <w:t xml:space="preserve">onsolidation 2 and </w:t>
      </w:r>
      <w:r w:rsidR="00B916EC">
        <w:rPr>
          <w:lang w:eastAsia="ja-JP"/>
        </w:rPr>
        <w:t>I</w:t>
      </w:r>
      <w:r w:rsidRPr="00CC02EE">
        <w:rPr>
          <w:lang w:eastAsia="ja-JP"/>
        </w:rPr>
        <w:t xml:space="preserve">ntensifications 1 and 2 and lowest in </w:t>
      </w:r>
      <w:r w:rsidR="00B916EC">
        <w:rPr>
          <w:lang w:eastAsia="ja-JP"/>
        </w:rPr>
        <w:t xml:space="preserve">Maintenance 5 to 12. </w:t>
      </w:r>
      <w:r w:rsidRPr="00CC02EE">
        <w:rPr>
          <w:lang w:eastAsia="ja-JP"/>
        </w:rPr>
        <w:t>The overall median time to recovery range was 5.5 to 17 days and was similar in cohort 5.  In general there is no differ</w:t>
      </w:r>
      <w:r w:rsidR="003A4285">
        <w:rPr>
          <w:lang w:eastAsia="ja-JP"/>
        </w:rPr>
        <w:t>ence between treatment blocks.</w:t>
      </w:r>
    </w:p>
    <w:p w:rsidR="00CC02EE" w:rsidRPr="00CC02EE" w:rsidRDefault="00CC02EE" w:rsidP="003A4285">
      <w:pPr>
        <w:rPr>
          <w:lang w:eastAsia="ja-JP"/>
        </w:rPr>
      </w:pPr>
      <w:r w:rsidRPr="00CC02EE">
        <w:rPr>
          <w:lang w:eastAsia="ja-JP"/>
        </w:rPr>
        <w:t>Assessment of haematological values for study AIT07 showed decreased white blood count, haemoglobin and platelet count observed in over 90% of the patients in both groups with or without Imatinib.  There were no significant differences observed across the treatment groups.</w:t>
      </w:r>
    </w:p>
    <w:p w:rsidR="00CC02EE" w:rsidRPr="00CC02EE" w:rsidRDefault="00B916EC" w:rsidP="008B16AF">
      <w:pPr>
        <w:pStyle w:val="Heading3"/>
      </w:pPr>
      <w:bookmarkStart w:id="50" w:name="_Toc382578300"/>
      <w:r w:rsidRPr="00B916EC">
        <w:rPr>
          <w:rFonts w:eastAsiaTheme="minorHAnsi"/>
        </w:rPr>
        <w:t xml:space="preserve">Safety in special groups and </w:t>
      </w:r>
      <w:r w:rsidRPr="008B16AF">
        <w:rPr>
          <w:rFonts w:eastAsiaTheme="minorHAnsi"/>
        </w:rPr>
        <w:t>situations</w:t>
      </w:r>
      <w:bookmarkEnd w:id="50"/>
    </w:p>
    <w:p w:rsidR="00B916EC" w:rsidRDefault="00B916EC" w:rsidP="008B16AF">
      <w:pPr>
        <w:pStyle w:val="Heading4"/>
      </w:pPr>
      <w:r w:rsidRPr="00B916EC">
        <w:t>Subgroup evaluation of adverse events-Study STI571I2301</w:t>
      </w:r>
    </w:p>
    <w:p w:rsidR="00B916EC" w:rsidRDefault="00CC02EE" w:rsidP="00BF338D">
      <w:pPr>
        <w:rPr>
          <w:lang w:eastAsia="ja-JP"/>
        </w:rPr>
      </w:pPr>
      <w:r w:rsidRPr="00CC02EE">
        <w:rPr>
          <w:lang w:eastAsia="ja-JP"/>
        </w:rPr>
        <w:t xml:space="preserve">Review of adverse events for study 2301 in relation to age noted there were 15 patients aged less than 4 years including 3 who were 1 to 2 years old.  Analysis of adverse events for those who were less than 4 versus those that were aged higher than 4 years of age is summarised in Table </w:t>
      </w:r>
      <w:r w:rsidR="006A3F7A">
        <w:rPr>
          <w:lang w:eastAsia="ja-JP"/>
        </w:rPr>
        <w:t>36</w:t>
      </w:r>
      <w:r w:rsidR="008B16AF">
        <w:rPr>
          <w:lang w:eastAsia="ja-JP"/>
        </w:rPr>
        <w:t>.</w:t>
      </w:r>
    </w:p>
    <w:p w:rsidR="00B916EC" w:rsidRDefault="006A3F7A" w:rsidP="00BF338D">
      <w:pPr>
        <w:pStyle w:val="TableTitle"/>
        <w:rPr>
          <w:lang w:eastAsia="ja-JP"/>
        </w:rPr>
      </w:pPr>
      <w:r>
        <w:rPr>
          <w:lang w:eastAsia="ja-JP"/>
        </w:rPr>
        <w:t>Table 36:</w:t>
      </w:r>
      <w:r w:rsidR="00B916EC">
        <w:rPr>
          <w:lang w:eastAsia="ja-JP"/>
        </w:rPr>
        <w:t xml:space="preserve"> </w:t>
      </w:r>
      <w:r w:rsidR="00B916EC" w:rsidRPr="00B916EC">
        <w:rPr>
          <w:lang w:eastAsia="ja-JP"/>
        </w:rPr>
        <w:t xml:space="preserve">Deaths, </w:t>
      </w:r>
      <w:proofErr w:type="spellStart"/>
      <w:r w:rsidR="00B916EC" w:rsidRPr="00B916EC">
        <w:rPr>
          <w:lang w:eastAsia="ja-JP"/>
        </w:rPr>
        <w:t>AdEERs</w:t>
      </w:r>
      <w:proofErr w:type="spellEnd"/>
      <w:r w:rsidR="00B916EC" w:rsidRPr="00B916EC">
        <w:rPr>
          <w:lang w:eastAsia="ja-JP"/>
        </w:rPr>
        <w:t xml:space="preserve"> and other significant AEs by age group (Safety set –</w:t>
      </w:r>
      <w:r w:rsidR="00B916EC">
        <w:rPr>
          <w:lang w:eastAsia="ja-JP"/>
        </w:rPr>
        <w:t xml:space="preserve"> </w:t>
      </w:r>
      <w:r w:rsidR="00B916EC" w:rsidRPr="00B916EC">
        <w:rPr>
          <w:lang w:eastAsia="ja-JP"/>
        </w:rPr>
        <w:t>STI571I2301)</w:t>
      </w:r>
    </w:p>
    <w:p w:rsidR="00B916EC" w:rsidRDefault="00B916EC" w:rsidP="00BF338D">
      <w:pPr>
        <w:rPr>
          <w:lang w:eastAsia="ja-JP"/>
        </w:rPr>
      </w:pPr>
      <w:r>
        <w:rPr>
          <w:noProof/>
          <w:lang w:eastAsia="en-AU"/>
        </w:rPr>
        <w:drawing>
          <wp:inline distT="0" distB="0" distL="0" distR="0" wp14:anchorId="202FCBAE" wp14:editId="64A58349">
            <wp:extent cx="5186324" cy="2184400"/>
            <wp:effectExtent l="19050" t="0" r="0" b="0"/>
            <wp:docPr id="66" name="Picture 66" descr="Table 36: Deaths, AdEERs and other significant AEs by age group (Safety set – STI571I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1" cstate="print"/>
                    <a:srcRect/>
                    <a:stretch>
                      <a:fillRect/>
                    </a:stretch>
                  </pic:blipFill>
                  <pic:spPr bwMode="auto">
                    <a:xfrm>
                      <a:off x="0" y="0"/>
                      <a:ext cx="5188525" cy="2185327"/>
                    </a:xfrm>
                    <a:prstGeom prst="rect">
                      <a:avLst/>
                    </a:prstGeom>
                    <a:noFill/>
                    <a:ln w="9525">
                      <a:noFill/>
                      <a:miter lim="800000"/>
                      <a:headEnd/>
                      <a:tailEnd/>
                    </a:ln>
                  </pic:spPr>
                </pic:pic>
              </a:graphicData>
            </a:graphic>
          </wp:inline>
        </w:drawing>
      </w:r>
    </w:p>
    <w:p w:rsidR="00CC02EE" w:rsidRPr="00CC02EE" w:rsidRDefault="00CC02EE" w:rsidP="00BF338D">
      <w:pPr>
        <w:rPr>
          <w:lang w:eastAsia="ja-JP"/>
        </w:rPr>
      </w:pPr>
      <w:r w:rsidRPr="00CC02EE">
        <w:rPr>
          <w:lang w:eastAsia="ja-JP"/>
        </w:rPr>
        <w:t>In the group of patients less than 4 years in cohort 5 involving 11 patients there were no deaths during or within 30 days of discontinuing Imatinib therapy.  There were no discont</w:t>
      </w:r>
      <w:r w:rsidR="00B916EC">
        <w:rPr>
          <w:lang w:eastAsia="ja-JP"/>
        </w:rPr>
        <w:t>inuations due to toxicity where</w:t>
      </w:r>
      <w:r w:rsidRPr="00CC02EE">
        <w:rPr>
          <w:lang w:eastAsia="ja-JP"/>
        </w:rPr>
        <w:t xml:space="preserve">as in the age group greater than 4 years involving 39 patients there were 8 patient deaths (20.5%) and 2 (5.1%) who discontinued due to toxicity.  The frequency of adverse events </w:t>
      </w:r>
      <w:r w:rsidR="00B916EC">
        <w:rPr>
          <w:lang w:eastAsia="ja-JP"/>
        </w:rPr>
        <w:t>and</w:t>
      </w:r>
      <w:r w:rsidRPr="00CC02EE">
        <w:rPr>
          <w:lang w:eastAsia="ja-JP"/>
        </w:rPr>
        <w:t xml:space="preserve"> grade 3 or 4 adverse events were similar for the</w:t>
      </w:r>
      <w:r w:rsidR="00BF338D">
        <w:rPr>
          <w:lang w:eastAsia="ja-JP"/>
        </w:rPr>
        <w:t xml:space="preserve"> younger and older age groups.</w:t>
      </w:r>
    </w:p>
    <w:p w:rsidR="00CC02EE" w:rsidRPr="00CC02EE" w:rsidRDefault="00CC02EE" w:rsidP="00BF338D">
      <w:pPr>
        <w:rPr>
          <w:lang w:eastAsia="ja-JP"/>
        </w:rPr>
      </w:pPr>
      <w:r w:rsidRPr="00CC02EE">
        <w:rPr>
          <w:lang w:eastAsia="ja-JP"/>
        </w:rPr>
        <w:t xml:space="preserve">The most regular adverse events in all age groups were related to investigations followed by infections and infestations for those patients less than 12 years and gastrointestinal disorders </w:t>
      </w:r>
      <w:r w:rsidRPr="00CC02EE">
        <w:rPr>
          <w:lang w:eastAsia="ja-JP"/>
        </w:rPr>
        <w:lastRenderedPageBreak/>
        <w:t xml:space="preserve">for those 12 to 18 years.  It is also noted in patients less than 12 years of age in cohort 5 the most frequent adverse events were decreased neutrophil count, </w:t>
      </w:r>
      <w:r w:rsidR="00B916EC">
        <w:rPr>
          <w:lang w:eastAsia="ja-JP"/>
        </w:rPr>
        <w:t xml:space="preserve">decreased </w:t>
      </w:r>
      <w:r w:rsidRPr="00CC02EE">
        <w:rPr>
          <w:lang w:eastAsia="ja-JP"/>
        </w:rPr>
        <w:t xml:space="preserve">platelet count, </w:t>
      </w:r>
      <w:r w:rsidR="00B916EC">
        <w:rPr>
          <w:lang w:eastAsia="ja-JP"/>
        </w:rPr>
        <w:t xml:space="preserve">decreased </w:t>
      </w:r>
      <w:r w:rsidR="00B916EC" w:rsidRPr="00CC02EE">
        <w:rPr>
          <w:lang w:eastAsia="ja-JP"/>
        </w:rPr>
        <w:t>haemoglobin</w:t>
      </w:r>
      <w:r w:rsidRPr="00CC02EE">
        <w:rPr>
          <w:lang w:eastAsia="ja-JP"/>
        </w:rPr>
        <w:t xml:space="preserve"> and increased ALT.  No clinically relevant differences were observed concerning the frequency of adverse events in different age</w:t>
      </w:r>
      <w:r w:rsidR="00BF338D">
        <w:rPr>
          <w:lang w:eastAsia="ja-JP"/>
        </w:rPr>
        <w:t xml:space="preserve"> groups.</w:t>
      </w:r>
    </w:p>
    <w:p w:rsidR="00B916EC" w:rsidRDefault="00B916EC" w:rsidP="00BF338D">
      <w:pPr>
        <w:pStyle w:val="Heading4"/>
      </w:pPr>
      <w:r w:rsidRPr="00B916EC">
        <w:t xml:space="preserve">Subgroup evaluation of adverse events in </w:t>
      </w:r>
      <w:r w:rsidR="00BF338D" w:rsidRPr="00BF338D">
        <w:t>s</w:t>
      </w:r>
      <w:r w:rsidRPr="00BF338D">
        <w:t>tudy</w:t>
      </w:r>
      <w:r w:rsidRPr="00B916EC">
        <w:t xml:space="preserve"> STI571AIT07</w:t>
      </w:r>
    </w:p>
    <w:p w:rsidR="00CC02EE" w:rsidRPr="00CC02EE" w:rsidRDefault="00CC02EE" w:rsidP="00BF338D">
      <w:pPr>
        <w:rPr>
          <w:lang w:eastAsia="ja-JP"/>
        </w:rPr>
      </w:pPr>
      <w:r w:rsidRPr="00CC02EE">
        <w:rPr>
          <w:lang w:eastAsia="ja-JP"/>
        </w:rPr>
        <w:t xml:space="preserve">In relation to study AIT07 adverse events regardless of investigator causality assessment is summarised by age at diagnosis in Table </w:t>
      </w:r>
      <w:r w:rsidR="006A3F7A">
        <w:rPr>
          <w:lang w:eastAsia="ja-JP"/>
        </w:rPr>
        <w:t>37</w:t>
      </w:r>
      <w:r w:rsidRPr="00CC02EE">
        <w:rPr>
          <w:lang w:eastAsia="ja-JP"/>
        </w:rPr>
        <w:t>.  The overall incidence of adverse events was similar in the less than 4 years to the g</w:t>
      </w:r>
      <w:r w:rsidR="00BF338D">
        <w:rPr>
          <w:lang w:eastAsia="ja-JP"/>
        </w:rPr>
        <w:t>reater than 4 year age groups.</w:t>
      </w:r>
    </w:p>
    <w:p w:rsidR="00CC02EE" w:rsidRDefault="00B916EC" w:rsidP="00BF338D">
      <w:pPr>
        <w:pStyle w:val="TableTitle"/>
        <w:rPr>
          <w:lang w:eastAsia="ja-JP"/>
        </w:rPr>
      </w:pPr>
      <w:r>
        <w:rPr>
          <w:lang w:eastAsia="ja-JP"/>
        </w:rPr>
        <w:t xml:space="preserve">Table </w:t>
      </w:r>
      <w:r w:rsidR="006A3F7A">
        <w:rPr>
          <w:lang w:eastAsia="ja-JP"/>
        </w:rPr>
        <w:t>37:</w:t>
      </w:r>
      <w:r>
        <w:rPr>
          <w:lang w:eastAsia="ja-JP"/>
        </w:rPr>
        <w:t xml:space="preserve"> Adverse events regardless of study drug relationship by preferred term and age at diagnosis (Safety set –STI571AIT07)</w:t>
      </w:r>
    </w:p>
    <w:p w:rsidR="00B916EC" w:rsidRDefault="00B916EC" w:rsidP="00BF338D">
      <w:pPr>
        <w:rPr>
          <w:lang w:eastAsia="ja-JP"/>
        </w:rPr>
      </w:pPr>
      <w:r>
        <w:rPr>
          <w:noProof/>
          <w:lang w:eastAsia="en-AU"/>
        </w:rPr>
        <w:drawing>
          <wp:inline distT="0" distB="0" distL="0" distR="0" wp14:anchorId="3CAA86C0" wp14:editId="7500378F">
            <wp:extent cx="5454087" cy="5054600"/>
            <wp:effectExtent l="19050" t="0" r="0" b="0"/>
            <wp:docPr id="69" name="Picture 69" descr="Table 37: Adverse events regardless of study drug relationship by preferred term and age at diagnosis (Safety set –STI571AIT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2" cstate="print"/>
                    <a:srcRect/>
                    <a:stretch>
                      <a:fillRect/>
                    </a:stretch>
                  </pic:blipFill>
                  <pic:spPr bwMode="auto">
                    <a:xfrm>
                      <a:off x="0" y="0"/>
                      <a:ext cx="5457275" cy="5057555"/>
                    </a:xfrm>
                    <a:prstGeom prst="rect">
                      <a:avLst/>
                    </a:prstGeom>
                    <a:noFill/>
                    <a:ln w="9525">
                      <a:noFill/>
                      <a:miter lim="800000"/>
                      <a:headEnd/>
                      <a:tailEnd/>
                    </a:ln>
                  </pic:spPr>
                </pic:pic>
              </a:graphicData>
            </a:graphic>
          </wp:inline>
        </w:drawing>
      </w:r>
    </w:p>
    <w:p w:rsidR="00B916EC" w:rsidRPr="00CC02EE" w:rsidRDefault="00B916EC" w:rsidP="00BF338D">
      <w:pPr>
        <w:pStyle w:val="Heading3"/>
      </w:pPr>
      <w:bookmarkStart w:id="51" w:name="_Toc382578301"/>
      <w:r>
        <w:t>Post-marketing data</w:t>
      </w:r>
      <w:bookmarkEnd w:id="51"/>
    </w:p>
    <w:p w:rsidR="00CC02EE" w:rsidRPr="00CC02EE" w:rsidRDefault="00CC02EE" w:rsidP="00BF338D">
      <w:pPr>
        <w:rPr>
          <w:lang w:eastAsia="ja-JP"/>
        </w:rPr>
      </w:pPr>
      <w:r w:rsidRPr="00CC02EE">
        <w:rPr>
          <w:lang w:eastAsia="ja-JP"/>
        </w:rPr>
        <w:t xml:space="preserve">In relation to post-marketing data a worldwide literature search was performed to capture </w:t>
      </w:r>
      <w:r w:rsidR="001D3139">
        <w:rPr>
          <w:lang w:eastAsia="ja-JP"/>
        </w:rPr>
        <w:t xml:space="preserve">any </w:t>
      </w:r>
      <w:r w:rsidRPr="00CC02EE">
        <w:rPr>
          <w:lang w:eastAsia="ja-JP"/>
        </w:rPr>
        <w:t>investigator reports on safety aspects which were not included in study reports.  This did not provide any evidence of unexpected or unknown events that would be attributable to treatment with Imatinib</w:t>
      </w:r>
      <w:r w:rsidR="001D3139">
        <w:rPr>
          <w:lang w:eastAsia="ja-JP"/>
        </w:rPr>
        <w:t>,</w:t>
      </w:r>
      <w:r w:rsidRPr="00CC02EE">
        <w:rPr>
          <w:lang w:eastAsia="ja-JP"/>
        </w:rPr>
        <w:t xml:space="preserve"> confirming the established safety and tol</w:t>
      </w:r>
      <w:r w:rsidR="00BF338D">
        <w:rPr>
          <w:lang w:eastAsia="ja-JP"/>
        </w:rPr>
        <w:t xml:space="preserve">erability profile of </w:t>
      </w:r>
      <w:proofErr w:type="spellStart"/>
      <w:r w:rsidR="00BF338D">
        <w:rPr>
          <w:lang w:eastAsia="ja-JP"/>
        </w:rPr>
        <w:t>Imatinib</w:t>
      </w:r>
      <w:proofErr w:type="spellEnd"/>
      <w:r w:rsidR="00BF338D">
        <w:rPr>
          <w:lang w:eastAsia="ja-JP"/>
        </w:rPr>
        <w:t>.</w:t>
      </w:r>
    </w:p>
    <w:p w:rsidR="00CC02EE" w:rsidRPr="001D3139" w:rsidRDefault="001D3139" w:rsidP="001B0411">
      <w:pPr>
        <w:pStyle w:val="Heading3"/>
      </w:pPr>
      <w:bookmarkStart w:id="52" w:name="_Toc382578302"/>
      <w:r>
        <w:lastRenderedPageBreak/>
        <w:t>Evaluator’s conclusions on safety</w:t>
      </w:r>
      <w:bookmarkEnd w:id="52"/>
    </w:p>
    <w:p w:rsidR="00C22678" w:rsidRPr="00586F98" w:rsidRDefault="00CC02EE" w:rsidP="001B0411">
      <w:pPr>
        <w:rPr>
          <w:lang w:eastAsia="ja-JP"/>
        </w:rPr>
      </w:pPr>
      <w:r w:rsidRPr="00CC02EE">
        <w:rPr>
          <w:lang w:eastAsia="ja-JP"/>
        </w:rPr>
        <w:t>These two studies have essentially shown that the principal impact of adverse events relates to the intensive chemotherapy received by the patient.  The addition of Imatinib resulted in a small increase in potential for selected toxicities in the pivotal study 2301 but not noted in study AIT07.  Overall the safety profile of Imatinib when used in combination with chemotherapy appears to be consistent with the known safety profile of Imatinib and consistent with that previously determined for those adult patients with Ph positive ALL receiving Imatinib in conjunction with chemotherapy.  There was no evidence that younger patients less than 4 years experienced a greater potential for adverse events in re</w:t>
      </w:r>
      <w:r w:rsidR="001B0411">
        <w:rPr>
          <w:lang w:eastAsia="ja-JP"/>
        </w:rPr>
        <w:t xml:space="preserve">lation to the use of </w:t>
      </w:r>
      <w:proofErr w:type="spellStart"/>
      <w:r w:rsidR="001B0411">
        <w:rPr>
          <w:lang w:eastAsia="ja-JP"/>
        </w:rPr>
        <w:t>Imatinib</w:t>
      </w:r>
      <w:proofErr w:type="spellEnd"/>
      <w:r w:rsidR="001B0411">
        <w:rPr>
          <w:lang w:eastAsia="ja-JP"/>
        </w:rPr>
        <w:t>.</w:t>
      </w:r>
    </w:p>
    <w:p w:rsidR="00C22678" w:rsidRDefault="00C22678" w:rsidP="003D51FA">
      <w:pPr>
        <w:pStyle w:val="Heading2"/>
      </w:pPr>
      <w:bookmarkStart w:id="53" w:name="_Toc382578303"/>
      <w:r>
        <w:t>First round benefit-risk assessment</w:t>
      </w:r>
      <w:bookmarkEnd w:id="53"/>
    </w:p>
    <w:p w:rsidR="00CE2502" w:rsidRPr="00DB781D" w:rsidRDefault="00CE2502" w:rsidP="003D51FA">
      <w:pPr>
        <w:pStyle w:val="Heading3"/>
      </w:pPr>
      <w:bookmarkStart w:id="54" w:name="_Toc382578304"/>
      <w:r w:rsidRPr="00DB781D">
        <w:t>Fir</w:t>
      </w:r>
      <w:r w:rsidR="00DB781D">
        <w:t>st round assessment of benefits</w:t>
      </w:r>
      <w:bookmarkEnd w:id="54"/>
    </w:p>
    <w:p w:rsidR="00CE2502" w:rsidRPr="00DB781D" w:rsidRDefault="00CE2502" w:rsidP="003D51FA">
      <w:r w:rsidRPr="00DB781D">
        <w:t>The pivotal study 2301 certainly demonstrated evidence that the addition of Imatinib to chemotherapy following initial induction was associated with a prolongation in event free survival as the primary end point of this trial. Greater efficacy was apparent for the longer duration of administration of Imatinib as determined within cohort 5 and the estimated 48 month event free survival for this cohort was more than twice i.e. 69.6% that of historical controls i.e. 31.6% with an HR 0.28 and log rank P &lt; 0.0001.  There was also evidence of prolongation of overall survival at 48 months in relation to cohort 5 compared to historical controls i.e. 83.6% versus 44.8% with an HR of 0.23 and log rank P &lt; 0.0001.  There is also evidence of significant benefit for patients receiving the longest duration of Imatinib as in cohort 5 when compared with the shorter durations as in cohorts 1 and 2 with values being 0.0101 and also similarly for overall survival with a P value at 0.0091.  It is of interest that there was a difference for overall survival in favour of cohort 5 excluding HSCT versus HSCT overall at the cohorts both off protocol HSCT and all HSCT showing that the therapeutic benefits in cohort 5 did not result from a therapeutic effect of HSCT and patients undergoing HSCT did not have better outcomes than patients receiving Imatinib in addition to c</w:t>
      </w:r>
      <w:r w:rsidR="003D51FA">
        <w:t>hemotherapy alone in cohort 5.</w:t>
      </w:r>
    </w:p>
    <w:p w:rsidR="00CE2502" w:rsidRPr="00DB781D" w:rsidRDefault="00CE2502" w:rsidP="003D51FA">
      <w:r w:rsidRPr="00DB781D">
        <w:t xml:space="preserve">These data for patients with Ph positive ALL following on earlier studies demonstrating benefit for the addition of Imatinib in Ph positive CML in the paediatric population.  Nevertheless this evaluator still has concerns regarding the evidence of benefit for Imatinib in the pivotal study taking into account that the comparison is with historical controls which were conducted by the COG various years earlier and information regarding the nature and intensity of induction therapies for these studies is not provided.  This raises the question as to whether the historical controls represent a comparable </w:t>
      </w:r>
      <w:r w:rsidR="003D51FA">
        <w:t>group to the study population.</w:t>
      </w:r>
    </w:p>
    <w:p w:rsidR="00CE2502" w:rsidRPr="00DB781D" w:rsidRDefault="00DB781D" w:rsidP="003D51FA">
      <w:pPr>
        <w:pStyle w:val="Heading3"/>
      </w:pPr>
      <w:bookmarkStart w:id="55" w:name="_Toc382578305"/>
      <w:r>
        <w:t>First round assessment of risk</w:t>
      </w:r>
      <w:bookmarkEnd w:id="55"/>
    </w:p>
    <w:p w:rsidR="00CE2502" w:rsidRPr="00DB781D" w:rsidRDefault="00CE2502" w:rsidP="003D51FA">
      <w:r w:rsidRPr="00DB781D">
        <w:t xml:space="preserve">The safety profile of Imatinib observed in the studies 2301 and AIT07 were consistent with the known safety profile for this agent.  The adverse events observed also confirmed that the Imatinib dosing regimen were therapeutically appropriate for the paediatric patient population and did not adversely impact known drug </w:t>
      </w:r>
      <w:r w:rsidR="003D51FA">
        <w:t>adverse event characteristics.</w:t>
      </w:r>
    </w:p>
    <w:p w:rsidR="00CE2502" w:rsidRPr="00DB781D" w:rsidRDefault="00CE2502" w:rsidP="003D51FA">
      <w:r w:rsidRPr="00DB781D">
        <w:t>In study 2301 the overall incidence of preselected targeted toxicities and non-targeted adverse events were higher in the Ph positive ALL patients receiving chemotherapy plus Imatinib compared with Ph negative patients receiving chemotherapy alone.  There was however an overall lower frequency of death i.e. 23.9% for patients who received Imatinib in contrast with the control group that did not receive Imatinib at 44.6%.  There were no clinically relevant differences in the development of targeted toxicities and non-targeted adverse events between Ph positive</w:t>
      </w:r>
      <w:r w:rsidR="003D51FA">
        <w:t xml:space="preserve"> and </w:t>
      </w:r>
      <w:proofErr w:type="spellStart"/>
      <w:r w:rsidR="003D51FA">
        <w:t>Ph</w:t>
      </w:r>
      <w:proofErr w:type="spellEnd"/>
      <w:r w:rsidR="003D51FA">
        <w:t xml:space="preserve"> negative ALL patients.</w:t>
      </w:r>
    </w:p>
    <w:p w:rsidR="00CE2502" w:rsidRPr="00DB781D" w:rsidRDefault="00CE2502" w:rsidP="003D51FA">
      <w:r w:rsidRPr="00DB781D">
        <w:lastRenderedPageBreak/>
        <w:t xml:space="preserve">In study AIT07 the overall </w:t>
      </w:r>
      <w:proofErr w:type="gramStart"/>
      <w:r w:rsidRPr="00DB781D">
        <w:t>frequency of adverse events including those serious and non-serious were</w:t>
      </w:r>
      <w:proofErr w:type="gramEnd"/>
      <w:r w:rsidRPr="00DB781D">
        <w:t xml:space="preserve"> again similar between those patients receiving chemotherapy alone versus those who received chemotherapy plus Imatinib.  There were no clinically relevant differences observed in the nature of adverse events across patient groups.  There was a small increase in the frequency of adverse events between 5 to 10% when comparing the patients treated with Imatinib plus chemotherapy to those patients who received chemotherapy alone however the proportion of good risk patients experiencing serious adverse events was 27.6% and deaths 15.5% which was lower (in the population with Imatinib) then the population with chemotherapy alon</w:t>
      </w:r>
      <w:r w:rsidR="003D51FA">
        <w:t>e at 32% and 25% respectively.</w:t>
      </w:r>
    </w:p>
    <w:p w:rsidR="00CE2502" w:rsidRPr="00DB781D" w:rsidRDefault="00CE2502" w:rsidP="003D51FA">
      <w:r w:rsidRPr="00DB781D">
        <w:t>It is worth commenting that the four year evaluation data from the pivotal study has not shown any evidence of development of longer term adverse effects for this paediatric population.  Nevertheless ongoing review of these</w:t>
      </w:r>
      <w:r w:rsidR="003D51FA">
        <w:t xml:space="preserve"> patients remains appropriate.</w:t>
      </w:r>
    </w:p>
    <w:p w:rsidR="00CE2502" w:rsidRPr="00CE2502" w:rsidRDefault="00CE2502" w:rsidP="003D51FA">
      <w:pPr>
        <w:rPr>
          <w:lang w:val="en-US" w:eastAsia="ja-JP"/>
        </w:rPr>
      </w:pPr>
      <w:r w:rsidRPr="00DB781D">
        <w:t xml:space="preserve">It is also noted that the optimum long term duration of administration of Imatinib still remains somewhat uncertain both in terms of its potential use in induction as well as longer maintenance therapies for patients with </w:t>
      </w:r>
      <w:proofErr w:type="spellStart"/>
      <w:r w:rsidRPr="00DB781D">
        <w:t>Ph</w:t>
      </w:r>
      <w:proofErr w:type="spellEnd"/>
      <w:r w:rsidRPr="00DB781D">
        <w:t xml:space="preserve"> positive ALL.</w:t>
      </w:r>
    </w:p>
    <w:p w:rsidR="00CE2502" w:rsidRPr="00DB781D" w:rsidRDefault="00CE2502" w:rsidP="00A419E1">
      <w:pPr>
        <w:pStyle w:val="Heading3"/>
        <w:rPr>
          <w:lang w:val="en-US"/>
        </w:rPr>
      </w:pPr>
      <w:bookmarkStart w:id="56" w:name="_Toc382578306"/>
      <w:r w:rsidRPr="00DB781D">
        <w:rPr>
          <w:lang w:val="en-US"/>
        </w:rPr>
        <w:t>First round ass</w:t>
      </w:r>
      <w:r w:rsidR="00DB781D">
        <w:rPr>
          <w:lang w:val="en-US"/>
        </w:rPr>
        <w:t>essment of benefit/risk balance</w:t>
      </w:r>
      <w:bookmarkEnd w:id="56"/>
    </w:p>
    <w:p w:rsidR="00CE2502" w:rsidRPr="00DB781D" w:rsidRDefault="00CE2502" w:rsidP="00A419E1">
      <w:r w:rsidRPr="00DB781D">
        <w:t xml:space="preserve">The efficacy </w:t>
      </w:r>
      <w:proofErr w:type="gramStart"/>
      <w:r w:rsidRPr="00DB781D">
        <w:t>results from the pivotal study 2301 has</w:t>
      </w:r>
      <w:proofErr w:type="gramEnd"/>
      <w:r w:rsidRPr="00DB781D">
        <w:t xml:space="preserve"> certainly shown benefit for the addition of Imatinib in improving both EFS and overall survival when compared to historical control.  This was most apparent in those who received Imatinib for the longest duration of time.  These </w:t>
      </w:r>
      <w:r w:rsidR="00DB781D" w:rsidRPr="00DB781D">
        <w:t>favourable</w:t>
      </w:r>
      <w:r w:rsidRPr="00DB781D">
        <w:t xml:space="preserve"> data are in line with that previously observed for paediatric patients with Ph positive CML and adult patients with Ph positive ALL.  Nevertheless this evaluator has some reservation in relation to study 2301 in regards to the precise comparability of the historical con</w:t>
      </w:r>
      <w:r w:rsidR="00A419E1">
        <w:t>trol group to the study group.</w:t>
      </w:r>
    </w:p>
    <w:p w:rsidR="00CE2502" w:rsidRPr="00DB781D" w:rsidRDefault="00CE2502" w:rsidP="00A419E1">
      <w:r w:rsidRPr="00DB781D">
        <w:t xml:space="preserve">Evaluation of adverse events from both the pivotal study 2301 and the supportive study AIT07 have shown no evidence of an increase potential for adverse events in the paediatric population receiving Imatinib compared to the known toxicity profile for Imatinib in both other paediatric populations and adult populations receiving this agent.  There is if anything some evidence that both serious adverse events and deaths are perhaps reduced by the influence of Imatinib in combination with chemotherapy for this </w:t>
      </w:r>
      <w:r w:rsidR="00A419E1">
        <w:t>paediatric patient population.</w:t>
      </w:r>
    </w:p>
    <w:p w:rsidR="00C22678" w:rsidRDefault="00C22678" w:rsidP="00A419E1">
      <w:pPr>
        <w:pStyle w:val="Heading2"/>
      </w:pPr>
      <w:bookmarkStart w:id="57" w:name="_Toc382578307"/>
      <w:r>
        <w:t>First round recommendation regarding authorisation</w:t>
      </w:r>
      <w:bookmarkEnd w:id="57"/>
    </w:p>
    <w:p w:rsidR="00CE2502" w:rsidRPr="00DB781D" w:rsidRDefault="00CE2502" w:rsidP="00A419E1">
      <w:r w:rsidRPr="00DB781D">
        <w:t>On balance this evaluator considers it appropriate to approve Imatinib for the proposed new indication for the treatment of adult and paediatric patients with newly diagnosed Philadelphia chromosome positive acute lymphoblastic leuk</w:t>
      </w:r>
      <w:r w:rsidR="00DB781D">
        <w:t>a</w:t>
      </w:r>
      <w:r w:rsidRPr="00DB781D">
        <w:t>emia integrated with chemotherapy.  This recommendation is made on the basis of the efficacy results and their comparability with adult patients with Ph positive ALL with the addition of Imatinib and the paediatric population with Ph positive CML with the addition of Imatinib.  Nevertheless the reservations as stated above in relation to the historical control group remain.  Certainly there is no evidence from evaluation of adverse events from the two studies assessed to raise extra concerns regarding the role of Imatinib for the Ph posit</w:t>
      </w:r>
      <w:r w:rsidR="00A419E1">
        <w:t>ive ALL paediatric population.</w:t>
      </w:r>
    </w:p>
    <w:p w:rsidR="00C22678" w:rsidRDefault="00C22678" w:rsidP="00A419E1">
      <w:pPr>
        <w:pStyle w:val="Heading2"/>
      </w:pPr>
      <w:bookmarkStart w:id="58" w:name="_Toc382578308"/>
      <w:r>
        <w:t>Clinical questions</w:t>
      </w:r>
      <w:bookmarkEnd w:id="58"/>
    </w:p>
    <w:p w:rsidR="00CE2502" w:rsidRPr="00CE2502" w:rsidRDefault="00CE2502" w:rsidP="00A419E1">
      <w:pPr>
        <w:rPr>
          <w:lang w:val="en-US" w:eastAsia="ja-JP"/>
        </w:rPr>
      </w:pPr>
      <w:r w:rsidRPr="00CE2502">
        <w:rPr>
          <w:lang w:val="en-US" w:eastAsia="ja-JP"/>
        </w:rPr>
        <w:t>This evaluator would seek additional information regarding the nature of induction chemotherapy for the various COG studies utilized as historical contro</w:t>
      </w:r>
      <w:r w:rsidR="00A419E1">
        <w:rPr>
          <w:lang w:val="en-US" w:eastAsia="ja-JP"/>
        </w:rPr>
        <w:t>ls for the pivotal trial 2301.</w:t>
      </w:r>
    </w:p>
    <w:p w:rsidR="00C22678" w:rsidRPr="00586F98" w:rsidRDefault="00CE2502" w:rsidP="00A419E1">
      <w:pPr>
        <w:rPr>
          <w:lang w:eastAsia="ja-JP"/>
        </w:rPr>
      </w:pPr>
      <w:r w:rsidRPr="00CE2502">
        <w:rPr>
          <w:lang w:val="en-US" w:eastAsia="ja-JP"/>
        </w:rPr>
        <w:lastRenderedPageBreak/>
        <w:t>Further information on the longer term influence of Imatinib administration both as part of induction therapy and maintenance therapy for Ph posi</w:t>
      </w:r>
      <w:r w:rsidR="00A419E1">
        <w:rPr>
          <w:lang w:val="en-US" w:eastAsia="ja-JP"/>
        </w:rPr>
        <w:t>tive ALL would be of interest.</w:t>
      </w:r>
    </w:p>
    <w:p w:rsidR="00C618F7" w:rsidRDefault="00C618F7" w:rsidP="00A419E1">
      <w:pPr>
        <w:pStyle w:val="Heading2"/>
      </w:pPr>
      <w:bookmarkStart w:id="59" w:name="_Toc382578309"/>
      <w:r>
        <w:t>Second round evaluation of clinical data submitted in response to questions</w:t>
      </w:r>
      <w:bookmarkEnd w:id="59"/>
    </w:p>
    <w:p w:rsidR="0066093D" w:rsidRPr="00586F98" w:rsidRDefault="0066093D" w:rsidP="00C618F7">
      <w:pPr>
        <w:rPr>
          <w:lang w:eastAsia="ja-JP"/>
        </w:rPr>
      </w:pPr>
      <w:r>
        <w:rPr>
          <w:lang w:eastAsia="ja-JP"/>
        </w:rPr>
        <w:t>[</w:t>
      </w:r>
      <w:r w:rsidRPr="0066093D">
        <w:rPr>
          <w:lang w:eastAsia="ja-JP"/>
        </w:rPr>
        <w:t>Note</w:t>
      </w:r>
      <w:r>
        <w:rPr>
          <w:lang w:eastAsia="ja-JP"/>
        </w:rPr>
        <w:t xml:space="preserve">: The sponsor’s response to the clinical questions were evaluated by the Delegate in the Overview for this application (see section on Risk-Benefit Analysis in the </w:t>
      </w:r>
      <w:r w:rsidRPr="0066093D">
        <w:rPr>
          <w:lang w:eastAsia="ja-JP"/>
        </w:rPr>
        <w:t>AusPAR</w:t>
      </w:r>
      <w:r>
        <w:rPr>
          <w:lang w:eastAsia="ja-JP"/>
        </w:rPr>
        <w:t xml:space="preserve"> for this application)]</w:t>
      </w:r>
    </w:p>
    <w:bookmarkEnd w:id="1"/>
    <w:bookmarkEnd w:id="0"/>
    <w:bookmarkEnd w:id="3"/>
    <w:p w:rsidR="003D1E62" w:rsidRPr="001D043B" w:rsidRDefault="003D1E62" w:rsidP="002666AC">
      <w:pPr>
        <w:sectPr w:rsidR="003D1E62" w:rsidRPr="001D043B" w:rsidSect="008D770F">
          <w:headerReference w:type="even" r:id="rId63"/>
          <w:headerReference w:type="default" r:id="rId64"/>
          <w:footerReference w:type="default" r:id="rId65"/>
          <w:headerReference w:type="first" r:id="rId66"/>
          <w:footerReference w:type="first" r:id="rId67"/>
          <w:pgSz w:w="11906" w:h="16838" w:code="9"/>
          <w:pgMar w:top="1440" w:right="1440" w:bottom="1440" w:left="1440" w:header="907" w:footer="216" w:gutter="0"/>
          <w:cols w:space="708"/>
          <w:docGrid w:linePitch="360"/>
        </w:sectPr>
      </w:pPr>
    </w:p>
    <w:p w:rsidR="00774E1D" w:rsidRPr="008A5E0B" w:rsidRDefault="00774E1D" w:rsidP="008A5E0B"/>
    <w:sectPr w:rsidR="00774E1D" w:rsidRPr="008A5E0B" w:rsidSect="008D770F">
      <w:headerReference w:type="even" r:id="rId68"/>
      <w:headerReference w:type="default" r:id="rId69"/>
      <w:footerReference w:type="default" r:id="rId70"/>
      <w:headerReference w:type="first" r:id="rId71"/>
      <w:footerReference w:type="first" r:id="rId72"/>
      <w:pgSz w:w="11906" w:h="16838" w:code="9"/>
      <w:pgMar w:top="1818" w:right="1701" w:bottom="1701"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4C56" w:rsidRDefault="00B44C56" w:rsidP="00C40A36">
      <w:pPr>
        <w:spacing w:after="0"/>
      </w:pPr>
      <w:r>
        <w:separator/>
      </w:r>
    </w:p>
  </w:endnote>
  <w:endnote w:type="continuationSeparator" w:id="0">
    <w:p w:rsidR="00B44C56" w:rsidRDefault="00B44C56"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Helv">
    <w:altName w:val="Arial"/>
    <w:panose1 w:val="020B0604020202030204"/>
    <w:charset w:val="00"/>
    <w:family w:val="swiss"/>
    <w:notTrueType/>
    <w:pitch w:val="variable"/>
    <w:sig w:usb0="00000003" w:usb1="00000000" w:usb2="00000000" w:usb3="00000000" w:csb0="00000001" w:csb1="00000000"/>
  </w:font>
  <w:font w:name="DokChampa">
    <w:panose1 w:val="020B0604020202020204"/>
    <w:charset w:val="00"/>
    <w:family w:val="swiss"/>
    <w:pitch w:val="variable"/>
    <w:sig w:usb0="03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B44C56" w:rsidRPr="00487162" w:rsidTr="0053625B">
      <w:trPr>
        <w:trHeight w:val="269"/>
      </w:trPr>
      <w:tc>
        <w:tcPr>
          <w:tcW w:w="7938" w:type="dxa"/>
          <w:tcMar>
            <w:top w:w="142" w:type="dxa"/>
            <w:bottom w:w="0" w:type="dxa"/>
          </w:tcMar>
        </w:tcPr>
        <w:p w:rsidR="00B44C56" w:rsidRPr="00487162" w:rsidRDefault="00B44C56" w:rsidP="00CC02EE">
          <w:pPr>
            <w:pStyle w:val="Footer"/>
          </w:pPr>
          <w:r>
            <w:t>Submission</w:t>
          </w:r>
          <w:r w:rsidRPr="00487162">
            <w:t xml:space="preserve"> PM-20</w:t>
          </w:r>
          <w:r>
            <w:t>12</w:t>
          </w:r>
          <w:r w:rsidRPr="00487162">
            <w:t>-</w:t>
          </w:r>
          <w:r w:rsidRPr="00CC02EE">
            <w:t xml:space="preserve">02722-3-4 </w:t>
          </w:r>
          <w:r>
            <w:t>Extract from the Clinical Evaluation Report for Glivec</w:t>
          </w:r>
        </w:p>
      </w:tc>
      <w:tc>
        <w:tcPr>
          <w:tcW w:w="923" w:type="dxa"/>
          <w:tcMar>
            <w:top w:w="142" w:type="dxa"/>
            <w:bottom w:w="0" w:type="dxa"/>
          </w:tcMar>
        </w:tcPr>
        <w:p w:rsidR="00B44C56" w:rsidRPr="00487162" w:rsidRDefault="00B44C56" w:rsidP="00D855D4">
          <w:pPr>
            <w:pStyle w:val="Footer"/>
            <w:jc w:val="right"/>
          </w:pPr>
          <w:r w:rsidRPr="00487162">
            <w:t xml:space="preserve">Page </w:t>
          </w:r>
          <w:r>
            <w:t>2</w:t>
          </w:r>
          <w:r w:rsidRPr="00487162">
            <w:t xml:space="preserve"> of </w:t>
          </w:r>
          <w:r w:rsidR="00BF4AA6">
            <w:fldChar w:fldCharType="begin"/>
          </w:r>
          <w:r w:rsidR="00BF4AA6">
            <w:instrText xml:space="preserve"> NUMPAGES  \* Arabic </w:instrText>
          </w:r>
          <w:r w:rsidR="00BF4AA6">
            <w:fldChar w:fldCharType="separate"/>
          </w:r>
          <w:r w:rsidR="00BF4AA6">
            <w:rPr>
              <w:noProof/>
            </w:rPr>
            <w:t>48</w:t>
          </w:r>
          <w:r w:rsidR="00BF4AA6">
            <w:rPr>
              <w:noProof/>
            </w:rPr>
            <w:fldChar w:fldCharType="end"/>
          </w:r>
        </w:p>
      </w:tc>
    </w:tr>
  </w:tbl>
  <w:p w:rsidR="00B44C56" w:rsidRDefault="00B44C56"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1206"/>
    </w:tblGrid>
    <w:tr w:rsidR="00B44C56" w:rsidRPr="00487162" w:rsidTr="00586F98">
      <w:trPr>
        <w:trHeight w:val="269"/>
      </w:trPr>
      <w:tc>
        <w:tcPr>
          <w:tcW w:w="7655" w:type="dxa"/>
          <w:tcMar>
            <w:top w:w="142" w:type="dxa"/>
            <w:bottom w:w="0" w:type="dxa"/>
          </w:tcMar>
        </w:tcPr>
        <w:p w:rsidR="00B44C56" w:rsidRPr="00487162" w:rsidRDefault="00B44C56" w:rsidP="00D855D4">
          <w:pPr>
            <w:pStyle w:val="Footer"/>
          </w:pPr>
          <w:r w:rsidRPr="00CC02EE">
            <w:t>Submission PM-2012-02722-3-4 Extract from the Clinical Evaluation Report for Glivec</w:t>
          </w:r>
        </w:p>
      </w:tc>
      <w:tc>
        <w:tcPr>
          <w:tcW w:w="1206" w:type="dxa"/>
          <w:tcMar>
            <w:top w:w="142" w:type="dxa"/>
            <w:bottom w:w="0" w:type="dxa"/>
          </w:tcMar>
        </w:tcPr>
        <w:p w:rsidR="00B44C56" w:rsidRPr="00487162" w:rsidRDefault="00B44C56" w:rsidP="00E45619">
          <w:pPr>
            <w:pStyle w:val="Footer"/>
            <w:jc w:val="right"/>
          </w:pPr>
          <w:r w:rsidRPr="00487162">
            <w:t xml:space="preserve">Page </w:t>
          </w:r>
          <w:r w:rsidR="00BF4AA6">
            <w:fldChar w:fldCharType="begin"/>
          </w:r>
          <w:r w:rsidR="00BF4AA6">
            <w:instrText>PAGE</w:instrText>
          </w:r>
          <w:r w:rsidR="00BF4AA6">
            <w:fldChar w:fldCharType="separate"/>
          </w:r>
          <w:r w:rsidR="00BF4AA6">
            <w:rPr>
              <w:noProof/>
            </w:rPr>
            <w:t>4</w:t>
          </w:r>
          <w:r w:rsidR="00BF4AA6">
            <w:rPr>
              <w:noProof/>
            </w:rPr>
            <w:fldChar w:fldCharType="end"/>
          </w:r>
          <w:r w:rsidRPr="00487162">
            <w:t xml:space="preserve"> of </w:t>
          </w:r>
          <w:r w:rsidR="00BF4AA6">
            <w:fldChar w:fldCharType="begin"/>
          </w:r>
          <w:r w:rsidR="00BF4AA6">
            <w:instrText xml:space="preserve"> NUMPAGES  \* Arabic </w:instrText>
          </w:r>
          <w:r w:rsidR="00BF4AA6">
            <w:fldChar w:fldCharType="separate"/>
          </w:r>
          <w:r w:rsidR="00BF4AA6">
            <w:rPr>
              <w:noProof/>
            </w:rPr>
            <w:t>48</w:t>
          </w:r>
          <w:r w:rsidR="00BF4AA6">
            <w:rPr>
              <w:noProof/>
            </w:rPr>
            <w:fldChar w:fldCharType="end"/>
          </w:r>
        </w:p>
      </w:tc>
    </w:tr>
  </w:tbl>
  <w:p w:rsidR="00B44C56" w:rsidRDefault="00B44C56" w:rsidP="00E261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B44C56" w:rsidRPr="00487162" w:rsidTr="00E45619">
      <w:trPr>
        <w:trHeight w:val="269"/>
      </w:trPr>
      <w:tc>
        <w:tcPr>
          <w:tcW w:w="4519" w:type="dxa"/>
          <w:tcBorders>
            <w:top w:val="single" w:sz="4" w:space="0" w:color="auto"/>
          </w:tcBorders>
          <w:tcMar>
            <w:top w:w="142" w:type="dxa"/>
            <w:bottom w:w="0" w:type="dxa"/>
          </w:tcMar>
        </w:tcPr>
        <w:p w:rsidR="00B44C56" w:rsidRPr="00487162" w:rsidRDefault="00B44C56" w:rsidP="00FE1DEE">
          <w:pPr>
            <w:pStyle w:val="Footer"/>
          </w:pPr>
          <w:r w:rsidRPr="00487162">
            <w:t>Document title, Part #, Section # - Section title</w:t>
          </w:r>
        </w:p>
        <w:p w:rsidR="00B44C56" w:rsidRPr="00487162" w:rsidRDefault="00B44C56" w:rsidP="00FE1DEE">
          <w:pPr>
            <w:pStyle w:val="Footer"/>
          </w:pPr>
          <w:r w:rsidRPr="00487162">
            <w:t>V1.0 October 2010</w:t>
          </w:r>
        </w:p>
      </w:tc>
      <w:tc>
        <w:tcPr>
          <w:tcW w:w="4342" w:type="dxa"/>
          <w:tcBorders>
            <w:top w:val="single" w:sz="4" w:space="0" w:color="auto"/>
          </w:tcBorders>
          <w:tcMar>
            <w:top w:w="142" w:type="dxa"/>
            <w:bottom w:w="0" w:type="dxa"/>
          </w:tcMar>
        </w:tcPr>
        <w:p w:rsidR="00B44C56" w:rsidRPr="00487162" w:rsidRDefault="00B44C56" w:rsidP="00E45619">
          <w:pPr>
            <w:pStyle w:val="Footer"/>
            <w:jc w:val="right"/>
          </w:pPr>
          <w:r w:rsidRPr="00487162">
            <w:t xml:space="preserve">Page </w:t>
          </w:r>
          <w:r w:rsidR="00BF4AA6">
            <w:fldChar w:fldCharType="begin"/>
          </w:r>
          <w:r w:rsidR="00BF4AA6">
            <w:instrText xml:space="preserve"> PAGE   \* MERGEFORMAT </w:instrText>
          </w:r>
          <w:r w:rsidR="00BF4AA6">
            <w:fldChar w:fldCharType="separate"/>
          </w:r>
          <w:r w:rsidRPr="00487162">
            <w:rPr>
              <w:noProof/>
            </w:rPr>
            <w:t>3</w:t>
          </w:r>
          <w:r w:rsidR="00BF4AA6">
            <w:rPr>
              <w:noProof/>
            </w:rPr>
            <w:fldChar w:fldCharType="end"/>
          </w:r>
          <w:r w:rsidRPr="00487162">
            <w:t xml:space="preserve"> of </w:t>
          </w:r>
          <w:r w:rsidR="00BF4AA6">
            <w:fldChar w:fldCharType="begin"/>
          </w:r>
          <w:r w:rsidR="00BF4AA6">
            <w:instrText xml:space="preserve"> NUMPAGES  </w:instrText>
          </w:r>
          <w:r w:rsidR="00BF4AA6">
            <w:fldChar w:fldCharType="separate"/>
          </w:r>
          <w:r>
            <w:rPr>
              <w:noProof/>
            </w:rPr>
            <w:t>3</w:t>
          </w:r>
          <w:r w:rsidR="00BF4AA6">
            <w:rPr>
              <w:noProof/>
            </w:rPr>
            <w:fldChar w:fldCharType="end"/>
          </w:r>
        </w:p>
      </w:tc>
    </w:tr>
  </w:tbl>
  <w:p w:rsidR="00B44C56" w:rsidRDefault="00B44C5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sz w:val="16"/>
      </w:rPr>
      <w:id w:val="16144363"/>
      <w:docPartObj>
        <w:docPartGallery w:val="Page Numbers (Bottom of Page)"/>
        <w:docPartUnique/>
      </w:docPartObj>
    </w:sdtPr>
    <w:sdtEndPr/>
    <w:sdtContent>
      <w:sdt>
        <w:sdtPr>
          <w:rPr>
            <w:b w:val="0"/>
            <w:sz w:val="16"/>
          </w:rPr>
          <w:id w:val="16144364"/>
          <w:docPartObj>
            <w:docPartGallery w:val="Page Numbers (Top of Page)"/>
            <w:docPartUnique/>
          </w:docPartObj>
        </w:sdtPr>
        <w:sdtEndPr/>
        <w:sdtContent>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44C56" w:rsidRPr="00487162" w:rsidTr="008D770F">
              <w:trPr>
                <w:trHeight w:hRule="exact" w:val="564"/>
              </w:trPr>
              <w:tc>
                <w:tcPr>
                  <w:tcW w:w="9175" w:type="dxa"/>
                </w:tcPr>
                <w:p w:rsidR="00B44C56" w:rsidRPr="00487162" w:rsidRDefault="00B44C56" w:rsidP="008E7846">
                  <w:pPr>
                    <w:pStyle w:val="TGASignoff"/>
                  </w:pPr>
                  <w:r w:rsidRPr="00487162">
                    <w:t>Therapeutic Goods Administration</w:t>
                  </w:r>
                </w:p>
              </w:tc>
            </w:tr>
            <w:tr w:rsidR="00B44C56" w:rsidRPr="00487162" w:rsidTr="00E45619">
              <w:trPr>
                <w:trHeight w:val="1221"/>
              </w:trPr>
              <w:tc>
                <w:tcPr>
                  <w:tcW w:w="9175" w:type="dxa"/>
                  <w:tcMar>
                    <w:top w:w="28" w:type="dxa"/>
                  </w:tcMar>
                </w:tcPr>
                <w:p w:rsidR="00B44C56" w:rsidRPr="00487162" w:rsidRDefault="00B44C56" w:rsidP="00E45619">
                  <w:pPr>
                    <w:pStyle w:val="Address"/>
                  </w:pPr>
                  <w:r w:rsidRPr="00487162">
                    <w:t>PO Box 100 Woden ACT 2606 Australia</w:t>
                  </w:r>
                </w:p>
                <w:p w:rsidR="00B44C56" w:rsidRPr="00487162" w:rsidRDefault="00B44C56"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B44C56" w:rsidRPr="008D770F" w:rsidRDefault="00BF4AA6" w:rsidP="008D770F">
                  <w:pPr>
                    <w:pStyle w:val="Address"/>
                    <w:spacing w:line="260" w:lineRule="atLeast"/>
                    <w:rPr>
                      <w:b/>
                      <w:color w:val="0000FF"/>
                      <w:u w:val="single"/>
                    </w:rPr>
                  </w:pPr>
                  <w:hyperlink r:id="rId2" w:history="1">
                    <w:r w:rsidR="00B44C56" w:rsidRPr="007C06C7">
                      <w:rPr>
                        <w:rStyle w:val="Hyperlink"/>
                        <w:b/>
                      </w:rPr>
                      <w:t>http://www.tga.gov.au</w:t>
                    </w:r>
                  </w:hyperlink>
                </w:p>
              </w:tc>
            </w:tr>
          </w:tbl>
          <w:p w:rsidR="00B44C56" w:rsidRDefault="00BF4AA6" w:rsidP="008E7846">
            <w:pPr>
              <w:pStyle w:val="Notes"/>
            </w:pP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B44C56" w:rsidTr="0010601F">
      <w:trPr>
        <w:trHeight w:val="108"/>
      </w:trPr>
      <w:tc>
        <w:tcPr>
          <w:tcW w:w="8875" w:type="dxa"/>
          <w:gridSpan w:val="2"/>
          <w:tcBorders>
            <w:bottom w:val="single" w:sz="4" w:space="0" w:color="auto"/>
          </w:tcBorders>
          <w:tcMar>
            <w:right w:w="284" w:type="dxa"/>
          </w:tcMar>
        </w:tcPr>
        <w:p w:rsidR="00B44C56" w:rsidRDefault="00B44C56" w:rsidP="006E08B3">
          <w:pPr>
            <w:pStyle w:val="Heading3"/>
          </w:pPr>
          <w:r>
            <w:t>Copyright</w:t>
          </w:r>
        </w:p>
        <w:p w:rsidR="00B44C56" w:rsidRDefault="00B44C56" w:rsidP="006E08B3">
          <w:r>
            <w:rPr>
              <w:rFonts w:cs="Arial"/>
            </w:rPr>
            <w:t>©</w:t>
          </w:r>
          <w:r>
            <w:t xml:space="preserve"> Commonwealth of Australia [add year]</w:t>
          </w:r>
        </w:p>
        <w:p w:rsidR="00B44C56" w:rsidRDefault="00B44C56" w:rsidP="006E08B3"/>
        <w:p w:rsidR="00B44C56" w:rsidRDefault="00B44C5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B44C56" w:rsidRDefault="00B44C56" w:rsidP="006E08B3"/>
        <w:p w:rsidR="00B44C56" w:rsidRDefault="00B44C56" w:rsidP="006E08B3">
          <w:pPr>
            <w:pStyle w:val="Heading3"/>
          </w:pPr>
          <w:r>
            <w:t>Confidentiality</w:t>
          </w:r>
        </w:p>
        <w:p w:rsidR="00B44C56" w:rsidRDefault="00B44C5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B44C56" w:rsidRDefault="00B44C56" w:rsidP="006E08B3"/>
        <w:p w:rsidR="00B44C56" w:rsidRDefault="00B44C56" w:rsidP="006E08B3">
          <w:r>
            <w:t>For submission made by individuals, all personal details, other than your name, will be removed from your submission before it is published on the TGA’s Internet site.</w:t>
          </w:r>
        </w:p>
        <w:p w:rsidR="00B44C56" w:rsidRDefault="00B44C56" w:rsidP="006E08B3"/>
        <w:p w:rsidR="00B44C56" w:rsidRDefault="00B44C56"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B44C56" w:rsidTr="0010601F">
      <w:trPr>
        <w:trHeight w:val="417"/>
      </w:trPr>
      <w:tc>
        <w:tcPr>
          <w:tcW w:w="4519" w:type="dxa"/>
          <w:tcBorders>
            <w:top w:val="single" w:sz="4" w:space="0" w:color="auto"/>
          </w:tcBorders>
          <w:tcMar>
            <w:top w:w="142" w:type="dxa"/>
            <w:bottom w:w="0" w:type="dxa"/>
          </w:tcMar>
        </w:tcPr>
        <w:p w:rsidR="00B44C56" w:rsidRDefault="00B44C56" w:rsidP="006E08B3">
          <w:r>
            <w:t>Document title, Part #, Section # - Section title</w:t>
          </w:r>
        </w:p>
        <w:p w:rsidR="00B44C56" w:rsidRDefault="00B44C56" w:rsidP="006E08B3">
          <w:r>
            <w:t>V1.0 October 2010</w:t>
          </w:r>
        </w:p>
      </w:tc>
      <w:tc>
        <w:tcPr>
          <w:tcW w:w="4356" w:type="dxa"/>
          <w:tcBorders>
            <w:top w:val="single" w:sz="4" w:space="0" w:color="auto"/>
          </w:tcBorders>
          <w:tcMar>
            <w:top w:w="142" w:type="dxa"/>
            <w:bottom w:w="0" w:type="dxa"/>
          </w:tcMar>
        </w:tcPr>
        <w:p w:rsidR="00B44C56" w:rsidRDefault="00B44C56" w:rsidP="006E08B3">
          <w:pPr>
            <w:jc w:val="right"/>
          </w:pPr>
          <w:r>
            <w:t xml:space="preserve">Page </w:t>
          </w:r>
          <w:r w:rsidR="00BF4AA6">
            <w:fldChar w:fldCharType="begin"/>
          </w:r>
          <w:r w:rsidR="00BF4AA6">
            <w:instrText xml:space="preserve"> PAGE   \* MERGEFORMAT </w:instrText>
          </w:r>
          <w:r w:rsidR="00BF4AA6">
            <w:fldChar w:fldCharType="separate"/>
          </w:r>
          <w:r>
            <w:rPr>
              <w:noProof/>
            </w:rPr>
            <w:t>1</w:t>
          </w:r>
          <w:r w:rsidR="00BF4AA6">
            <w:rPr>
              <w:noProof/>
            </w:rPr>
            <w:fldChar w:fldCharType="end"/>
          </w:r>
          <w:r>
            <w:t xml:space="preserve"> of </w:t>
          </w:r>
          <w:r w:rsidR="00BF4AA6">
            <w:fldChar w:fldCharType="begin"/>
          </w:r>
          <w:r w:rsidR="00BF4AA6">
            <w:instrText xml:space="preserve"> NUMPAGES  \* Arabic </w:instrText>
          </w:r>
          <w:r w:rsidR="00BF4AA6">
            <w:fldChar w:fldCharType="separate"/>
          </w:r>
          <w:r>
            <w:rPr>
              <w:noProof/>
            </w:rPr>
            <w:t>3</w:t>
          </w:r>
          <w:r w:rsidR="00BF4AA6">
            <w:rPr>
              <w:noProof/>
            </w:rPr>
            <w:fldChar w:fldCharType="end"/>
          </w:r>
          <w:r>
            <w:t xml:space="preserve">  </w:t>
          </w:r>
        </w:p>
      </w:tc>
    </w:tr>
  </w:tbl>
  <w:p w:rsidR="00B44C56" w:rsidRDefault="00B44C5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4C56" w:rsidRDefault="00B44C56" w:rsidP="00C40A36">
      <w:pPr>
        <w:spacing w:after="0"/>
      </w:pPr>
      <w:r>
        <w:separator/>
      </w:r>
    </w:p>
  </w:footnote>
  <w:footnote w:type="continuationSeparator" w:id="0">
    <w:p w:rsidR="00B44C56" w:rsidRDefault="00B44C56"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C56" w:rsidRDefault="00B44C56"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C56" w:rsidRDefault="00B44C56">
    <w:pPr>
      <w:rPr>
        <w:noProof/>
        <w:lang w:eastAsia="en-AU"/>
      </w:rPr>
    </w:pPr>
    <w:r w:rsidRPr="002D545C">
      <w:rPr>
        <w:noProof/>
        <w:lang w:eastAsia="en-AU"/>
      </w:rPr>
      <w:drawing>
        <wp:anchor distT="0" distB="0" distL="114300" distR="114300" simplePos="0" relativeHeight="251659264" behindDoc="1" locked="0" layoutInCell="1" allowOverlap="1">
          <wp:simplePos x="0" y="0"/>
          <wp:positionH relativeFrom="column">
            <wp:posOffset>-1081101</wp:posOffset>
          </wp:positionH>
          <wp:positionV relativeFrom="paragraph">
            <wp:posOffset>-585470</wp:posOffset>
          </wp:positionV>
          <wp:extent cx="7572375" cy="10706100"/>
          <wp:effectExtent l="0" t="0" r="0" b="0"/>
          <wp:wrapNone/>
          <wp:docPr id="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p w:rsidR="00B44C56" w:rsidRDefault="00F841F3"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1pt;height:601.05pt;visibility:visible">
          <v:imagedata r:id="rId2" o:title="Lightblu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C56" w:rsidRDefault="00B44C5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C56" w:rsidRDefault="00B44C56">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C56" w:rsidRDefault="00B44C56">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C56" w:rsidRDefault="00B44C5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C56" w:rsidRDefault="00B44C56"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C56" w:rsidRDefault="00B44C56" w:rsidP="006E08B3">
    <w:r>
      <w:t>Therapeutic Goods Administration</w:t>
    </w:r>
  </w:p>
  <w:p w:rsidR="00B44C56" w:rsidRDefault="00B44C56"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76C7716"/>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8">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9">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0">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6"/>
  </w:num>
  <w:num w:numId="26">
    <w:abstractNumId w:val="7"/>
  </w:num>
  <w:num w:numId="27">
    <w:abstractNumId w:val="8"/>
  </w:num>
  <w:num w:numId="28">
    <w:abstractNumId w:val="9"/>
  </w:num>
  <w:num w:numId="29">
    <w:abstractNumId w:val="10"/>
  </w:num>
  <w:num w:numId="30">
    <w:abstractNumId w:val="10"/>
  </w:num>
  <w:num w:numId="31">
    <w:abstractNumId w:val="10"/>
  </w:num>
  <w:num w:numId="3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6562">
      <o:colormenu v:ext="edit" fillcolor="none [3206]"/>
    </o:shapedefaults>
  </w:hdrShapeDefaults>
  <w:footnotePr>
    <w:footnote w:id="-1"/>
    <w:footnote w:id="0"/>
  </w:footnotePr>
  <w:endnotePr>
    <w:endnote w:id="-1"/>
    <w:endnote w:id="0"/>
  </w:endnotePr>
  <w:compat>
    <w:compatSetting w:name="compatibilityMode" w:uri="http://schemas.microsoft.com/office/word" w:val="12"/>
  </w:compat>
  <w:rsids>
    <w:rsidRoot w:val="00CC02EE"/>
    <w:rsid w:val="00002031"/>
    <w:rsid w:val="00002ECF"/>
    <w:rsid w:val="00004734"/>
    <w:rsid w:val="00006B22"/>
    <w:rsid w:val="0001276A"/>
    <w:rsid w:val="00015C6A"/>
    <w:rsid w:val="00020194"/>
    <w:rsid w:val="000210D4"/>
    <w:rsid w:val="000246AE"/>
    <w:rsid w:val="00025C67"/>
    <w:rsid w:val="00040ACB"/>
    <w:rsid w:val="0005559E"/>
    <w:rsid w:val="00057385"/>
    <w:rsid w:val="0007347C"/>
    <w:rsid w:val="00077775"/>
    <w:rsid w:val="00090471"/>
    <w:rsid w:val="000A3AED"/>
    <w:rsid w:val="000A533A"/>
    <w:rsid w:val="000A63AF"/>
    <w:rsid w:val="000B3532"/>
    <w:rsid w:val="000B3A75"/>
    <w:rsid w:val="000C690F"/>
    <w:rsid w:val="000D1295"/>
    <w:rsid w:val="000D391B"/>
    <w:rsid w:val="000D3D6D"/>
    <w:rsid w:val="000D4FC7"/>
    <w:rsid w:val="000F02F9"/>
    <w:rsid w:val="000F4869"/>
    <w:rsid w:val="000F5B42"/>
    <w:rsid w:val="000F6E6F"/>
    <w:rsid w:val="00104613"/>
    <w:rsid w:val="0010601F"/>
    <w:rsid w:val="0010788A"/>
    <w:rsid w:val="00107A31"/>
    <w:rsid w:val="00110EA5"/>
    <w:rsid w:val="00112F56"/>
    <w:rsid w:val="00125318"/>
    <w:rsid w:val="001305A2"/>
    <w:rsid w:val="00133238"/>
    <w:rsid w:val="0014197B"/>
    <w:rsid w:val="001447CD"/>
    <w:rsid w:val="001516B1"/>
    <w:rsid w:val="00154E6F"/>
    <w:rsid w:val="00154EBB"/>
    <w:rsid w:val="00156316"/>
    <w:rsid w:val="00165389"/>
    <w:rsid w:val="0017078F"/>
    <w:rsid w:val="00172597"/>
    <w:rsid w:val="0017693F"/>
    <w:rsid w:val="0018110E"/>
    <w:rsid w:val="00181684"/>
    <w:rsid w:val="001843C6"/>
    <w:rsid w:val="001850E0"/>
    <w:rsid w:val="00191C8A"/>
    <w:rsid w:val="001A2158"/>
    <w:rsid w:val="001A525F"/>
    <w:rsid w:val="001B0411"/>
    <w:rsid w:val="001B09F9"/>
    <w:rsid w:val="001B6448"/>
    <w:rsid w:val="001D3139"/>
    <w:rsid w:val="001E07CF"/>
    <w:rsid w:val="001E59F1"/>
    <w:rsid w:val="001F3DB6"/>
    <w:rsid w:val="001F49EB"/>
    <w:rsid w:val="001F6CBA"/>
    <w:rsid w:val="00201D4E"/>
    <w:rsid w:val="00204FA6"/>
    <w:rsid w:val="002076C9"/>
    <w:rsid w:val="00220B8A"/>
    <w:rsid w:val="002257F3"/>
    <w:rsid w:val="00233456"/>
    <w:rsid w:val="002339A5"/>
    <w:rsid w:val="00257848"/>
    <w:rsid w:val="00260C34"/>
    <w:rsid w:val="00260C5C"/>
    <w:rsid w:val="002666AC"/>
    <w:rsid w:val="0027084A"/>
    <w:rsid w:val="00286434"/>
    <w:rsid w:val="00286C59"/>
    <w:rsid w:val="00292113"/>
    <w:rsid w:val="002942D1"/>
    <w:rsid w:val="0029501A"/>
    <w:rsid w:val="002B1638"/>
    <w:rsid w:val="002C63ED"/>
    <w:rsid w:val="002C7341"/>
    <w:rsid w:val="002D545C"/>
    <w:rsid w:val="002D6161"/>
    <w:rsid w:val="002E4C9A"/>
    <w:rsid w:val="002F11F8"/>
    <w:rsid w:val="002F3F56"/>
    <w:rsid w:val="002F44B5"/>
    <w:rsid w:val="00311AC0"/>
    <w:rsid w:val="00324E18"/>
    <w:rsid w:val="0032583B"/>
    <w:rsid w:val="00327883"/>
    <w:rsid w:val="00335504"/>
    <w:rsid w:val="003521E8"/>
    <w:rsid w:val="003728F3"/>
    <w:rsid w:val="0037496E"/>
    <w:rsid w:val="0037623D"/>
    <w:rsid w:val="00386150"/>
    <w:rsid w:val="003874CE"/>
    <w:rsid w:val="00390900"/>
    <w:rsid w:val="00396C92"/>
    <w:rsid w:val="003A4285"/>
    <w:rsid w:val="003A6F3E"/>
    <w:rsid w:val="003A7F6C"/>
    <w:rsid w:val="003B1113"/>
    <w:rsid w:val="003B4D60"/>
    <w:rsid w:val="003B634F"/>
    <w:rsid w:val="003B7D54"/>
    <w:rsid w:val="003B7E39"/>
    <w:rsid w:val="003C58DC"/>
    <w:rsid w:val="003D0A3B"/>
    <w:rsid w:val="003D1E62"/>
    <w:rsid w:val="003D51FA"/>
    <w:rsid w:val="003E2486"/>
    <w:rsid w:val="003E3208"/>
    <w:rsid w:val="003F0B04"/>
    <w:rsid w:val="0040134E"/>
    <w:rsid w:val="00415D59"/>
    <w:rsid w:val="00416FF1"/>
    <w:rsid w:val="0043797D"/>
    <w:rsid w:val="00440A2D"/>
    <w:rsid w:val="004564A7"/>
    <w:rsid w:val="004617BF"/>
    <w:rsid w:val="00463658"/>
    <w:rsid w:val="004722CC"/>
    <w:rsid w:val="004936E4"/>
    <w:rsid w:val="00494E60"/>
    <w:rsid w:val="00497487"/>
    <w:rsid w:val="004A7E13"/>
    <w:rsid w:val="004B7B76"/>
    <w:rsid w:val="004B7D59"/>
    <w:rsid w:val="004C2DCA"/>
    <w:rsid w:val="004F0F38"/>
    <w:rsid w:val="004F3292"/>
    <w:rsid w:val="004F4AF5"/>
    <w:rsid w:val="00501921"/>
    <w:rsid w:val="0050523D"/>
    <w:rsid w:val="0050734C"/>
    <w:rsid w:val="00530354"/>
    <w:rsid w:val="00532593"/>
    <w:rsid w:val="0053625B"/>
    <w:rsid w:val="005434C6"/>
    <w:rsid w:val="00543B39"/>
    <w:rsid w:val="00550096"/>
    <w:rsid w:val="00557B3B"/>
    <w:rsid w:val="00557FF9"/>
    <w:rsid w:val="00574E92"/>
    <w:rsid w:val="00576378"/>
    <w:rsid w:val="00577945"/>
    <w:rsid w:val="00577E38"/>
    <w:rsid w:val="00585322"/>
    <w:rsid w:val="005857C6"/>
    <w:rsid w:val="00586F98"/>
    <w:rsid w:val="00587813"/>
    <w:rsid w:val="00592F6E"/>
    <w:rsid w:val="00593AD1"/>
    <w:rsid w:val="00596146"/>
    <w:rsid w:val="005A14BE"/>
    <w:rsid w:val="005A4F29"/>
    <w:rsid w:val="005A68B6"/>
    <w:rsid w:val="005B7BE7"/>
    <w:rsid w:val="005C5570"/>
    <w:rsid w:val="005C79A4"/>
    <w:rsid w:val="005D5442"/>
    <w:rsid w:val="00603F32"/>
    <w:rsid w:val="00620406"/>
    <w:rsid w:val="00631801"/>
    <w:rsid w:val="00632398"/>
    <w:rsid w:val="00634CDD"/>
    <w:rsid w:val="00640FC3"/>
    <w:rsid w:val="00642020"/>
    <w:rsid w:val="00646206"/>
    <w:rsid w:val="0065337B"/>
    <w:rsid w:val="0065419D"/>
    <w:rsid w:val="006604D8"/>
    <w:rsid w:val="0066093D"/>
    <w:rsid w:val="006621B4"/>
    <w:rsid w:val="00664A5B"/>
    <w:rsid w:val="00672C2B"/>
    <w:rsid w:val="006763D2"/>
    <w:rsid w:val="00680C08"/>
    <w:rsid w:val="0068691F"/>
    <w:rsid w:val="006931B1"/>
    <w:rsid w:val="006A0E83"/>
    <w:rsid w:val="006A15C0"/>
    <w:rsid w:val="006A396F"/>
    <w:rsid w:val="006A3F7A"/>
    <w:rsid w:val="006C130C"/>
    <w:rsid w:val="006C3E2A"/>
    <w:rsid w:val="006C642F"/>
    <w:rsid w:val="006D03E5"/>
    <w:rsid w:val="006D5D3E"/>
    <w:rsid w:val="006E08B3"/>
    <w:rsid w:val="006F0955"/>
    <w:rsid w:val="006F17AC"/>
    <w:rsid w:val="006F1D37"/>
    <w:rsid w:val="006F2796"/>
    <w:rsid w:val="006F572E"/>
    <w:rsid w:val="007046D6"/>
    <w:rsid w:val="00705792"/>
    <w:rsid w:val="00705DB0"/>
    <w:rsid w:val="00722B57"/>
    <w:rsid w:val="0074253D"/>
    <w:rsid w:val="0074429B"/>
    <w:rsid w:val="007469A1"/>
    <w:rsid w:val="007513B4"/>
    <w:rsid w:val="007615BC"/>
    <w:rsid w:val="00762F05"/>
    <w:rsid w:val="007652FF"/>
    <w:rsid w:val="00770EF1"/>
    <w:rsid w:val="00773EF7"/>
    <w:rsid w:val="00774E1D"/>
    <w:rsid w:val="0077675A"/>
    <w:rsid w:val="00780355"/>
    <w:rsid w:val="00785721"/>
    <w:rsid w:val="00793A59"/>
    <w:rsid w:val="007B6E9F"/>
    <w:rsid w:val="007C1216"/>
    <w:rsid w:val="007C1AF7"/>
    <w:rsid w:val="007E6E27"/>
    <w:rsid w:val="007F7D44"/>
    <w:rsid w:val="0080413D"/>
    <w:rsid w:val="00805D27"/>
    <w:rsid w:val="00807B4D"/>
    <w:rsid w:val="00821776"/>
    <w:rsid w:val="008321F5"/>
    <w:rsid w:val="00832369"/>
    <w:rsid w:val="00834660"/>
    <w:rsid w:val="00836BC2"/>
    <w:rsid w:val="008414A0"/>
    <w:rsid w:val="0085641B"/>
    <w:rsid w:val="00857136"/>
    <w:rsid w:val="00886D15"/>
    <w:rsid w:val="00887DD8"/>
    <w:rsid w:val="00890FC1"/>
    <w:rsid w:val="00896018"/>
    <w:rsid w:val="008960DD"/>
    <w:rsid w:val="0089635C"/>
    <w:rsid w:val="00897BA9"/>
    <w:rsid w:val="008A235B"/>
    <w:rsid w:val="008A2B9D"/>
    <w:rsid w:val="008A5E0B"/>
    <w:rsid w:val="008A6D59"/>
    <w:rsid w:val="008B16AF"/>
    <w:rsid w:val="008B4B03"/>
    <w:rsid w:val="008B596F"/>
    <w:rsid w:val="008B5A3E"/>
    <w:rsid w:val="008C0D11"/>
    <w:rsid w:val="008C159F"/>
    <w:rsid w:val="008C1623"/>
    <w:rsid w:val="008C1850"/>
    <w:rsid w:val="008C51A9"/>
    <w:rsid w:val="008D770F"/>
    <w:rsid w:val="008E6852"/>
    <w:rsid w:val="008E7846"/>
    <w:rsid w:val="008F1CCC"/>
    <w:rsid w:val="008F2967"/>
    <w:rsid w:val="008F6943"/>
    <w:rsid w:val="00902A21"/>
    <w:rsid w:val="00920330"/>
    <w:rsid w:val="009219D7"/>
    <w:rsid w:val="00922D53"/>
    <w:rsid w:val="00923B70"/>
    <w:rsid w:val="00924482"/>
    <w:rsid w:val="00930237"/>
    <w:rsid w:val="00946EA5"/>
    <w:rsid w:val="0095160F"/>
    <w:rsid w:val="009570DE"/>
    <w:rsid w:val="00963C08"/>
    <w:rsid w:val="00980BC0"/>
    <w:rsid w:val="009817D8"/>
    <w:rsid w:val="0098585A"/>
    <w:rsid w:val="0098669D"/>
    <w:rsid w:val="009944A9"/>
    <w:rsid w:val="009A4CED"/>
    <w:rsid w:val="009A690D"/>
    <w:rsid w:val="009B1D12"/>
    <w:rsid w:val="009B416B"/>
    <w:rsid w:val="009B7129"/>
    <w:rsid w:val="009C4BD5"/>
    <w:rsid w:val="009D7B77"/>
    <w:rsid w:val="009E0BB0"/>
    <w:rsid w:val="009E3FBB"/>
    <w:rsid w:val="009E6958"/>
    <w:rsid w:val="009E785E"/>
    <w:rsid w:val="00A102E4"/>
    <w:rsid w:val="00A12C42"/>
    <w:rsid w:val="00A14DF7"/>
    <w:rsid w:val="00A235D9"/>
    <w:rsid w:val="00A3246D"/>
    <w:rsid w:val="00A36FA7"/>
    <w:rsid w:val="00A419E1"/>
    <w:rsid w:val="00A44265"/>
    <w:rsid w:val="00A475B7"/>
    <w:rsid w:val="00A47AF7"/>
    <w:rsid w:val="00A47C3E"/>
    <w:rsid w:val="00A50226"/>
    <w:rsid w:val="00A50ED1"/>
    <w:rsid w:val="00A56BDD"/>
    <w:rsid w:val="00A60BAD"/>
    <w:rsid w:val="00A60D6D"/>
    <w:rsid w:val="00A84616"/>
    <w:rsid w:val="00A92693"/>
    <w:rsid w:val="00A964D1"/>
    <w:rsid w:val="00AA0ED0"/>
    <w:rsid w:val="00AA3499"/>
    <w:rsid w:val="00AA7DBE"/>
    <w:rsid w:val="00AB1CEF"/>
    <w:rsid w:val="00AB4000"/>
    <w:rsid w:val="00AC2B40"/>
    <w:rsid w:val="00AC2BB2"/>
    <w:rsid w:val="00AC2C3C"/>
    <w:rsid w:val="00AC512D"/>
    <w:rsid w:val="00AC6E8F"/>
    <w:rsid w:val="00AE01C2"/>
    <w:rsid w:val="00AE1EE0"/>
    <w:rsid w:val="00AE65EB"/>
    <w:rsid w:val="00AE67A7"/>
    <w:rsid w:val="00AF1D94"/>
    <w:rsid w:val="00AF60C5"/>
    <w:rsid w:val="00B009C6"/>
    <w:rsid w:val="00B01548"/>
    <w:rsid w:val="00B02208"/>
    <w:rsid w:val="00B1425E"/>
    <w:rsid w:val="00B21D29"/>
    <w:rsid w:val="00B25034"/>
    <w:rsid w:val="00B33588"/>
    <w:rsid w:val="00B33863"/>
    <w:rsid w:val="00B37D17"/>
    <w:rsid w:val="00B4175E"/>
    <w:rsid w:val="00B44C56"/>
    <w:rsid w:val="00B452CE"/>
    <w:rsid w:val="00B54C25"/>
    <w:rsid w:val="00B737AD"/>
    <w:rsid w:val="00B76B91"/>
    <w:rsid w:val="00B77EB1"/>
    <w:rsid w:val="00B811C6"/>
    <w:rsid w:val="00B85A87"/>
    <w:rsid w:val="00B916EC"/>
    <w:rsid w:val="00B92E08"/>
    <w:rsid w:val="00B96EBE"/>
    <w:rsid w:val="00BC622A"/>
    <w:rsid w:val="00BD45E3"/>
    <w:rsid w:val="00BE0A78"/>
    <w:rsid w:val="00BE6252"/>
    <w:rsid w:val="00BE79F0"/>
    <w:rsid w:val="00BF046D"/>
    <w:rsid w:val="00BF1190"/>
    <w:rsid w:val="00BF338D"/>
    <w:rsid w:val="00BF4AA6"/>
    <w:rsid w:val="00BF5D04"/>
    <w:rsid w:val="00BF6EFA"/>
    <w:rsid w:val="00BF77F4"/>
    <w:rsid w:val="00C1164D"/>
    <w:rsid w:val="00C16861"/>
    <w:rsid w:val="00C22678"/>
    <w:rsid w:val="00C404A6"/>
    <w:rsid w:val="00C40A36"/>
    <w:rsid w:val="00C41B5E"/>
    <w:rsid w:val="00C44419"/>
    <w:rsid w:val="00C45E7B"/>
    <w:rsid w:val="00C471B1"/>
    <w:rsid w:val="00C537BE"/>
    <w:rsid w:val="00C618F7"/>
    <w:rsid w:val="00C6316B"/>
    <w:rsid w:val="00C634A9"/>
    <w:rsid w:val="00C64586"/>
    <w:rsid w:val="00C70D53"/>
    <w:rsid w:val="00C73D0B"/>
    <w:rsid w:val="00C772FF"/>
    <w:rsid w:val="00C801AF"/>
    <w:rsid w:val="00C80256"/>
    <w:rsid w:val="00C811C0"/>
    <w:rsid w:val="00C81EA2"/>
    <w:rsid w:val="00CB4296"/>
    <w:rsid w:val="00CB6BC0"/>
    <w:rsid w:val="00CC02EE"/>
    <w:rsid w:val="00CC1B7C"/>
    <w:rsid w:val="00CC727F"/>
    <w:rsid w:val="00CE2502"/>
    <w:rsid w:val="00CF15C3"/>
    <w:rsid w:val="00CF2B6F"/>
    <w:rsid w:val="00CF58B6"/>
    <w:rsid w:val="00D017ED"/>
    <w:rsid w:val="00D040D3"/>
    <w:rsid w:val="00D04C65"/>
    <w:rsid w:val="00D12070"/>
    <w:rsid w:val="00D162E4"/>
    <w:rsid w:val="00D224FE"/>
    <w:rsid w:val="00D305DC"/>
    <w:rsid w:val="00D53A31"/>
    <w:rsid w:val="00D57669"/>
    <w:rsid w:val="00D6493E"/>
    <w:rsid w:val="00D7301E"/>
    <w:rsid w:val="00D83AE1"/>
    <w:rsid w:val="00D855D4"/>
    <w:rsid w:val="00D85BA7"/>
    <w:rsid w:val="00D9321E"/>
    <w:rsid w:val="00D93466"/>
    <w:rsid w:val="00DA1124"/>
    <w:rsid w:val="00DB75B7"/>
    <w:rsid w:val="00DB781D"/>
    <w:rsid w:val="00DC6E02"/>
    <w:rsid w:val="00DE02AE"/>
    <w:rsid w:val="00DF1D7F"/>
    <w:rsid w:val="00DF4BE4"/>
    <w:rsid w:val="00E01BFF"/>
    <w:rsid w:val="00E02FB4"/>
    <w:rsid w:val="00E07F15"/>
    <w:rsid w:val="00E20571"/>
    <w:rsid w:val="00E235F7"/>
    <w:rsid w:val="00E23659"/>
    <w:rsid w:val="00E239D4"/>
    <w:rsid w:val="00E26130"/>
    <w:rsid w:val="00E2741C"/>
    <w:rsid w:val="00E27A06"/>
    <w:rsid w:val="00E40B22"/>
    <w:rsid w:val="00E40F11"/>
    <w:rsid w:val="00E45619"/>
    <w:rsid w:val="00E4588F"/>
    <w:rsid w:val="00E46DA3"/>
    <w:rsid w:val="00E51BB1"/>
    <w:rsid w:val="00E624A5"/>
    <w:rsid w:val="00E7344E"/>
    <w:rsid w:val="00E775A3"/>
    <w:rsid w:val="00E936E3"/>
    <w:rsid w:val="00E93B17"/>
    <w:rsid w:val="00E949C2"/>
    <w:rsid w:val="00EB0798"/>
    <w:rsid w:val="00EB40AD"/>
    <w:rsid w:val="00EB586E"/>
    <w:rsid w:val="00EB5FC8"/>
    <w:rsid w:val="00EC66A3"/>
    <w:rsid w:val="00ED2045"/>
    <w:rsid w:val="00ED3C8D"/>
    <w:rsid w:val="00ED3CAD"/>
    <w:rsid w:val="00ED5A41"/>
    <w:rsid w:val="00EE1DE8"/>
    <w:rsid w:val="00EF6AC9"/>
    <w:rsid w:val="00F033EC"/>
    <w:rsid w:val="00F04F68"/>
    <w:rsid w:val="00F12670"/>
    <w:rsid w:val="00F14B27"/>
    <w:rsid w:val="00F3148D"/>
    <w:rsid w:val="00F325C5"/>
    <w:rsid w:val="00F32FE0"/>
    <w:rsid w:val="00F35298"/>
    <w:rsid w:val="00F47333"/>
    <w:rsid w:val="00F47E37"/>
    <w:rsid w:val="00F53C07"/>
    <w:rsid w:val="00F54B65"/>
    <w:rsid w:val="00F640B6"/>
    <w:rsid w:val="00F80E40"/>
    <w:rsid w:val="00F841F3"/>
    <w:rsid w:val="00F848D9"/>
    <w:rsid w:val="00FA5B82"/>
    <w:rsid w:val="00FA639E"/>
    <w:rsid w:val="00FB2C71"/>
    <w:rsid w:val="00FB7C01"/>
    <w:rsid w:val="00FC25E4"/>
    <w:rsid w:val="00FC4EF7"/>
    <w:rsid w:val="00FE1DEE"/>
    <w:rsid w:val="00FE7EE7"/>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bidi="lo-LA"/>
  <w:clrSchemeMapping w:bg1="light1" w:t1="dark1" w:bg2="light2" w:t2="dark2" w:accent1="accent1" w:accent2="accent2" w:accent3="accent3" w:accent4="accent4" w:accent5="accent5" w:accent6="accent6" w:hyperlink="hyperlink" w:followedHyperlink="followedHyperlink"/>
  <w:shapeDefaults>
    <o:shapedefaults v:ext="edit" spidmax="66562">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qFormat/>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qFormat/>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unhideWhenUsed/>
    <w:qFormat/>
    <w:rsid w:val="00CC02EE"/>
    <w:pPr>
      <w:keepNext/>
      <w:keepLines/>
      <w:tabs>
        <w:tab w:val="num" w:pos="2268"/>
      </w:tabs>
      <w:adjustRightInd w:val="0"/>
      <w:snapToGrid w:val="0"/>
      <w:spacing w:before="200" w:after="0"/>
      <w:ind w:left="2268" w:hanging="1871"/>
      <w:outlineLvl w:val="7"/>
    </w:pPr>
    <w:rPr>
      <w:rFonts w:ascii="Arial" w:eastAsia="Times New Roman" w:hAnsi="Arial"/>
      <w:color w:val="0070B5"/>
      <w:sz w:val="20"/>
      <w:szCs w:val="20"/>
      <w:lang w:eastAsia="ja-JP"/>
    </w:rPr>
  </w:style>
  <w:style w:type="paragraph" w:styleId="Heading9">
    <w:name w:val="heading 9"/>
    <w:basedOn w:val="Normal"/>
    <w:next w:val="Normal"/>
    <w:link w:val="Heading9Char"/>
    <w:uiPriority w:val="9"/>
    <w:semiHidden/>
    <w:unhideWhenUsed/>
    <w:qFormat/>
    <w:rsid w:val="00CC02EE"/>
    <w:pPr>
      <w:keepNext/>
      <w:keepLines/>
      <w:tabs>
        <w:tab w:val="num" w:pos="510"/>
      </w:tabs>
      <w:adjustRightInd w:val="0"/>
      <w:snapToGrid w:val="0"/>
      <w:spacing w:before="200" w:after="0"/>
      <w:ind w:firstLine="510"/>
      <w:outlineLvl w:val="8"/>
    </w:pPr>
    <w:rPr>
      <w:rFonts w:ascii="Arial" w:eastAsia="Times New Roman" w:hAnsi="Arial"/>
      <w:i/>
      <w:iCs/>
      <w:color w:val="0070B5"/>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015C6A"/>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DocumentMap">
    <w:name w:val="Document Map"/>
    <w:basedOn w:val="Normal"/>
    <w:link w:val="DocumentMapChar"/>
    <w:uiPriority w:val="99"/>
    <w:semiHidden/>
    <w:unhideWhenUsed/>
    <w:rsid w:val="0050523D"/>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0523D"/>
    <w:rPr>
      <w:rFonts w:ascii="Tahoma" w:eastAsia="Cambria" w:hAnsi="Tahoma" w:cs="Tahoma"/>
      <w:sz w:val="16"/>
      <w:szCs w:val="16"/>
    </w:rPr>
  </w:style>
  <w:style w:type="character" w:customStyle="1" w:styleId="Heading8Char">
    <w:name w:val="Heading 8 Char"/>
    <w:basedOn w:val="DefaultParagraphFont"/>
    <w:link w:val="Heading8"/>
    <w:uiPriority w:val="9"/>
    <w:rsid w:val="00CC02EE"/>
    <w:rPr>
      <w:rFonts w:ascii="Arial" w:eastAsia="Times New Roman" w:hAnsi="Arial" w:cs="Times New Roman"/>
      <w:color w:val="0070B5"/>
      <w:sz w:val="20"/>
      <w:szCs w:val="20"/>
      <w:lang w:eastAsia="ja-JP"/>
    </w:rPr>
  </w:style>
  <w:style w:type="character" w:customStyle="1" w:styleId="Heading9Char">
    <w:name w:val="Heading 9 Char"/>
    <w:basedOn w:val="DefaultParagraphFont"/>
    <w:link w:val="Heading9"/>
    <w:uiPriority w:val="9"/>
    <w:semiHidden/>
    <w:rsid w:val="00CC02EE"/>
    <w:rPr>
      <w:rFonts w:ascii="Arial" w:eastAsia="Times New Roman" w:hAnsi="Arial" w:cs="Times New Roman"/>
      <w:i/>
      <w:iCs/>
      <w:color w:val="0070B5"/>
      <w:sz w:val="20"/>
      <w:szCs w:val="2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455704">
      <w:bodyDiv w:val="1"/>
      <w:marLeft w:val="0"/>
      <w:marRight w:val="0"/>
      <w:marTop w:val="0"/>
      <w:marBottom w:val="0"/>
      <w:divBdr>
        <w:top w:val="none" w:sz="0" w:space="0" w:color="auto"/>
        <w:left w:val="none" w:sz="0" w:space="0" w:color="auto"/>
        <w:bottom w:val="none" w:sz="0" w:space="0" w:color="auto"/>
        <w:right w:val="none" w:sz="0" w:space="0" w:color="auto"/>
      </w:divBdr>
    </w:div>
    <w:div w:id="1783963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header" Target="header3.xml"/><Relationship Id="rId68" Type="http://schemas.openxmlformats.org/officeDocument/2006/relationships/header" Target="header6.xml"/><Relationship Id="rId7" Type="http://schemas.openxmlformats.org/officeDocument/2006/relationships/footnotes" Target="footnotes.xml"/><Relationship Id="rId71"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eader" Target="header5.xm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emf"/><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hyperlink" Target="http://www.tga.gov.au/hp/information-medicines-pi.htm"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footer" Target="footer2.xm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emf"/><Relationship Id="rId64" Type="http://schemas.openxmlformats.org/officeDocument/2006/relationships/header" Target="header4.xml"/><Relationship Id="rId69"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image" Target="media/image39.emf"/><Relationship Id="rId72" Type="http://schemas.openxmlformats.org/officeDocument/2006/relationships/footer" Target="footer5.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footer" Target="footer3.xml"/><Relationship Id="rId20" Type="http://schemas.openxmlformats.org/officeDocument/2006/relationships/image" Target="media/image8.png"/><Relationship Id="rId41" Type="http://schemas.openxmlformats.org/officeDocument/2006/relationships/image" Target="media/image29.emf"/><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smar\Desktop\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66387-2117-4C20-ADFA-4611C3DF4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Clinical Evaluation Report Extract template.DOTX</Template>
  <TotalTime>61</TotalTime>
  <Pages>48</Pages>
  <Words>10753</Words>
  <Characters>59035</Characters>
  <Application>Microsoft Office Word</Application>
  <DocSecurity>0</DocSecurity>
  <Lines>1093</Lines>
  <Paragraphs>502</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Department of Health Therapeutic Goods Administration</Company>
  <LinksUpToDate>false</LinksUpToDate>
  <CharactersWithSpaces>69286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2. Extract from the Clinical Evaluation Report for iamtinib mesylate</dc:title>
  <dc:subject>prescription medicine regulation</dc:subject>
  <dc:creator>Therapeutic Goods Administration</dc:creator>
  <cp:keywords>clinical, evaluation, report, medicine, assessment, regulation, australia, imatinib, mesylate, glivec, novartis, pharmaceuticals</cp:keywords>
  <cp:lastModifiedBy>dixonj</cp:lastModifiedBy>
  <cp:revision>19</cp:revision>
  <cp:lastPrinted>2010-12-20T22:59:00Z</cp:lastPrinted>
  <dcterms:created xsi:type="dcterms:W3CDTF">2014-01-22T01:38:00Z</dcterms:created>
  <dcterms:modified xsi:type="dcterms:W3CDTF">2014-03-14T05:35:00Z</dcterms:modified>
</cp:coreProperties>
</file>