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579" w:rsidRPr="00057C4C" w:rsidRDefault="00014579" w:rsidP="00962F31">
      <w:pPr>
        <w:pStyle w:val="Titlepage"/>
        <w:tabs>
          <w:tab w:val="right" w:pos="7938"/>
        </w:tabs>
        <w:rPr>
          <w:b/>
          <w:sz w:val="34"/>
        </w:rPr>
      </w:pPr>
      <w:r w:rsidRPr="00057C4C">
        <w:rPr>
          <w:b/>
          <w:sz w:val="34"/>
        </w:rPr>
        <w:t>GLIVEC</w:t>
      </w:r>
      <w:r w:rsidRPr="00057C4C">
        <w:rPr>
          <w:b/>
          <w:sz w:val="34"/>
          <w:vertAlign w:val="superscript"/>
        </w:rPr>
        <w:sym w:font="Symbol" w:char="F0D2"/>
      </w:r>
    </w:p>
    <w:p w:rsidR="00014579" w:rsidRPr="00057C4C" w:rsidRDefault="00014579" w:rsidP="00053D88">
      <w:pPr>
        <w:pStyle w:val="subheading"/>
      </w:pPr>
      <w:r w:rsidRPr="00057C4C">
        <w:t>(imatinib)</w:t>
      </w:r>
    </w:p>
    <w:p w:rsidR="00014579" w:rsidRPr="00EA1C5F" w:rsidRDefault="00014579" w:rsidP="008706A7">
      <w:pPr>
        <w:pStyle w:val="Heading1"/>
      </w:pPr>
      <w:r w:rsidRPr="00EA1C5F">
        <w:t xml:space="preserve">NAME OF THE </w:t>
      </w:r>
      <w:r w:rsidR="00E32F95" w:rsidRPr="00EA1C5F">
        <w:t>MEDICINE</w:t>
      </w:r>
    </w:p>
    <w:p w:rsidR="00014579" w:rsidRPr="00057C4C" w:rsidRDefault="00014579">
      <w:pPr>
        <w:tabs>
          <w:tab w:val="left" w:pos="-720"/>
        </w:tabs>
        <w:spacing w:line="320" w:lineRule="atLeast"/>
      </w:pPr>
      <w:r w:rsidRPr="00057C4C">
        <w:t xml:space="preserve">Active ingredient: </w:t>
      </w:r>
      <w:r w:rsidRPr="00057C4C">
        <w:tab/>
        <w:t xml:space="preserve">imatinib as the mesylate salt. </w:t>
      </w:r>
      <w:r w:rsidR="00667369">
        <w:t>(</w:t>
      </w:r>
      <w:proofErr w:type="gramStart"/>
      <w:r w:rsidR="00667369">
        <w:t>beta</w:t>
      </w:r>
      <w:proofErr w:type="gramEnd"/>
      <w:r w:rsidR="00667369">
        <w:t xml:space="preserve"> crystals)</w:t>
      </w:r>
    </w:p>
    <w:p w:rsidR="00014579" w:rsidRPr="00057C4C" w:rsidRDefault="00014579">
      <w:pPr>
        <w:pStyle w:val="Text"/>
        <w:spacing w:before="0" w:line="320" w:lineRule="atLeast"/>
        <w:ind w:left="2244" w:hanging="2244"/>
        <w:jc w:val="left"/>
      </w:pPr>
      <w:r w:rsidRPr="00057C4C">
        <w:t xml:space="preserve">Chemical name: </w:t>
      </w:r>
      <w:r w:rsidRPr="00057C4C">
        <w:tab/>
        <w:t>4-[(4-Methyl-1-piperazinyl)methyl]-N-[4-methyl-3-[[4-(3-pyridinyl)-2-pyrimidinyl]amino]-phenyl]benzamide methanesulfonate</w:t>
      </w:r>
    </w:p>
    <w:p w:rsidR="00014579" w:rsidRPr="00057C4C" w:rsidRDefault="00014579">
      <w:pPr>
        <w:pStyle w:val="Text"/>
        <w:spacing w:before="0" w:line="320" w:lineRule="atLeast"/>
        <w:jc w:val="left"/>
      </w:pPr>
      <w:r w:rsidRPr="00057C4C">
        <w:t xml:space="preserve">Molecular formula: </w:t>
      </w:r>
      <w:r w:rsidRPr="00057C4C">
        <w:tab/>
        <w:t>C</w:t>
      </w:r>
      <w:r w:rsidRPr="00057C4C">
        <w:rPr>
          <w:vertAlign w:val="subscript"/>
        </w:rPr>
        <w:t>29</w:t>
      </w:r>
      <w:r w:rsidRPr="00057C4C">
        <w:t>H</w:t>
      </w:r>
      <w:r w:rsidRPr="00057C4C">
        <w:rPr>
          <w:vertAlign w:val="subscript"/>
        </w:rPr>
        <w:t>31</w:t>
      </w:r>
      <w:r w:rsidRPr="00057C4C">
        <w:t>N</w:t>
      </w:r>
      <w:r w:rsidRPr="00057C4C">
        <w:rPr>
          <w:vertAlign w:val="subscript"/>
        </w:rPr>
        <w:t>7</w:t>
      </w:r>
      <w:r w:rsidRPr="00057C4C">
        <w:t>O . CH</w:t>
      </w:r>
      <w:r w:rsidRPr="00057C4C">
        <w:rPr>
          <w:vertAlign w:val="subscript"/>
        </w:rPr>
        <w:t>4</w:t>
      </w:r>
      <w:r w:rsidRPr="00057C4C">
        <w:t>SO</w:t>
      </w:r>
      <w:r w:rsidRPr="00057C4C">
        <w:rPr>
          <w:vertAlign w:val="subscript"/>
        </w:rPr>
        <w:t>3</w:t>
      </w:r>
    </w:p>
    <w:p w:rsidR="00014579" w:rsidRPr="00057C4C" w:rsidRDefault="00014579">
      <w:pPr>
        <w:pStyle w:val="Text"/>
        <w:spacing w:before="0" w:line="320" w:lineRule="atLeast"/>
        <w:jc w:val="left"/>
      </w:pPr>
      <w:r w:rsidRPr="00057C4C">
        <w:t xml:space="preserve">CAS number: </w:t>
      </w:r>
      <w:r w:rsidRPr="00057C4C">
        <w:tab/>
      </w:r>
      <w:r w:rsidRPr="00057C4C">
        <w:tab/>
        <w:t>152459-95-5 (free base); 220127-57-1 (mesylate)</w:t>
      </w:r>
    </w:p>
    <w:p w:rsidR="00014579" w:rsidRPr="00057C4C" w:rsidRDefault="00014579">
      <w:pPr>
        <w:pStyle w:val="Text"/>
        <w:spacing w:before="0" w:line="320" w:lineRule="atLeast"/>
        <w:jc w:val="left"/>
      </w:pPr>
      <w:r w:rsidRPr="00057C4C">
        <w:t xml:space="preserve">Molecular weight: </w:t>
      </w:r>
      <w:r w:rsidRPr="00057C4C">
        <w:tab/>
        <w:t>493.6 (free base) + 96.1 (mesylate) = 589.7</w:t>
      </w:r>
    </w:p>
    <w:p w:rsidR="00014579" w:rsidRDefault="00014579">
      <w:pPr>
        <w:tabs>
          <w:tab w:val="left" w:pos="-720"/>
        </w:tabs>
        <w:spacing w:line="320" w:lineRule="atLeast"/>
      </w:pPr>
      <w:r w:rsidRPr="00057C4C">
        <w:t xml:space="preserve">Structural formula: </w:t>
      </w:r>
    </w:p>
    <w:p w:rsidR="0047797A" w:rsidRPr="00057C4C" w:rsidRDefault="0047797A">
      <w:pPr>
        <w:tabs>
          <w:tab w:val="left" w:pos="-720"/>
        </w:tabs>
        <w:spacing w:line="320" w:lineRule="atLeast"/>
      </w:pPr>
      <w:r>
        <w:rPr>
          <w:noProof/>
          <w:lang w:eastAsia="en-AU"/>
        </w:rPr>
        <w:drawing>
          <wp:inline distT="0" distB="0" distL="0" distR="0">
            <wp:extent cx="2731008" cy="2097024"/>
            <wp:effectExtent l="19050" t="0" r="0" b="0"/>
            <wp:docPr id="2" name="Picture 1" descr="Structural formula of imatin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2.jpg"/>
                    <pic:cNvPicPr/>
                  </pic:nvPicPr>
                  <pic:blipFill>
                    <a:blip r:embed="rId7" cstate="print"/>
                    <a:stretch>
                      <a:fillRect/>
                    </a:stretch>
                  </pic:blipFill>
                  <pic:spPr>
                    <a:xfrm>
                      <a:off x="0" y="0"/>
                      <a:ext cx="2731008" cy="2097024"/>
                    </a:xfrm>
                    <a:prstGeom prst="rect">
                      <a:avLst/>
                    </a:prstGeom>
                  </pic:spPr>
                </pic:pic>
              </a:graphicData>
            </a:graphic>
          </wp:inline>
        </w:drawing>
      </w:r>
    </w:p>
    <w:p w:rsidR="00014579" w:rsidRPr="00D165B8" w:rsidRDefault="00014579" w:rsidP="008706A7">
      <w:pPr>
        <w:pStyle w:val="Heading1"/>
      </w:pPr>
      <w:r w:rsidRPr="00D165B8">
        <w:t>DESCRIPTION</w:t>
      </w:r>
    </w:p>
    <w:p w:rsidR="00014579" w:rsidRPr="00057C4C" w:rsidRDefault="00014579" w:rsidP="00F449AB">
      <w:pPr>
        <w:pStyle w:val="Text"/>
        <w:spacing w:after="120"/>
        <w:jc w:val="left"/>
      </w:pPr>
      <w:r w:rsidRPr="00057C4C">
        <w:t xml:space="preserve">Imatinib mesylate is a white to slightly yellowish powder. It is freely soluble in water and aqueous buffers </w:t>
      </w:r>
      <w:r w:rsidRPr="00057C4C">
        <w:sym w:font="Symbol" w:char="F0A3"/>
      </w:r>
      <w:r w:rsidRPr="00057C4C">
        <w:t xml:space="preserve"> pH 5.5 and less soluble in more neutral/alkaline aqueous buffers. In non-aqueous solvents, the compound is soluble in dimethyl sulfoxide, methanol and ethanol, but is insoluble in n-octanol, acetone and acetonitrile.</w:t>
      </w:r>
    </w:p>
    <w:p w:rsidR="00014579" w:rsidRPr="00057C4C" w:rsidRDefault="00B26BD3" w:rsidP="00F449AB">
      <w:pPr>
        <w:pStyle w:val="Text"/>
        <w:spacing w:after="120"/>
        <w:jc w:val="left"/>
      </w:pPr>
      <w:r w:rsidRPr="00057C4C">
        <w:t xml:space="preserve">Each hard gelatin capsule contains 50 mg or 100 mg of imatinib (equivalent to 59.75 mg or 119.5 mg imatinib mesylate, respectively). </w:t>
      </w:r>
      <w:r w:rsidR="00014579" w:rsidRPr="00057C4C">
        <w:t>Each film-coated tablet contains 100 mg or 400 mg of imatinib (equivalent to 119.5 mg or 478 mg imatinib mesylate, respectively).</w:t>
      </w:r>
    </w:p>
    <w:p w:rsidR="00014579" w:rsidRPr="00057C4C" w:rsidRDefault="008706A7" w:rsidP="00053D88">
      <w:pPr>
        <w:pStyle w:val="Heading2"/>
      </w:pPr>
      <w:r>
        <w:t>Excipients:</w:t>
      </w:r>
    </w:p>
    <w:p w:rsidR="00B26BD3" w:rsidRPr="00057C4C" w:rsidRDefault="00B26BD3" w:rsidP="00F449AB">
      <w:pPr>
        <w:spacing w:before="120" w:after="120"/>
      </w:pPr>
      <w:r w:rsidRPr="00057C4C">
        <w:rPr>
          <w:b/>
        </w:rPr>
        <w:t>Capsules</w:t>
      </w:r>
      <w:r w:rsidRPr="00057C4C">
        <w:t>: cellulose-microcrystalline, crospovidone, silica colloidal anhydrous, magnesium stearate, iron oxide yellow CI 77492, iron oxide red CI77491, titanium dioxide, gelatin, Opacode S-1-9460 HV Brown (printing ink).</w:t>
      </w:r>
    </w:p>
    <w:p w:rsidR="00D82A97" w:rsidRPr="00057C4C" w:rsidRDefault="00B26BD3" w:rsidP="00F449AB">
      <w:pPr>
        <w:spacing w:before="120" w:after="120"/>
      </w:pPr>
      <w:r w:rsidRPr="00057C4C">
        <w:rPr>
          <w:b/>
        </w:rPr>
        <w:t>Tablets</w:t>
      </w:r>
      <w:r w:rsidRPr="00057C4C">
        <w:t xml:space="preserve">: </w:t>
      </w:r>
      <w:r w:rsidR="00D82A97" w:rsidRPr="00057C4C">
        <w:t>cellulose-microcrystalline, crospovidone, hypromellose, silica colloidal anhydrous, magnesium stearate, iron oxide yellow CI 77492, iron oxide red CI77491, macrogol 4000, talc</w:t>
      </w:r>
    </w:p>
    <w:p w:rsidR="00014579" w:rsidRPr="00D165B8" w:rsidRDefault="00014579" w:rsidP="008706A7">
      <w:pPr>
        <w:pStyle w:val="Heading1"/>
      </w:pPr>
      <w:r w:rsidRPr="00057C4C">
        <w:br w:type="page"/>
      </w:r>
      <w:r w:rsidRPr="00D165B8">
        <w:lastRenderedPageBreak/>
        <w:t>PHARMACOLOGY</w:t>
      </w:r>
    </w:p>
    <w:p w:rsidR="00773024" w:rsidRPr="00A03D99" w:rsidRDefault="00773024" w:rsidP="00773024">
      <w:pPr>
        <w:pStyle w:val="Heading2"/>
      </w:pPr>
      <w:r w:rsidRPr="00A03D99">
        <w:t>ATC code</w:t>
      </w:r>
    </w:p>
    <w:p w:rsidR="00773024" w:rsidRPr="00A03D99" w:rsidRDefault="00773024" w:rsidP="00773024">
      <w:pPr>
        <w:pStyle w:val="Text"/>
        <w:spacing w:after="120"/>
        <w:jc w:val="left"/>
      </w:pPr>
      <w:r w:rsidRPr="00A03D99">
        <w:t>Pharmacotherapeutic group: protein-tyrosine kinase inhibitor, ATC code: L01XE01</w:t>
      </w:r>
    </w:p>
    <w:p w:rsidR="00773024" w:rsidRPr="00A03D99" w:rsidRDefault="00773024" w:rsidP="00773024">
      <w:pPr>
        <w:pStyle w:val="Heading2"/>
      </w:pPr>
      <w:r w:rsidRPr="00A03D99">
        <w:t>Mechanism of action</w:t>
      </w:r>
    </w:p>
    <w:p w:rsidR="00773024" w:rsidRPr="00773024" w:rsidRDefault="00773024" w:rsidP="00773024">
      <w:pPr>
        <w:pStyle w:val="Text"/>
        <w:spacing w:after="120"/>
        <w:jc w:val="left"/>
      </w:pPr>
      <w:r w:rsidRPr="00A03D99">
        <w:t>Imatinib is a small molecule protein-tyrosine kinase inhibitor that potently inhibits the activity of the Bcr-Abl tyrosine kinase (TK), as well as several receptor TKs:  Kit, the receptor for stem cell factor (SCF) coded for by the c-Kit proto-oncogene, the discoidin domain receptors (DDR1) and DDR2), the colony stimulating factor receptor (CSF-1R) and the platelet-derived growth factor receptors alpha and beta (PDGFR-alpha and PDGFR-beta). Imatinib can also inhibit cellular events mediated by activation of these receptor kinases.</w:t>
      </w:r>
    </w:p>
    <w:p w:rsidR="00014579" w:rsidRPr="00057C4C" w:rsidRDefault="00014579" w:rsidP="00773024">
      <w:pPr>
        <w:pStyle w:val="Heading2"/>
      </w:pPr>
      <w:r w:rsidRPr="00057C4C">
        <w:t>Pharmacodynamics</w:t>
      </w:r>
    </w:p>
    <w:p w:rsidR="00014579" w:rsidRPr="00057C4C" w:rsidRDefault="00014579" w:rsidP="006D2CF6">
      <w:pPr>
        <w:pStyle w:val="Text"/>
        <w:spacing w:after="120"/>
        <w:jc w:val="left"/>
      </w:pPr>
      <w:r w:rsidRPr="00057C4C">
        <w:t>Imatinib mesylate is a protein-tyrosine kinase inhibitor that inhibits the Bcr-Abl tyrosine kinase, the constitutive abnormal tyrosine kinase created by the Philadelphia chromosome abnormality in chronic myeloid leukaemia (CML).  It inhibits proliferation and induces apoptosis in Bcr-Abl positive cell lines, as well as fresh leukaemic cells from CML patients.  In colony formation assays using peripheral blood and bone marrow samples from CML patients, imatinib shows inhibition of formation</w:t>
      </w:r>
      <w:r w:rsidR="002B14EF">
        <w:t xml:space="preserve"> of Bcr-Abl positive colonies.</w:t>
      </w:r>
    </w:p>
    <w:p w:rsidR="00014579" w:rsidRPr="00057C4C" w:rsidRDefault="00014579" w:rsidP="006D2CF6">
      <w:pPr>
        <w:pStyle w:val="Text"/>
        <w:spacing w:after="120"/>
        <w:jc w:val="left"/>
      </w:pPr>
      <w:r w:rsidRPr="00057C4C">
        <w:t xml:space="preserve">In mice </w:t>
      </w:r>
      <w:r w:rsidRPr="00057C4C">
        <w:rPr>
          <w:i/>
        </w:rPr>
        <w:t>in vivo</w:t>
      </w:r>
      <w:r w:rsidRPr="00057C4C">
        <w:t>, it inhibits tumour growth of Bcr-Abl transfected murine myeloid cells as well as Bcr-Abl positive leukaemia cell lines derived from CML patients.</w:t>
      </w:r>
    </w:p>
    <w:p w:rsidR="00014579" w:rsidRPr="00057C4C" w:rsidRDefault="00014579" w:rsidP="006D2CF6">
      <w:pPr>
        <w:pStyle w:val="Text"/>
        <w:spacing w:after="120"/>
        <w:jc w:val="left"/>
      </w:pPr>
      <w:r w:rsidRPr="00057C4C">
        <w:rPr>
          <w:i/>
        </w:rPr>
        <w:t>In vitro</w:t>
      </w:r>
      <w:r w:rsidRPr="00057C4C">
        <w:t xml:space="preserve"> studies demonstrate imatinib is not entirely selective; it also inhibits the receptor tyrosine kinases for platelet-derived growth factor (PDGF) and stem cell factor (SCF), c-Kit, and inhibits PDGF- and SCF-mediated cellular events. </w:t>
      </w:r>
      <w:r w:rsidRPr="00057C4C">
        <w:rPr>
          <w:i/>
          <w:snapToGrid w:val="0"/>
        </w:rPr>
        <w:t>In vitro</w:t>
      </w:r>
      <w:r w:rsidRPr="00057C4C">
        <w:rPr>
          <w:snapToGrid w:val="0"/>
        </w:rPr>
        <w:t xml:space="preserve">, imatinib inhibits proliferation and induces apoptosis in gastrointestinal stromal tumour (GIST) cells, which express an activating </w:t>
      </w:r>
      <w:r w:rsidRPr="00057C4C">
        <w:rPr>
          <w:i/>
          <w:snapToGrid w:val="0"/>
        </w:rPr>
        <w:t>kit</w:t>
      </w:r>
      <w:r w:rsidRPr="00057C4C">
        <w:rPr>
          <w:snapToGrid w:val="0"/>
        </w:rPr>
        <w:t xml:space="preserve"> mutation.</w:t>
      </w:r>
      <w:r w:rsidR="0035641C" w:rsidRPr="00057C4C">
        <w:rPr>
          <w:lang w:val="en-GB"/>
        </w:rPr>
        <w:t xml:space="preserve"> </w:t>
      </w:r>
      <w:r w:rsidR="0035641C" w:rsidRPr="00057C4C">
        <w:rPr>
          <w:snapToGrid w:val="0"/>
          <w:lang w:val="en-GB"/>
        </w:rPr>
        <w:t xml:space="preserve">Constitutive activation of the PDGFR or the Abl protein tyrosine kinases as a consequence of fusion to diverse partner proteins or constitutive production of PDGF have been implicated in the pathogenesis of </w:t>
      </w:r>
      <w:r w:rsidR="00DC62AF" w:rsidRPr="00057C4C">
        <w:t>myelodysplastic/myeloproliferative diseases</w:t>
      </w:r>
      <w:r w:rsidR="00DC62AF" w:rsidRPr="00057C4C">
        <w:rPr>
          <w:snapToGrid w:val="0"/>
          <w:lang w:val="en-GB"/>
        </w:rPr>
        <w:t xml:space="preserve"> (</w:t>
      </w:r>
      <w:r w:rsidR="0035641C" w:rsidRPr="00057C4C">
        <w:rPr>
          <w:snapToGrid w:val="0"/>
          <w:lang w:val="en-GB"/>
        </w:rPr>
        <w:t>MDS/MPD</w:t>
      </w:r>
      <w:r w:rsidR="00DC62AF" w:rsidRPr="00057C4C">
        <w:rPr>
          <w:snapToGrid w:val="0"/>
          <w:lang w:val="en-GB"/>
        </w:rPr>
        <w:t>)</w:t>
      </w:r>
      <w:r w:rsidR="0035641C" w:rsidRPr="00057C4C">
        <w:rPr>
          <w:snapToGrid w:val="0"/>
          <w:lang w:val="en-GB"/>
        </w:rPr>
        <w:t xml:space="preserve">, </w:t>
      </w:r>
      <w:r w:rsidR="00DC62AF" w:rsidRPr="00057C4C">
        <w:t>hypereosinophilic syndrome</w:t>
      </w:r>
      <w:r w:rsidR="00DC62AF" w:rsidRPr="00057C4C">
        <w:rPr>
          <w:snapToGrid w:val="0"/>
          <w:lang w:val="en-GB"/>
        </w:rPr>
        <w:t xml:space="preserve"> and/or chronic eosinophilic leukaemia (</w:t>
      </w:r>
      <w:r w:rsidR="0035641C" w:rsidRPr="00057C4C">
        <w:rPr>
          <w:snapToGrid w:val="0"/>
          <w:lang w:val="en-GB"/>
        </w:rPr>
        <w:t>HES/CEL</w:t>
      </w:r>
      <w:r w:rsidR="00DC62AF" w:rsidRPr="00057C4C">
        <w:rPr>
          <w:snapToGrid w:val="0"/>
          <w:lang w:val="en-GB"/>
        </w:rPr>
        <w:t>)</w:t>
      </w:r>
      <w:r w:rsidR="0035641C" w:rsidRPr="00057C4C">
        <w:rPr>
          <w:snapToGrid w:val="0"/>
          <w:lang w:val="en-GB"/>
        </w:rPr>
        <w:t xml:space="preserve"> and </w:t>
      </w:r>
      <w:r w:rsidR="00DC62AF" w:rsidRPr="00057C4C">
        <w:rPr>
          <w:snapToGrid w:val="0"/>
          <w:lang w:eastAsia="de-DE"/>
        </w:rPr>
        <w:t>dermatofibrosarcoma protuberans</w:t>
      </w:r>
      <w:r w:rsidR="00DC62AF" w:rsidRPr="00057C4C">
        <w:rPr>
          <w:snapToGrid w:val="0"/>
          <w:lang w:val="en-GB"/>
        </w:rPr>
        <w:t xml:space="preserve"> (</w:t>
      </w:r>
      <w:r w:rsidR="0035641C" w:rsidRPr="00057C4C">
        <w:rPr>
          <w:snapToGrid w:val="0"/>
          <w:lang w:val="en-GB"/>
        </w:rPr>
        <w:t>DFSP</w:t>
      </w:r>
      <w:r w:rsidR="00DC62AF" w:rsidRPr="00057C4C">
        <w:rPr>
          <w:snapToGrid w:val="0"/>
          <w:lang w:val="en-GB"/>
        </w:rPr>
        <w:t>)</w:t>
      </w:r>
      <w:r w:rsidR="0035641C" w:rsidRPr="00057C4C">
        <w:rPr>
          <w:snapToGrid w:val="0"/>
          <w:lang w:val="en-GB"/>
        </w:rPr>
        <w:t>. In addition constitutive activation of c-Kit or PDGFR has been im</w:t>
      </w:r>
      <w:r w:rsidR="00DC62AF" w:rsidRPr="00057C4C">
        <w:rPr>
          <w:snapToGrid w:val="0"/>
          <w:lang w:val="en-GB"/>
        </w:rPr>
        <w:t xml:space="preserve">plicated in the pathogenesis of </w:t>
      </w:r>
      <w:r w:rsidR="00DC62AF" w:rsidRPr="00057C4C">
        <w:t>systemic mastocytosis</w:t>
      </w:r>
      <w:r w:rsidR="00DC62AF" w:rsidRPr="00057C4C">
        <w:rPr>
          <w:snapToGrid w:val="0"/>
          <w:lang w:val="en-GB"/>
        </w:rPr>
        <w:t xml:space="preserve"> (</w:t>
      </w:r>
      <w:r w:rsidR="0035641C" w:rsidRPr="00057C4C">
        <w:rPr>
          <w:snapToGrid w:val="0"/>
          <w:lang w:val="en-GB"/>
        </w:rPr>
        <w:t>SM</w:t>
      </w:r>
      <w:r w:rsidR="00DC62AF" w:rsidRPr="00057C4C">
        <w:rPr>
          <w:snapToGrid w:val="0"/>
          <w:lang w:val="en-GB"/>
        </w:rPr>
        <w:t>)</w:t>
      </w:r>
      <w:r w:rsidR="0035641C" w:rsidRPr="00057C4C">
        <w:rPr>
          <w:snapToGrid w:val="0"/>
          <w:lang w:val="en-GB"/>
        </w:rPr>
        <w:t>. Imatinib inhibits signalling and proliferation of cells driven by dysregulated PDGFR, Kit and Abl kinase activity.</w:t>
      </w:r>
    </w:p>
    <w:p w:rsidR="00014579" w:rsidRPr="00053D88" w:rsidRDefault="00014579" w:rsidP="00053D88">
      <w:pPr>
        <w:pStyle w:val="Heading2"/>
      </w:pPr>
      <w:r w:rsidRPr="00053D88">
        <w:t>Pharmacokinetics</w:t>
      </w:r>
    </w:p>
    <w:p w:rsidR="00014579" w:rsidRPr="00057C4C" w:rsidRDefault="00014579" w:rsidP="006D2CF6">
      <w:pPr>
        <w:pStyle w:val="Text"/>
        <w:spacing w:after="120"/>
        <w:jc w:val="left"/>
      </w:pPr>
      <w:r w:rsidRPr="00057C4C">
        <w:t>The pharmacokinetics of Glivec have been evaluated over a dosage range of 25 to 1000 mg. Plasma pharmacokinetic profiles were analysed on day 1 and on either day 7 or day 28, by which time plasma concentrations had reached steady state.</w:t>
      </w:r>
    </w:p>
    <w:p w:rsidR="00014579" w:rsidRPr="00057C4C" w:rsidRDefault="00014579" w:rsidP="00D71D4F">
      <w:pPr>
        <w:pStyle w:val="Heading3"/>
      </w:pPr>
      <w:r w:rsidRPr="00057C4C">
        <w:t>Absorption:</w:t>
      </w:r>
    </w:p>
    <w:p w:rsidR="00014579" w:rsidRPr="00057C4C" w:rsidRDefault="00014579" w:rsidP="006D2CF6">
      <w:pPr>
        <w:pStyle w:val="Text"/>
        <w:spacing w:after="120"/>
        <w:jc w:val="left"/>
      </w:pPr>
      <w:r w:rsidRPr="00057C4C">
        <w:t>Imatinib is well absorbed after oral administration, with maximum plasma concentrations (C</w:t>
      </w:r>
      <w:r w:rsidRPr="00057C4C">
        <w:rPr>
          <w:vertAlign w:val="subscript"/>
        </w:rPr>
        <w:t>max</w:t>
      </w:r>
      <w:r w:rsidRPr="00057C4C">
        <w:t>) being reached approximately 2 hours after dosing.  Mean absolute bioavailability for the capsule formulation is 98%.</w:t>
      </w:r>
      <w:r w:rsidRPr="00057C4C">
        <w:rPr>
          <w:b/>
        </w:rPr>
        <w:t xml:space="preserve"> </w:t>
      </w:r>
      <w:r w:rsidRPr="00057C4C">
        <w:t>When given with a high fat meal, the rate of absorption of imatinib was minimally reduced (11% decrease in C</w:t>
      </w:r>
      <w:r w:rsidRPr="00057C4C">
        <w:rPr>
          <w:vertAlign w:val="subscript"/>
        </w:rPr>
        <w:t>max</w:t>
      </w:r>
      <w:r w:rsidRPr="00057C4C">
        <w:t xml:space="preserve"> and prolongation of t</w:t>
      </w:r>
      <w:r w:rsidRPr="00057C4C">
        <w:rPr>
          <w:vertAlign w:val="subscript"/>
        </w:rPr>
        <w:t>max</w:t>
      </w:r>
      <w:r w:rsidRPr="00057C4C">
        <w:t xml:space="preserve"> by 1.5 h), with a small reduction in AUC (7.4%) compared to fasting conditions.</w:t>
      </w:r>
    </w:p>
    <w:p w:rsidR="00014579" w:rsidRPr="00057C4C" w:rsidRDefault="00014579" w:rsidP="006D2CF6">
      <w:pPr>
        <w:pStyle w:val="Text"/>
        <w:spacing w:after="120"/>
        <w:jc w:val="left"/>
        <w:rPr>
          <w:u w:val="single"/>
        </w:rPr>
      </w:pPr>
      <w:r w:rsidRPr="00057C4C">
        <w:t>The increase in AUC was linear and dose proportional in the range of 25-1000 mg imatinib after oral administration. There was no change in the kinetics of imatinib on repeated dosing, and accumulation was 1.5–2.5-fold at steady state when dosed once daily.  Plasma concentrations of imatinib and its main metabolite showed significant inter-subject variability.</w:t>
      </w:r>
    </w:p>
    <w:p w:rsidR="00014579" w:rsidRPr="00057C4C" w:rsidRDefault="00014579" w:rsidP="00D71D4F">
      <w:pPr>
        <w:pStyle w:val="Heading3"/>
      </w:pPr>
      <w:r w:rsidRPr="00057C4C">
        <w:lastRenderedPageBreak/>
        <w:t>Distribution:</w:t>
      </w:r>
    </w:p>
    <w:p w:rsidR="00014579" w:rsidRPr="00057C4C" w:rsidRDefault="00014579" w:rsidP="006D2CF6">
      <w:pPr>
        <w:pStyle w:val="Text"/>
        <w:spacing w:after="120"/>
        <w:jc w:val="left"/>
      </w:pPr>
      <w:r w:rsidRPr="00057C4C">
        <w:t xml:space="preserve">At clinically relevant concentrations of imatinib, binding to plasma proteins was approximately 95% on the basis of </w:t>
      </w:r>
      <w:r w:rsidRPr="00057C4C">
        <w:rPr>
          <w:i/>
        </w:rPr>
        <w:t>in vitro</w:t>
      </w:r>
      <w:r w:rsidRPr="00057C4C">
        <w:t xml:space="preserve"> experiments, mostly to albumin and alpha-acid-glycoprotein, with little binding to lipoprotein. The volume of distribution is about 435 L.</w:t>
      </w:r>
    </w:p>
    <w:p w:rsidR="00014579" w:rsidRPr="00057C4C" w:rsidRDefault="00014579" w:rsidP="00D71D4F">
      <w:pPr>
        <w:pStyle w:val="Heading3"/>
      </w:pPr>
      <w:r w:rsidRPr="00057C4C">
        <w:t>Metabolism:</w:t>
      </w:r>
    </w:p>
    <w:p w:rsidR="00014579" w:rsidRPr="00057C4C" w:rsidRDefault="00014579" w:rsidP="006D2CF6">
      <w:pPr>
        <w:pStyle w:val="Text"/>
        <w:spacing w:after="120"/>
        <w:jc w:val="left"/>
      </w:pPr>
      <w:r w:rsidRPr="00057C4C">
        <w:t xml:space="preserve">Imatinib is cleared from plasma predominantly by metabolism and CYP 3A4 is the main enzyme responsible.  In healthy volunteers, clearance is approximately 14 L/hr and the drug has a half-life of approximately 18 hours, suggesting that once-daily dosing is appropriate.  </w:t>
      </w:r>
    </w:p>
    <w:p w:rsidR="00014579" w:rsidRPr="00057C4C" w:rsidRDefault="00014579" w:rsidP="006D2CF6">
      <w:pPr>
        <w:pStyle w:val="Text"/>
        <w:spacing w:after="120"/>
        <w:jc w:val="left"/>
      </w:pPr>
      <w:r w:rsidRPr="00057C4C">
        <w:t xml:space="preserve">The main circulating metabolite in humans is the N-demethylated piperazine derivative,  which shows similar </w:t>
      </w:r>
      <w:r w:rsidRPr="00057C4C">
        <w:rPr>
          <w:i/>
        </w:rPr>
        <w:t>in vitro</w:t>
      </w:r>
      <w:r w:rsidRPr="00057C4C">
        <w:t xml:space="preserve"> potency as imatinib. The plasma AUC for this metabolite was found to be only 16% of the AUC for imatinib.  Its half-life was approximately 40 hours.</w:t>
      </w:r>
      <w:r w:rsidR="00A15457" w:rsidRPr="00057C4C">
        <w:t xml:space="preserve"> The plasma protein binding of the N-demethylated metabolite is similar to that of imatinib.</w:t>
      </w:r>
    </w:p>
    <w:p w:rsidR="00014579" w:rsidRPr="00057C4C" w:rsidRDefault="00014579" w:rsidP="006D2CF6">
      <w:pPr>
        <w:pStyle w:val="Text"/>
        <w:spacing w:after="120"/>
        <w:jc w:val="left"/>
      </w:pPr>
      <w:r w:rsidRPr="00057C4C">
        <w:t xml:space="preserve">Imatinib competitively inhibits CYP2C9, CYP2D6 and CYP3A4/5, with Ki values indicating that CYP2D6 and CYP3A4-dependent metabolism of concomitantly administered drugs may be reduced (see "PRECAUTIONS - Interactions with Other </w:t>
      </w:r>
      <w:r w:rsidR="00E32F95" w:rsidRPr="00EA1C5F">
        <w:t>Medicines</w:t>
      </w:r>
      <w:r w:rsidRPr="00057C4C">
        <w:t>").</w:t>
      </w:r>
    </w:p>
    <w:p w:rsidR="00014579" w:rsidRPr="00057C4C" w:rsidRDefault="00014579" w:rsidP="00D71D4F">
      <w:pPr>
        <w:pStyle w:val="Heading3"/>
      </w:pPr>
      <w:r w:rsidRPr="00057C4C">
        <w:t>Elimination:</w:t>
      </w:r>
    </w:p>
    <w:p w:rsidR="00014579" w:rsidRPr="00057C4C" w:rsidRDefault="00014579" w:rsidP="006D2CF6">
      <w:pPr>
        <w:pStyle w:val="Text"/>
        <w:spacing w:after="120"/>
        <w:jc w:val="left"/>
      </w:pPr>
      <w:r w:rsidRPr="00057C4C">
        <w:t xml:space="preserve">Based on the recovery of compound(s) after an oral </w:t>
      </w:r>
      <w:r w:rsidRPr="00057C4C">
        <w:rPr>
          <w:vertAlign w:val="superscript"/>
        </w:rPr>
        <w:t>14</w:t>
      </w:r>
      <w:r w:rsidRPr="00057C4C">
        <w:t>C-labelled dose of imatinib, approximately 81% of the dose was eliminated within 7 days in faeces (68% of dose) and urine (13% of dose).  Unchanged imatinib accounted for 25% of the dose (5% urine, 20% faeces), the remainder being metabolites.</w:t>
      </w:r>
    </w:p>
    <w:p w:rsidR="00014579" w:rsidRPr="00057C4C" w:rsidRDefault="00014579" w:rsidP="00D71D4F">
      <w:pPr>
        <w:pStyle w:val="Heading3"/>
      </w:pPr>
      <w:r w:rsidRPr="00057C4C">
        <w:t>Pharmacokinetics in special patient groups:</w:t>
      </w:r>
    </w:p>
    <w:p w:rsidR="00014579" w:rsidRPr="00057C4C" w:rsidRDefault="00014579" w:rsidP="00F45F40">
      <w:pPr>
        <w:pStyle w:val="Text"/>
        <w:spacing w:after="120"/>
        <w:jc w:val="left"/>
      </w:pPr>
      <w:r w:rsidRPr="00057C4C">
        <w:t>Based on population pharmacokinetic analysis, there was a small effect of age on the volume of distribution (12% increase in patients &gt; 65 years old). This change is not thought to be clinically significant. No significant age related pharmacokinetic differences have been observed in adult patients in clinical trials which included over 20% of patients age 65 and older.</w:t>
      </w:r>
    </w:p>
    <w:p w:rsidR="00014579" w:rsidRPr="00057C4C" w:rsidRDefault="00014579" w:rsidP="00F45F40">
      <w:pPr>
        <w:pStyle w:val="Text"/>
        <w:spacing w:after="120"/>
        <w:jc w:val="left"/>
      </w:pPr>
      <w:r w:rsidRPr="00057C4C">
        <w:t>The effect of body weight on the clearance of imatinib is such that for a 50 year old patient weighing 50 kg the mean clearance is expected to be 8 L/h, while for a 50 year old patient weighing 100 kg the clearance will rise to 14 L/h. These changes are not considered sufficient to warrant dose adjustment based on kg bodyweight. There is no effect of gender on the kinetics of imatinib.</w:t>
      </w:r>
    </w:p>
    <w:p w:rsidR="00014579" w:rsidRPr="00057C4C" w:rsidRDefault="00014579" w:rsidP="00D71D4F">
      <w:pPr>
        <w:pStyle w:val="Heading3"/>
      </w:pPr>
      <w:r w:rsidRPr="00057C4C">
        <w:t>Pharmacokinetics in children:</w:t>
      </w:r>
    </w:p>
    <w:p w:rsidR="009778CF" w:rsidRPr="00057C4C" w:rsidRDefault="00014579" w:rsidP="00F45F40">
      <w:pPr>
        <w:spacing w:before="120" w:after="120"/>
      </w:pPr>
      <w:r w:rsidRPr="00057C4C">
        <w:t>As in adult patients, imatinib was rapidly absorbed after oral administration in children</w:t>
      </w:r>
      <w:r w:rsidR="00944B19" w:rsidRPr="00057C4C">
        <w:t xml:space="preserve"> in both </w:t>
      </w:r>
      <w:proofErr w:type="gramStart"/>
      <w:r w:rsidR="00944B19" w:rsidRPr="00057C4C">
        <w:t>Phase</w:t>
      </w:r>
      <w:proofErr w:type="gramEnd"/>
      <w:r w:rsidR="00944B19" w:rsidRPr="00057C4C">
        <w:t xml:space="preserve"> I and II studies</w:t>
      </w:r>
      <w:r w:rsidRPr="00057C4C">
        <w:t>, with a C</w:t>
      </w:r>
      <w:r w:rsidRPr="00057C4C">
        <w:rPr>
          <w:vertAlign w:val="subscript"/>
        </w:rPr>
        <w:t>max</w:t>
      </w:r>
      <w:r w:rsidRPr="00057C4C">
        <w:t xml:space="preserve"> of 2-4 hours. Apparent oral clearance was also similar (mean 11.0 L/h/m</w:t>
      </w:r>
      <w:r w:rsidRPr="00057C4C">
        <w:rPr>
          <w:vertAlign w:val="superscript"/>
        </w:rPr>
        <w:t>2</w:t>
      </w:r>
      <w:r w:rsidRPr="00057C4C">
        <w:t xml:space="preserve"> in children vs. 10.0 L/h/m</w:t>
      </w:r>
      <w:r w:rsidRPr="00057C4C">
        <w:rPr>
          <w:vertAlign w:val="superscript"/>
        </w:rPr>
        <w:t>2</w:t>
      </w:r>
      <w:r w:rsidRPr="00057C4C">
        <w:t xml:space="preserve"> in adults) as was half-life (mean 14.8 h in children vs. 17.1 h in adults). Dosing in children at </w:t>
      </w:r>
      <w:proofErr w:type="gramStart"/>
      <w:r w:rsidRPr="00057C4C">
        <w:t>both 260</w:t>
      </w:r>
      <w:proofErr w:type="gramEnd"/>
      <w:r w:rsidRPr="00057C4C">
        <w:t xml:space="preserve"> mg/m</w:t>
      </w:r>
      <w:r w:rsidRPr="00057C4C">
        <w:rPr>
          <w:vertAlign w:val="superscript"/>
        </w:rPr>
        <w:t>2</w:t>
      </w:r>
      <w:r w:rsidRPr="00057C4C">
        <w:t xml:space="preserve"> and 340 mg/m</w:t>
      </w:r>
      <w:r w:rsidRPr="00057C4C">
        <w:rPr>
          <w:vertAlign w:val="superscript"/>
        </w:rPr>
        <w:t>2</w:t>
      </w:r>
      <w:r w:rsidRPr="00057C4C">
        <w:t xml:space="preserve"> achieved an AUC similar to a 400 mg </w:t>
      </w:r>
      <w:r w:rsidR="00944B19" w:rsidRPr="00057C4C">
        <w:t xml:space="preserve">and 600 mg </w:t>
      </w:r>
      <w:r w:rsidRPr="00057C4C">
        <w:t>dose</w:t>
      </w:r>
      <w:r w:rsidR="00944B19" w:rsidRPr="00057C4C">
        <w:t>, respectively,</w:t>
      </w:r>
      <w:r w:rsidRPr="00057C4C">
        <w:t xml:space="preserve"> in adults. After repeated once daily dosing at 260 mg/m</w:t>
      </w:r>
      <w:r w:rsidRPr="00057C4C">
        <w:rPr>
          <w:vertAlign w:val="superscript"/>
        </w:rPr>
        <w:t>2</w:t>
      </w:r>
      <w:r w:rsidRPr="00057C4C">
        <w:t xml:space="preserve"> and 340 mg/m</w:t>
      </w:r>
      <w:r w:rsidRPr="00057C4C">
        <w:rPr>
          <w:vertAlign w:val="superscript"/>
        </w:rPr>
        <w:t>2</w:t>
      </w:r>
      <w:r w:rsidRPr="00057C4C">
        <w:t>, drug accumulation was 1.5 and 2.2-fold respectively, on comparing AUC</w:t>
      </w:r>
      <w:r w:rsidRPr="00057C4C">
        <w:rPr>
          <w:vertAlign w:val="subscript"/>
        </w:rPr>
        <w:t>0-24h</w:t>
      </w:r>
      <w:r w:rsidRPr="00057C4C">
        <w:t xml:space="preserve"> on days 1 and 8. Mean imatinib AUC did not increase proportionally with increasing dose.</w:t>
      </w:r>
    </w:p>
    <w:p w:rsidR="00014579" w:rsidRPr="00057C4C" w:rsidRDefault="00AA0CFA" w:rsidP="00D71D4F">
      <w:pPr>
        <w:pStyle w:val="Heading3"/>
      </w:pPr>
      <w:r w:rsidRPr="00057C4C">
        <w:br w:type="page"/>
      </w:r>
      <w:r w:rsidR="00014579" w:rsidRPr="00057C4C">
        <w:lastRenderedPageBreak/>
        <w:t>Pharmacokinetics in patients with impaired renal or hepatic function:</w:t>
      </w:r>
    </w:p>
    <w:p w:rsidR="00A15457" w:rsidRPr="00057C4C" w:rsidRDefault="00A15457" w:rsidP="006D2CF6">
      <w:pPr>
        <w:pStyle w:val="Text"/>
        <w:spacing w:after="120"/>
        <w:jc w:val="left"/>
      </w:pPr>
      <w:r w:rsidRPr="00057C4C">
        <w:t xml:space="preserve">In a study of patients with varying degrees of hepatic dysfunction (mild, moderate and severe – see table below for classification of these terms), the mean exposure to imatinib (dose normalised AUC) showed similar exposure between patients with  mild and moderate impairment, but an approximately 45% higher exposure in patients with severe impairment. In this study, 500 mg daily was safely used in patients with mild liver impairment and 300 mg daily was used in other patients. Although only a 300 mg daily dose was used in patients with moderate and severe liver impairment, pharmacokinetic analysis projects that 400 mg can be used safely in patients with moderate liver impairment, and a dose of 300 mg can be used for patients with severe liver impairment. (see “PRECAUTIONS” ,“ADVERSE </w:t>
      </w:r>
      <w:r w:rsidR="00E32F95" w:rsidRPr="00EA1C5F">
        <w:t>EFFECTS</w:t>
      </w:r>
      <w:r w:rsidRPr="00057C4C">
        <w:t>” and  “DOSAGE AND ADMINISTRATION”). Glivec should be used with caution in patients with liver i</w:t>
      </w:r>
      <w:r w:rsidR="002B14EF">
        <w:t>mpairment. (see "PRECAUTIONS").</w:t>
      </w:r>
    </w:p>
    <w:p w:rsidR="00A15457" w:rsidRPr="00057C4C" w:rsidRDefault="00A15457" w:rsidP="006D2CF6">
      <w:pPr>
        <w:pStyle w:val="Text"/>
        <w:spacing w:after="120"/>
        <w:rPr>
          <w:b/>
          <w:lang w:val="en-GB"/>
        </w:rPr>
      </w:pPr>
      <w:r w:rsidRPr="00057C4C">
        <w:rPr>
          <w:b/>
          <w:lang w:val="en-GB"/>
        </w:rPr>
        <w:t>Liver function classification</w:t>
      </w:r>
    </w:p>
    <w:tbl>
      <w:tblPr>
        <w:tblW w:w="9070" w:type="dxa"/>
        <w:jc w:val="center"/>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4"/>
        <w:gridCol w:w="6786"/>
      </w:tblGrid>
      <w:tr w:rsidR="00A15457" w:rsidRPr="00057C4C">
        <w:trPr>
          <w:tblHeader/>
          <w:jc w:val="center"/>
        </w:trPr>
        <w:tc>
          <w:tcPr>
            <w:tcW w:w="2284" w:type="dxa"/>
            <w:tcBorders>
              <w:top w:val="single" w:sz="4" w:space="0" w:color="auto"/>
              <w:left w:val="nil"/>
              <w:right w:val="nil"/>
            </w:tcBorders>
          </w:tcPr>
          <w:p w:rsidR="00A15457" w:rsidRPr="00057C4C" w:rsidRDefault="00A15457" w:rsidP="00C17674">
            <w:pPr>
              <w:pStyle w:val="Text"/>
              <w:spacing w:before="60" w:after="60"/>
              <w:rPr>
                <w:b/>
                <w:lang w:val="en-GB"/>
              </w:rPr>
            </w:pPr>
            <w:r w:rsidRPr="00057C4C">
              <w:rPr>
                <w:b/>
                <w:lang w:val="en-GB"/>
              </w:rPr>
              <w:t>Liver dysfunction</w:t>
            </w:r>
          </w:p>
        </w:tc>
        <w:tc>
          <w:tcPr>
            <w:tcW w:w="6786" w:type="dxa"/>
            <w:tcBorders>
              <w:top w:val="single" w:sz="4" w:space="0" w:color="auto"/>
              <w:left w:val="nil"/>
              <w:right w:val="nil"/>
            </w:tcBorders>
          </w:tcPr>
          <w:p w:rsidR="00A15457" w:rsidRPr="00057C4C" w:rsidRDefault="00A15457" w:rsidP="00C17674">
            <w:pPr>
              <w:pStyle w:val="Text"/>
              <w:spacing w:before="60" w:after="60"/>
              <w:rPr>
                <w:b/>
                <w:lang w:val="en-GB"/>
              </w:rPr>
            </w:pPr>
            <w:r w:rsidRPr="00057C4C">
              <w:rPr>
                <w:b/>
                <w:lang w:val="en-GB"/>
              </w:rPr>
              <w:t>Liver function tests</w:t>
            </w:r>
          </w:p>
        </w:tc>
      </w:tr>
      <w:tr w:rsidR="00A15457" w:rsidRPr="00057C4C">
        <w:trPr>
          <w:jc w:val="center"/>
        </w:trPr>
        <w:tc>
          <w:tcPr>
            <w:tcW w:w="2284" w:type="dxa"/>
            <w:tcBorders>
              <w:left w:val="nil"/>
              <w:bottom w:val="nil"/>
              <w:right w:val="nil"/>
            </w:tcBorders>
          </w:tcPr>
          <w:p w:rsidR="00A15457" w:rsidRPr="00057C4C" w:rsidRDefault="00A15457" w:rsidP="00C17674">
            <w:pPr>
              <w:pStyle w:val="Text"/>
              <w:spacing w:before="60" w:after="60"/>
              <w:rPr>
                <w:b/>
                <w:lang w:val="en-GB"/>
              </w:rPr>
            </w:pPr>
            <w:r w:rsidRPr="00057C4C">
              <w:rPr>
                <w:b/>
                <w:lang w:val="en-GB"/>
              </w:rPr>
              <w:t>Mild</w:t>
            </w:r>
          </w:p>
        </w:tc>
        <w:tc>
          <w:tcPr>
            <w:tcW w:w="6786" w:type="dxa"/>
            <w:tcBorders>
              <w:left w:val="nil"/>
              <w:bottom w:val="nil"/>
              <w:right w:val="nil"/>
            </w:tcBorders>
          </w:tcPr>
          <w:p w:rsidR="00A15457" w:rsidRPr="00057C4C" w:rsidRDefault="00A15457" w:rsidP="00C17674">
            <w:pPr>
              <w:pStyle w:val="Text"/>
              <w:spacing w:before="60" w:after="60"/>
              <w:jc w:val="left"/>
              <w:rPr>
                <w:lang w:val="en-GB"/>
              </w:rPr>
            </w:pPr>
            <w:r w:rsidRPr="00057C4C">
              <w:rPr>
                <w:lang w:val="en-GB"/>
              </w:rPr>
              <w:t>Total bilirubin: = 1.5 ULN</w:t>
            </w:r>
            <w:r w:rsidR="00C17674" w:rsidRPr="00057C4C">
              <w:rPr>
                <w:lang w:val="en-GB"/>
              </w:rPr>
              <w:br/>
            </w:r>
            <w:r w:rsidR="007656E8" w:rsidRPr="00057C4C">
              <w:rPr>
                <w:lang w:val="en-GB"/>
              </w:rPr>
              <w:t>AST</w:t>
            </w:r>
            <w:r w:rsidRPr="00057C4C">
              <w:rPr>
                <w:lang w:val="en-GB"/>
              </w:rPr>
              <w:t>: &gt; ULN (can be normal or &lt; ULN if total bilirubin is &gt; ULN)</w:t>
            </w:r>
          </w:p>
        </w:tc>
      </w:tr>
      <w:tr w:rsidR="00A15457" w:rsidRPr="00057C4C">
        <w:trPr>
          <w:jc w:val="center"/>
        </w:trPr>
        <w:tc>
          <w:tcPr>
            <w:tcW w:w="2284" w:type="dxa"/>
            <w:tcBorders>
              <w:top w:val="nil"/>
              <w:left w:val="nil"/>
              <w:bottom w:val="nil"/>
              <w:right w:val="nil"/>
            </w:tcBorders>
          </w:tcPr>
          <w:p w:rsidR="00A15457" w:rsidRPr="00057C4C" w:rsidRDefault="00A15457" w:rsidP="00C17674">
            <w:pPr>
              <w:pStyle w:val="Text"/>
              <w:spacing w:before="60" w:after="60"/>
              <w:rPr>
                <w:b/>
                <w:lang w:val="en-GB"/>
              </w:rPr>
            </w:pPr>
            <w:r w:rsidRPr="00057C4C">
              <w:rPr>
                <w:b/>
                <w:lang w:val="en-GB"/>
              </w:rPr>
              <w:t>Moderate</w:t>
            </w:r>
          </w:p>
        </w:tc>
        <w:tc>
          <w:tcPr>
            <w:tcW w:w="6786" w:type="dxa"/>
            <w:tcBorders>
              <w:top w:val="nil"/>
              <w:left w:val="nil"/>
              <w:bottom w:val="nil"/>
              <w:right w:val="nil"/>
            </w:tcBorders>
          </w:tcPr>
          <w:p w:rsidR="00A15457" w:rsidRPr="00057C4C" w:rsidRDefault="00A15457" w:rsidP="00C17674">
            <w:pPr>
              <w:pStyle w:val="Text"/>
              <w:spacing w:before="60" w:after="60"/>
              <w:jc w:val="left"/>
              <w:rPr>
                <w:lang w:val="en-GB"/>
              </w:rPr>
            </w:pPr>
            <w:r w:rsidRPr="00057C4C">
              <w:rPr>
                <w:lang w:val="en-GB"/>
              </w:rPr>
              <w:t xml:space="preserve">Total bilirubin: &gt; 1.5-3.0 ULN </w:t>
            </w:r>
            <w:r w:rsidR="00C17674" w:rsidRPr="00057C4C">
              <w:rPr>
                <w:lang w:val="en-GB"/>
              </w:rPr>
              <w:br/>
            </w:r>
            <w:r w:rsidR="007656E8" w:rsidRPr="00057C4C">
              <w:rPr>
                <w:lang w:val="en-GB"/>
              </w:rPr>
              <w:t>AST</w:t>
            </w:r>
            <w:r w:rsidRPr="00057C4C">
              <w:rPr>
                <w:lang w:val="en-GB"/>
              </w:rPr>
              <w:t xml:space="preserve">: any </w:t>
            </w:r>
          </w:p>
        </w:tc>
      </w:tr>
      <w:tr w:rsidR="00A15457" w:rsidRPr="00057C4C">
        <w:trPr>
          <w:jc w:val="center"/>
        </w:trPr>
        <w:tc>
          <w:tcPr>
            <w:tcW w:w="2284" w:type="dxa"/>
            <w:tcBorders>
              <w:top w:val="nil"/>
              <w:left w:val="nil"/>
              <w:bottom w:val="single" w:sz="4" w:space="0" w:color="auto"/>
              <w:right w:val="nil"/>
            </w:tcBorders>
          </w:tcPr>
          <w:p w:rsidR="00A15457" w:rsidRPr="00057C4C" w:rsidRDefault="00A15457" w:rsidP="00C17674">
            <w:pPr>
              <w:pStyle w:val="Text"/>
              <w:spacing w:before="60" w:after="60"/>
              <w:rPr>
                <w:b/>
                <w:lang w:val="en-GB"/>
              </w:rPr>
            </w:pPr>
            <w:r w:rsidRPr="00057C4C">
              <w:rPr>
                <w:b/>
                <w:lang w:val="en-GB"/>
              </w:rPr>
              <w:t xml:space="preserve">Severe  </w:t>
            </w:r>
          </w:p>
        </w:tc>
        <w:tc>
          <w:tcPr>
            <w:tcW w:w="6786" w:type="dxa"/>
            <w:tcBorders>
              <w:top w:val="nil"/>
              <w:left w:val="nil"/>
              <w:bottom w:val="single" w:sz="4" w:space="0" w:color="auto"/>
              <w:right w:val="nil"/>
            </w:tcBorders>
          </w:tcPr>
          <w:p w:rsidR="00A15457" w:rsidRPr="00057C4C" w:rsidRDefault="00A15457" w:rsidP="00C17674">
            <w:pPr>
              <w:pStyle w:val="Text"/>
              <w:spacing w:before="60" w:after="60"/>
              <w:jc w:val="left"/>
              <w:rPr>
                <w:lang w:val="en-GB"/>
              </w:rPr>
            </w:pPr>
            <w:r w:rsidRPr="00057C4C">
              <w:rPr>
                <w:lang w:val="en-GB"/>
              </w:rPr>
              <w:t>Total bilirubin: &gt; 3-10 ULN</w:t>
            </w:r>
            <w:r w:rsidR="00C17674" w:rsidRPr="00057C4C">
              <w:rPr>
                <w:lang w:val="en-GB"/>
              </w:rPr>
              <w:br/>
            </w:r>
            <w:r w:rsidR="007656E8" w:rsidRPr="00057C4C">
              <w:rPr>
                <w:lang w:val="en-GB"/>
              </w:rPr>
              <w:t>AST</w:t>
            </w:r>
            <w:r w:rsidRPr="00057C4C">
              <w:rPr>
                <w:lang w:val="en-GB"/>
              </w:rPr>
              <w:t>: any</w:t>
            </w:r>
          </w:p>
        </w:tc>
      </w:tr>
    </w:tbl>
    <w:p w:rsidR="00014579" w:rsidRPr="00057C4C" w:rsidRDefault="00A15457" w:rsidP="00C36496">
      <w:pPr>
        <w:pStyle w:val="Text"/>
        <w:spacing w:before="60" w:after="60"/>
        <w:jc w:val="left"/>
        <w:rPr>
          <w:sz w:val="20"/>
          <w:lang w:val="en-GB"/>
        </w:rPr>
      </w:pPr>
      <w:r w:rsidRPr="00057C4C">
        <w:rPr>
          <w:sz w:val="20"/>
          <w:lang w:val="en-GB"/>
        </w:rPr>
        <w:t>ULN=</w:t>
      </w:r>
      <w:r w:rsidR="00C17674" w:rsidRPr="00057C4C">
        <w:rPr>
          <w:sz w:val="20"/>
          <w:lang w:val="en-GB"/>
        </w:rPr>
        <w:t xml:space="preserve"> </w:t>
      </w:r>
      <w:r w:rsidRPr="00057C4C">
        <w:rPr>
          <w:sz w:val="20"/>
          <w:lang w:val="en-GB"/>
        </w:rPr>
        <w:t>upper limit of normal for the institution</w:t>
      </w:r>
      <w:r w:rsidR="00C17674" w:rsidRPr="00057C4C">
        <w:rPr>
          <w:sz w:val="20"/>
          <w:lang w:val="en-GB"/>
        </w:rPr>
        <w:br/>
      </w:r>
      <w:r w:rsidR="007656E8" w:rsidRPr="00057C4C">
        <w:rPr>
          <w:sz w:val="20"/>
          <w:lang w:val="en-GB"/>
        </w:rPr>
        <w:t xml:space="preserve">AST </w:t>
      </w:r>
      <w:r w:rsidRPr="00057C4C">
        <w:rPr>
          <w:sz w:val="20"/>
          <w:lang w:val="en-GB"/>
        </w:rPr>
        <w:t xml:space="preserve">= </w:t>
      </w:r>
      <w:r w:rsidR="007656E8" w:rsidRPr="00057C4C">
        <w:rPr>
          <w:sz w:val="20"/>
          <w:lang w:val="en-GB"/>
        </w:rPr>
        <w:t>aspartate amino</w:t>
      </w:r>
      <w:r w:rsidRPr="00057C4C">
        <w:rPr>
          <w:sz w:val="20"/>
          <w:lang w:val="en-GB"/>
        </w:rPr>
        <w:t>transferase</w:t>
      </w:r>
    </w:p>
    <w:p w:rsidR="00A72E9D" w:rsidRPr="00057C4C" w:rsidRDefault="00A72E9D" w:rsidP="0055428A">
      <w:pPr>
        <w:pStyle w:val="Text"/>
        <w:spacing w:before="0" w:line="320" w:lineRule="atLeast"/>
        <w:jc w:val="left"/>
      </w:pPr>
      <w:r w:rsidRPr="00057C4C">
        <w:t xml:space="preserve">Imatinib and its metabolites are not excreted via the kidney to a significant extent. In a study of patients with varying degrees of renal dysfunction (mild, moderate and severe - see table below for renal function classification), the mean exposure to imatinib (dose normalized AUC) increased 1.5- to 2-fold compared to patients with normal renal function, which corresponded to an elevated plasma level of AGP, a protein to which imatinib binds strongly. No correlation between imatinib exposure and the severity of renal deficiency was observed. In this study, 800 mg daily was safely used in patients with mild renal dysfunction and 600 mg daily was used in moderate renal dysfunction. The 800 mg dose was not tested in patients with moderate renal dysfunction due to the limited number of patients enrolled. Similarly, only 2 patients with severe renal dysfunction were enrolled at the low (100 mg) dose, and no higher doses were tested. No patients on haemodialysis were enrolled in the study. Literature data showed that a daily dose of 400 mg was well tolerated in a patient with end-stage renal disease on haemodialysis. The PK plasma exposure in this patient fell within the range of values of imatinib and its metabolite </w:t>
      </w:r>
      <w:smartTag w:uri="urn:schemas-microsoft-com:office:smarttags" w:element="stockticker">
        <w:r w:rsidRPr="00057C4C">
          <w:t>CGP</w:t>
        </w:r>
      </w:smartTag>
      <w:r w:rsidRPr="00057C4C">
        <w:t xml:space="preserve">74588 observed in patients with normal renal function. Dialysis was not found to intervene with the plasma kinetics of imatinib. Since renal excretion represents a minor elimination pathway for imatinib, patients with severe renal insufficiency and on dialysis could receive treatment at the 400 mg starting dose. However, in these patients caution is recommended. The dose can be reduced if not tolerated, or increased for lack of efficacy (see “PRECAUTIONS” and  “DOSAGE </w:t>
      </w:r>
      <w:smartTag w:uri="urn:schemas-microsoft-com:office:smarttags" w:element="stockticker">
        <w:r w:rsidRPr="00057C4C">
          <w:t>AND</w:t>
        </w:r>
      </w:smartTag>
      <w:r w:rsidRPr="00057C4C">
        <w:t xml:space="preserve"> ADMINISTRATION”).</w:t>
      </w:r>
    </w:p>
    <w:p w:rsidR="00A72E9D" w:rsidRPr="00057C4C" w:rsidRDefault="00A72E9D" w:rsidP="00A72E9D">
      <w:pPr>
        <w:pStyle w:val="Text"/>
        <w:spacing w:before="60" w:after="60"/>
        <w:rPr>
          <w:b/>
          <w:bCs/>
        </w:rPr>
      </w:pPr>
      <w:r w:rsidRPr="00057C4C">
        <w:rPr>
          <w:b/>
          <w:bCs/>
        </w:rPr>
        <w:br w:type="page"/>
      </w:r>
      <w:r w:rsidRPr="00057C4C">
        <w:rPr>
          <w:b/>
          <w:bCs/>
        </w:rPr>
        <w:lastRenderedPageBreak/>
        <w:t>Renal function classification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8"/>
        <w:gridCol w:w="2616"/>
      </w:tblGrid>
      <w:tr w:rsidR="00A72E9D" w:rsidRPr="00057C4C" w:rsidTr="00A72E9D">
        <w:trPr>
          <w:trHeight w:val="406"/>
        </w:trPr>
        <w:tc>
          <w:tcPr>
            <w:tcW w:w="2508" w:type="dxa"/>
            <w:tcBorders>
              <w:top w:val="single" w:sz="4" w:space="0" w:color="auto"/>
              <w:left w:val="nil"/>
              <w:bottom w:val="single" w:sz="4" w:space="0" w:color="auto"/>
              <w:right w:val="nil"/>
            </w:tcBorders>
          </w:tcPr>
          <w:p w:rsidR="00A72E9D" w:rsidRPr="00CC0663" w:rsidRDefault="00A72E9D" w:rsidP="00A72E9D">
            <w:pPr>
              <w:pStyle w:val="Text"/>
              <w:spacing w:before="60" w:after="60"/>
              <w:rPr>
                <w:lang w:val="en-AU"/>
              </w:rPr>
            </w:pPr>
            <w:r w:rsidRPr="00CC0663">
              <w:rPr>
                <w:lang w:val="en-AU"/>
              </w:rPr>
              <w:t>Renal dysfunction</w:t>
            </w:r>
          </w:p>
        </w:tc>
        <w:tc>
          <w:tcPr>
            <w:tcW w:w="2616" w:type="dxa"/>
            <w:tcBorders>
              <w:top w:val="single" w:sz="4" w:space="0" w:color="auto"/>
              <w:left w:val="nil"/>
              <w:bottom w:val="single" w:sz="4" w:space="0" w:color="auto"/>
              <w:right w:val="nil"/>
            </w:tcBorders>
          </w:tcPr>
          <w:p w:rsidR="00A72E9D" w:rsidRPr="00CC0663" w:rsidRDefault="00A72E9D" w:rsidP="00A72E9D">
            <w:pPr>
              <w:pStyle w:val="Text"/>
              <w:spacing w:before="60" w:after="60"/>
              <w:rPr>
                <w:lang w:val="en-AU"/>
              </w:rPr>
            </w:pPr>
            <w:r w:rsidRPr="00CC0663">
              <w:rPr>
                <w:lang w:val="en-AU"/>
              </w:rPr>
              <w:t>Renal function tests</w:t>
            </w:r>
          </w:p>
        </w:tc>
      </w:tr>
      <w:tr w:rsidR="00A72E9D" w:rsidRPr="00057C4C" w:rsidTr="00A72E9D">
        <w:trPr>
          <w:trHeight w:val="396"/>
        </w:trPr>
        <w:tc>
          <w:tcPr>
            <w:tcW w:w="2508" w:type="dxa"/>
            <w:tcBorders>
              <w:top w:val="single" w:sz="4" w:space="0" w:color="auto"/>
              <w:left w:val="nil"/>
              <w:bottom w:val="nil"/>
              <w:right w:val="nil"/>
            </w:tcBorders>
          </w:tcPr>
          <w:p w:rsidR="00A72E9D" w:rsidRPr="00CC0663" w:rsidRDefault="00A72E9D" w:rsidP="00A72E9D">
            <w:pPr>
              <w:pStyle w:val="Text"/>
              <w:spacing w:before="60" w:after="60"/>
              <w:rPr>
                <w:lang w:val="en-AU"/>
              </w:rPr>
            </w:pPr>
            <w:r w:rsidRPr="00CC0663">
              <w:rPr>
                <w:lang w:val="en-AU"/>
              </w:rPr>
              <w:t>Mild</w:t>
            </w:r>
          </w:p>
        </w:tc>
        <w:tc>
          <w:tcPr>
            <w:tcW w:w="2616" w:type="dxa"/>
            <w:tcBorders>
              <w:top w:val="single" w:sz="4" w:space="0" w:color="auto"/>
              <w:left w:val="nil"/>
              <w:bottom w:val="nil"/>
              <w:right w:val="nil"/>
            </w:tcBorders>
          </w:tcPr>
          <w:p w:rsidR="00A72E9D" w:rsidRPr="00CC0663" w:rsidRDefault="00A72E9D" w:rsidP="00A72E9D">
            <w:pPr>
              <w:pStyle w:val="Text"/>
              <w:spacing w:before="60" w:after="60"/>
              <w:rPr>
                <w:lang w:val="en-AU"/>
              </w:rPr>
            </w:pPr>
            <w:r w:rsidRPr="00CC0663">
              <w:rPr>
                <w:lang w:val="en-AU"/>
              </w:rPr>
              <w:t>CrCL = 40-59 mL/min</w:t>
            </w:r>
          </w:p>
        </w:tc>
      </w:tr>
      <w:tr w:rsidR="00A72E9D" w:rsidRPr="00057C4C" w:rsidTr="00A72E9D">
        <w:trPr>
          <w:trHeight w:val="406"/>
        </w:trPr>
        <w:tc>
          <w:tcPr>
            <w:tcW w:w="2508" w:type="dxa"/>
            <w:tcBorders>
              <w:top w:val="nil"/>
              <w:left w:val="nil"/>
              <w:bottom w:val="nil"/>
              <w:right w:val="nil"/>
            </w:tcBorders>
          </w:tcPr>
          <w:p w:rsidR="00A72E9D" w:rsidRPr="00057C4C" w:rsidRDefault="00A72E9D" w:rsidP="00A72E9D">
            <w:pPr>
              <w:pStyle w:val="Text"/>
              <w:spacing w:before="60" w:after="60"/>
              <w:rPr>
                <w:lang w:val="da-DK"/>
              </w:rPr>
            </w:pPr>
            <w:r w:rsidRPr="00057C4C">
              <w:rPr>
                <w:lang w:val="da-DK"/>
              </w:rPr>
              <w:t>Moderate</w:t>
            </w:r>
          </w:p>
        </w:tc>
        <w:tc>
          <w:tcPr>
            <w:tcW w:w="2616" w:type="dxa"/>
            <w:tcBorders>
              <w:top w:val="nil"/>
              <w:left w:val="nil"/>
              <w:bottom w:val="nil"/>
              <w:right w:val="nil"/>
            </w:tcBorders>
          </w:tcPr>
          <w:p w:rsidR="00A72E9D" w:rsidRPr="00057C4C" w:rsidRDefault="00A72E9D" w:rsidP="00A72E9D">
            <w:pPr>
              <w:pStyle w:val="Text"/>
              <w:spacing w:before="60" w:after="60"/>
              <w:rPr>
                <w:lang w:val="da-DK"/>
              </w:rPr>
            </w:pPr>
            <w:r w:rsidRPr="00057C4C">
              <w:rPr>
                <w:lang w:val="da-DK"/>
              </w:rPr>
              <w:t>CrCL = 20-39 mL/min</w:t>
            </w:r>
          </w:p>
        </w:tc>
      </w:tr>
      <w:tr w:rsidR="00A72E9D" w:rsidRPr="00057C4C" w:rsidTr="00A72E9D">
        <w:trPr>
          <w:trHeight w:val="396"/>
        </w:trPr>
        <w:tc>
          <w:tcPr>
            <w:tcW w:w="2508" w:type="dxa"/>
            <w:tcBorders>
              <w:top w:val="nil"/>
              <w:left w:val="nil"/>
              <w:bottom w:val="single" w:sz="4" w:space="0" w:color="auto"/>
              <w:right w:val="nil"/>
            </w:tcBorders>
          </w:tcPr>
          <w:p w:rsidR="00A72E9D" w:rsidRPr="00057C4C" w:rsidRDefault="00A72E9D" w:rsidP="00A72E9D">
            <w:pPr>
              <w:pStyle w:val="Text"/>
              <w:spacing w:before="60" w:after="60"/>
              <w:rPr>
                <w:lang w:val="da-DK"/>
              </w:rPr>
            </w:pPr>
            <w:r w:rsidRPr="00057C4C">
              <w:rPr>
                <w:lang w:val="da-DK"/>
              </w:rPr>
              <w:t xml:space="preserve">Severe  </w:t>
            </w:r>
          </w:p>
        </w:tc>
        <w:tc>
          <w:tcPr>
            <w:tcW w:w="2616" w:type="dxa"/>
            <w:tcBorders>
              <w:top w:val="nil"/>
              <w:left w:val="nil"/>
              <w:bottom w:val="single" w:sz="4" w:space="0" w:color="auto"/>
              <w:right w:val="nil"/>
            </w:tcBorders>
          </w:tcPr>
          <w:p w:rsidR="00A72E9D" w:rsidRPr="00057C4C" w:rsidRDefault="00A72E9D" w:rsidP="00A72E9D">
            <w:pPr>
              <w:pStyle w:val="Text"/>
              <w:spacing w:before="60" w:after="60"/>
              <w:rPr>
                <w:lang w:val="da-DK"/>
              </w:rPr>
            </w:pPr>
            <w:r w:rsidRPr="00057C4C">
              <w:rPr>
                <w:lang w:val="da-DK"/>
              </w:rPr>
              <w:t>CrCL = &lt; 20 mL/min</w:t>
            </w:r>
          </w:p>
        </w:tc>
      </w:tr>
    </w:tbl>
    <w:p w:rsidR="00A72E9D" w:rsidRPr="00057C4C" w:rsidRDefault="00A72E9D" w:rsidP="00A72E9D">
      <w:pPr>
        <w:pStyle w:val="Text"/>
        <w:spacing w:before="60" w:after="60"/>
        <w:rPr>
          <w:sz w:val="20"/>
          <w:lang w:val="en-GB"/>
        </w:rPr>
      </w:pPr>
      <w:r w:rsidRPr="00057C4C">
        <w:rPr>
          <w:sz w:val="20"/>
          <w:lang w:val="en-GB"/>
        </w:rPr>
        <w:t>CrCL = Creatinine Clearance</w:t>
      </w:r>
    </w:p>
    <w:p w:rsidR="00014579" w:rsidRPr="00D165B8" w:rsidRDefault="00014579" w:rsidP="008706A7">
      <w:pPr>
        <w:pStyle w:val="Heading1"/>
      </w:pPr>
      <w:r w:rsidRPr="00D165B8">
        <w:t>CLINICAL TRIALS</w:t>
      </w:r>
    </w:p>
    <w:p w:rsidR="00014579" w:rsidRPr="00057C4C" w:rsidRDefault="00A72E9D" w:rsidP="00053D88">
      <w:pPr>
        <w:pStyle w:val="Heading2"/>
      </w:pPr>
      <w:r w:rsidRPr="00057C4C">
        <w:t xml:space="preserve">Clinical Studies in </w:t>
      </w:r>
      <w:r w:rsidR="00014579" w:rsidRPr="00057C4C">
        <w:t>Chronic Myeloid Leukaemia (CML)</w:t>
      </w:r>
    </w:p>
    <w:p w:rsidR="00014579" w:rsidRPr="00057C4C" w:rsidRDefault="00014579" w:rsidP="006D2CF6">
      <w:pPr>
        <w:pStyle w:val="Text"/>
        <w:spacing w:after="120"/>
        <w:jc w:val="left"/>
      </w:pPr>
      <w:r w:rsidRPr="00057C4C">
        <w:t xml:space="preserve">One large, open-label, multicentre, international randomised Phase III study has been conducted in patients with newly diagnosed Philadelphia chromosome positive (Ph+) chronic myeloid leukaemia (CML). Three international, open-label, single-arm studies have also been  conducted in patients with Ph+ CML: 1) in the chronic phase after failure of interferon-alfa (IFN) therapy, 2) in accelerated phase disease, or 3) in myeloid blast crisis.  In the open-label studies, about 45% of patients were women and 6% were black, 38-40% of patients were </w:t>
      </w:r>
      <w:r w:rsidRPr="00057C4C">
        <w:sym w:font="Symbol" w:char="F0B3"/>
      </w:r>
      <w:r w:rsidRPr="00057C4C">
        <w:t xml:space="preserve"> 60 years of age and 10-12% of patients were </w:t>
      </w:r>
      <w:r w:rsidRPr="00057C4C">
        <w:sym w:font="Symbol" w:char="F0B3"/>
      </w:r>
      <w:r w:rsidRPr="00057C4C">
        <w:t xml:space="preserve"> 70 years of age. In addition, children have been treated in two phase I studies. </w:t>
      </w:r>
    </w:p>
    <w:p w:rsidR="00014579" w:rsidRPr="00057C4C" w:rsidRDefault="00014579" w:rsidP="00D71D4F">
      <w:pPr>
        <w:pStyle w:val="Heading3"/>
      </w:pPr>
      <w:r w:rsidRPr="00057C4C">
        <w:t>Chronic phase, newly diagnosed (Study 0106):</w:t>
      </w:r>
    </w:p>
    <w:p w:rsidR="00014579" w:rsidRPr="00057C4C" w:rsidRDefault="00014579" w:rsidP="00297F2F">
      <w:pPr>
        <w:pStyle w:val="Text"/>
        <w:spacing w:after="120"/>
        <w:jc w:val="left"/>
      </w:pPr>
      <w:r w:rsidRPr="00057C4C">
        <w:t>This phase III study compared treatment with either single-agent Glivec or a combination of interferon-alfa (IFN) plus cytarabine (Ara-C). The main inclusion criteria were: patients aged</w:t>
      </w:r>
      <w:r w:rsidRPr="00057C4C">
        <w:rPr>
          <w:i/>
        </w:rPr>
        <w:t xml:space="preserve"> </w:t>
      </w:r>
      <w:r w:rsidRPr="00057C4C">
        <w:t>between 18 and 70 years, diagnosis of chronic phase CML within the previous 6 months, presence of Philadelphia chromosome or variants on cytogenetic analysis, no previous treatment except hydroxyurea or anagrelide. Patients who had failed bone marrow transplantation or who had residual leukaemia after transplantation were excluded from the study. Patients showing lack of response [lack of complete haematological response (CHR) at 6 months, increasing white blood cell count (WBC), no major cytogenetic response (MCyR) at 24 months, loss of response (loss of CHR or MCyR) or severe intolerance to treatment] were allowed to crossover to the alternative treatment arm. In the Glivec arm, patients were treated with 400 mg daily. In the IFN+Ara-C arm, patients were treated with a target dose of IFN of 5 MIU/m</w:t>
      </w:r>
      <w:r w:rsidRPr="00057C4C">
        <w:rPr>
          <w:vertAlign w:val="superscript"/>
        </w:rPr>
        <w:t>2</w:t>
      </w:r>
      <w:r w:rsidRPr="00057C4C">
        <w:t>/day subcutaneously in combination with subcutaneous Ara-C 20 mg/m</w:t>
      </w:r>
      <w:r w:rsidRPr="00057C4C">
        <w:rPr>
          <w:vertAlign w:val="superscript"/>
        </w:rPr>
        <w:t>2</w:t>
      </w:r>
      <w:r w:rsidRPr="00057C4C">
        <w:t>/day for 10 days/month.</w:t>
      </w:r>
    </w:p>
    <w:p w:rsidR="00014579" w:rsidRPr="00057C4C" w:rsidRDefault="00014579" w:rsidP="006D2CF6">
      <w:pPr>
        <w:pStyle w:val="Text"/>
        <w:spacing w:after="120"/>
        <w:jc w:val="left"/>
      </w:pPr>
      <w:r w:rsidRPr="00057C4C">
        <w:t>A total of 1106 patients were randomised from 177 centres in 16 countries, 553 to each arm. Baseline characteristics were well balanced between the two arms. Median age was 51 years (range 18-70 years), with 21.9% of patients ≥ 60 years of age. There were 59% males and 41% females; 89.9% Caucasian and 4.7% black patients. At the cut-off for this analysis</w:t>
      </w:r>
      <w:r w:rsidR="00A72E9D" w:rsidRPr="00057C4C">
        <w:t xml:space="preserve"> (</w:t>
      </w:r>
      <w:r w:rsidR="00A72E9D" w:rsidRPr="00057C4C">
        <w:rPr>
          <w:lang w:val="en-GB"/>
        </w:rPr>
        <w:t>7 years after the last patient had been recruited)</w:t>
      </w:r>
      <w:r w:rsidRPr="00057C4C">
        <w:t xml:space="preserve">, the median follow-up for all patients was </w:t>
      </w:r>
      <w:r w:rsidR="00A72E9D" w:rsidRPr="00057C4C">
        <w:t xml:space="preserve">82 </w:t>
      </w:r>
      <w:r w:rsidRPr="00057C4C">
        <w:t xml:space="preserve">and </w:t>
      </w:r>
      <w:r w:rsidR="00A72E9D" w:rsidRPr="00057C4C">
        <w:t xml:space="preserve">80 </w:t>
      </w:r>
      <w:r w:rsidRPr="00057C4C">
        <w:t xml:space="preserve">months in the Glivec and IFN+Ara-C arms, respectively. </w:t>
      </w:r>
      <w:r w:rsidR="00A72E9D" w:rsidRPr="00057C4C">
        <w:t>60</w:t>
      </w:r>
      <w:r w:rsidRPr="00057C4C">
        <w:t xml:space="preserve">% of patients randomised to Glivec are still receiving first-line treatment. </w:t>
      </w:r>
      <w:r w:rsidR="00A72E9D" w:rsidRPr="00057C4C">
        <w:rPr>
          <w:lang w:val="en-GB"/>
        </w:rPr>
        <w:t>In these patients, the average dose of Glivec was 403±</w:t>
      </w:r>
      <w:r w:rsidR="00A72E9D" w:rsidRPr="00057C4C">
        <w:t>57 mg.</w:t>
      </w:r>
      <w:r w:rsidR="00A72E9D" w:rsidRPr="00057C4C">
        <w:rPr>
          <w:lang w:val="en-GB"/>
        </w:rPr>
        <w:t xml:space="preserve"> The median duration of second-line treatment with Glivec was 64 months.</w:t>
      </w:r>
      <w:r w:rsidR="00A72E9D" w:rsidRPr="00057C4C">
        <w:t xml:space="preserve"> </w:t>
      </w:r>
      <w:r w:rsidRPr="00057C4C">
        <w:t xml:space="preserve">As a consequence of a higher rate of both discontinuations and crossovers, only </w:t>
      </w:r>
      <w:r w:rsidR="00A72E9D" w:rsidRPr="00057C4C">
        <w:t>2</w:t>
      </w:r>
      <w:r w:rsidRPr="00057C4C">
        <w:t>% of patients randomised to IFN+Ara-C are still on first-line treatment. In the IFN+Ara-C arm, withdrawal of consent (</w:t>
      </w:r>
      <w:r w:rsidR="00A72E9D" w:rsidRPr="00057C4C">
        <w:t>14</w:t>
      </w:r>
      <w:r w:rsidRPr="00057C4C">
        <w:t>%) was the most frequent reason for discontinuation of first-line therapy, and the most frequent reason for crossover to the Glivec arm was severe intolerance to treatment (</w:t>
      </w:r>
      <w:r w:rsidR="00A72E9D" w:rsidRPr="00057C4C">
        <w:t>26</w:t>
      </w:r>
      <w:r w:rsidRPr="00057C4C">
        <w:t>%)</w:t>
      </w:r>
      <w:r w:rsidR="00A72E9D" w:rsidRPr="00057C4C">
        <w:t xml:space="preserve"> and progression (14%)</w:t>
      </w:r>
      <w:r w:rsidR="002B14EF">
        <w:t>.</w:t>
      </w:r>
    </w:p>
    <w:p w:rsidR="00922E59" w:rsidRPr="00057C4C" w:rsidRDefault="00014579" w:rsidP="00922E59">
      <w:pPr>
        <w:pStyle w:val="Text"/>
        <w:rPr>
          <w:lang w:val="en-GB"/>
        </w:rPr>
      </w:pPr>
      <w:r w:rsidRPr="00057C4C">
        <w:t>The primary efficacy endpoint was progression-free survival. Progression was defined as any of the following event: progression to accelerated phase or blast crisis</w:t>
      </w:r>
      <w:r w:rsidR="00A72E9D" w:rsidRPr="00057C4C">
        <w:t xml:space="preserve"> (AP/BC)</w:t>
      </w:r>
      <w:r w:rsidRPr="00057C4C">
        <w:t xml:space="preserve">, death, loss of CHR or MCyR or, in patients not achieving a CHR, an increasing WBC despite appropriate </w:t>
      </w:r>
      <w:r w:rsidRPr="00057C4C">
        <w:lastRenderedPageBreak/>
        <w:t xml:space="preserve">therapeutic management. </w:t>
      </w:r>
      <w:r w:rsidR="00922E59" w:rsidRPr="00057C4C">
        <w:rPr>
          <w:lang w:val="en-GB"/>
        </w:rPr>
        <w:t xml:space="preserve">Major cytogenetic response, haematological response, molecular response (evaluation of minimal residual disease), time to accelerated phase or blast crisis and survival are main secondary endpoints. Response data are shown in Table 1. </w:t>
      </w:r>
    </w:p>
    <w:p w:rsidR="00922E59" w:rsidRPr="00057C4C" w:rsidRDefault="00922E59" w:rsidP="00D71D4F">
      <w:pPr>
        <w:pStyle w:val="Heading3"/>
      </w:pPr>
      <w:r w:rsidRPr="00057C4C">
        <w:t>Table 1</w:t>
      </w:r>
      <w:r w:rsidRPr="00057C4C">
        <w:tab/>
        <w:t>Response in newly diagnosed CML Study (84-month data)</w:t>
      </w:r>
    </w:p>
    <w:tbl>
      <w:tblPr>
        <w:tblW w:w="9240" w:type="dxa"/>
        <w:tblInd w:w="108" w:type="dxa"/>
        <w:tblBorders>
          <w:top w:val="single" w:sz="4" w:space="0" w:color="auto"/>
          <w:bottom w:val="single" w:sz="4" w:space="0" w:color="auto"/>
        </w:tblBorders>
        <w:tblLayout w:type="fixed"/>
        <w:tblLook w:val="0000"/>
      </w:tblPr>
      <w:tblGrid>
        <w:gridCol w:w="3261"/>
        <w:gridCol w:w="22"/>
        <w:gridCol w:w="2793"/>
        <w:gridCol w:w="22"/>
        <w:gridCol w:w="3142"/>
      </w:tblGrid>
      <w:tr w:rsidR="00922E59" w:rsidRPr="00057C4C" w:rsidTr="00922E59">
        <w:trPr>
          <w:tblHeader/>
        </w:trPr>
        <w:tc>
          <w:tcPr>
            <w:tcW w:w="3261" w:type="dxa"/>
            <w:tcBorders>
              <w:top w:val="single" w:sz="4" w:space="0" w:color="auto"/>
              <w:left w:val="single" w:sz="4" w:space="0" w:color="auto"/>
              <w:bottom w:val="single" w:sz="4" w:space="0" w:color="auto"/>
            </w:tcBorders>
            <w:shd w:val="clear" w:color="auto" w:fill="auto"/>
          </w:tcPr>
          <w:p w:rsidR="00922E59" w:rsidRPr="00057C4C" w:rsidRDefault="00922E59" w:rsidP="00922E59">
            <w:pPr>
              <w:pStyle w:val="Table0"/>
              <w:rPr>
                <w:rFonts w:ascii="Times New Roman" w:hAnsi="Times New Roman" w:cs="Arial"/>
                <w:sz w:val="22"/>
                <w:szCs w:val="22"/>
                <w:lang w:val="en-GB"/>
              </w:rPr>
            </w:pPr>
          </w:p>
        </w:tc>
        <w:tc>
          <w:tcPr>
            <w:tcW w:w="2815" w:type="dxa"/>
            <w:gridSpan w:val="2"/>
            <w:tcBorders>
              <w:top w:val="single" w:sz="4" w:space="0" w:color="auto"/>
              <w:bottom w:val="single" w:sz="4" w:space="0" w:color="auto"/>
            </w:tcBorders>
            <w:shd w:val="clear" w:color="auto" w:fill="auto"/>
          </w:tcPr>
          <w:p w:rsidR="00922E59" w:rsidRPr="00057C4C" w:rsidRDefault="00922E59" w:rsidP="00922E59">
            <w:pPr>
              <w:pStyle w:val="Table0"/>
              <w:jc w:val="center"/>
              <w:rPr>
                <w:rFonts w:ascii="Times New Roman" w:hAnsi="Times New Roman" w:cs="Arial"/>
                <w:b/>
                <w:sz w:val="22"/>
                <w:szCs w:val="22"/>
                <w:lang w:val="en-GB"/>
              </w:rPr>
            </w:pPr>
            <w:r w:rsidRPr="00057C4C">
              <w:rPr>
                <w:rFonts w:ascii="Times New Roman" w:hAnsi="Times New Roman" w:cs="Arial"/>
                <w:b/>
                <w:sz w:val="22"/>
                <w:szCs w:val="22"/>
                <w:lang w:val="en-GB"/>
              </w:rPr>
              <w:t>Glivec</w:t>
            </w:r>
          </w:p>
        </w:tc>
        <w:tc>
          <w:tcPr>
            <w:tcW w:w="3164" w:type="dxa"/>
            <w:gridSpan w:val="2"/>
            <w:tcBorders>
              <w:top w:val="single" w:sz="4" w:space="0" w:color="auto"/>
              <w:bottom w:val="single" w:sz="4" w:space="0" w:color="auto"/>
              <w:right w:val="single" w:sz="4" w:space="0" w:color="auto"/>
            </w:tcBorders>
            <w:shd w:val="clear" w:color="auto" w:fill="auto"/>
          </w:tcPr>
          <w:p w:rsidR="00922E59" w:rsidRPr="00057C4C" w:rsidRDefault="00922E59" w:rsidP="00922E59">
            <w:pPr>
              <w:pStyle w:val="Table0"/>
              <w:jc w:val="center"/>
              <w:rPr>
                <w:rFonts w:ascii="Times New Roman" w:hAnsi="Times New Roman" w:cs="Arial"/>
                <w:b/>
                <w:sz w:val="22"/>
                <w:szCs w:val="22"/>
                <w:lang w:val="en-GB"/>
              </w:rPr>
            </w:pPr>
            <w:r w:rsidRPr="00057C4C">
              <w:rPr>
                <w:rFonts w:ascii="Times New Roman" w:hAnsi="Times New Roman" w:cs="Arial"/>
                <w:b/>
                <w:sz w:val="22"/>
                <w:szCs w:val="22"/>
                <w:lang w:val="en-GB"/>
              </w:rPr>
              <w:t>IFN+Ara-C</w:t>
            </w:r>
          </w:p>
        </w:tc>
      </w:tr>
      <w:tr w:rsidR="00922E59" w:rsidRPr="00057C4C" w:rsidTr="00922E59">
        <w:tc>
          <w:tcPr>
            <w:tcW w:w="3261" w:type="dxa"/>
            <w:tcBorders>
              <w:top w:val="single" w:sz="4" w:space="0" w:color="auto"/>
              <w:left w:val="single" w:sz="4" w:space="0" w:color="auto"/>
            </w:tcBorders>
            <w:shd w:val="clear" w:color="auto" w:fill="auto"/>
          </w:tcPr>
          <w:p w:rsidR="00922E59" w:rsidRPr="00057C4C" w:rsidRDefault="00922E59" w:rsidP="00922E59">
            <w:pPr>
              <w:pStyle w:val="Table0"/>
              <w:rPr>
                <w:rFonts w:ascii="Times New Roman" w:hAnsi="Times New Roman" w:cs="Arial"/>
                <w:b/>
                <w:sz w:val="22"/>
                <w:szCs w:val="22"/>
                <w:lang w:val="en-GB"/>
              </w:rPr>
            </w:pPr>
            <w:r w:rsidRPr="00057C4C">
              <w:rPr>
                <w:rFonts w:ascii="Times New Roman" w:hAnsi="Times New Roman" w:cs="Arial"/>
                <w:b/>
                <w:sz w:val="22"/>
                <w:szCs w:val="22"/>
                <w:lang w:val="en-GB"/>
              </w:rPr>
              <w:t>(Best response rates)</w:t>
            </w:r>
          </w:p>
        </w:tc>
        <w:tc>
          <w:tcPr>
            <w:tcW w:w="2815" w:type="dxa"/>
            <w:gridSpan w:val="2"/>
            <w:tcBorders>
              <w:top w:val="single" w:sz="4" w:space="0" w:color="auto"/>
            </w:tcBorders>
            <w:shd w:val="clear" w:color="auto" w:fill="auto"/>
          </w:tcPr>
          <w:p w:rsidR="00922E59" w:rsidRPr="00057C4C" w:rsidRDefault="000C01E3"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N</w:t>
            </w:r>
            <w:r w:rsidR="00922E59" w:rsidRPr="00057C4C">
              <w:rPr>
                <w:rFonts w:ascii="Times New Roman" w:hAnsi="Times New Roman" w:cs="Arial"/>
                <w:sz w:val="22"/>
                <w:szCs w:val="22"/>
                <w:lang w:val="en-GB"/>
              </w:rPr>
              <w:t>=553</w:t>
            </w:r>
          </w:p>
        </w:tc>
        <w:tc>
          <w:tcPr>
            <w:tcW w:w="3164" w:type="dxa"/>
            <w:gridSpan w:val="2"/>
            <w:tcBorders>
              <w:top w:val="single" w:sz="4" w:space="0" w:color="auto"/>
              <w:right w:val="single" w:sz="4" w:space="0" w:color="auto"/>
            </w:tcBorders>
            <w:shd w:val="clear" w:color="auto" w:fill="auto"/>
          </w:tcPr>
          <w:p w:rsidR="00922E59" w:rsidRPr="00057C4C" w:rsidRDefault="000C01E3"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N</w:t>
            </w:r>
            <w:r w:rsidR="00922E59" w:rsidRPr="00057C4C">
              <w:rPr>
                <w:rFonts w:ascii="Times New Roman" w:hAnsi="Times New Roman" w:cs="Arial"/>
                <w:sz w:val="22"/>
                <w:szCs w:val="22"/>
                <w:lang w:val="en-GB"/>
              </w:rPr>
              <w:t>=553</w:t>
            </w:r>
          </w:p>
        </w:tc>
      </w:tr>
      <w:tr w:rsidR="00922E59" w:rsidRPr="00057C4C" w:rsidTr="00922E59">
        <w:tc>
          <w:tcPr>
            <w:tcW w:w="3261" w:type="dxa"/>
            <w:tcBorders>
              <w:left w:val="single" w:sz="4" w:space="0" w:color="auto"/>
            </w:tcBorders>
            <w:shd w:val="clear" w:color="auto" w:fill="auto"/>
          </w:tcPr>
          <w:p w:rsidR="00922E59" w:rsidRPr="00057C4C" w:rsidRDefault="00922E59" w:rsidP="00922E59">
            <w:pPr>
              <w:pStyle w:val="Table0"/>
              <w:rPr>
                <w:rFonts w:ascii="Times New Roman" w:hAnsi="Times New Roman" w:cs="Arial"/>
                <w:b/>
                <w:sz w:val="22"/>
                <w:szCs w:val="22"/>
                <w:lang w:val="en-GB"/>
              </w:rPr>
            </w:pPr>
            <w:r w:rsidRPr="00057C4C">
              <w:rPr>
                <w:rFonts w:ascii="Times New Roman" w:hAnsi="Times New Roman" w:cs="Arial"/>
                <w:b/>
                <w:sz w:val="22"/>
                <w:szCs w:val="22"/>
                <w:lang w:val="en-GB"/>
              </w:rPr>
              <w:t>Haematological response</w:t>
            </w:r>
            <w:r w:rsidRPr="00057C4C">
              <w:rPr>
                <w:rFonts w:ascii="Times New Roman Bold" w:hAnsi="Times New Roman Bold" w:cs="Arial"/>
                <w:b/>
                <w:sz w:val="22"/>
                <w:szCs w:val="22"/>
                <w:vertAlign w:val="superscript"/>
                <w:lang w:val="en-GB"/>
              </w:rPr>
              <w:t>1</w:t>
            </w:r>
          </w:p>
        </w:tc>
        <w:tc>
          <w:tcPr>
            <w:tcW w:w="2815" w:type="dxa"/>
            <w:gridSpan w:val="2"/>
            <w:shd w:val="clear" w:color="auto" w:fill="auto"/>
          </w:tcPr>
          <w:p w:rsidR="00922E59" w:rsidRPr="00057C4C" w:rsidRDefault="00922E59" w:rsidP="00922E59">
            <w:pPr>
              <w:pStyle w:val="Table0"/>
              <w:jc w:val="center"/>
              <w:rPr>
                <w:rFonts w:ascii="Times New Roman" w:hAnsi="Times New Roman" w:cs="Arial"/>
                <w:b/>
                <w:sz w:val="22"/>
                <w:szCs w:val="22"/>
                <w:lang w:val="en-GB"/>
              </w:rPr>
            </w:pPr>
          </w:p>
        </w:tc>
        <w:tc>
          <w:tcPr>
            <w:tcW w:w="3164" w:type="dxa"/>
            <w:gridSpan w:val="2"/>
            <w:tcBorders>
              <w:right w:val="single" w:sz="4" w:space="0" w:color="auto"/>
            </w:tcBorders>
            <w:shd w:val="clear" w:color="auto" w:fill="auto"/>
          </w:tcPr>
          <w:p w:rsidR="00922E59" w:rsidRPr="00057C4C" w:rsidRDefault="00922E59" w:rsidP="00922E59">
            <w:pPr>
              <w:pStyle w:val="Table0"/>
              <w:jc w:val="center"/>
              <w:rPr>
                <w:rFonts w:ascii="Times New Roman" w:hAnsi="Times New Roman" w:cs="Arial"/>
                <w:b/>
                <w:sz w:val="22"/>
                <w:szCs w:val="22"/>
                <w:lang w:val="en-GB"/>
              </w:rPr>
            </w:pPr>
          </w:p>
        </w:tc>
      </w:tr>
      <w:tr w:rsidR="00922E59" w:rsidRPr="00057C4C" w:rsidTr="00922E59">
        <w:tc>
          <w:tcPr>
            <w:tcW w:w="3261" w:type="dxa"/>
            <w:tcBorders>
              <w:left w:val="single" w:sz="4" w:space="0" w:color="auto"/>
            </w:tcBorders>
            <w:shd w:val="clear" w:color="auto" w:fill="auto"/>
          </w:tcPr>
          <w:p w:rsidR="00922E59" w:rsidRPr="00057C4C" w:rsidRDefault="00922E59" w:rsidP="00922E59">
            <w:pPr>
              <w:pStyle w:val="Table0"/>
              <w:rPr>
                <w:rFonts w:ascii="Times New Roman" w:hAnsi="Times New Roman" w:cs="Arial"/>
                <w:sz w:val="22"/>
                <w:szCs w:val="22"/>
                <w:lang w:val="en-GB"/>
              </w:rPr>
            </w:pPr>
            <w:smartTag w:uri="urn:schemas-microsoft-com:office:smarttags" w:element="stockticker">
              <w:r w:rsidRPr="00057C4C">
                <w:rPr>
                  <w:rFonts w:ascii="Times New Roman" w:hAnsi="Times New Roman" w:cs="Arial"/>
                  <w:sz w:val="22"/>
                  <w:szCs w:val="22"/>
                  <w:lang w:val="en-GB"/>
                </w:rPr>
                <w:t>CHR</w:t>
              </w:r>
            </w:smartTag>
            <w:r w:rsidRPr="00057C4C">
              <w:rPr>
                <w:rFonts w:ascii="Times New Roman" w:hAnsi="Times New Roman" w:cs="Arial"/>
                <w:sz w:val="22"/>
                <w:szCs w:val="22"/>
                <w:lang w:val="en-GB"/>
              </w:rPr>
              <w:t xml:space="preserve"> rate - n (%)</w:t>
            </w:r>
          </w:p>
        </w:tc>
        <w:tc>
          <w:tcPr>
            <w:tcW w:w="2815" w:type="dxa"/>
            <w:gridSpan w:val="2"/>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534 (96.6)*</w:t>
            </w:r>
          </w:p>
        </w:tc>
        <w:tc>
          <w:tcPr>
            <w:tcW w:w="3164" w:type="dxa"/>
            <w:gridSpan w:val="2"/>
            <w:tcBorders>
              <w:right w:val="single" w:sz="4" w:space="0" w:color="auto"/>
            </w:tcBorders>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313 (56.6)*</w:t>
            </w:r>
          </w:p>
        </w:tc>
      </w:tr>
      <w:tr w:rsidR="00922E59" w:rsidRPr="00057C4C" w:rsidTr="00922E59">
        <w:tc>
          <w:tcPr>
            <w:tcW w:w="3261" w:type="dxa"/>
            <w:tcBorders>
              <w:left w:val="single" w:sz="4" w:space="0" w:color="auto"/>
            </w:tcBorders>
            <w:shd w:val="clear" w:color="auto" w:fill="auto"/>
          </w:tcPr>
          <w:p w:rsidR="00922E59" w:rsidRPr="00057C4C" w:rsidRDefault="00922E59" w:rsidP="00922E59">
            <w:pPr>
              <w:pStyle w:val="Table0"/>
              <w:rPr>
                <w:rFonts w:ascii="Times New Roman" w:hAnsi="Times New Roman" w:cs="Arial"/>
                <w:sz w:val="22"/>
                <w:szCs w:val="22"/>
                <w:lang w:val="en-GB"/>
              </w:rPr>
            </w:pPr>
            <w:r w:rsidRPr="00057C4C">
              <w:rPr>
                <w:rFonts w:ascii="Times New Roman" w:hAnsi="Times New Roman" w:cs="Arial"/>
                <w:sz w:val="22"/>
                <w:szCs w:val="22"/>
                <w:lang w:val="en-GB"/>
              </w:rPr>
              <w:t>[95% CI]</w:t>
            </w:r>
          </w:p>
        </w:tc>
        <w:tc>
          <w:tcPr>
            <w:tcW w:w="2815" w:type="dxa"/>
            <w:gridSpan w:val="2"/>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[94.7, 97.9]</w:t>
            </w:r>
          </w:p>
        </w:tc>
        <w:tc>
          <w:tcPr>
            <w:tcW w:w="3164" w:type="dxa"/>
            <w:gridSpan w:val="2"/>
            <w:tcBorders>
              <w:right w:val="single" w:sz="4" w:space="0" w:color="auto"/>
            </w:tcBorders>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[52.4, 60.8]</w:t>
            </w:r>
          </w:p>
        </w:tc>
      </w:tr>
      <w:tr w:rsidR="00922E59" w:rsidRPr="00057C4C" w:rsidTr="00922E59">
        <w:tc>
          <w:tcPr>
            <w:tcW w:w="3261" w:type="dxa"/>
            <w:tcBorders>
              <w:top w:val="single" w:sz="4" w:space="0" w:color="auto"/>
              <w:left w:val="single" w:sz="4" w:space="0" w:color="auto"/>
              <w:bottom w:val="nil"/>
            </w:tcBorders>
            <w:shd w:val="clear" w:color="auto" w:fill="auto"/>
          </w:tcPr>
          <w:p w:rsidR="00922E59" w:rsidRPr="00057C4C" w:rsidRDefault="00922E59" w:rsidP="00922E59">
            <w:pPr>
              <w:pStyle w:val="Table0"/>
              <w:rPr>
                <w:rFonts w:ascii="Times New Roman" w:hAnsi="Times New Roman" w:cs="Arial"/>
                <w:b/>
                <w:sz w:val="22"/>
                <w:szCs w:val="22"/>
                <w:lang w:val="en-GB"/>
              </w:rPr>
            </w:pPr>
            <w:r w:rsidRPr="00057C4C">
              <w:rPr>
                <w:rFonts w:ascii="Times New Roman" w:hAnsi="Times New Roman" w:cs="Arial"/>
                <w:b/>
                <w:sz w:val="22"/>
                <w:szCs w:val="22"/>
                <w:lang w:val="en-GB"/>
              </w:rPr>
              <w:t>Cytogenetic response</w:t>
            </w:r>
            <w:r w:rsidRPr="00057C4C">
              <w:rPr>
                <w:rFonts w:ascii="Times New Roman Bold" w:hAnsi="Times New Roman Bold" w:cs="Arial"/>
                <w:b/>
                <w:sz w:val="22"/>
                <w:szCs w:val="22"/>
                <w:vertAlign w:val="superscript"/>
                <w:lang w:val="en-GB"/>
              </w:rPr>
              <w:t>2</w:t>
            </w:r>
          </w:p>
        </w:tc>
        <w:tc>
          <w:tcPr>
            <w:tcW w:w="2815" w:type="dxa"/>
            <w:gridSpan w:val="2"/>
            <w:tcBorders>
              <w:top w:val="single" w:sz="4" w:space="0" w:color="auto"/>
              <w:bottom w:val="nil"/>
            </w:tcBorders>
            <w:shd w:val="clear" w:color="auto" w:fill="auto"/>
          </w:tcPr>
          <w:p w:rsidR="00922E59" w:rsidRPr="00057C4C" w:rsidRDefault="00922E59" w:rsidP="00922E59">
            <w:pPr>
              <w:pStyle w:val="Table0"/>
              <w:jc w:val="center"/>
              <w:rPr>
                <w:rFonts w:ascii="Times New Roman" w:hAnsi="Times New Roman" w:cs="Arial"/>
                <w:b/>
                <w:sz w:val="22"/>
                <w:szCs w:val="22"/>
                <w:lang w:val="en-GB"/>
              </w:rPr>
            </w:pPr>
          </w:p>
        </w:tc>
        <w:tc>
          <w:tcPr>
            <w:tcW w:w="3164" w:type="dxa"/>
            <w:gridSpan w:val="2"/>
            <w:tcBorders>
              <w:top w:val="single" w:sz="4" w:space="0" w:color="auto"/>
              <w:bottom w:val="nil"/>
              <w:right w:val="single" w:sz="4" w:space="0" w:color="auto"/>
            </w:tcBorders>
            <w:shd w:val="clear" w:color="auto" w:fill="auto"/>
          </w:tcPr>
          <w:p w:rsidR="00922E59" w:rsidRPr="00057C4C" w:rsidRDefault="00922E59" w:rsidP="00922E59">
            <w:pPr>
              <w:pStyle w:val="Table0"/>
              <w:jc w:val="center"/>
              <w:rPr>
                <w:rFonts w:ascii="Times New Roman" w:hAnsi="Times New Roman" w:cs="Arial"/>
                <w:b/>
                <w:sz w:val="22"/>
                <w:szCs w:val="22"/>
                <w:lang w:val="en-GB"/>
              </w:rPr>
            </w:pPr>
          </w:p>
        </w:tc>
      </w:tr>
      <w:tr w:rsidR="00922E59" w:rsidRPr="00057C4C" w:rsidTr="00922E59">
        <w:tc>
          <w:tcPr>
            <w:tcW w:w="3261" w:type="dxa"/>
            <w:tcBorders>
              <w:top w:val="nil"/>
              <w:left w:val="single" w:sz="4" w:space="0" w:color="auto"/>
            </w:tcBorders>
            <w:shd w:val="clear" w:color="auto" w:fill="auto"/>
          </w:tcPr>
          <w:p w:rsidR="00922E59" w:rsidRPr="00057C4C" w:rsidRDefault="00922E59" w:rsidP="00922E59">
            <w:pPr>
              <w:pStyle w:val="Table0"/>
              <w:rPr>
                <w:rFonts w:ascii="Times New Roman" w:hAnsi="Times New Roman" w:cs="Arial"/>
                <w:sz w:val="22"/>
                <w:szCs w:val="22"/>
                <w:lang w:val="en-GB"/>
              </w:rPr>
            </w:pPr>
            <w:r w:rsidRPr="00057C4C">
              <w:rPr>
                <w:rFonts w:ascii="Times New Roman" w:hAnsi="Times New Roman" w:cs="Arial"/>
                <w:sz w:val="22"/>
                <w:szCs w:val="22"/>
                <w:lang w:val="en-GB"/>
              </w:rPr>
              <w:t>Major response - n (%)</w:t>
            </w:r>
          </w:p>
        </w:tc>
        <w:tc>
          <w:tcPr>
            <w:tcW w:w="2815" w:type="dxa"/>
            <w:gridSpan w:val="2"/>
            <w:tcBorders>
              <w:top w:val="nil"/>
            </w:tcBorders>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490 (88.6)</w:t>
            </w:r>
          </w:p>
        </w:tc>
        <w:tc>
          <w:tcPr>
            <w:tcW w:w="3164" w:type="dxa"/>
            <w:gridSpan w:val="2"/>
            <w:tcBorders>
              <w:top w:val="nil"/>
              <w:right w:val="single" w:sz="4" w:space="0" w:color="auto"/>
            </w:tcBorders>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129 (23.3)</w:t>
            </w:r>
          </w:p>
        </w:tc>
      </w:tr>
      <w:tr w:rsidR="00922E59" w:rsidRPr="00057C4C" w:rsidTr="00922E59">
        <w:tc>
          <w:tcPr>
            <w:tcW w:w="3261" w:type="dxa"/>
            <w:tcBorders>
              <w:left w:val="single" w:sz="4" w:space="0" w:color="auto"/>
            </w:tcBorders>
            <w:shd w:val="clear" w:color="auto" w:fill="auto"/>
          </w:tcPr>
          <w:p w:rsidR="00922E59" w:rsidRPr="00057C4C" w:rsidRDefault="00922E59" w:rsidP="00922E59">
            <w:pPr>
              <w:pStyle w:val="Table0"/>
              <w:rPr>
                <w:rFonts w:ascii="Times New Roman" w:hAnsi="Times New Roman" w:cs="Arial"/>
                <w:sz w:val="22"/>
                <w:szCs w:val="22"/>
                <w:lang w:val="en-GB"/>
              </w:rPr>
            </w:pPr>
            <w:r w:rsidRPr="00057C4C">
              <w:rPr>
                <w:rFonts w:ascii="Times New Roman" w:hAnsi="Times New Roman" w:cs="Arial"/>
                <w:sz w:val="22"/>
                <w:szCs w:val="22"/>
                <w:lang w:val="en-GB"/>
              </w:rPr>
              <w:t>[95% CI]</w:t>
            </w:r>
          </w:p>
        </w:tc>
        <w:tc>
          <w:tcPr>
            <w:tcW w:w="2815" w:type="dxa"/>
            <w:gridSpan w:val="2"/>
            <w:shd w:val="clear" w:color="auto" w:fill="auto"/>
          </w:tcPr>
          <w:p w:rsidR="00922E59" w:rsidRPr="00057C4C" w:rsidRDefault="00922E59" w:rsidP="00922E59">
            <w:pPr>
              <w:pStyle w:val="Table0"/>
              <w:jc w:val="center"/>
              <w:rPr>
                <w:rFonts w:ascii="Times New Roman" w:hAnsi="Times New Roman" w:cs="Arial"/>
                <w:sz w:val="22"/>
                <w:szCs w:val="22"/>
                <w:lang w:val="pt-BR"/>
              </w:rPr>
            </w:pPr>
            <w:r w:rsidRPr="00057C4C">
              <w:rPr>
                <w:rFonts w:ascii="Times New Roman" w:hAnsi="Times New Roman" w:cs="Arial"/>
                <w:sz w:val="22"/>
                <w:szCs w:val="22"/>
                <w:lang w:val="pt-BR"/>
              </w:rPr>
              <w:t>[85.7, 91.1]</w:t>
            </w:r>
          </w:p>
        </w:tc>
        <w:tc>
          <w:tcPr>
            <w:tcW w:w="3164" w:type="dxa"/>
            <w:gridSpan w:val="2"/>
            <w:tcBorders>
              <w:right w:val="single" w:sz="4" w:space="0" w:color="auto"/>
            </w:tcBorders>
            <w:shd w:val="clear" w:color="auto" w:fill="auto"/>
          </w:tcPr>
          <w:p w:rsidR="00922E59" w:rsidRPr="00057C4C" w:rsidRDefault="00922E59" w:rsidP="00922E59">
            <w:pPr>
              <w:pStyle w:val="Table0"/>
              <w:jc w:val="center"/>
              <w:rPr>
                <w:rFonts w:ascii="Times New Roman" w:hAnsi="Times New Roman" w:cs="Arial"/>
                <w:sz w:val="22"/>
                <w:szCs w:val="22"/>
                <w:lang w:val="pt-BR"/>
              </w:rPr>
            </w:pPr>
            <w:r w:rsidRPr="00057C4C">
              <w:rPr>
                <w:rFonts w:ascii="Times New Roman" w:hAnsi="Times New Roman" w:cs="Arial"/>
                <w:sz w:val="22"/>
                <w:szCs w:val="22"/>
                <w:lang w:val="pt-BR"/>
              </w:rPr>
              <w:t>[19.9, 27.1]</w:t>
            </w:r>
          </w:p>
        </w:tc>
      </w:tr>
      <w:tr w:rsidR="00922E59" w:rsidRPr="00057C4C" w:rsidTr="00922E59">
        <w:tc>
          <w:tcPr>
            <w:tcW w:w="3261" w:type="dxa"/>
            <w:tcBorders>
              <w:left w:val="single" w:sz="4" w:space="0" w:color="auto"/>
            </w:tcBorders>
            <w:shd w:val="clear" w:color="auto" w:fill="auto"/>
          </w:tcPr>
          <w:p w:rsidR="00922E59" w:rsidRPr="00057C4C" w:rsidRDefault="00922E59" w:rsidP="00922E59">
            <w:pPr>
              <w:pStyle w:val="Table0"/>
              <w:rPr>
                <w:rFonts w:ascii="Times New Roman" w:hAnsi="Times New Roman" w:cs="Arial"/>
                <w:sz w:val="22"/>
                <w:szCs w:val="22"/>
                <w:lang w:val="pt-BR"/>
              </w:rPr>
            </w:pPr>
            <w:r w:rsidRPr="00057C4C">
              <w:rPr>
                <w:rFonts w:ascii="Times New Roman" w:hAnsi="Times New Roman" w:cs="Arial"/>
                <w:sz w:val="22"/>
                <w:szCs w:val="22"/>
                <w:lang w:val="pt-BR"/>
              </w:rPr>
              <w:t>Complete CyR - n (%)</w:t>
            </w:r>
          </w:p>
        </w:tc>
        <w:tc>
          <w:tcPr>
            <w:tcW w:w="2815" w:type="dxa"/>
            <w:gridSpan w:val="2"/>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456 (82.5)</w:t>
            </w:r>
          </w:p>
        </w:tc>
        <w:tc>
          <w:tcPr>
            <w:tcW w:w="3164" w:type="dxa"/>
            <w:gridSpan w:val="2"/>
            <w:tcBorders>
              <w:right w:val="single" w:sz="4" w:space="0" w:color="auto"/>
            </w:tcBorders>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64 (11.6)</w:t>
            </w:r>
          </w:p>
        </w:tc>
      </w:tr>
      <w:tr w:rsidR="00922E59" w:rsidRPr="00057C4C" w:rsidTr="00922E59">
        <w:tc>
          <w:tcPr>
            <w:tcW w:w="3261" w:type="dxa"/>
            <w:tcBorders>
              <w:left w:val="single" w:sz="4" w:space="0" w:color="auto"/>
              <w:bottom w:val="nil"/>
            </w:tcBorders>
            <w:shd w:val="clear" w:color="auto" w:fill="auto"/>
          </w:tcPr>
          <w:p w:rsidR="00922E59" w:rsidRPr="00057C4C" w:rsidRDefault="00922E59" w:rsidP="00922E59">
            <w:pPr>
              <w:pStyle w:val="Table0"/>
              <w:rPr>
                <w:rFonts w:ascii="Times New Roman" w:hAnsi="Times New Roman" w:cs="Arial"/>
                <w:sz w:val="22"/>
                <w:szCs w:val="22"/>
                <w:lang w:val="en-GB"/>
              </w:rPr>
            </w:pPr>
            <w:r w:rsidRPr="00057C4C">
              <w:rPr>
                <w:rFonts w:ascii="Times New Roman" w:hAnsi="Times New Roman" w:cs="Arial"/>
                <w:sz w:val="22"/>
                <w:szCs w:val="22"/>
                <w:lang w:val="en-GB"/>
              </w:rPr>
              <w:t>Partial CyR - n (%)</w:t>
            </w:r>
          </w:p>
        </w:tc>
        <w:tc>
          <w:tcPr>
            <w:tcW w:w="2815" w:type="dxa"/>
            <w:gridSpan w:val="2"/>
            <w:tcBorders>
              <w:bottom w:val="nil"/>
            </w:tcBorders>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34 (6.1)</w:t>
            </w:r>
          </w:p>
        </w:tc>
        <w:tc>
          <w:tcPr>
            <w:tcW w:w="3164" w:type="dxa"/>
            <w:gridSpan w:val="2"/>
            <w:tcBorders>
              <w:bottom w:val="nil"/>
              <w:right w:val="single" w:sz="4" w:space="0" w:color="auto"/>
            </w:tcBorders>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65 (11.8)</w:t>
            </w:r>
          </w:p>
        </w:tc>
      </w:tr>
      <w:tr w:rsidR="00922E59" w:rsidRPr="00057C4C" w:rsidDel="00BC2AB6" w:rsidTr="00922E59">
        <w:tc>
          <w:tcPr>
            <w:tcW w:w="3261" w:type="dxa"/>
            <w:tcBorders>
              <w:top w:val="single" w:sz="4" w:space="0" w:color="auto"/>
              <w:left w:val="single" w:sz="4" w:space="0" w:color="auto"/>
              <w:bottom w:val="nil"/>
            </w:tcBorders>
            <w:shd w:val="clear" w:color="auto" w:fill="auto"/>
          </w:tcPr>
          <w:p w:rsidR="00922E59" w:rsidRPr="00057C4C" w:rsidDel="00BC2AB6" w:rsidRDefault="00922E59" w:rsidP="00922E59">
            <w:pPr>
              <w:pStyle w:val="Table0"/>
              <w:rPr>
                <w:rFonts w:ascii="Times New Roman" w:hAnsi="Times New Roman" w:cs="Arial"/>
                <w:b/>
                <w:sz w:val="22"/>
                <w:szCs w:val="22"/>
                <w:lang w:val="en-GB"/>
              </w:rPr>
            </w:pPr>
            <w:r w:rsidRPr="00057C4C">
              <w:rPr>
                <w:rFonts w:ascii="Times New Roman" w:hAnsi="Times New Roman" w:cs="Arial"/>
                <w:b/>
                <w:sz w:val="22"/>
                <w:szCs w:val="22"/>
                <w:lang w:val="en-GB"/>
              </w:rPr>
              <w:t>Molecular response</w:t>
            </w:r>
            <w:r w:rsidRPr="00057C4C">
              <w:rPr>
                <w:rFonts w:ascii="Times New Roman Bold" w:hAnsi="Times New Roman Bold" w:cs="Arial"/>
                <w:b/>
                <w:sz w:val="22"/>
                <w:szCs w:val="22"/>
                <w:vertAlign w:val="superscript"/>
                <w:lang w:val="en-GB"/>
              </w:rPr>
              <w:t>3</w:t>
            </w:r>
          </w:p>
        </w:tc>
        <w:tc>
          <w:tcPr>
            <w:tcW w:w="2815" w:type="dxa"/>
            <w:gridSpan w:val="2"/>
            <w:tcBorders>
              <w:top w:val="single" w:sz="4" w:space="0" w:color="auto"/>
              <w:bottom w:val="nil"/>
            </w:tcBorders>
            <w:shd w:val="clear" w:color="auto" w:fill="auto"/>
          </w:tcPr>
          <w:p w:rsidR="00922E59" w:rsidRPr="00057C4C" w:rsidDel="00BC2AB6" w:rsidRDefault="00922E59" w:rsidP="00922E59">
            <w:pPr>
              <w:pStyle w:val="Table0"/>
              <w:jc w:val="center"/>
              <w:rPr>
                <w:rFonts w:ascii="Times New Roman" w:hAnsi="Times New Roman" w:cs="Arial"/>
                <w:b/>
                <w:sz w:val="22"/>
                <w:szCs w:val="22"/>
                <w:lang w:val="en-GB"/>
              </w:rPr>
            </w:pPr>
          </w:p>
        </w:tc>
        <w:tc>
          <w:tcPr>
            <w:tcW w:w="3164" w:type="dxa"/>
            <w:gridSpan w:val="2"/>
            <w:tcBorders>
              <w:top w:val="single" w:sz="4" w:space="0" w:color="auto"/>
              <w:bottom w:val="nil"/>
              <w:right w:val="single" w:sz="4" w:space="0" w:color="auto"/>
            </w:tcBorders>
            <w:shd w:val="clear" w:color="auto" w:fill="auto"/>
          </w:tcPr>
          <w:p w:rsidR="00922E59" w:rsidRPr="00057C4C" w:rsidDel="00BC2AB6" w:rsidRDefault="00922E59" w:rsidP="00922E59">
            <w:pPr>
              <w:pStyle w:val="Table0"/>
              <w:jc w:val="center"/>
              <w:rPr>
                <w:rFonts w:ascii="Times New Roman" w:hAnsi="Times New Roman" w:cs="Arial"/>
                <w:b/>
                <w:sz w:val="22"/>
                <w:szCs w:val="22"/>
                <w:lang w:val="en-GB"/>
              </w:rPr>
            </w:pPr>
          </w:p>
        </w:tc>
      </w:tr>
      <w:tr w:rsidR="00922E59" w:rsidRPr="00057C4C" w:rsidDel="00BC2AB6" w:rsidTr="00922E59">
        <w:tc>
          <w:tcPr>
            <w:tcW w:w="3261" w:type="dxa"/>
            <w:tcBorders>
              <w:top w:val="nil"/>
              <w:left w:val="single" w:sz="4" w:space="0" w:color="auto"/>
              <w:bottom w:val="nil"/>
            </w:tcBorders>
            <w:shd w:val="clear" w:color="auto" w:fill="auto"/>
          </w:tcPr>
          <w:p w:rsidR="00922E59" w:rsidRPr="00057C4C" w:rsidRDefault="00922E59" w:rsidP="00922E59">
            <w:pPr>
              <w:pStyle w:val="Table0"/>
              <w:rPr>
                <w:rFonts w:ascii="Times New Roman" w:hAnsi="Times New Roman" w:cs="Arial"/>
                <w:sz w:val="22"/>
                <w:szCs w:val="22"/>
                <w:lang w:val="en-GB"/>
              </w:rPr>
            </w:pPr>
            <w:r w:rsidRPr="00057C4C">
              <w:rPr>
                <w:rFonts w:ascii="Times New Roman" w:hAnsi="Times New Roman" w:cs="Arial"/>
                <w:sz w:val="22"/>
                <w:szCs w:val="22"/>
                <w:lang w:val="en-GB"/>
              </w:rPr>
              <w:t>Major response at 12 months (%)</w:t>
            </w:r>
          </w:p>
        </w:tc>
        <w:tc>
          <w:tcPr>
            <w:tcW w:w="2815" w:type="dxa"/>
            <w:gridSpan w:val="2"/>
            <w:tcBorders>
              <w:top w:val="nil"/>
              <w:bottom w:val="nil"/>
            </w:tcBorders>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40*</w:t>
            </w:r>
          </w:p>
        </w:tc>
        <w:tc>
          <w:tcPr>
            <w:tcW w:w="3164" w:type="dxa"/>
            <w:gridSpan w:val="2"/>
            <w:tcBorders>
              <w:top w:val="nil"/>
              <w:bottom w:val="nil"/>
              <w:right w:val="single" w:sz="4" w:space="0" w:color="auto"/>
            </w:tcBorders>
            <w:shd w:val="clear" w:color="auto" w:fill="auto"/>
          </w:tcPr>
          <w:p w:rsidR="00922E59" w:rsidRPr="00057C4C"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2*</w:t>
            </w:r>
          </w:p>
        </w:tc>
      </w:tr>
      <w:tr w:rsidR="00922E59" w:rsidRPr="00057C4C" w:rsidDel="00BC2AB6" w:rsidTr="00922E59">
        <w:tc>
          <w:tcPr>
            <w:tcW w:w="3283" w:type="dxa"/>
            <w:gridSpan w:val="2"/>
            <w:tcBorders>
              <w:top w:val="nil"/>
              <w:left w:val="single" w:sz="4" w:space="0" w:color="auto"/>
              <w:bottom w:val="single" w:sz="4" w:space="0" w:color="auto"/>
            </w:tcBorders>
            <w:shd w:val="clear" w:color="auto" w:fill="auto"/>
          </w:tcPr>
          <w:p w:rsidR="00922E59" w:rsidRPr="00057C4C" w:rsidDel="00BC2AB6" w:rsidRDefault="00922E59" w:rsidP="00922E59">
            <w:pPr>
              <w:pStyle w:val="Table0"/>
              <w:rPr>
                <w:rFonts w:ascii="Times New Roman" w:hAnsi="Times New Roman" w:cs="Arial"/>
                <w:sz w:val="22"/>
                <w:szCs w:val="22"/>
                <w:lang w:val="en-GB"/>
              </w:rPr>
            </w:pPr>
            <w:r w:rsidRPr="00057C4C">
              <w:rPr>
                <w:rFonts w:ascii="Times New Roman" w:hAnsi="Times New Roman" w:cs="Arial"/>
                <w:sz w:val="22"/>
                <w:szCs w:val="22"/>
                <w:lang w:val="en-GB"/>
              </w:rPr>
              <w:t>Major response at 24 months (%)</w:t>
            </w:r>
          </w:p>
        </w:tc>
        <w:tc>
          <w:tcPr>
            <w:tcW w:w="2815" w:type="dxa"/>
            <w:gridSpan w:val="2"/>
            <w:tcBorders>
              <w:top w:val="nil"/>
              <w:bottom w:val="single" w:sz="4" w:space="0" w:color="auto"/>
            </w:tcBorders>
            <w:shd w:val="clear" w:color="auto" w:fill="auto"/>
          </w:tcPr>
          <w:p w:rsidR="00922E59" w:rsidRPr="00057C4C" w:rsidDel="00BC2AB6"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54</w:t>
            </w:r>
          </w:p>
        </w:tc>
        <w:tc>
          <w:tcPr>
            <w:tcW w:w="3142" w:type="dxa"/>
            <w:tcBorders>
              <w:top w:val="nil"/>
              <w:bottom w:val="single" w:sz="4" w:space="0" w:color="auto"/>
              <w:right w:val="single" w:sz="4" w:space="0" w:color="auto"/>
            </w:tcBorders>
            <w:shd w:val="clear" w:color="auto" w:fill="auto"/>
          </w:tcPr>
          <w:p w:rsidR="00922E59" w:rsidRPr="00057C4C" w:rsidDel="00BC2AB6" w:rsidRDefault="00922E59" w:rsidP="00922E59">
            <w:pPr>
              <w:pStyle w:val="Table0"/>
              <w:jc w:val="center"/>
              <w:rPr>
                <w:rFonts w:ascii="Times New Roman" w:hAnsi="Times New Roman" w:cs="Arial"/>
                <w:sz w:val="22"/>
                <w:szCs w:val="22"/>
                <w:lang w:val="en-GB"/>
              </w:rPr>
            </w:pPr>
            <w:r w:rsidRPr="00057C4C">
              <w:rPr>
                <w:rFonts w:ascii="Times New Roman" w:hAnsi="Times New Roman" w:cs="Arial"/>
                <w:sz w:val="22"/>
                <w:szCs w:val="22"/>
                <w:lang w:val="en-GB"/>
              </w:rPr>
              <w:t>NA**</w:t>
            </w:r>
          </w:p>
        </w:tc>
      </w:tr>
      <w:tr w:rsidR="00922E59" w:rsidRPr="00057C4C" w:rsidTr="00922E59">
        <w:tc>
          <w:tcPr>
            <w:tcW w:w="9240" w:type="dxa"/>
            <w:gridSpan w:val="5"/>
            <w:tcBorders>
              <w:top w:val="nil"/>
              <w:bottom w:val="nil"/>
            </w:tcBorders>
            <w:shd w:val="clear" w:color="auto" w:fill="auto"/>
          </w:tcPr>
          <w:p w:rsidR="00922E59" w:rsidRPr="00057C4C" w:rsidRDefault="00922E59" w:rsidP="00922E59">
            <w:pPr>
              <w:pStyle w:val="Table0"/>
              <w:rPr>
                <w:rFonts w:ascii="Times New Roman" w:hAnsi="Times New Roman"/>
                <w:sz w:val="18"/>
                <w:szCs w:val="18"/>
                <w:lang w:val="en-GB"/>
              </w:rPr>
            </w:pPr>
            <w:r w:rsidRPr="00057C4C">
              <w:rPr>
                <w:rFonts w:ascii="Times New Roman" w:hAnsi="Times New Roman"/>
                <w:sz w:val="18"/>
                <w:szCs w:val="18"/>
                <w:lang w:val="en-GB"/>
              </w:rPr>
              <w:t>* p &lt; 0.001, Fischer’s exact test</w:t>
            </w:r>
          </w:p>
          <w:p w:rsidR="00922E59" w:rsidRPr="00057C4C" w:rsidRDefault="00922E59" w:rsidP="00922E59">
            <w:pPr>
              <w:pStyle w:val="Table0"/>
              <w:rPr>
                <w:rFonts w:ascii="Times New Roman" w:hAnsi="Times New Roman"/>
                <w:sz w:val="18"/>
                <w:szCs w:val="18"/>
                <w:lang w:val="en-GB"/>
              </w:rPr>
            </w:pPr>
            <w:r w:rsidRPr="00057C4C">
              <w:rPr>
                <w:rFonts w:ascii="Times New Roman" w:hAnsi="Times New Roman"/>
                <w:sz w:val="18"/>
                <w:szCs w:val="18"/>
                <w:lang w:val="en-GB"/>
              </w:rPr>
              <w:t>**insufficient data, only two patients available with samples</w:t>
            </w:r>
          </w:p>
          <w:p w:rsidR="00922E59" w:rsidRPr="00057C4C" w:rsidRDefault="00922E59" w:rsidP="00922E59">
            <w:pPr>
              <w:pStyle w:val="Table0"/>
              <w:rPr>
                <w:rFonts w:ascii="Times New Roman" w:hAnsi="Times New Roman"/>
                <w:b/>
                <w:sz w:val="18"/>
                <w:szCs w:val="18"/>
                <w:lang w:val="en-GB"/>
              </w:rPr>
            </w:pPr>
            <w:r w:rsidRPr="00057C4C">
              <w:rPr>
                <w:rFonts w:ascii="Times New Roman Bold" w:hAnsi="Times New Roman Bold" w:cs="Arial"/>
                <w:b/>
                <w:vertAlign w:val="superscript"/>
                <w:lang w:val="en-GB"/>
              </w:rPr>
              <w:t>1</w:t>
            </w:r>
            <w:r w:rsidRPr="00057C4C">
              <w:rPr>
                <w:rFonts w:ascii="Times New Roman" w:hAnsi="Times New Roman"/>
                <w:b/>
                <w:sz w:val="18"/>
                <w:szCs w:val="18"/>
                <w:lang w:val="en-GB"/>
              </w:rPr>
              <w:t xml:space="preserve">Haematological response criteria (all responses to be confirmed after </w:t>
            </w:r>
            <w:r w:rsidRPr="00057C4C">
              <w:rPr>
                <w:rFonts w:ascii="Times New Roman" w:hAnsi="Times New Roman"/>
                <w:b/>
                <w:sz w:val="18"/>
                <w:szCs w:val="18"/>
                <w:lang w:val="en-GB"/>
              </w:rPr>
              <w:sym w:font="Symbol" w:char="F0B3"/>
            </w:r>
            <w:r w:rsidRPr="00057C4C">
              <w:rPr>
                <w:rFonts w:ascii="Times New Roman" w:hAnsi="Times New Roman"/>
                <w:b/>
                <w:sz w:val="18"/>
                <w:szCs w:val="18"/>
                <w:lang w:val="en-GB"/>
              </w:rPr>
              <w:t>4 weeks):</w:t>
            </w:r>
          </w:p>
          <w:p w:rsidR="00922E59" w:rsidRPr="00057C4C" w:rsidRDefault="00922E59" w:rsidP="00922E59">
            <w:pPr>
              <w:pStyle w:val="Table0"/>
              <w:rPr>
                <w:rFonts w:ascii="Times New Roman" w:hAnsi="Times New Roman"/>
                <w:sz w:val="18"/>
                <w:szCs w:val="18"/>
                <w:lang w:val="en-GB"/>
              </w:rPr>
            </w:pPr>
            <w:r w:rsidRPr="00057C4C">
              <w:rPr>
                <w:rFonts w:ascii="Times New Roman" w:hAnsi="Times New Roman"/>
                <w:sz w:val="18"/>
                <w:szCs w:val="18"/>
                <w:lang w:val="en-GB"/>
              </w:rPr>
              <w:t>WBC &lt; 10 x10</w:t>
            </w:r>
            <w:r w:rsidRPr="00057C4C">
              <w:rPr>
                <w:rFonts w:ascii="Times New Roman" w:hAnsi="Times New Roman"/>
                <w:sz w:val="18"/>
                <w:szCs w:val="18"/>
                <w:vertAlign w:val="superscript"/>
                <w:lang w:val="en-GB"/>
              </w:rPr>
              <w:t>9</w:t>
            </w:r>
            <w:r w:rsidRPr="00057C4C">
              <w:rPr>
                <w:rFonts w:ascii="Times New Roman" w:hAnsi="Times New Roman"/>
                <w:sz w:val="18"/>
                <w:szCs w:val="18"/>
                <w:lang w:val="en-GB"/>
              </w:rPr>
              <w:t>/L, platelet &lt; 450 x10</w:t>
            </w:r>
            <w:r w:rsidRPr="00057C4C">
              <w:rPr>
                <w:rFonts w:ascii="Times New Roman" w:hAnsi="Times New Roman"/>
                <w:sz w:val="18"/>
                <w:szCs w:val="18"/>
                <w:vertAlign w:val="superscript"/>
                <w:lang w:val="en-GB"/>
              </w:rPr>
              <w:t>9</w:t>
            </w:r>
            <w:r w:rsidRPr="00057C4C">
              <w:rPr>
                <w:rFonts w:ascii="Times New Roman" w:hAnsi="Times New Roman"/>
                <w:sz w:val="18"/>
                <w:szCs w:val="18"/>
                <w:lang w:val="en-GB"/>
              </w:rPr>
              <w:t>/L, myelocyte+metamyelocyte &lt; 5% in blood, no blasts and promyelocytes in blood, basophils &lt; 20%, no extramedullary involvement</w:t>
            </w:r>
          </w:p>
          <w:p w:rsidR="00922E59" w:rsidRPr="00057C4C" w:rsidRDefault="00922E59" w:rsidP="00922E59">
            <w:pPr>
              <w:pStyle w:val="Table0"/>
              <w:rPr>
                <w:rFonts w:ascii="Times New Roman" w:hAnsi="Times New Roman"/>
                <w:sz w:val="18"/>
                <w:szCs w:val="18"/>
                <w:lang w:val="en-GB"/>
              </w:rPr>
            </w:pPr>
            <w:r w:rsidRPr="00057C4C">
              <w:rPr>
                <w:rFonts w:ascii="Times New Roman Bold" w:hAnsi="Times New Roman Bold" w:cs="Arial"/>
                <w:b/>
                <w:vertAlign w:val="superscript"/>
                <w:lang w:val="en-GB"/>
              </w:rPr>
              <w:t>2</w:t>
            </w:r>
            <w:r w:rsidRPr="00057C4C">
              <w:rPr>
                <w:rFonts w:ascii="Times New Roman" w:hAnsi="Times New Roman"/>
                <w:b/>
                <w:sz w:val="18"/>
                <w:szCs w:val="18"/>
                <w:lang w:val="en-GB"/>
              </w:rPr>
              <w:t xml:space="preserve">Cytogenetic response criteria: </w:t>
            </w:r>
            <w:r w:rsidRPr="00057C4C">
              <w:rPr>
                <w:rFonts w:ascii="Times New Roman" w:hAnsi="Times New Roman"/>
                <w:sz w:val="18"/>
                <w:szCs w:val="18"/>
                <w:lang w:val="en-GB"/>
              </w:rPr>
              <w:t>complete (0% Ph+ metaphases), partial (1-35%), minor (36-65%) or minimal (66-95%). A major response (0-35%) combines both complete and partial responses.</w:t>
            </w:r>
          </w:p>
          <w:p w:rsidR="00922E59" w:rsidRPr="00057C4C" w:rsidRDefault="00922E59" w:rsidP="00922E59">
            <w:pPr>
              <w:pStyle w:val="Table0"/>
              <w:rPr>
                <w:rFonts w:ascii="Times New Roman" w:hAnsi="Times New Roman"/>
                <w:sz w:val="16"/>
                <w:szCs w:val="16"/>
                <w:lang w:val="en-GB"/>
              </w:rPr>
            </w:pPr>
            <w:r w:rsidRPr="00057C4C">
              <w:rPr>
                <w:rFonts w:ascii="Times New Roman Bold" w:hAnsi="Times New Roman Bold" w:cs="Arial"/>
                <w:b/>
                <w:vertAlign w:val="superscript"/>
                <w:lang w:val="en-GB"/>
              </w:rPr>
              <w:t>3</w:t>
            </w:r>
            <w:r w:rsidRPr="00057C4C">
              <w:rPr>
                <w:rFonts w:ascii="Times New Roman" w:hAnsi="Times New Roman"/>
                <w:b/>
                <w:sz w:val="18"/>
                <w:szCs w:val="18"/>
                <w:lang w:val="en-GB"/>
              </w:rPr>
              <w:t>Major molecular response criteria</w:t>
            </w:r>
            <w:r w:rsidRPr="00057C4C">
              <w:rPr>
                <w:rFonts w:ascii="Times New Roman" w:hAnsi="Times New Roman"/>
                <w:sz w:val="18"/>
                <w:szCs w:val="18"/>
                <w:lang w:val="en-GB"/>
              </w:rPr>
              <w:t xml:space="preserve">: in the peripheral blood reduction </w:t>
            </w:r>
            <w:r w:rsidRPr="00057C4C">
              <w:rPr>
                <w:rFonts w:ascii="Times New Roman" w:hAnsi="Times New Roman" w:cs="Arial"/>
                <w:sz w:val="18"/>
                <w:szCs w:val="18"/>
                <w:lang w:val="en-GB"/>
              </w:rPr>
              <w:t>≥ </w:t>
            </w:r>
            <w:r w:rsidRPr="00057C4C">
              <w:rPr>
                <w:rFonts w:ascii="Times New Roman" w:hAnsi="Times New Roman"/>
                <w:sz w:val="18"/>
                <w:szCs w:val="18"/>
                <w:lang w:val="en-GB"/>
              </w:rPr>
              <w:t xml:space="preserve">3 logarithms in the amount of Bcr-Abl transcripts (measured by real-time quantitative reverse transcriptase </w:t>
            </w:r>
            <w:smartTag w:uri="urn:schemas-microsoft-com:office:smarttags" w:element="stockticker">
              <w:r w:rsidRPr="00057C4C">
                <w:rPr>
                  <w:rFonts w:ascii="Times New Roman" w:hAnsi="Times New Roman"/>
                  <w:sz w:val="18"/>
                  <w:szCs w:val="18"/>
                  <w:lang w:val="en-GB"/>
                </w:rPr>
                <w:t>PCR</w:t>
              </w:r>
            </w:smartTag>
            <w:r w:rsidRPr="00057C4C">
              <w:rPr>
                <w:rFonts w:ascii="Times New Roman" w:hAnsi="Times New Roman"/>
                <w:sz w:val="18"/>
                <w:szCs w:val="18"/>
                <w:lang w:val="en-GB"/>
              </w:rPr>
              <w:t xml:space="preserve"> assay) over a standardised baseline.</w:t>
            </w:r>
          </w:p>
        </w:tc>
      </w:tr>
    </w:tbl>
    <w:p w:rsidR="00922E59" w:rsidRPr="00057C4C" w:rsidRDefault="00922E59" w:rsidP="0055428A">
      <w:pPr>
        <w:pStyle w:val="Text"/>
        <w:spacing w:before="0" w:line="320" w:lineRule="atLeast"/>
        <w:jc w:val="left"/>
        <w:rPr>
          <w:lang w:val="en-GB"/>
        </w:rPr>
      </w:pPr>
      <w:r w:rsidRPr="00057C4C">
        <w:rPr>
          <w:lang w:val="en-GB"/>
        </w:rPr>
        <w:t>Rates of complete haematological response, major cytogenetic response and complete cytogenetic response on first-line treatment were estimated using the Kaplan-Meier approach, for which non-responses were censored at the date of last examination. Using this approach the estimated cumulative response rates for first-line treatment with Glivec are shown in Table 2.</w:t>
      </w:r>
    </w:p>
    <w:p w:rsidR="00922E59" w:rsidRPr="00057C4C" w:rsidRDefault="00922E59" w:rsidP="00D71D4F">
      <w:pPr>
        <w:pStyle w:val="Heading3"/>
      </w:pPr>
      <w:r w:rsidRPr="00057C4C">
        <w:t>Table 2</w:t>
      </w:r>
      <w:r w:rsidRPr="00057C4C">
        <w:tab/>
        <w:t>Estimated cumulative responses to first-line Glivec</w:t>
      </w:r>
    </w:p>
    <w:tbl>
      <w:tblPr>
        <w:tblW w:w="9191" w:type="dxa"/>
        <w:tblInd w:w="108" w:type="dxa"/>
        <w:tblBorders>
          <w:top w:val="single" w:sz="4" w:space="0" w:color="auto"/>
          <w:bottom w:val="single" w:sz="4" w:space="0" w:color="auto"/>
        </w:tblBorders>
        <w:tblLayout w:type="fixed"/>
        <w:tblLook w:val="0000"/>
      </w:tblPr>
      <w:tblGrid>
        <w:gridCol w:w="2216"/>
        <w:gridCol w:w="2325"/>
        <w:gridCol w:w="2325"/>
        <w:gridCol w:w="2325"/>
      </w:tblGrid>
      <w:tr w:rsidR="00922E59" w:rsidRPr="00057C4C" w:rsidTr="00922E59">
        <w:trPr>
          <w:tblHeader/>
        </w:trPr>
        <w:tc>
          <w:tcPr>
            <w:tcW w:w="2216" w:type="dxa"/>
            <w:tcBorders>
              <w:top w:val="single" w:sz="4" w:space="0" w:color="auto"/>
              <w:bottom w:val="single" w:sz="4" w:space="0" w:color="auto"/>
            </w:tcBorders>
            <w:shd w:val="clear" w:color="auto" w:fill="auto"/>
          </w:tcPr>
          <w:p w:rsidR="00922E59" w:rsidRPr="00057C4C" w:rsidRDefault="00922E59" w:rsidP="00922E59">
            <w:pPr>
              <w:pStyle w:val="Table0"/>
              <w:rPr>
                <w:rFonts w:ascii="Times New Roman" w:hAnsi="Times New Roman"/>
                <w:sz w:val="22"/>
                <w:szCs w:val="22"/>
                <w:lang w:val="en-GB"/>
              </w:rPr>
            </w:pPr>
            <w:r w:rsidRPr="00057C4C">
              <w:rPr>
                <w:rFonts w:ascii="Times New Roman" w:hAnsi="Times New Roman"/>
                <w:sz w:val="22"/>
                <w:szCs w:val="22"/>
                <w:lang w:val="en-GB"/>
              </w:rPr>
              <w:t>Months on therapy</w:t>
            </w:r>
          </w:p>
        </w:tc>
        <w:tc>
          <w:tcPr>
            <w:tcW w:w="2325" w:type="dxa"/>
            <w:tcBorders>
              <w:top w:val="single" w:sz="4" w:space="0" w:color="auto"/>
              <w:bottom w:val="single" w:sz="4" w:space="0" w:color="auto"/>
            </w:tcBorders>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w:t>
            </w:r>
            <w:smartTag w:uri="urn:schemas-microsoft-com:office:smarttags" w:element="stockticker">
              <w:r w:rsidRPr="00CC0663">
                <w:rPr>
                  <w:rFonts w:ascii="Times New Roman" w:hAnsi="Times New Roman"/>
                  <w:sz w:val="22"/>
                  <w:szCs w:val="22"/>
                  <w:lang w:val="en-AU"/>
                </w:rPr>
                <w:t>CHR</w:t>
              </w:r>
            </w:smartTag>
          </w:p>
        </w:tc>
        <w:tc>
          <w:tcPr>
            <w:tcW w:w="2325" w:type="dxa"/>
            <w:tcBorders>
              <w:top w:val="single" w:sz="4" w:space="0" w:color="auto"/>
              <w:bottom w:val="single" w:sz="4" w:space="0" w:color="auto"/>
            </w:tcBorders>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%MCyR</w:t>
            </w:r>
          </w:p>
        </w:tc>
        <w:tc>
          <w:tcPr>
            <w:tcW w:w="2325" w:type="dxa"/>
            <w:tcBorders>
              <w:top w:val="single" w:sz="4" w:space="0" w:color="auto"/>
              <w:bottom w:val="single" w:sz="4" w:space="0" w:color="auto"/>
            </w:tcBorders>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%CCyR</w:t>
            </w:r>
          </w:p>
        </w:tc>
      </w:tr>
      <w:tr w:rsidR="00922E59" w:rsidRPr="00057C4C" w:rsidTr="00922E59">
        <w:tc>
          <w:tcPr>
            <w:tcW w:w="2216" w:type="dxa"/>
            <w:tcBorders>
              <w:top w:val="single" w:sz="4" w:space="0" w:color="auto"/>
            </w:tcBorders>
            <w:shd w:val="clear" w:color="auto" w:fill="auto"/>
          </w:tcPr>
          <w:p w:rsidR="00922E59" w:rsidRPr="00CC0663" w:rsidRDefault="00922E59" w:rsidP="00922E59">
            <w:pPr>
              <w:pStyle w:val="Table0"/>
              <w:rPr>
                <w:rFonts w:ascii="Times New Roman" w:hAnsi="Times New Roman"/>
                <w:sz w:val="22"/>
                <w:szCs w:val="22"/>
                <w:lang w:val="en-AU"/>
              </w:rPr>
            </w:pPr>
            <w:r w:rsidRPr="00CC0663">
              <w:rPr>
                <w:rFonts w:ascii="Times New Roman" w:hAnsi="Times New Roman"/>
                <w:sz w:val="22"/>
                <w:szCs w:val="22"/>
                <w:lang w:val="en-AU"/>
              </w:rPr>
              <w:t>12 months</w:t>
            </w:r>
          </w:p>
        </w:tc>
        <w:tc>
          <w:tcPr>
            <w:tcW w:w="2325" w:type="dxa"/>
            <w:tcBorders>
              <w:top w:val="single" w:sz="4" w:space="0" w:color="auto"/>
            </w:tcBorders>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96.4</w:t>
            </w:r>
          </w:p>
        </w:tc>
        <w:tc>
          <w:tcPr>
            <w:tcW w:w="2325" w:type="dxa"/>
            <w:tcBorders>
              <w:top w:val="single" w:sz="4" w:space="0" w:color="auto"/>
            </w:tcBorders>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84.6</w:t>
            </w:r>
          </w:p>
        </w:tc>
        <w:tc>
          <w:tcPr>
            <w:tcW w:w="2325" w:type="dxa"/>
            <w:tcBorders>
              <w:top w:val="single" w:sz="4" w:space="0" w:color="auto"/>
            </w:tcBorders>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69.5</w:t>
            </w:r>
          </w:p>
        </w:tc>
      </w:tr>
      <w:tr w:rsidR="00922E59" w:rsidRPr="00057C4C" w:rsidTr="00922E59">
        <w:tc>
          <w:tcPr>
            <w:tcW w:w="2216" w:type="dxa"/>
            <w:shd w:val="clear" w:color="auto" w:fill="auto"/>
          </w:tcPr>
          <w:p w:rsidR="00922E59" w:rsidRPr="00CC0663" w:rsidRDefault="00922E59" w:rsidP="00922E59">
            <w:pPr>
              <w:pStyle w:val="Table0"/>
              <w:rPr>
                <w:rFonts w:ascii="Times New Roman" w:hAnsi="Times New Roman"/>
                <w:sz w:val="22"/>
                <w:szCs w:val="22"/>
                <w:lang w:val="en-AU"/>
              </w:rPr>
            </w:pPr>
            <w:r w:rsidRPr="00CC0663">
              <w:rPr>
                <w:rFonts w:ascii="Times New Roman" w:hAnsi="Times New Roman"/>
                <w:sz w:val="22"/>
                <w:szCs w:val="22"/>
                <w:lang w:val="en-AU"/>
              </w:rPr>
              <w:t>24 months</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97.2</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89.5</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79.7</w:t>
            </w:r>
          </w:p>
        </w:tc>
      </w:tr>
      <w:tr w:rsidR="00922E59" w:rsidRPr="00057C4C" w:rsidTr="00922E59">
        <w:tc>
          <w:tcPr>
            <w:tcW w:w="2216" w:type="dxa"/>
            <w:shd w:val="clear" w:color="auto" w:fill="auto"/>
          </w:tcPr>
          <w:p w:rsidR="00922E59" w:rsidRPr="00CC0663" w:rsidRDefault="00922E59" w:rsidP="00922E59">
            <w:pPr>
              <w:pStyle w:val="Table0"/>
              <w:rPr>
                <w:rFonts w:ascii="Times New Roman" w:hAnsi="Times New Roman"/>
                <w:sz w:val="22"/>
                <w:szCs w:val="22"/>
                <w:lang w:val="en-AU"/>
              </w:rPr>
            </w:pPr>
            <w:r w:rsidRPr="00CC0663">
              <w:rPr>
                <w:rFonts w:ascii="Times New Roman" w:hAnsi="Times New Roman"/>
                <w:sz w:val="22"/>
                <w:szCs w:val="22"/>
                <w:lang w:val="en-AU"/>
              </w:rPr>
              <w:t>36 months</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97.2</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91.1</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83.6</w:t>
            </w:r>
          </w:p>
        </w:tc>
      </w:tr>
      <w:tr w:rsidR="00922E59" w:rsidRPr="00057C4C" w:rsidTr="00922E59">
        <w:tc>
          <w:tcPr>
            <w:tcW w:w="2216" w:type="dxa"/>
            <w:shd w:val="clear" w:color="auto" w:fill="auto"/>
          </w:tcPr>
          <w:p w:rsidR="00922E59" w:rsidRPr="00CC0663" w:rsidRDefault="00922E59" w:rsidP="00922E59">
            <w:pPr>
              <w:pStyle w:val="Table0"/>
              <w:rPr>
                <w:rFonts w:ascii="Times New Roman" w:hAnsi="Times New Roman"/>
                <w:sz w:val="22"/>
                <w:szCs w:val="22"/>
                <w:lang w:val="en-AU"/>
              </w:rPr>
            </w:pPr>
            <w:r w:rsidRPr="00CC0663">
              <w:rPr>
                <w:rFonts w:ascii="Times New Roman" w:hAnsi="Times New Roman"/>
                <w:sz w:val="22"/>
                <w:szCs w:val="22"/>
                <w:lang w:val="en-AU"/>
              </w:rPr>
              <w:t>48 months</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98.2</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91.9</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85.2</w:t>
            </w:r>
          </w:p>
        </w:tc>
      </w:tr>
      <w:tr w:rsidR="00922E59" w:rsidRPr="00057C4C" w:rsidTr="00922E59">
        <w:tc>
          <w:tcPr>
            <w:tcW w:w="2216" w:type="dxa"/>
            <w:shd w:val="clear" w:color="auto" w:fill="auto"/>
          </w:tcPr>
          <w:p w:rsidR="00922E59" w:rsidRPr="00CC0663" w:rsidRDefault="00922E59" w:rsidP="00922E59">
            <w:pPr>
              <w:pStyle w:val="Table0"/>
              <w:rPr>
                <w:rFonts w:ascii="Times New Roman" w:hAnsi="Times New Roman"/>
                <w:sz w:val="22"/>
                <w:szCs w:val="22"/>
                <w:lang w:val="en-AU"/>
              </w:rPr>
            </w:pPr>
            <w:r w:rsidRPr="00CC0663">
              <w:rPr>
                <w:rFonts w:ascii="Times New Roman" w:hAnsi="Times New Roman"/>
                <w:sz w:val="22"/>
                <w:szCs w:val="22"/>
                <w:lang w:val="en-AU"/>
              </w:rPr>
              <w:t>60 months</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98.4</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91.9</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86.7</w:t>
            </w:r>
          </w:p>
        </w:tc>
      </w:tr>
      <w:tr w:rsidR="00922E59" w:rsidRPr="00057C4C" w:rsidTr="00922E59">
        <w:tc>
          <w:tcPr>
            <w:tcW w:w="2216" w:type="dxa"/>
            <w:shd w:val="clear" w:color="auto" w:fill="auto"/>
          </w:tcPr>
          <w:p w:rsidR="00922E59" w:rsidRPr="00CC0663" w:rsidRDefault="00922E59" w:rsidP="00922E59">
            <w:pPr>
              <w:pStyle w:val="Table0"/>
              <w:rPr>
                <w:rFonts w:ascii="Times New Roman" w:hAnsi="Times New Roman"/>
                <w:sz w:val="22"/>
                <w:szCs w:val="22"/>
                <w:lang w:val="en-AU"/>
              </w:rPr>
            </w:pPr>
            <w:r w:rsidRPr="00CC0663">
              <w:rPr>
                <w:rFonts w:ascii="Times New Roman" w:hAnsi="Times New Roman"/>
                <w:sz w:val="22"/>
                <w:szCs w:val="22"/>
                <w:lang w:val="en-AU"/>
              </w:rPr>
              <w:t>84 months</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98.4</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91.9</w:t>
            </w:r>
          </w:p>
        </w:tc>
        <w:tc>
          <w:tcPr>
            <w:tcW w:w="2325" w:type="dxa"/>
            <w:shd w:val="clear" w:color="auto" w:fill="auto"/>
          </w:tcPr>
          <w:p w:rsidR="00922E59" w:rsidRPr="00CC0663" w:rsidRDefault="00922E59" w:rsidP="00922E59">
            <w:pPr>
              <w:pStyle w:val="Table0"/>
              <w:jc w:val="center"/>
              <w:rPr>
                <w:rFonts w:ascii="Times New Roman" w:hAnsi="Times New Roman"/>
                <w:sz w:val="22"/>
                <w:szCs w:val="22"/>
                <w:lang w:val="en-AU"/>
              </w:rPr>
            </w:pPr>
            <w:r w:rsidRPr="00CC0663">
              <w:rPr>
                <w:rFonts w:ascii="Times New Roman" w:hAnsi="Times New Roman"/>
                <w:sz w:val="22"/>
                <w:szCs w:val="22"/>
                <w:lang w:val="en-AU"/>
              </w:rPr>
              <w:t>87.2</w:t>
            </w:r>
          </w:p>
        </w:tc>
      </w:tr>
    </w:tbl>
    <w:p w:rsidR="00922E59" w:rsidRPr="00057C4C" w:rsidRDefault="00922E59" w:rsidP="002B14EF">
      <w:pPr>
        <w:pStyle w:val="Text"/>
        <w:spacing w:after="120" w:line="320" w:lineRule="atLeast"/>
        <w:jc w:val="left"/>
      </w:pPr>
      <w:r w:rsidRPr="00057C4C">
        <w:rPr>
          <w:lang w:val="en-GB"/>
        </w:rPr>
        <w:t xml:space="preserve">For analysis of long-term outcomes </w:t>
      </w:r>
      <w:r w:rsidRPr="00057C4C">
        <w:t>patients randomised to receive Glivec were compared with patients randomised to receive IFN. Patients who crossed over prior to progression were not censored at the time of crossover, and events that occurred in these patients following crossover were attributed to the original randomised treatment.</w:t>
      </w:r>
    </w:p>
    <w:p w:rsidR="00922E59" w:rsidRPr="00057C4C" w:rsidRDefault="00922E59" w:rsidP="0055428A">
      <w:pPr>
        <w:pStyle w:val="Text"/>
        <w:spacing w:before="0" w:line="320" w:lineRule="atLeast"/>
        <w:jc w:val="left"/>
        <w:rPr>
          <w:lang w:val="en-GB"/>
        </w:rPr>
      </w:pPr>
      <w:r w:rsidRPr="00057C4C">
        <w:t xml:space="preserve">With 7 years follow-up, there were 93 (16.8%) progression events in the Glivec arm: 37 (6.7%) involving progression to AP/BC, 31 (5.6%) loss of MCyR, 15 (2.7%) loss of </w:t>
      </w:r>
      <w:smartTag w:uri="urn:schemas-microsoft-com:office:smarttags" w:element="stockticker">
        <w:r w:rsidRPr="00057C4C">
          <w:t>CHR</w:t>
        </w:r>
      </w:smartTag>
      <w:r w:rsidRPr="00057C4C">
        <w:t xml:space="preserve"> or increase in WBC and 10 (1.8%) CML unrelated deaths. In contrast, there were 165 (29.8%) </w:t>
      </w:r>
      <w:r w:rsidRPr="00057C4C">
        <w:lastRenderedPageBreak/>
        <w:t>events in the IFN+Ara-C arm of which 130 occurred during first-line treatment with IFN+Ara-C.</w:t>
      </w:r>
      <w:r w:rsidRPr="00057C4C">
        <w:rPr>
          <w:lang w:val="en-GB"/>
        </w:rPr>
        <w:t xml:space="preserve"> </w:t>
      </w:r>
    </w:p>
    <w:p w:rsidR="00922E59" w:rsidRPr="00057C4C" w:rsidRDefault="00922E59" w:rsidP="002B14EF">
      <w:pPr>
        <w:pStyle w:val="Text"/>
        <w:spacing w:after="120" w:line="320" w:lineRule="atLeast"/>
        <w:jc w:val="left"/>
      </w:pPr>
      <w:r w:rsidRPr="00057C4C">
        <w:rPr>
          <w:lang w:val="en-GB"/>
        </w:rPr>
        <w:t>The estimated rate of progression-free survival at 84 months is 81.2% with 95% CI (78, 85) in the Glivec arm and 60.6% (56,5) in the control arm (p &lt;0.001) (Figure 1).</w:t>
      </w:r>
      <w:r w:rsidRPr="00057C4C">
        <w:t xml:space="preserve"> The yearly rates of progression for Glivec were 3.3% in the 1</w:t>
      </w:r>
      <w:r w:rsidRPr="00057C4C">
        <w:rPr>
          <w:vertAlign w:val="superscript"/>
        </w:rPr>
        <w:t>st</w:t>
      </w:r>
      <w:r w:rsidRPr="00057C4C">
        <w:t xml:space="preserve"> year after start of study, 7.5% in the 2</w:t>
      </w:r>
      <w:r w:rsidRPr="00057C4C">
        <w:rPr>
          <w:vertAlign w:val="superscript"/>
        </w:rPr>
        <w:t>nd</w:t>
      </w:r>
      <w:r w:rsidRPr="00057C4C">
        <w:t xml:space="preserve"> year and 4.8%, 1.7% , 0.8% 0.3% and 2.0% in the 3</w:t>
      </w:r>
      <w:r w:rsidRPr="00057C4C">
        <w:rPr>
          <w:vertAlign w:val="superscript"/>
        </w:rPr>
        <w:t>rd</w:t>
      </w:r>
      <w:r w:rsidRPr="00057C4C">
        <w:t>, 4</w:t>
      </w:r>
      <w:r w:rsidRPr="00057C4C">
        <w:rPr>
          <w:vertAlign w:val="superscript"/>
        </w:rPr>
        <w:t>th</w:t>
      </w:r>
      <w:r w:rsidRPr="00057C4C">
        <w:t xml:space="preserve"> ,5</w:t>
      </w:r>
      <w:r w:rsidRPr="00057C4C">
        <w:rPr>
          <w:vertAlign w:val="superscript"/>
        </w:rPr>
        <w:t>th</w:t>
      </w:r>
      <w:r w:rsidRPr="00057C4C">
        <w:t>, 6</w:t>
      </w:r>
      <w:r w:rsidRPr="00057C4C">
        <w:rPr>
          <w:vertAlign w:val="superscript"/>
        </w:rPr>
        <w:t>th</w:t>
      </w:r>
      <w:r w:rsidRPr="00057C4C">
        <w:t xml:space="preserve"> and 7</w:t>
      </w:r>
      <w:r w:rsidRPr="00057C4C">
        <w:rPr>
          <w:vertAlign w:val="superscript"/>
        </w:rPr>
        <w:t>th</w:t>
      </w:r>
      <w:r w:rsidRPr="00057C4C">
        <w:t xml:space="preserve"> year of study respectively.</w:t>
      </w:r>
    </w:p>
    <w:p w:rsidR="00922E59" w:rsidRPr="00057C4C" w:rsidRDefault="00922E59" w:rsidP="0055428A">
      <w:pPr>
        <w:pStyle w:val="Text"/>
        <w:spacing w:before="0" w:line="320" w:lineRule="atLeast"/>
        <w:jc w:val="left"/>
        <w:rPr>
          <w:lang w:val="en-GB"/>
        </w:rPr>
      </w:pPr>
      <w:r w:rsidRPr="00057C4C">
        <w:rPr>
          <w:lang w:val="en-GB"/>
        </w:rPr>
        <w:t xml:space="preserve">The estimated rate of patients free of progression to accelerated phase or blast crisis at 84 months was significantly higher in the Glivec arm compared to the IFN arm (92.5% [90,95] versus 85.1% [82,89], p&lt;0.001) (Figure 2). </w:t>
      </w:r>
      <w:r w:rsidRPr="00057C4C">
        <w:t>The annual rate of progression decreased with time on therapy: yearly rates of disease progression to accelerated phase or blast crisis were 1.5%, 2.8%, 1.6%, 0.9%, 0.5%, 0% and 0.4% in the first to seventh year, respectively.</w:t>
      </w:r>
    </w:p>
    <w:p w:rsidR="00922E59" w:rsidRPr="00057C4C" w:rsidRDefault="00922E59" w:rsidP="00D71D4F">
      <w:pPr>
        <w:pStyle w:val="Heading3"/>
      </w:pPr>
      <w:bookmarkStart w:id="0" w:name="_Toc9066256"/>
      <w:bookmarkStart w:id="1" w:name="_Toc9422481"/>
      <w:bookmarkStart w:id="2" w:name="_Toc11041255"/>
      <w:r w:rsidRPr="00057C4C">
        <w:t>Figure 1</w:t>
      </w:r>
      <w:r w:rsidRPr="00057C4C">
        <w:tab/>
        <w:t>Time to progression (</w:t>
      </w:r>
      <w:smartTag w:uri="urn:schemas-microsoft-com:office:smarttags" w:element="stockticker">
        <w:r w:rsidRPr="00057C4C">
          <w:t>ITT</w:t>
        </w:r>
      </w:smartTag>
      <w:r w:rsidRPr="00057C4C">
        <w:t xml:space="preserve"> principle)</w:t>
      </w:r>
    </w:p>
    <w:p w:rsidR="00922E59" w:rsidRPr="00057C4C" w:rsidRDefault="002B14EF" w:rsidP="00922E59">
      <w:pPr>
        <w:pStyle w:val="Text"/>
        <w:rPr>
          <w:lang w:val="en-GB"/>
        </w:rPr>
      </w:pPr>
      <w:r w:rsidRPr="00057C4C">
        <w:object w:dxaOrig="7139" w:dyaOrig="4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1 Time to progression (ITT principle)" style="width:336pt;height:200.35pt" o:ole="">
            <v:imagedata r:id="rId8" o:title=""/>
          </v:shape>
          <o:OLEObject Type="Embed" ProgID="MSPhotoEd.3" ShapeID="_x0000_i1025" DrawAspect="Content" ObjectID="_1435052843" r:id="rId9"/>
        </w:object>
      </w:r>
    </w:p>
    <w:p w:rsidR="00922E59" w:rsidRPr="00057C4C" w:rsidRDefault="00922E59" w:rsidP="00922E59">
      <w:pPr>
        <w:pStyle w:val="Text"/>
        <w:tabs>
          <w:tab w:val="left" w:pos="2280"/>
        </w:tabs>
        <w:rPr>
          <w:rFonts w:ascii="Arial" w:hAnsi="Arial"/>
          <w:lang w:val="en-GB"/>
        </w:rPr>
      </w:pPr>
      <w:r w:rsidRPr="00057C4C">
        <w:rPr>
          <w:sz w:val="18"/>
          <w:lang w:val="en-GB"/>
        </w:rPr>
        <w:tab/>
      </w:r>
    </w:p>
    <w:p w:rsidR="00922E59" w:rsidRPr="00057C4C" w:rsidRDefault="00922E59" w:rsidP="00D71D4F">
      <w:pPr>
        <w:pStyle w:val="Heading3"/>
      </w:pPr>
      <w:r w:rsidRPr="00057C4C">
        <w:t>Figure 2</w:t>
      </w:r>
      <w:r w:rsidRPr="00057C4C">
        <w:tab/>
        <w:t>Time to progression to Accelerated Phase or Blast Crisis (</w:t>
      </w:r>
      <w:smartTag w:uri="urn:schemas-microsoft-com:office:smarttags" w:element="stockticker">
        <w:r w:rsidRPr="00057C4C">
          <w:t>ITT</w:t>
        </w:r>
      </w:smartTag>
      <w:r w:rsidRPr="00057C4C">
        <w:t xml:space="preserve"> principle)</w:t>
      </w:r>
      <w:bookmarkEnd w:id="0"/>
      <w:bookmarkEnd w:id="1"/>
      <w:bookmarkEnd w:id="2"/>
    </w:p>
    <w:p w:rsidR="00922E59" w:rsidRPr="00057C4C" w:rsidRDefault="002B14EF" w:rsidP="00922E59">
      <w:pPr>
        <w:pStyle w:val="Text"/>
        <w:rPr>
          <w:lang w:val="en-GB"/>
        </w:rPr>
      </w:pPr>
      <w:r w:rsidRPr="00057C4C">
        <w:object w:dxaOrig="7139" w:dyaOrig="4424">
          <v:shape id="_x0000_i1026" type="#_x0000_t75" alt="Figure 2 Time to progression to Accelerated Phase or Blast Crisis (ITT principle)" style="width:329.65pt;height:204.65pt" o:ole="">
            <v:imagedata r:id="rId10" o:title=""/>
          </v:shape>
          <o:OLEObject Type="Embed" ProgID="MSPhotoEd.3" ShapeID="_x0000_i1026" DrawAspect="Content" ObjectID="_1435052844" r:id="rId11"/>
        </w:object>
      </w:r>
    </w:p>
    <w:p w:rsidR="00922E59" w:rsidRPr="00057C4C" w:rsidRDefault="00922E59" w:rsidP="0055428A">
      <w:pPr>
        <w:pStyle w:val="Text"/>
        <w:spacing w:before="0" w:line="320" w:lineRule="atLeast"/>
        <w:jc w:val="left"/>
      </w:pPr>
      <w:r w:rsidRPr="00057C4C">
        <w:t xml:space="preserve">A total of 71 (12.8%) and 85 (15.4%) patients died in the Glivec and IFN+Ara-C groups, respectively. At 84 months the estimated overall survival is 86.4% (83, 90) vs. 83.3% (80, 87) </w:t>
      </w:r>
      <w:r w:rsidRPr="00057C4C">
        <w:lastRenderedPageBreak/>
        <w:t xml:space="preserve">in the randomised Glivec and the IFN+Ara-C groups, respectively (p=0.073, log-rank test). This time-to-event endpoint is strongly affected by the high crossover rate from IFN+Ara-C to Glivec. Additionally, a greater number of patients received bone marrow transplant (BMT) after discontinuation of study treatment in the IFN+Ara-C group (n=66, 38 after crossover to Glivec) compared with the Glivec group (n=50, 8 after crossover to IFN) at the 84 month update. When censoring the 48 deaths that occurred after BMT, the 84-months survival rates were 89.6 vs 88.1 (p=0.200, log-rank test). Only 31 deaths (before BMT) of the Glivec patients (5.6%) were attributed to CML, compared to 40  of the IFN+Ara-C patients (7.2%). When only considering these CML-related deaths and censoring any deaths after BMT or due to other reasons,  the estimated 84-months survival rates were 93.6% vs. 91.1% (p=0.1, log rank test). The effect of Glivec treatment on survival in chronic phase, newly diagnosed CML has been further examined in a retrospective analysis of the above reported Glivec data  with the primary data from another Phase </w:t>
      </w:r>
      <w:smartTag w:uri="urn:schemas-microsoft-com:office:smarttags" w:element="stockticker">
        <w:r w:rsidRPr="00057C4C">
          <w:t>III</w:t>
        </w:r>
      </w:smartTag>
      <w:r w:rsidRPr="00057C4C">
        <w:t xml:space="preserve"> study using IFN+Ara-C (n=325) in an identical regimen. In this publication, the superiority of Glivec over IFN+Ara-C in overall survival was demonstrated (p&lt;0.001); within 42 months, 47 (8.5%) Glivec patients and 63 (19.4%) IFN+Ara-C patients had died.</w:t>
      </w:r>
    </w:p>
    <w:p w:rsidR="00922E59" w:rsidRPr="00057C4C" w:rsidRDefault="00922E59" w:rsidP="002B14EF">
      <w:pPr>
        <w:pStyle w:val="Text"/>
        <w:spacing w:after="120" w:line="320" w:lineRule="atLeast"/>
        <w:jc w:val="left"/>
      </w:pPr>
      <w:r w:rsidRPr="00057C4C">
        <w:t>The degree of cytogenetic response had a clear effect on long-term outcomes in patients on Glivec. Whereas an estimated 96% (93%) of patients with CCyR (PCyR) at 12 months were free of progression to AP/BC at 84 months, only 81% of patients without MCyR at 12 months were free of progression to advanced CML at 84 months (p&lt;0.001 overall, p = 0.25 between CCyR and PCyR). Based on the 18-months landmark, the estimates were 99%, 90% and 83% respectively, now also including a statistically significant difference between CCyR and PCyR (p&lt;0.001).</w:t>
      </w:r>
    </w:p>
    <w:p w:rsidR="00922E59" w:rsidRPr="00057C4C" w:rsidRDefault="00922E59" w:rsidP="0055428A">
      <w:pPr>
        <w:pStyle w:val="Text"/>
        <w:spacing w:before="0" w:line="320" w:lineRule="atLeast"/>
        <w:jc w:val="left"/>
        <w:rPr>
          <w:lang w:val="en-GB"/>
        </w:rPr>
      </w:pPr>
      <w:r w:rsidRPr="00057C4C">
        <w:t xml:space="preserve">Molecular monitoring represented important additional prognostic information. For patients with CCyR and reduction in Bcr-Abl transcripts of at least 3 logarithms at 12 months, the probability of remaining progression free at 60 months was numerically greater when compared to patients who had CCyR but less than 3 log reduction (95% vs. 89%, p=0.068), and significantly greater than that observed for patients who were not in CCyR at 12 months (70%, p&lt;0.001). Considering only progression to AP/BC, the estimated rates without event were 100%, 95% and 88% respectively (p&lt;0.001 overall, p=0.007 between CCyR with and without </w:t>
      </w:r>
      <w:smartTag w:uri="urn:schemas-microsoft-com:office:smarttags" w:element="stockticker">
        <w:r w:rsidRPr="00057C4C">
          <w:t>MMR</w:t>
        </w:r>
      </w:smartTag>
      <w:r w:rsidRPr="00057C4C">
        <w:t>). Using the 18</w:t>
      </w:r>
      <w:r w:rsidRPr="00057C4C">
        <w:noBreakHyphen/>
        <w:t xml:space="preserve">months landmark, the estimated rates without AP/BC at 60 months were 100% for patients with CCyR and </w:t>
      </w:r>
      <w:smartTag w:uri="urn:schemas-microsoft-com:office:smarttags" w:element="stockticker">
        <w:r w:rsidRPr="00057C4C">
          <w:t>MMR</w:t>
        </w:r>
      </w:smartTag>
      <w:r w:rsidRPr="00057C4C">
        <w:t xml:space="preserve">, 98% for patients with CCyR but without </w:t>
      </w:r>
      <w:smartTag w:uri="urn:schemas-microsoft-com:office:smarttags" w:element="stockticker">
        <w:r w:rsidRPr="00057C4C">
          <w:t>MMR</w:t>
        </w:r>
      </w:smartTag>
      <w:r w:rsidRPr="00057C4C">
        <w:t xml:space="preserve"> and only 87% for patients without CCyR (p&lt;0.001 overall, p=0.105 between CCyR with  and without </w:t>
      </w:r>
      <w:smartTag w:uri="urn:schemas-microsoft-com:office:smarttags" w:element="stockticker">
        <w:r w:rsidRPr="00057C4C">
          <w:t>MMR</w:t>
        </w:r>
      </w:smartTag>
      <w:r w:rsidRPr="00057C4C">
        <w:t>)</w:t>
      </w:r>
      <w:r w:rsidRPr="00057C4C">
        <w:rPr>
          <w:lang w:val="en-GB"/>
        </w:rPr>
        <w:t>.</w:t>
      </w:r>
    </w:p>
    <w:p w:rsidR="00014579" w:rsidRPr="00057C4C" w:rsidRDefault="00922E59" w:rsidP="002B14EF">
      <w:pPr>
        <w:pStyle w:val="Text"/>
        <w:spacing w:after="120" w:line="320" w:lineRule="atLeast"/>
        <w:jc w:val="left"/>
        <w:rPr>
          <w:snapToGrid w:val="0"/>
          <w:lang w:val="en-GB"/>
        </w:rPr>
      </w:pPr>
      <w:r w:rsidRPr="00057C4C">
        <w:rPr>
          <w:snapToGrid w:val="0"/>
          <w:lang w:val="en-GB"/>
        </w:rPr>
        <w:t xml:space="preserve">Quality of Life was measured using the validated </w:t>
      </w:r>
      <w:smartTag w:uri="urn:schemas-microsoft-com:office:smarttags" w:element="stockticker">
        <w:r w:rsidRPr="00057C4C">
          <w:rPr>
            <w:snapToGrid w:val="0"/>
            <w:lang w:val="en-GB"/>
          </w:rPr>
          <w:t>FACT</w:t>
        </w:r>
      </w:smartTag>
      <w:r w:rsidRPr="00057C4C">
        <w:rPr>
          <w:snapToGrid w:val="0"/>
          <w:lang w:val="en-GB"/>
        </w:rPr>
        <w:t>-BRM instrument. All domains were assessed and reported significantly higher scores in the Glivec arm compared to the IFN arm. QoL data showed that patients maintain their well being while on treatment with Glivec.</w:t>
      </w:r>
    </w:p>
    <w:p w:rsidR="00AB3942" w:rsidRPr="00057C4C" w:rsidRDefault="00AB3942" w:rsidP="0055428A">
      <w:pPr>
        <w:pStyle w:val="Text"/>
        <w:spacing w:before="0" w:line="320" w:lineRule="atLeast"/>
      </w:pPr>
      <w:r w:rsidRPr="00057C4C">
        <w:t>Escalation of the Glivec dose to 600 mg per day was allowed in patients satisfying one of the following criteria:</w:t>
      </w:r>
    </w:p>
    <w:p w:rsidR="00AB3942" w:rsidRPr="00057C4C" w:rsidRDefault="00AB3942" w:rsidP="006D2CF6">
      <w:pPr>
        <w:pStyle w:val="Text"/>
        <w:numPr>
          <w:ilvl w:val="0"/>
          <w:numId w:val="26"/>
        </w:numPr>
        <w:spacing w:before="0"/>
        <w:ind w:left="714" w:hanging="357"/>
      </w:pPr>
      <w:r w:rsidRPr="00057C4C">
        <w:t xml:space="preserve">No </w:t>
      </w:r>
      <w:smartTag w:uri="urn:schemas-microsoft-com:office:smarttags" w:element="stockticker">
        <w:r w:rsidRPr="00057C4C">
          <w:t>CHR</w:t>
        </w:r>
      </w:smartTag>
      <w:r w:rsidRPr="00057C4C">
        <w:t xml:space="preserve"> after 3 months</w:t>
      </w:r>
    </w:p>
    <w:p w:rsidR="00AB3942" w:rsidRPr="00057C4C" w:rsidRDefault="00AB3942" w:rsidP="006D2CF6">
      <w:pPr>
        <w:pStyle w:val="Text"/>
        <w:numPr>
          <w:ilvl w:val="0"/>
          <w:numId w:val="26"/>
        </w:numPr>
        <w:spacing w:before="0"/>
        <w:ind w:left="714" w:hanging="357"/>
      </w:pPr>
      <w:r w:rsidRPr="00057C4C">
        <w:t>No minor cytogenetic response (&gt;65% Ph+) after 12 months or</w:t>
      </w:r>
    </w:p>
    <w:p w:rsidR="00AB3942" w:rsidRPr="00057C4C" w:rsidRDefault="00AB3942" w:rsidP="006D2CF6">
      <w:pPr>
        <w:pStyle w:val="Text"/>
        <w:numPr>
          <w:ilvl w:val="0"/>
          <w:numId w:val="26"/>
        </w:numPr>
        <w:spacing w:before="0"/>
        <w:ind w:left="714" w:hanging="357"/>
      </w:pPr>
      <w:r w:rsidRPr="00057C4C">
        <w:t xml:space="preserve">Confirmed loss of MCyR (increase in Ph+ bone marrow cells by at least 30 percentage points e.g. from 20% to 50% or from 30% to 60%) confirmed by a second cytogenetic analysis </w:t>
      </w:r>
      <w:r w:rsidR="00C36496" w:rsidRPr="00057C4C">
        <w:t>≥</w:t>
      </w:r>
      <w:r w:rsidRPr="00057C4C">
        <w:t>1 month later</w:t>
      </w:r>
    </w:p>
    <w:p w:rsidR="00AB3942" w:rsidRPr="00057C4C" w:rsidRDefault="00AB3942" w:rsidP="00297F2F">
      <w:pPr>
        <w:pStyle w:val="Text"/>
        <w:spacing w:after="120"/>
      </w:pPr>
      <w:r w:rsidRPr="00057C4C">
        <w:lastRenderedPageBreak/>
        <w:t>If toxicity was no greater than mild during the initial 4 weeks on 600 mg per day, then further dose escalation to 800 mg per day was allowed.</w:t>
      </w:r>
    </w:p>
    <w:p w:rsidR="00AB3942" w:rsidRPr="00057C4C" w:rsidRDefault="00AB3942" w:rsidP="00297F2F">
      <w:pPr>
        <w:pStyle w:val="Text"/>
        <w:spacing w:after="120"/>
      </w:pPr>
      <w:r w:rsidRPr="00057C4C">
        <w:t xml:space="preserve">It should be noted, however, that some patients in the above categories eventually responded to Glivec without need for dose escalation. The small number of patients who received a higher dose achieved proportionately more cytogenetic responses (Table </w:t>
      </w:r>
      <w:r w:rsidR="00922E59" w:rsidRPr="00057C4C">
        <w:t>3</w:t>
      </w:r>
      <w:r w:rsidRPr="00057C4C">
        <w:t>). Dose escalation was associated with an increased incidence of adverse reactions including gastrointestinal haemorrhage, elevation of serum bilirubin and transaminases and conjunctivitis.</w:t>
      </w:r>
    </w:p>
    <w:p w:rsidR="00AB3942" w:rsidRPr="00057C4C" w:rsidRDefault="00AB3942" w:rsidP="006D2CF6">
      <w:pPr>
        <w:pStyle w:val="Text"/>
        <w:spacing w:after="120"/>
        <w:jc w:val="center"/>
        <w:rPr>
          <w:b/>
          <w:szCs w:val="24"/>
        </w:rPr>
      </w:pPr>
      <w:r w:rsidRPr="00057C4C">
        <w:rPr>
          <w:b/>
          <w:szCs w:val="24"/>
        </w:rPr>
        <w:t xml:space="preserve">Table </w:t>
      </w:r>
      <w:r w:rsidR="00922E59" w:rsidRPr="00057C4C">
        <w:rPr>
          <w:b/>
          <w:szCs w:val="24"/>
        </w:rPr>
        <w:t xml:space="preserve">3 </w:t>
      </w:r>
      <w:r w:rsidRPr="00057C4C">
        <w:rPr>
          <w:b/>
          <w:szCs w:val="24"/>
        </w:rPr>
        <w:t>Efficacy of Glivec Dose Escalation</w:t>
      </w: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0"/>
        <w:gridCol w:w="576"/>
        <w:gridCol w:w="1900"/>
        <w:gridCol w:w="509"/>
        <w:gridCol w:w="1955"/>
        <w:gridCol w:w="585"/>
        <w:gridCol w:w="2031"/>
      </w:tblGrid>
      <w:tr w:rsidR="00AB3942" w:rsidRPr="00057C4C" w:rsidTr="00073C62">
        <w:tc>
          <w:tcPr>
            <w:tcW w:w="2290" w:type="dxa"/>
            <w:vMerge w:val="restart"/>
          </w:tcPr>
          <w:p w:rsidR="00AB3942" w:rsidRPr="00CC0663" w:rsidRDefault="00AB3942" w:rsidP="00073C62">
            <w:pPr>
              <w:pStyle w:val="Text"/>
              <w:spacing w:before="60" w:after="60"/>
              <w:jc w:val="left"/>
              <w:rPr>
                <w:lang w:val="en-AU"/>
              </w:rPr>
            </w:pPr>
            <w:r w:rsidRPr="00CC0663">
              <w:rPr>
                <w:lang w:val="en-AU"/>
              </w:rPr>
              <w:t>Criterion</w:t>
            </w:r>
          </w:p>
        </w:tc>
        <w:tc>
          <w:tcPr>
            <w:tcW w:w="2476" w:type="dxa"/>
            <w:gridSpan w:val="2"/>
            <w:shd w:val="clear" w:color="auto" w:fill="auto"/>
          </w:tcPr>
          <w:p w:rsidR="00AB3942" w:rsidRPr="00CC0663" w:rsidRDefault="00AB3942" w:rsidP="00073C62">
            <w:pPr>
              <w:pStyle w:val="Text"/>
              <w:spacing w:before="60" w:after="60"/>
              <w:jc w:val="center"/>
              <w:rPr>
                <w:lang w:val="en-AU"/>
              </w:rPr>
            </w:pPr>
            <w:r w:rsidRPr="00CC0663">
              <w:rPr>
                <w:lang w:val="en-AU"/>
              </w:rPr>
              <w:t>No Dose Increase</w:t>
            </w:r>
          </w:p>
        </w:tc>
        <w:tc>
          <w:tcPr>
            <w:tcW w:w="2464" w:type="dxa"/>
            <w:gridSpan w:val="2"/>
            <w:shd w:val="clear" w:color="auto" w:fill="auto"/>
          </w:tcPr>
          <w:p w:rsidR="00AB3942" w:rsidRPr="00CC0663" w:rsidRDefault="00AB3942" w:rsidP="00073C62">
            <w:pPr>
              <w:pStyle w:val="Text"/>
              <w:spacing w:before="60" w:after="60"/>
              <w:jc w:val="center"/>
              <w:rPr>
                <w:lang w:val="en-AU"/>
              </w:rPr>
            </w:pPr>
            <w:r w:rsidRPr="00CC0663">
              <w:rPr>
                <w:lang w:val="en-AU"/>
              </w:rPr>
              <w:t>Increase to 600 mg</w:t>
            </w:r>
            <w:r w:rsidRPr="00CC0663">
              <w:rPr>
                <w:szCs w:val="24"/>
                <w:vertAlign w:val="superscript"/>
                <w:lang w:val="en-AU"/>
              </w:rPr>
              <w:t>1</w:t>
            </w:r>
          </w:p>
        </w:tc>
        <w:tc>
          <w:tcPr>
            <w:tcW w:w="2616" w:type="dxa"/>
            <w:gridSpan w:val="2"/>
            <w:shd w:val="clear" w:color="auto" w:fill="auto"/>
          </w:tcPr>
          <w:p w:rsidR="00AB3942" w:rsidRPr="00CC0663" w:rsidRDefault="00AB3942" w:rsidP="00073C62">
            <w:pPr>
              <w:pStyle w:val="Text"/>
              <w:spacing w:before="60" w:after="60"/>
              <w:jc w:val="center"/>
              <w:rPr>
                <w:lang w:val="en-AU"/>
              </w:rPr>
            </w:pPr>
            <w:r w:rsidRPr="00CC0663">
              <w:rPr>
                <w:lang w:val="en-AU"/>
              </w:rPr>
              <w:t>Increase to 800 mg</w:t>
            </w:r>
            <w:r w:rsidRPr="00CC0663">
              <w:rPr>
                <w:szCs w:val="24"/>
                <w:vertAlign w:val="superscript"/>
                <w:lang w:val="en-AU"/>
              </w:rPr>
              <w:t>2</w:t>
            </w:r>
          </w:p>
        </w:tc>
      </w:tr>
      <w:tr w:rsidR="00AB3942" w:rsidRPr="00057C4C" w:rsidTr="00073C62">
        <w:tc>
          <w:tcPr>
            <w:tcW w:w="2290" w:type="dxa"/>
            <w:vMerge/>
          </w:tcPr>
          <w:p w:rsidR="00AB3942" w:rsidRPr="00CC0663" w:rsidRDefault="00AB3942" w:rsidP="00073C62">
            <w:pPr>
              <w:pStyle w:val="Text"/>
              <w:spacing w:before="60" w:after="60"/>
              <w:jc w:val="left"/>
              <w:rPr>
                <w:lang w:val="en-AU"/>
              </w:rPr>
            </w:pPr>
          </w:p>
        </w:tc>
        <w:tc>
          <w:tcPr>
            <w:tcW w:w="576" w:type="dxa"/>
            <w:shd w:val="clear" w:color="auto" w:fill="auto"/>
          </w:tcPr>
          <w:p w:rsidR="00AB3942" w:rsidRPr="00CC0663" w:rsidRDefault="00AB3942" w:rsidP="00073C62">
            <w:pPr>
              <w:pStyle w:val="Text"/>
              <w:spacing w:before="60" w:after="60"/>
              <w:jc w:val="center"/>
              <w:rPr>
                <w:lang w:val="en-AU"/>
              </w:rPr>
            </w:pPr>
            <w:r w:rsidRPr="00CC0663">
              <w:rPr>
                <w:lang w:val="en-AU"/>
              </w:rPr>
              <w:t>N</w:t>
            </w:r>
          </w:p>
        </w:tc>
        <w:tc>
          <w:tcPr>
            <w:tcW w:w="1900" w:type="dxa"/>
            <w:shd w:val="clear" w:color="auto" w:fill="auto"/>
          </w:tcPr>
          <w:p w:rsidR="00AB3942" w:rsidRPr="00CC0663" w:rsidRDefault="00AB3942" w:rsidP="00073C62">
            <w:pPr>
              <w:pStyle w:val="Text"/>
              <w:spacing w:before="60" w:after="60"/>
              <w:jc w:val="center"/>
              <w:rPr>
                <w:lang w:val="en-AU"/>
              </w:rPr>
            </w:pPr>
            <w:r w:rsidRPr="00CC0663">
              <w:rPr>
                <w:lang w:val="en-AU"/>
              </w:rPr>
              <w:t>Response (%)</w:t>
            </w:r>
          </w:p>
        </w:tc>
        <w:tc>
          <w:tcPr>
            <w:tcW w:w="509" w:type="dxa"/>
            <w:shd w:val="clear" w:color="auto" w:fill="auto"/>
          </w:tcPr>
          <w:p w:rsidR="00AB3942" w:rsidRPr="00CC0663" w:rsidRDefault="00AB3942" w:rsidP="00073C62">
            <w:pPr>
              <w:pStyle w:val="Text"/>
              <w:spacing w:before="60" w:after="60"/>
              <w:jc w:val="center"/>
              <w:rPr>
                <w:lang w:val="en-AU"/>
              </w:rPr>
            </w:pPr>
            <w:r w:rsidRPr="00CC0663">
              <w:rPr>
                <w:lang w:val="en-AU"/>
              </w:rPr>
              <w:t>N</w:t>
            </w:r>
          </w:p>
        </w:tc>
        <w:tc>
          <w:tcPr>
            <w:tcW w:w="1955" w:type="dxa"/>
            <w:shd w:val="clear" w:color="auto" w:fill="auto"/>
          </w:tcPr>
          <w:p w:rsidR="00AB3942" w:rsidRPr="00CC0663" w:rsidRDefault="00AB3942" w:rsidP="00073C62">
            <w:pPr>
              <w:pStyle w:val="Text"/>
              <w:spacing w:before="60" w:after="60"/>
              <w:jc w:val="center"/>
              <w:rPr>
                <w:lang w:val="en-AU"/>
              </w:rPr>
            </w:pPr>
            <w:r w:rsidRPr="00CC0663">
              <w:rPr>
                <w:lang w:val="en-AU"/>
              </w:rPr>
              <w:t>Response (%)</w:t>
            </w:r>
          </w:p>
        </w:tc>
        <w:tc>
          <w:tcPr>
            <w:tcW w:w="585" w:type="dxa"/>
            <w:shd w:val="clear" w:color="auto" w:fill="auto"/>
          </w:tcPr>
          <w:p w:rsidR="00AB3942" w:rsidRPr="00CC0663" w:rsidRDefault="00AB3942" w:rsidP="00073C62">
            <w:pPr>
              <w:pStyle w:val="Text"/>
              <w:spacing w:before="60" w:after="60"/>
              <w:jc w:val="center"/>
              <w:rPr>
                <w:lang w:val="en-AU"/>
              </w:rPr>
            </w:pPr>
            <w:r w:rsidRPr="00CC0663">
              <w:rPr>
                <w:lang w:val="en-AU"/>
              </w:rPr>
              <w:t>N</w:t>
            </w:r>
          </w:p>
        </w:tc>
        <w:tc>
          <w:tcPr>
            <w:tcW w:w="2031" w:type="dxa"/>
            <w:shd w:val="clear" w:color="auto" w:fill="auto"/>
          </w:tcPr>
          <w:p w:rsidR="00AB3942" w:rsidRPr="00CC0663" w:rsidRDefault="00AB3942" w:rsidP="00073C62">
            <w:pPr>
              <w:pStyle w:val="Text"/>
              <w:spacing w:before="60" w:after="60"/>
              <w:jc w:val="center"/>
              <w:rPr>
                <w:lang w:val="en-AU"/>
              </w:rPr>
            </w:pPr>
            <w:r w:rsidRPr="00CC0663">
              <w:rPr>
                <w:lang w:val="en-AU"/>
              </w:rPr>
              <w:t>Response (%)</w:t>
            </w:r>
          </w:p>
        </w:tc>
      </w:tr>
      <w:tr w:rsidR="00AB3942" w:rsidRPr="00057C4C" w:rsidTr="00073C62">
        <w:tc>
          <w:tcPr>
            <w:tcW w:w="2290" w:type="dxa"/>
          </w:tcPr>
          <w:p w:rsidR="00AB3942" w:rsidRPr="00CC0663" w:rsidRDefault="00AB3942" w:rsidP="00073C62">
            <w:pPr>
              <w:pStyle w:val="Text"/>
              <w:spacing w:before="60" w:after="60"/>
              <w:jc w:val="left"/>
              <w:rPr>
                <w:lang w:val="en-AU"/>
              </w:rPr>
            </w:pPr>
            <w:r w:rsidRPr="00CC0663">
              <w:rPr>
                <w:lang w:val="en-AU"/>
              </w:rPr>
              <w:t xml:space="preserve">No CHR at </w:t>
            </w:r>
            <w:r w:rsidR="00C36496" w:rsidRPr="00CC0663">
              <w:rPr>
                <w:lang w:val="en-AU"/>
              </w:rPr>
              <w:br/>
            </w:r>
            <w:r w:rsidRPr="00CC0663">
              <w:rPr>
                <w:lang w:val="en-AU"/>
              </w:rPr>
              <w:t>3 m</w:t>
            </w:r>
            <w:r w:rsidR="00D56209" w:rsidRPr="00CC0663">
              <w:rPr>
                <w:lang w:val="en-AU"/>
              </w:rPr>
              <w:t>o</w:t>
            </w:r>
            <w:r w:rsidRPr="00CC0663">
              <w:rPr>
                <w:lang w:val="en-AU"/>
              </w:rPr>
              <w:t>nths</w:t>
            </w:r>
          </w:p>
        </w:tc>
        <w:tc>
          <w:tcPr>
            <w:tcW w:w="576" w:type="dxa"/>
            <w:shd w:val="clear" w:color="auto" w:fill="auto"/>
          </w:tcPr>
          <w:p w:rsidR="00AB3942" w:rsidRPr="00CC0663" w:rsidRDefault="00AB3942" w:rsidP="00073C62">
            <w:pPr>
              <w:pStyle w:val="Text"/>
              <w:spacing w:before="60" w:after="60"/>
              <w:jc w:val="center"/>
              <w:rPr>
                <w:lang w:val="en-AU"/>
              </w:rPr>
            </w:pPr>
            <w:r w:rsidRPr="00CC0663">
              <w:rPr>
                <w:lang w:val="en-AU"/>
              </w:rPr>
              <w:t>55</w:t>
            </w:r>
          </w:p>
        </w:tc>
        <w:tc>
          <w:tcPr>
            <w:tcW w:w="1900" w:type="dxa"/>
            <w:shd w:val="clear" w:color="auto" w:fill="auto"/>
          </w:tcPr>
          <w:p w:rsidR="00AB3942" w:rsidRPr="00CC0663" w:rsidRDefault="00AB3942" w:rsidP="00073C62">
            <w:pPr>
              <w:pStyle w:val="Text"/>
              <w:spacing w:before="60" w:after="60"/>
              <w:jc w:val="center"/>
              <w:rPr>
                <w:lang w:val="en-AU"/>
              </w:rPr>
            </w:pPr>
            <w:r w:rsidRPr="00CC0663">
              <w:rPr>
                <w:lang w:val="en-AU"/>
              </w:rPr>
              <w:t>44 CHR (80%)</w:t>
            </w:r>
          </w:p>
        </w:tc>
        <w:tc>
          <w:tcPr>
            <w:tcW w:w="509" w:type="dxa"/>
            <w:shd w:val="clear" w:color="auto" w:fill="auto"/>
          </w:tcPr>
          <w:p w:rsidR="00AB3942" w:rsidRPr="00CC0663" w:rsidRDefault="00AB3942" w:rsidP="00073C62">
            <w:pPr>
              <w:pStyle w:val="Text"/>
              <w:spacing w:before="60" w:after="60"/>
              <w:jc w:val="center"/>
              <w:rPr>
                <w:lang w:val="en-AU"/>
              </w:rPr>
            </w:pPr>
            <w:r w:rsidRPr="00CC0663">
              <w:rPr>
                <w:lang w:val="en-AU"/>
              </w:rPr>
              <w:t>2</w:t>
            </w:r>
          </w:p>
        </w:tc>
        <w:tc>
          <w:tcPr>
            <w:tcW w:w="1955" w:type="dxa"/>
            <w:shd w:val="clear" w:color="auto" w:fill="auto"/>
          </w:tcPr>
          <w:p w:rsidR="00AB3942" w:rsidRPr="00CC0663" w:rsidRDefault="00AB3942" w:rsidP="00073C62">
            <w:pPr>
              <w:pStyle w:val="Text"/>
              <w:spacing w:before="60" w:after="60"/>
              <w:jc w:val="center"/>
              <w:rPr>
                <w:lang w:val="en-AU"/>
              </w:rPr>
            </w:pPr>
            <w:r w:rsidRPr="00CC0663">
              <w:rPr>
                <w:lang w:val="en-AU"/>
              </w:rPr>
              <w:t>1 CHR (50%)</w:t>
            </w:r>
          </w:p>
        </w:tc>
        <w:tc>
          <w:tcPr>
            <w:tcW w:w="585" w:type="dxa"/>
            <w:shd w:val="clear" w:color="auto" w:fill="auto"/>
          </w:tcPr>
          <w:p w:rsidR="00AB3942" w:rsidRPr="00CC0663" w:rsidRDefault="00AB3942" w:rsidP="00073C62">
            <w:pPr>
              <w:pStyle w:val="Text"/>
              <w:spacing w:before="60" w:after="60"/>
              <w:jc w:val="center"/>
              <w:rPr>
                <w:lang w:val="en-AU"/>
              </w:rPr>
            </w:pPr>
            <w:r w:rsidRPr="00CC0663">
              <w:rPr>
                <w:lang w:val="en-AU"/>
              </w:rPr>
              <w:t>6</w:t>
            </w:r>
          </w:p>
        </w:tc>
        <w:tc>
          <w:tcPr>
            <w:tcW w:w="2031" w:type="dxa"/>
            <w:shd w:val="clear" w:color="auto" w:fill="auto"/>
          </w:tcPr>
          <w:p w:rsidR="00AB3942" w:rsidRPr="00CC0663" w:rsidRDefault="00AB3942" w:rsidP="00073C62">
            <w:pPr>
              <w:pStyle w:val="Text"/>
              <w:spacing w:before="60" w:after="60"/>
              <w:jc w:val="center"/>
              <w:rPr>
                <w:lang w:val="en-AU"/>
              </w:rPr>
            </w:pPr>
            <w:r w:rsidRPr="00CC0663">
              <w:rPr>
                <w:lang w:val="en-AU"/>
              </w:rPr>
              <w:t>3 CHR</w:t>
            </w:r>
            <w:r w:rsidR="00C36496" w:rsidRPr="00CC0663">
              <w:rPr>
                <w:lang w:val="en-AU"/>
              </w:rPr>
              <w:t xml:space="preserve"> </w:t>
            </w:r>
            <w:r w:rsidRPr="00CC0663">
              <w:rPr>
                <w:lang w:val="en-AU"/>
              </w:rPr>
              <w:t>(50%)</w:t>
            </w:r>
          </w:p>
        </w:tc>
      </w:tr>
      <w:tr w:rsidR="00AB3942" w:rsidRPr="00057C4C" w:rsidTr="00073C62">
        <w:tc>
          <w:tcPr>
            <w:tcW w:w="2290" w:type="dxa"/>
          </w:tcPr>
          <w:p w:rsidR="00AB3942" w:rsidRPr="00CC0663" w:rsidRDefault="00AB3942" w:rsidP="00073C62">
            <w:pPr>
              <w:pStyle w:val="Text"/>
              <w:spacing w:before="60" w:after="60"/>
              <w:jc w:val="left"/>
              <w:rPr>
                <w:lang w:val="en-AU"/>
              </w:rPr>
            </w:pPr>
            <w:r w:rsidRPr="00CC0663">
              <w:rPr>
                <w:lang w:val="en-AU"/>
              </w:rPr>
              <w:t xml:space="preserve">No Min CyR at </w:t>
            </w:r>
            <w:r w:rsidR="00C36496" w:rsidRPr="00CC0663">
              <w:rPr>
                <w:lang w:val="en-AU"/>
              </w:rPr>
              <w:br/>
            </w:r>
            <w:r w:rsidRPr="00CC0663">
              <w:rPr>
                <w:lang w:val="en-AU"/>
              </w:rPr>
              <w:t>12 m</w:t>
            </w:r>
            <w:r w:rsidR="00D56209" w:rsidRPr="00CC0663">
              <w:rPr>
                <w:lang w:val="en-AU"/>
              </w:rPr>
              <w:t>o</w:t>
            </w:r>
            <w:r w:rsidRPr="00CC0663">
              <w:rPr>
                <w:lang w:val="en-AU"/>
              </w:rPr>
              <w:t>nths</w:t>
            </w:r>
          </w:p>
        </w:tc>
        <w:tc>
          <w:tcPr>
            <w:tcW w:w="576" w:type="dxa"/>
            <w:shd w:val="clear" w:color="auto" w:fill="auto"/>
          </w:tcPr>
          <w:p w:rsidR="00AB3942" w:rsidRPr="00CC0663" w:rsidRDefault="00AB3942" w:rsidP="00073C62">
            <w:pPr>
              <w:pStyle w:val="Text"/>
              <w:spacing w:before="60" w:after="60"/>
              <w:jc w:val="center"/>
              <w:rPr>
                <w:lang w:val="en-AU"/>
              </w:rPr>
            </w:pPr>
            <w:r w:rsidRPr="00CC0663">
              <w:rPr>
                <w:lang w:val="en-AU"/>
              </w:rPr>
              <w:t>37</w:t>
            </w:r>
          </w:p>
        </w:tc>
        <w:tc>
          <w:tcPr>
            <w:tcW w:w="1900" w:type="dxa"/>
            <w:shd w:val="clear" w:color="auto" w:fill="auto"/>
          </w:tcPr>
          <w:p w:rsidR="00AB3942" w:rsidRPr="00CC0663" w:rsidRDefault="00C36496" w:rsidP="00073C62">
            <w:pPr>
              <w:pStyle w:val="Text"/>
              <w:spacing w:before="60" w:after="60"/>
              <w:jc w:val="center"/>
              <w:rPr>
                <w:lang w:val="en-AU"/>
              </w:rPr>
            </w:pPr>
            <w:r w:rsidRPr="00CC0663">
              <w:rPr>
                <w:lang w:val="en-AU"/>
              </w:rPr>
              <w:t xml:space="preserve">9 CCyR, 3 </w:t>
            </w:r>
            <w:r w:rsidR="00AB3942" w:rsidRPr="00CC0663">
              <w:rPr>
                <w:lang w:val="en-AU"/>
              </w:rPr>
              <w:t xml:space="preserve">PCyR </w:t>
            </w:r>
            <w:r w:rsidRPr="00CC0663">
              <w:rPr>
                <w:lang w:val="en-AU"/>
              </w:rPr>
              <w:br/>
            </w:r>
            <w:r w:rsidR="00AB3942" w:rsidRPr="00CC0663">
              <w:rPr>
                <w:lang w:val="en-AU"/>
              </w:rPr>
              <w:t>(32%)</w:t>
            </w:r>
          </w:p>
        </w:tc>
        <w:tc>
          <w:tcPr>
            <w:tcW w:w="509" w:type="dxa"/>
            <w:shd w:val="clear" w:color="auto" w:fill="auto"/>
          </w:tcPr>
          <w:p w:rsidR="00AB3942" w:rsidRPr="00CC0663" w:rsidRDefault="00AB3942" w:rsidP="00073C62">
            <w:pPr>
              <w:pStyle w:val="Text"/>
              <w:spacing w:before="60" w:after="60"/>
              <w:jc w:val="center"/>
              <w:rPr>
                <w:lang w:val="en-AU"/>
              </w:rPr>
            </w:pPr>
            <w:r w:rsidRPr="00CC0663">
              <w:rPr>
                <w:lang w:val="en-AU"/>
              </w:rPr>
              <w:t>4</w:t>
            </w:r>
          </w:p>
        </w:tc>
        <w:tc>
          <w:tcPr>
            <w:tcW w:w="1955" w:type="dxa"/>
            <w:shd w:val="clear" w:color="auto" w:fill="auto"/>
          </w:tcPr>
          <w:p w:rsidR="00AB3942" w:rsidRPr="00CC0663" w:rsidRDefault="00AB3942" w:rsidP="00073C62">
            <w:pPr>
              <w:pStyle w:val="Text"/>
              <w:spacing w:before="60" w:after="60"/>
              <w:jc w:val="center"/>
              <w:rPr>
                <w:lang w:val="en-AU"/>
              </w:rPr>
            </w:pPr>
            <w:r w:rsidRPr="00CC0663">
              <w:rPr>
                <w:lang w:val="en-AU"/>
              </w:rPr>
              <w:t xml:space="preserve">1 CCyR, 2 </w:t>
            </w:r>
            <w:proofErr w:type="gramStart"/>
            <w:r w:rsidRPr="00CC0663">
              <w:rPr>
                <w:lang w:val="en-AU"/>
              </w:rPr>
              <w:t>PCyR</w:t>
            </w:r>
            <w:proofErr w:type="gramEnd"/>
            <w:r w:rsidR="00C36496" w:rsidRPr="00CC0663">
              <w:rPr>
                <w:lang w:val="en-AU"/>
              </w:rPr>
              <w:br/>
            </w:r>
            <w:r w:rsidRPr="00CC0663">
              <w:rPr>
                <w:lang w:val="en-AU"/>
              </w:rPr>
              <w:t>(75%)</w:t>
            </w:r>
          </w:p>
        </w:tc>
        <w:tc>
          <w:tcPr>
            <w:tcW w:w="585" w:type="dxa"/>
            <w:shd w:val="clear" w:color="auto" w:fill="auto"/>
          </w:tcPr>
          <w:p w:rsidR="00AB3942" w:rsidRPr="00CC0663" w:rsidRDefault="00AB3942" w:rsidP="00073C62">
            <w:pPr>
              <w:pStyle w:val="Text"/>
              <w:spacing w:before="60" w:after="60"/>
              <w:jc w:val="center"/>
              <w:rPr>
                <w:lang w:val="en-AU"/>
              </w:rPr>
            </w:pPr>
            <w:r w:rsidRPr="00CC0663">
              <w:rPr>
                <w:lang w:val="en-AU"/>
              </w:rPr>
              <w:t>5</w:t>
            </w:r>
          </w:p>
        </w:tc>
        <w:tc>
          <w:tcPr>
            <w:tcW w:w="2031" w:type="dxa"/>
            <w:shd w:val="clear" w:color="auto" w:fill="auto"/>
          </w:tcPr>
          <w:p w:rsidR="00AB3942" w:rsidRPr="00CC0663" w:rsidRDefault="00AB3942" w:rsidP="00073C62">
            <w:pPr>
              <w:pStyle w:val="Text"/>
              <w:spacing w:before="60" w:after="60"/>
              <w:jc w:val="center"/>
              <w:rPr>
                <w:lang w:val="en-AU"/>
              </w:rPr>
            </w:pPr>
            <w:r w:rsidRPr="00CC0663">
              <w:rPr>
                <w:lang w:val="en-AU"/>
              </w:rPr>
              <w:t xml:space="preserve">1 CCyR, 1 </w:t>
            </w:r>
            <w:proofErr w:type="gramStart"/>
            <w:r w:rsidRPr="00CC0663">
              <w:rPr>
                <w:lang w:val="en-AU"/>
              </w:rPr>
              <w:t>PCyR</w:t>
            </w:r>
            <w:proofErr w:type="gramEnd"/>
            <w:r w:rsidR="00C36496" w:rsidRPr="00CC0663">
              <w:rPr>
                <w:lang w:val="en-AU"/>
              </w:rPr>
              <w:br/>
            </w:r>
            <w:r w:rsidRPr="00CC0663">
              <w:rPr>
                <w:lang w:val="en-AU"/>
              </w:rPr>
              <w:t>(40%)</w:t>
            </w:r>
          </w:p>
        </w:tc>
      </w:tr>
      <w:tr w:rsidR="00AB3942" w:rsidRPr="00057C4C" w:rsidTr="00073C62">
        <w:tc>
          <w:tcPr>
            <w:tcW w:w="2290" w:type="dxa"/>
          </w:tcPr>
          <w:p w:rsidR="00AB3942" w:rsidRPr="00CC0663" w:rsidRDefault="00AB3942" w:rsidP="00073C62">
            <w:pPr>
              <w:pStyle w:val="Text"/>
              <w:spacing w:before="60" w:after="60"/>
              <w:jc w:val="left"/>
              <w:rPr>
                <w:lang w:val="en-AU"/>
              </w:rPr>
            </w:pPr>
            <w:r w:rsidRPr="00CC0663">
              <w:rPr>
                <w:lang w:val="en-AU"/>
              </w:rPr>
              <w:t>Loss of conf. MCyR</w:t>
            </w:r>
          </w:p>
        </w:tc>
        <w:tc>
          <w:tcPr>
            <w:tcW w:w="576" w:type="dxa"/>
            <w:shd w:val="clear" w:color="auto" w:fill="auto"/>
          </w:tcPr>
          <w:p w:rsidR="00AB3942" w:rsidRPr="00CC0663" w:rsidRDefault="00AB3942" w:rsidP="00073C62">
            <w:pPr>
              <w:pStyle w:val="Text"/>
              <w:spacing w:before="60" w:after="60"/>
              <w:jc w:val="center"/>
              <w:rPr>
                <w:lang w:val="en-AU"/>
              </w:rPr>
            </w:pPr>
            <w:r w:rsidRPr="00CC0663">
              <w:rPr>
                <w:lang w:val="en-AU"/>
              </w:rPr>
              <w:t>7</w:t>
            </w:r>
          </w:p>
        </w:tc>
        <w:tc>
          <w:tcPr>
            <w:tcW w:w="1900" w:type="dxa"/>
            <w:shd w:val="clear" w:color="auto" w:fill="auto"/>
          </w:tcPr>
          <w:p w:rsidR="00AB3942" w:rsidRPr="00CC0663" w:rsidRDefault="00AB3942" w:rsidP="00073C62">
            <w:pPr>
              <w:pStyle w:val="Text"/>
              <w:spacing w:before="60" w:after="60"/>
              <w:jc w:val="center"/>
              <w:rPr>
                <w:lang w:val="en-AU"/>
              </w:rPr>
            </w:pPr>
            <w:r w:rsidRPr="00CC0663">
              <w:rPr>
                <w:lang w:val="en-AU"/>
              </w:rPr>
              <w:t>1 MCyR</w:t>
            </w:r>
            <w:r w:rsidR="00C36496" w:rsidRPr="00CC0663">
              <w:rPr>
                <w:lang w:val="en-AU"/>
              </w:rPr>
              <w:t xml:space="preserve"> </w:t>
            </w:r>
            <w:r w:rsidRPr="00CC0663">
              <w:rPr>
                <w:lang w:val="en-AU"/>
              </w:rPr>
              <w:t>(14%)</w:t>
            </w:r>
          </w:p>
        </w:tc>
        <w:tc>
          <w:tcPr>
            <w:tcW w:w="509" w:type="dxa"/>
            <w:shd w:val="clear" w:color="auto" w:fill="auto"/>
          </w:tcPr>
          <w:p w:rsidR="00AB3942" w:rsidRPr="00CC0663" w:rsidRDefault="00AB3942" w:rsidP="00073C62">
            <w:pPr>
              <w:pStyle w:val="Text"/>
              <w:spacing w:before="60" w:after="60"/>
              <w:jc w:val="center"/>
              <w:rPr>
                <w:lang w:val="en-AU"/>
              </w:rPr>
            </w:pPr>
            <w:r w:rsidRPr="00CC0663">
              <w:rPr>
                <w:lang w:val="en-AU"/>
              </w:rPr>
              <w:t>0</w:t>
            </w:r>
          </w:p>
        </w:tc>
        <w:tc>
          <w:tcPr>
            <w:tcW w:w="1955" w:type="dxa"/>
            <w:shd w:val="clear" w:color="auto" w:fill="auto"/>
          </w:tcPr>
          <w:p w:rsidR="00AB3942" w:rsidRPr="00CC0663" w:rsidRDefault="00AB3942" w:rsidP="00073C62">
            <w:pPr>
              <w:pStyle w:val="Text"/>
              <w:spacing w:before="60" w:after="60"/>
              <w:jc w:val="center"/>
              <w:rPr>
                <w:lang w:val="en-AU"/>
              </w:rPr>
            </w:pPr>
            <w:r w:rsidRPr="00CC0663">
              <w:rPr>
                <w:lang w:val="en-AU"/>
              </w:rPr>
              <w:t>-</w:t>
            </w:r>
          </w:p>
        </w:tc>
        <w:tc>
          <w:tcPr>
            <w:tcW w:w="585" w:type="dxa"/>
            <w:shd w:val="clear" w:color="auto" w:fill="auto"/>
          </w:tcPr>
          <w:p w:rsidR="00AB3942" w:rsidRPr="00CC0663" w:rsidRDefault="00AB3942" w:rsidP="00073C62">
            <w:pPr>
              <w:pStyle w:val="Text"/>
              <w:spacing w:before="60" w:after="60"/>
              <w:jc w:val="center"/>
              <w:rPr>
                <w:lang w:val="en-AU"/>
              </w:rPr>
            </w:pPr>
            <w:r w:rsidRPr="00CC0663">
              <w:rPr>
                <w:lang w:val="en-AU"/>
              </w:rPr>
              <w:t>4</w:t>
            </w:r>
          </w:p>
        </w:tc>
        <w:tc>
          <w:tcPr>
            <w:tcW w:w="2031" w:type="dxa"/>
            <w:shd w:val="clear" w:color="auto" w:fill="auto"/>
          </w:tcPr>
          <w:p w:rsidR="00AB3942" w:rsidRPr="00CC0663" w:rsidRDefault="00AB3942" w:rsidP="00073C62">
            <w:pPr>
              <w:pStyle w:val="Text"/>
              <w:spacing w:before="60" w:after="60"/>
              <w:jc w:val="center"/>
              <w:rPr>
                <w:lang w:val="en-AU"/>
              </w:rPr>
            </w:pPr>
            <w:r w:rsidRPr="00CC0663">
              <w:rPr>
                <w:lang w:val="en-AU"/>
              </w:rPr>
              <w:t>2 MCyR (50%)</w:t>
            </w:r>
          </w:p>
        </w:tc>
      </w:tr>
    </w:tbl>
    <w:p w:rsidR="00AB3942" w:rsidRPr="00057C4C" w:rsidRDefault="00AB3942" w:rsidP="00151ACA">
      <w:pPr>
        <w:pStyle w:val="Text"/>
        <w:jc w:val="left"/>
        <w:rPr>
          <w:sz w:val="20"/>
        </w:rPr>
      </w:pPr>
      <w:r w:rsidRPr="00057C4C">
        <w:rPr>
          <w:sz w:val="20"/>
          <w:vertAlign w:val="superscript"/>
        </w:rPr>
        <w:t>1</w:t>
      </w:r>
      <w:r w:rsidR="00297F2F" w:rsidRPr="00057C4C">
        <w:rPr>
          <w:sz w:val="20"/>
        </w:rPr>
        <w:t xml:space="preserve"> For ≥ </w:t>
      </w:r>
      <w:r w:rsidRPr="00057C4C">
        <w:rPr>
          <w:sz w:val="20"/>
        </w:rPr>
        <w:t xml:space="preserve">28 days – includes patients who spent &lt;28 days on 800 mg/day. </w:t>
      </w:r>
      <w:r w:rsidRPr="00057C4C">
        <w:rPr>
          <w:sz w:val="20"/>
          <w:vertAlign w:val="superscript"/>
        </w:rPr>
        <w:t>2</w:t>
      </w:r>
      <w:r w:rsidR="006D2FAB" w:rsidRPr="00057C4C">
        <w:rPr>
          <w:sz w:val="20"/>
          <w:vertAlign w:val="superscript"/>
        </w:rPr>
        <w:t xml:space="preserve"> </w:t>
      </w:r>
      <w:r w:rsidRPr="00057C4C">
        <w:rPr>
          <w:sz w:val="20"/>
        </w:rPr>
        <w:t xml:space="preserve">For </w:t>
      </w:r>
      <w:r w:rsidR="00297F2F" w:rsidRPr="00057C4C">
        <w:rPr>
          <w:sz w:val="20"/>
        </w:rPr>
        <w:t xml:space="preserve">≥ </w:t>
      </w:r>
      <w:r w:rsidRPr="00057C4C">
        <w:rPr>
          <w:sz w:val="20"/>
        </w:rPr>
        <w:t>28 days.</w:t>
      </w:r>
      <w:r w:rsidR="00151ACA" w:rsidRPr="00057C4C">
        <w:rPr>
          <w:sz w:val="20"/>
        </w:rPr>
        <w:br/>
      </w:r>
      <w:r w:rsidRPr="00057C4C">
        <w:rPr>
          <w:sz w:val="20"/>
        </w:rPr>
        <w:t>CCyR: Complete CyR, PCyR: Partial CyR</w:t>
      </w:r>
    </w:p>
    <w:p w:rsidR="00014579" w:rsidRPr="00057C4C" w:rsidRDefault="00014579" w:rsidP="00D71D4F">
      <w:pPr>
        <w:pStyle w:val="Heading3"/>
      </w:pPr>
      <w:r w:rsidRPr="00057C4C">
        <w:t xml:space="preserve">Chronic phase, prior interferon-alfa treatment (Study 0110):  </w:t>
      </w:r>
    </w:p>
    <w:p w:rsidR="00014579" w:rsidRPr="00057C4C" w:rsidRDefault="00014579" w:rsidP="00297F2F">
      <w:pPr>
        <w:pStyle w:val="Text"/>
        <w:spacing w:after="120"/>
        <w:jc w:val="left"/>
      </w:pPr>
      <w:r w:rsidRPr="00057C4C">
        <w:t xml:space="preserve">532 patients were treated at a starting dose of 400 mg; dose escalation to 600 mg was allowed. The patients were distributed in three main categories according to their response to prior interferon-alfa: failure to achieve (within 6 months) or loss of a complete haematological response (29%), failure to achieve (within 1 year) or loss of a major cytogenetic response (35%), or intolerance to interferon-alfa (36%). Patients had received a median of 14 months of prior IFN therapy at doses </w:t>
      </w:r>
      <w:r w:rsidRPr="00057C4C">
        <w:sym w:font="Symbol" w:char="F0B3"/>
      </w:r>
      <w:r w:rsidRPr="00057C4C">
        <w:t xml:space="preserve"> 25 x10</w:t>
      </w:r>
      <w:r w:rsidRPr="00057C4C">
        <w:rPr>
          <w:vertAlign w:val="superscript"/>
        </w:rPr>
        <w:t>6</w:t>
      </w:r>
      <w:r w:rsidRPr="00057C4C">
        <w:t xml:space="preserve"> IU/week and were all in late chronic phase, with a median time from diagnosis of 32 months. Effectiveness was evaluated on the basis of the rate of haematological response and by bone marrow exams to assess the rate of major cytogenetic response (up to 35% Ph+ metaphases) or complete cytogenetic response (0% Ph+ metaphases).  Efficacy results are reported in Table </w:t>
      </w:r>
      <w:r w:rsidR="00922E59" w:rsidRPr="00057C4C">
        <w:t>4</w:t>
      </w:r>
      <w:r w:rsidRPr="00057C4C">
        <w:t>.  Results were similar in the three subgroups described above.</w:t>
      </w:r>
    </w:p>
    <w:p w:rsidR="00014579" w:rsidRPr="00057C4C" w:rsidRDefault="002B14EF" w:rsidP="00D71D4F">
      <w:pPr>
        <w:pStyle w:val="Heading3"/>
      </w:pPr>
      <w:r>
        <w:t>Accelerated phase (Study 0109):</w:t>
      </w:r>
    </w:p>
    <w:p w:rsidR="00014579" w:rsidRPr="00057C4C" w:rsidRDefault="00014579" w:rsidP="006D2CF6">
      <w:pPr>
        <w:pStyle w:val="Text"/>
        <w:spacing w:after="120"/>
        <w:jc w:val="left"/>
      </w:pPr>
      <w:r w:rsidRPr="00057C4C">
        <w:t xml:space="preserve">235 patients with accelerated phase disease were enrolled. These patients met one or more of the following criteria: </w:t>
      </w:r>
      <w:r w:rsidRPr="00057C4C">
        <w:sym w:font="Symbol" w:char="F0B3"/>
      </w:r>
      <w:r w:rsidRPr="00057C4C">
        <w:t xml:space="preserve"> 15% - &lt;30% blasts in PB or BM; </w:t>
      </w:r>
      <w:r w:rsidRPr="00057C4C">
        <w:sym w:font="Symbol" w:char="F0B3"/>
      </w:r>
      <w:r w:rsidRPr="00057C4C">
        <w:t xml:space="preserve"> 30% blasts + promyelocytes in PB or BM; </w:t>
      </w:r>
      <w:r w:rsidRPr="00057C4C">
        <w:sym w:font="Symbol" w:char="F0B3"/>
      </w:r>
      <w:r w:rsidRPr="00057C4C">
        <w:t xml:space="preserve"> 20% basophils in PB; &lt;100 x 10</w:t>
      </w:r>
      <w:r w:rsidRPr="00057C4C">
        <w:rPr>
          <w:vertAlign w:val="superscript"/>
        </w:rPr>
        <w:t>9</w:t>
      </w:r>
      <w:r w:rsidRPr="00057C4C">
        <w:t>/L platelets. The first 77 patients were started at 400 mg, with the remaining 158 patients starting at 600 mg.</w:t>
      </w:r>
    </w:p>
    <w:p w:rsidR="00014579" w:rsidRPr="00057C4C" w:rsidRDefault="00014579" w:rsidP="006D2CF6">
      <w:pPr>
        <w:pStyle w:val="Text"/>
        <w:spacing w:after="120"/>
        <w:jc w:val="left"/>
      </w:pPr>
      <w:r w:rsidRPr="00057C4C">
        <w:t xml:space="preserve">Effectiveness was evaluated primarily on the basis of the rate of haematological response, reported as either complete haematological response, no evidence of leukaemia (i.e. clearance of blasts from the marrow and the blood, but without a full peripheral blood recovery as for complete responses) or return to chronic phase CML. Cytogenetic responses were also evaluated. Efficacy results are reported in Table </w:t>
      </w:r>
      <w:r w:rsidR="00922E59" w:rsidRPr="00057C4C">
        <w:t>4</w:t>
      </w:r>
      <w:r w:rsidRPr="00057C4C">
        <w:t>. Haematological and major cytogenetic responses were more frequent for patients receiving 600 mg Glivec daily than for those receiving 400 mg daily (</w:t>
      </w:r>
      <w:r w:rsidR="00AB3942" w:rsidRPr="00057C4C">
        <w:t>75% vs 65% and 32% vs 19%</w:t>
      </w:r>
      <w:r w:rsidRPr="00057C4C">
        <w:t xml:space="preserve">, respectively). </w:t>
      </w:r>
      <w:r w:rsidRPr="00057C4C">
        <w:rPr>
          <w:lang w:val="en-GB"/>
        </w:rPr>
        <w:t xml:space="preserve">In accelerated phase, median duration of haematological response for the 400 mg group is 17 months, whereas it </w:t>
      </w:r>
      <w:r w:rsidR="00AB3942" w:rsidRPr="00057C4C">
        <w:rPr>
          <w:lang w:val="en-GB"/>
        </w:rPr>
        <w:t>is 30.7 months</w:t>
      </w:r>
      <w:r w:rsidRPr="00057C4C">
        <w:rPr>
          <w:lang w:val="en-GB"/>
        </w:rPr>
        <w:t xml:space="preserve"> for the 600 mg group</w:t>
      </w:r>
      <w:r w:rsidR="00AB3942" w:rsidRPr="00057C4C">
        <w:rPr>
          <w:lang w:val="en-GB"/>
        </w:rPr>
        <w:t xml:space="preserve"> (p=0.0027)</w:t>
      </w:r>
      <w:r w:rsidRPr="00057C4C">
        <w:rPr>
          <w:lang w:val="en-GB"/>
        </w:rPr>
        <w:t>.</w:t>
      </w:r>
      <w:r w:rsidRPr="00057C4C">
        <w:t xml:space="preserve"> For the patients treated at 600 mg, the </w:t>
      </w:r>
      <w:r w:rsidR="00AB3942" w:rsidRPr="00057C4C">
        <w:t xml:space="preserve">current estimates for median </w:t>
      </w:r>
      <w:r w:rsidRPr="00057C4C">
        <w:t xml:space="preserve">progression-free survival and overall survival </w:t>
      </w:r>
      <w:r w:rsidR="00AB3942" w:rsidRPr="00057C4C">
        <w:t>are 22.9 and 42.5 months</w:t>
      </w:r>
      <w:r w:rsidR="002B14EF">
        <w:t>, respectively.</w:t>
      </w:r>
    </w:p>
    <w:p w:rsidR="00014579" w:rsidRPr="00057C4C" w:rsidRDefault="00014579" w:rsidP="00D71D4F">
      <w:pPr>
        <w:pStyle w:val="Heading3"/>
      </w:pPr>
      <w:r w:rsidRPr="00057C4C">
        <w:lastRenderedPageBreak/>
        <w:t>Myel</w:t>
      </w:r>
      <w:r w:rsidR="002B14EF">
        <w:t>oid blast crisis (Study 0102):</w:t>
      </w:r>
    </w:p>
    <w:p w:rsidR="00014579" w:rsidRPr="00057C4C" w:rsidRDefault="00014579" w:rsidP="0063750A">
      <w:pPr>
        <w:pStyle w:val="Text"/>
        <w:spacing w:after="120"/>
        <w:jc w:val="left"/>
      </w:pPr>
      <w:r w:rsidRPr="00057C4C">
        <w:t xml:space="preserve">260 patients with myeloid blast crisis were enrolled. These patients had </w:t>
      </w:r>
      <w:r w:rsidRPr="00057C4C">
        <w:sym w:font="Symbol" w:char="F0B3"/>
      </w:r>
      <w:r w:rsidRPr="00057C4C">
        <w:t xml:space="preserve"> 30% blasts in PB or BM and/or extramedullary involvement other than spleen or liver; 95 (37%) had received prior chemotherapy for treatment of either accelerated phase or blast crisis (“</w:t>
      </w:r>
      <w:r w:rsidR="006D2CF6" w:rsidRPr="00057C4C">
        <w:t>pre-treated</w:t>
      </w:r>
      <w:r w:rsidRPr="00057C4C">
        <w:t xml:space="preserve"> patients”) whereas 165 (63%) had not (“untreated patients”). The first 37 patients were started at 400 mg; the remaining 223 </w:t>
      </w:r>
      <w:r w:rsidR="002B14EF">
        <w:t>patients were started at 600mg.</w:t>
      </w:r>
    </w:p>
    <w:p w:rsidR="00014579" w:rsidRPr="00057C4C" w:rsidRDefault="00014579" w:rsidP="0063750A">
      <w:pPr>
        <w:pStyle w:val="Text"/>
        <w:spacing w:after="120"/>
        <w:jc w:val="left"/>
        <w:rPr>
          <w:b/>
        </w:rPr>
      </w:pPr>
      <w:r w:rsidRPr="00057C4C">
        <w:t xml:space="preserve">Effectiveness was evaluated primarily on the basis of rate of haematological response, reported as either complete haematological response, no evidence of leukaemia, or return to chronic phase CML using the same criteria as for the study in accelerated phase. Cytogenetic responses were also assessed. Efficacy results are reported in Table </w:t>
      </w:r>
      <w:r w:rsidR="00922E59" w:rsidRPr="00057C4C">
        <w:t>4</w:t>
      </w:r>
      <w:r w:rsidRPr="00057C4C">
        <w:t>.  The haematological response rate was higher in untreated patients than in treated patients (36% and 22%, respectively; p=0.0255) and in the group receiving an initial dose of 600 mg than 400 mg (33% a</w:t>
      </w:r>
      <w:r w:rsidR="002B14EF">
        <w:t>nd 16%, respectively; p=0.053).</w:t>
      </w:r>
    </w:p>
    <w:p w:rsidR="00014579" w:rsidRPr="00057C4C" w:rsidRDefault="00D355DC" w:rsidP="00151ACA">
      <w:pPr>
        <w:pStyle w:val="Text"/>
        <w:spacing w:before="240" w:after="120"/>
        <w:jc w:val="center"/>
        <w:rPr>
          <w:b/>
        </w:rPr>
      </w:pPr>
      <w:r w:rsidRPr="00057C4C">
        <w:rPr>
          <w:b/>
        </w:rPr>
        <w:fldChar w:fldCharType="begin"/>
      </w:r>
      <w:r w:rsidR="00014579" w:rsidRPr="00057C4C">
        <w:rPr>
          <w:b/>
        </w:rPr>
        <w:instrText xml:space="preserve">  </w:instrText>
      </w:r>
      <w:r w:rsidRPr="00057C4C">
        <w:rPr>
          <w:b/>
        </w:rPr>
        <w:fldChar w:fldCharType="end"/>
      </w:r>
      <w:r w:rsidR="00014579" w:rsidRPr="00057C4C">
        <w:rPr>
          <w:b/>
        </w:rPr>
        <w:t xml:space="preserve">Table </w:t>
      </w:r>
      <w:r w:rsidR="00922E59" w:rsidRPr="00057C4C">
        <w:rPr>
          <w:b/>
        </w:rPr>
        <w:t>4</w:t>
      </w:r>
      <w:r w:rsidR="00014579" w:rsidRPr="00057C4C">
        <w:rPr>
          <w:b/>
        </w:rPr>
        <w:tab/>
        <w:t>Response in CML patients in Studies 0110, 0109 and 0102</w:t>
      </w:r>
    </w:p>
    <w:tbl>
      <w:tblPr>
        <w:tblW w:w="9356" w:type="dxa"/>
        <w:tblInd w:w="108" w:type="dxa"/>
        <w:tblBorders>
          <w:top w:val="single" w:sz="4" w:space="0" w:color="auto"/>
          <w:bottom w:val="single" w:sz="4" w:space="0" w:color="auto"/>
        </w:tblBorders>
        <w:tblLayout w:type="fixed"/>
        <w:tblLook w:val="0000"/>
      </w:tblPr>
      <w:tblGrid>
        <w:gridCol w:w="3544"/>
        <w:gridCol w:w="1843"/>
        <w:gridCol w:w="1843"/>
        <w:gridCol w:w="2126"/>
      </w:tblGrid>
      <w:tr w:rsidR="00014579" w:rsidRPr="00057C4C">
        <w:tc>
          <w:tcPr>
            <w:tcW w:w="3544"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rPr>
                <w:rFonts w:ascii="Times New Roman" w:hAnsi="Times New Roman"/>
                <w:sz w:val="24"/>
                <w:lang w:val="en-AU"/>
              </w:rPr>
            </w:pP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014579" w:rsidP="00922E59">
            <w:pPr>
              <w:pStyle w:val="Table0"/>
              <w:spacing w:before="60" w:after="60"/>
              <w:jc w:val="center"/>
              <w:rPr>
                <w:rFonts w:ascii="Times New Roman" w:hAnsi="Times New Roman"/>
                <w:b/>
                <w:sz w:val="24"/>
                <w:lang w:val="en-AU"/>
              </w:rPr>
            </w:pPr>
            <w:r w:rsidRPr="00CC0663">
              <w:rPr>
                <w:rFonts w:ascii="Times New Roman" w:hAnsi="Times New Roman"/>
                <w:b/>
                <w:sz w:val="24"/>
                <w:lang w:val="en-AU"/>
              </w:rPr>
              <w:t>Study 0110</w:t>
            </w:r>
            <w:r w:rsidR="00151ACA" w:rsidRPr="00CC0663">
              <w:rPr>
                <w:rFonts w:ascii="Times New Roman" w:hAnsi="Times New Roman"/>
                <w:b/>
                <w:sz w:val="24"/>
                <w:lang w:val="en-AU"/>
              </w:rPr>
              <w:br/>
            </w:r>
            <w:r w:rsidRPr="00CC0663">
              <w:rPr>
                <w:rFonts w:ascii="Times New Roman" w:hAnsi="Times New Roman"/>
                <w:b/>
                <w:sz w:val="24"/>
                <w:lang w:val="en-AU"/>
              </w:rPr>
              <w:t>Chronic phase,</w:t>
            </w:r>
            <w:r w:rsidR="00151ACA" w:rsidRPr="00CC0663">
              <w:rPr>
                <w:rFonts w:ascii="Times New Roman" w:hAnsi="Times New Roman"/>
                <w:b/>
                <w:sz w:val="24"/>
                <w:lang w:val="en-AU"/>
              </w:rPr>
              <w:br/>
            </w:r>
            <w:r w:rsidRPr="00CC0663">
              <w:rPr>
                <w:rFonts w:ascii="Times New Roman" w:hAnsi="Times New Roman"/>
                <w:b/>
                <w:sz w:val="24"/>
                <w:lang w:val="en-AU"/>
              </w:rPr>
              <w:t>IFN failure</w:t>
            </w:r>
            <w:r w:rsidR="00151ACA" w:rsidRPr="00CC0663">
              <w:rPr>
                <w:rFonts w:ascii="Times New Roman" w:hAnsi="Times New Roman"/>
                <w:b/>
                <w:sz w:val="24"/>
                <w:lang w:val="en-AU"/>
              </w:rPr>
              <w:br/>
            </w:r>
            <w:r w:rsidRPr="00CC0663">
              <w:rPr>
                <w:rFonts w:ascii="Times New Roman" w:hAnsi="Times New Roman"/>
                <w:b/>
                <w:sz w:val="24"/>
                <w:lang w:val="en-AU"/>
              </w:rPr>
              <w:t>(</w:t>
            </w:r>
            <w:r w:rsidR="00DD2067" w:rsidRPr="00CC0663">
              <w:rPr>
                <w:rFonts w:ascii="Times New Roman" w:hAnsi="Times New Roman"/>
                <w:b/>
                <w:sz w:val="24"/>
                <w:lang w:val="en-AU"/>
              </w:rPr>
              <w:t>N</w:t>
            </w:r>
            <w:r w:rsidRPr="00CC0663">
              <w:rPr>
                <w:rFonts w:ascii="Times New Roman" w:hAnsi="Times New Roman"/>
                <w:b/>
                <w:sz w:val="24"/>
                <w:lang w:val="en-AU"/>
              </w:rPr>
              <w:t>=532)</w:t>
            </w:r>
            <w:r w:rsidR="006D2CF6" w:rsidRPr="00CC0663">
              <w:rPr>
                <w:rFonts w:ascii="Times New Roman" w:hAnsi="Times New Roman"/>
                <w:b/>
                <w:sz w:val="24"/>
                <w:lang w:val="en-AU"/>
              </w:rPr>
              <w:br/>
            </w:r>
            <w:r w:rsidRPr="00CC0663">
              <w:rPr>
                <w:rFonts w:ascii="Times New Roman" w:hAnsi="Times New Roman"/>
                <w:b/>
                <w:sz w:val="24"/>
                <w:lang w:val="en-AU"/>
              </w:rPr>
              <w:t>400 mg</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014579" w:rsidP="00922E59">
            <w:pPr>
              <w:pStyle w:val="Table0"/>
              <w:spacing w:before="60" w:after="60"/>
              <w:jc w:val="center"/>
              <w:rPr>
                <w:rFonts w:ascii="Times New Roman" w:hAnsi="Times New Roman"/>
                <w:b/>
                <w:sz w:val="24"/>
                <w:lang w:val="en-AU"/>
              </w:rPr>
            </w:pPr>
            <w:r w:rsidRPr="00CC0663">
              <w:rPr>
                <w:rFonts w:ascii="Times New Roman" w:hAnsi="Times New Roman"/>
                <w:b/>
                <w:sz w:val="24"/>
                <w:lang w:val="en-AU"/>
              </w:rPr>
              <w:t>Study 0109</w:t>
            </w:r>
            <w:r w:rsidR="00151ACA" w:rsidRPr="00CC0663">
              <w:rPr>
                <w:rFonts w:ascii="Times New Roman" w:hAnsi="Times New Roman"/>
                <w:b/>
                <w:sz w:val="24"/>
                <w:lang w:val="en-AU"/>
              </w:rPr>
              <w:br/>
            </w:r>
            <w:r w:rsidRPr="00CC0663">
              <w:rPr>
                <w:rFonts w:ascii="Times New Roman" w:hAnsi="Times New Roman"/>
                <w:b/>
                <w:sz w:val="24"/>
                <w:lang w:val="en-AU"/>
              </w:rPr>
              <w:t>Accelerated phase</w:t>
            </w:r>
            <w:r w:rsidR="00151ACA" w:rsidRPr="00CC0663">
              <w:rPr>
                <w:rFonts w:ascii="Times New Roman" w:hAnsi="Times New Roman"/>
                <w:b/>
                <w:sz w:val="24"/>
                <w:lang w:val="en-AU"/>
              </w:rPr>
              <w:br/>
            </w:r>
            <w:r w:rsidRPr="00CC0663">
              <w:rPr>
                <w:rFonts w:ascii="Times New Roman" w:hAnsi="Times New Roman"/>
                <w:b/>
                <w:sz w:val="24"/>
                <w:lang w:val="en-AU"/>
              </w:rPr>
              <w:t>(</w:t>
            </w:r>
            <w:r w:rsidR="00DD2067" w:rsidRPr="00CC0663">
              <w:rPr>
                <w:rFonts w:ascii="Times New Roman" w:hAnsi="Times New Roman"/>
                <w:b/>
                <w:sz w:val="24"/>
                <w:lang w:val="en-AU"/>
              </w:rPr>
              <w:t>N</w:t>
            </w:r>
            <w:r w:rsidRPr="00CC0663">
              <w:rPr>
                <w:rFonts w:ascii="Times New Roman" w:hAnsi="Times New Roman"/>
                <w:b/>
                <w:sz w:val="24"/>
                <w:lang w:val="en-AU"/>
              </w:rPr>
              <w:t>=235)</w:t>
            </w:r>
            <w:r w:rsidR="00151ACA" w:rsidRPr="00CC0663">
              <w:rPr>
                <w:rFonts w:ascii="Times New Roman" w:hAnsi="Times New Roman"/>
                <w:b/>
                <w:sz w:val="24"/>
                <w:lang w:val="en-AU"/>
              </w:rPr>
              <w:br/>
            </w:r>
            <w:r w:rsidRPr="00CC0663">
              <w:rPr>
                <w:rFonts w:ascii="Times New Roman" w:hAnsi="Times New Roman"/>
                <w:b/>
                <w:sz w:val="24"/>
                <w:lang w:val="en-AU"/>
              </w:rPr>
              <w:t xml:space="preserve">600 mg </w:t>
            </w:r>
            <w:r w:rsidR="00DD2067" w:rsidRPr="00CC0663">
              <w:rPr>
                <w:rFonts w:ascii="Times New Roman" w:hAnsi="Times New Roman"/>
                <w:b/>
                <w:sz w:val="24"/>
                <w:lang w:val="en-AU"/>
              </w:rPr>
              <w:t>N</w:t>
            </w:r>
            <w:r w:rsidRPr="00CC0663">
              <w:rPr>
                <w:rFonts w:ascii="Times New Roman" w:hAnsi="Times New Roman"/>
                <w:b/>
                <w:sz w:val="24"/>
                <w:lang w:val="en-AU"/>
              </w:rPr>
              <w:t>=158</w:t>
            </w:r>
            <w:r w:rsidR="00151ACA" w:rsidRPr="00CC0663">
              <w:rPr>
                <w:rFonts w:ascii="Times New Roman" w:hAnsi="Times New Roman"/>
                <w:b/>
                <w:sz w:val="24"/>
                <w:lang w:val="en-AU"/>
              </w:rPr>
              <w:br/>
            </w:r>
            <w:r w:rsidRPr="00CC0663">
              <w:rPr>
                <w:rFonts w:ascii="Times New Roman" w:hAnsi="Times New Roman"/>
                <w:b/>
                <w:sz w:val="24"/>
                <w:lang w:val="en-AU"/>
              </w:rPr>
              <w:t xml:space="preserve">400 mg </w:t>
            </w:r>
            <w:r w:rsidR="00DD2067" w:rsidRPr="00CC0663">
              <w:rPr>
                <w:rFonts w:ascii="Times New Roman" w:hAnsi="Times New Roman"/>
                <w:b/>
                <w:sz w:val="24"/>
                <w:lang w:val="en-AU"/>
              </w:rPr>
              <w:t>N</w:t>
            </w:r>
            <w:r w:rsidRPr="00CC0663">
              <w:rPr>
                <w:rFonts w:ascii="Times New Roman" w:hAnsi="Times New Roman"/>
                <w:b/>
                <w:sz w:val="24"/>
                <w:lang w:val="en-AU"/>
              </w:rPr>
              <w:t>=77</w:t>
            </w:r>
          </w:p>
        </w:tc>
        <w:tc>
          <w:tcPr>
            <w:tcW w:w="2126" w:type="dxa"/>
            <w:tcBorders>
              <w:top w:val="single" w:sz="4" w:space="0" w:color="auto"/>
              <w:left w:val="single" w:sz="4" w:space="0" w:color="auto"/>
              <w:bottom w:val="single" w:sz="4" w:space="0" w:color="auto"/>
              <w:right w:val="single" w:sz="4" w:space="0" w:color="auto"/>
            </w:tcBorders>
          </w:tcPr>
          <w:p w:rsidR="00014579" w:rsidRPr="00CC0663" w:rsidRDefault="00014579" w:rsidP="00922E59">
            <w:pPr>
              <w:pStyle w:val="Table0"/>
              <w:spacing w:before="60" w:after="60"/>
              <w:jc w:val="center"/>
              <w:rPr>
                <w:rFonts w:ascii="Times New Roman" w:hAnsi="Times New Roman"/>
                <w:b/>
                <w:sz w:val="24"/>
                <w:lang w:val="en-AU"/>
              </w:rPr>
            </w:pPr>
            <w:r w:rsidRPr="00CC0663">
              <w:rPr>
                <w:rFonts w:ascii="Times New Roman" w:hAnsi="Times New Roman"/>
                <w:b/>
                <w:sz w:val="24"/>
                <w:lang w:val="en-AU"/>
              </w:rPr>
              <w:t>Study 0102</w:t>
            </w:r>
            <w:r w:rsidR="00151ACA" w:rsidRPr="00CC0663">
              <w:rPr>
                <w:rFonts w:ascii="Times New Roman" w:hAnsi="Times New Roman"/>
                <w:b/>
                <w:sz w:val="24"/>
                <w:lang w:val="en-AU"/>
              </w:rPr>
              <w:br/>
            </w:r>
            <w:r w:rsidRPr="00CC0663">
              <w:rPr>
                <w:rFonts w:ascii="Times New Roman" w:hAnsi="Times New Roman"/>
                <w:b/>
                <w:sz w:val="24"/>
                <w:lang w:val="en-AU"/>
              </w:rPr>
              <w:t>Myeloid blast crisis</w:t>
            </w:r>
            <w:r w:rsidR="00151ACA" w:rsidRPr="00CC0663">
              <w:rPr>
                <w:rFonts w:ascii="Times New Roman" w:hAnsi="Times New Roman"/>
                <w:b/>
                <w:sz w:val="24"/>
                <w:lang w:val="en-AU"/>
              </w:rPr>
              <w:br/>
            </w:r>
            <w:r w:rsidRPr="00CC0663">
              <w:rPr>
                <w:rFonts w:ascii="Times New Roman" w:hAnsi="Times New Roman"/>
                <w:b/>
                <w:sz w:val="24"/>
                <w:lang w:val="en-AU"/>
              </w:rPr>
              <w:t>(</w:t>
            </w:r>
            <w:r w:rsidR="00DD2067" w:rsidRPr="00CC0663">
              <w:rPr>
                <w:rFonts w:ascii="Times New Roman" w:hAnsi="Times New Roman"/>
                <w:b/>
                <w:sz w:val="24"/>
                <w:lang w:val="en-AU"/>
              </w:rPr>
              <w:t>N</w:t>
            </w:r>
            <w:r w:rsidRPr="00CC0663">
              <w:rPr>
                <w:rFonts w:ascii="Times New Roman" w:hAnsi="Times New Roman"/>
                <w:b/>
                <w:sz w:val="24"/>
                <w:lang w:val="en-AU"/>
              </w:rPr>
              <w:t>=260)</w:t>
            </w:r>
            <w:r w:rsidR="00151ACA" w:rsidRPr="00CC0663">
              <w:rPr>
                <w:rFonts w:ascii="Times New Roman" w:hAnsi="Times New Roman"/>
                <w:b/>
                <w:sz w:val="24"/>
                <w:lang w:val="en-AU"/>
              </w:rPr>
              <w:br/>
            </w:r>
            <w:r w:rsidRPr="00CC0663">
              <w:rPr>
                <w:rFonts w:ascii="Times New Roman" w:hAnsi="Times New Roman"/>
                <w:b/>
                <w:sz w:val="24"/>
                <w:lang w:val="en-AU"/>
              </w:rPr>
              <w:t xml:space="preserve">600 mg </w:t>
            </w:r>
            <w:r w:rsidR="00DD2067" w:rsidRPr="00CC0663">
              <w:rPr>
                <w:rFonts w:ascii="Times New Roman" w:hAnsi="Times New Roman"/>
                <w:b/>
                <w:sz w:val="24"/>
                <w:lang w:val="en-AU"/>
              </w:rPr>
              <w:t>N</w:t>
            </w:r>
            <w:r w:rsidRPr="00CC0663">
              <w:rPr>
                <w:rFonts w:ascii="Times New Roman" w:hAnsi="Times New Roman"/>
                <w:b/>
                <w:sz w:val="24"/>
                <w:lang w:val="en-AU"/>
              </w:rPr>
              <w:t>=223</w:t>
            </w:r>
            <w:r w:rsidR="00151ACA" w:rsidRPr="00CC0663">
              <w:rPr>
                <w:rFonts w:ascii="Times New Roman" w:hAnsi="Times New Roman"/>
                <w:b/>
                <w:sz w:val="24"/>
                <w:lang w:val="en-AU"/>
              </w:rPr>
              <w:br/>
            </w:r>
            <w:r w:rsidRPr="00CC0663">
              <w:rPr>
                <w:rFonts w:ascii="Times New Roman" w:hAnsi="Times New Roman"/>
                <w:b/>
                <w:sz w:val="24"/>
                <w:lang w:val="en-AU"/>
              </w:rPr>
              <w:t xml:space="preserve">400 mg </w:t>
            </w:r>
            <w:r w:rsidR="00DD2067" w:rsidRPr="00CC0663">
              <w:rPr>
                <w:rFonts w:ascii="Times New Roman" w:hAnsi="Times New Roman"/>
                <w:b/>
                <w:sz w:val="24"/>
                <w:lang w:val="en-AU"/>
              </w:rPr>
              <w:t>N</w:t>
            </w:r>
            <w:r w:rsidRPr="00CC0663">
              <w:rPr>
                <w:rFonts w:ascii="Times New Roman" w:hAnsi="Times New Roman"/>
                <w:b/>
                <w:sz w:val="24"/>
                <w:lang w:val="en-AU"/>
              </w:rPr>
              <w:t>=37</w:t>
            </w:r>
          </w:p>
        </w:tc>
      </w:tr>
      <w:tr w:rsidR="00014579" w:rsidRPr="00057C4C">
        <w:tc>
          <w:tcPr>
            <w:tcW w:w="3544"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 xml:space="preserve">Treated for more than </w:t>
            </w:r>
            <w:r w:rsidR="00AB3942" w:rsidRPr="00CC0663">
              <w:rPr>
                <w:rFonts w:ascii="Times New Roman" w:hAnsi="Times New Roman"/>
                <w:sz w:val="24"/>
                <w:lang w:val="en-AU"/>
              </w:rPr>
              <w:t>24</w:t>
            </w:r>
            <w:r w:rsidRPr="00CC0663">
              <w:rPr>
                <w:rFonts w:ascii="Times New Roman" w:hAnsi="Times New Roman"/>
                <w:sz w:val="24"/>
                <w:lang w:val="en-AU"/>
              </w:rPr>
              <w:t xml:space="preserve"> months</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81</w:t>
            </w:r>
            <w:r w:rsidR="00014579" w:rsidRPr="00CC0663">
              <w:rPr>
                <w:rFonts w:ascii="Times New Roman" w:hAnsi="Times New Roman"/>
                <w:sz w:val="24"/>
                <w:lang w:val="en-AU"/>
              </w:rPr>
              <w:t>%</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45</w:t>
            </w:r>
            <w:r w:rsidR="00014579" w:rsidRPr="00CC0663">
              <w:rPr>
                <w:rFonts w:ascii="Times New Roman" w:hAnsi="Times New Roman"/>
                <w:sz w:val="24"/>
                <w:lang w:val="en-AU"/>
              </w:rPr>
              <w:t>%</w:t>
            </w:r>
          </w:p>
        </w:tc>
        <w:tc>
          <w:tcPr>
            <w:tcW w:w="2126" w:type="dxa"/>
            <w:tcBorders>
              <w:top w:val="single" w:sz="4" w:space="0" w:color="auto"/>
              <w:left w:val="single" w:sz="4" w:space="0" w:color="auto"/>
              <w:bottom w:val="single" w:sz="4" w:space="0" w:color="auto"/>
              <w:right w:val="single" w:sz="4" w:space="0" w:color="auto"/>
            </w:tcBorders>
          </w:tcPr>
          <w:p w:rsidR="00014579"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10</w:t>
            </w:r>
            <w:r w:rsidR="00014579" w:rsidRPr="00CC0663">
              <w:rPr>
                <w:rFonts w:ascii="Times New Roman" w:hAnsi="Times New Roman"/>
                <w:sz w:val="24"/>
                <w:lang w:val="en-AU"/>
              </w:rPr>
              <w:t>%</w:t>
            </w:r>
          </w:p>
        </w:tc>
      </w:tr>
      <w:tr w:rsidR="00014579" w:rsidRPr="00057C4C" w:rsidTr="00544E16">
        <w:trPr>
          <w:cantSplit/>
        </w:trPr>
        <w:tc>
          <w:tcPr>
            <w:tcW w:w="3544" w:type="dxa"/>
            <w:tcBorders>
              <w:top w:val="nil"/>
              <w:left w:val="single" w:sz="4" w:space="0" w:color="auto"/>
              <w:bottom w:val="single" w:sz="4" w:space="0" w:color="auto"/>
              <w:right w:val="single" w:sz="4" w:space="0" w:color="auto"/>
            </w:tcBorders>
          </w:tcPr>
          <w:p w:rsidR="00014579" w:rsidRPr="00CC0663" w:rsidRDefault="00014579" w:rsidP="00151ACA">
            <w:pPr>
              <w:pStyle w:val="Table0"/>
              <w:spacing w:before="60" w:after="60"/>
              <w:rPr>
                <w:rFonts w:ascii="Times New Roman" w:hAnsi="Times New Roman"/>
                <w:sz w:val="24"/>
                <w:lang w:val="en-AU"/>
              </w:rPr>
            </w:pPr>
          </w:p>
        </w:tc>
        <w:tc>
          <w:tcPr>
            <w:tcW w:w="5812" w:type="dxa"/>
            <w:gridSpan w:val="3"/>
            <w:tcBorders>
              <w:top w:val="nil"/>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 xml:space="preserve">% of patients (CI </w:t>
            </w:r>
            <w:r w:rsidRPr="00CC0663">
              <w:rPr>
                <w:rFonts w:ascii="Times New Roman" w:hAnsi="Times New Roman"/>
                <w:sz w:val="24"/>
                <w:vertAlign w:val="subscript"/>
                <w:lang w:val="en-AU"/>
              </w:rPr>
              <w:t>95%</w:t>
            </w:r>
            <w:r w:rsidRPr="00CC0663">
              <w:rPr>
                <w:rFonts w:ascii="Times New Roman" w:hAnsi="Times New Roman"/>
                <w:sz w:val="24"/>
                <w:lang w:val="en-AU"/>
              </w:rPr>
              <w:t>)</w:t>
            </w:r>
          </w:p>
        </w:tc>
      </w:tr>
      <w:tr w:rsidR="00014579" w:rsidRPr="00057C4C" w:rsidTr="00544E16">
        <w:tc>
          <w:tcPr>
            <w:tcW w:w="3544" w:type="dxa"/>
            <w:tcBorders>
              <w:top w:val="single" w:sz="4" w:space="0" w:color="auto"/>
              <w:left w:val="single" w:sz="4" w:space="0" w:color="auto"/>
              <w:bottom w:val="single" w:sz="4" w:space="0" w:color="auto"/>
              <w:right w:val="single" w:sz="4" w:space="0" w:color="auto"/>
            </w:tcBorders>
            <w:shd w:val="clear" w:color="auto" w:fill="auto"/>
          </w:tcPr>
          <w:p w:rsidR="00014579" w:rsidRPr="00CC0663" w:rsidRDefault="00014579" w:rsidP="00151ACA">
            <w:pPr>
              <w:pStyle w:val="Table0"/>
              <w:spacing w:before="60" w:after="60"/>
              <w:rPr>
                <w:rFonts w:ascii="Times New Roman" w:hAnsi="Times New Roman"/>
                <w:sz w:val="24"/>
                <w:vertAlign w:val="superscript"/>
                <w:lang w:val="en-AU"/>
              </w:rPr>
            </w:pPr>
            <w:r w:rsidRPr="00CC0663">
              <w:rPr>
                <w:rFonts w:ascii="Times New Roman" w:hAnsi="Times New Roman"/>
                <w:sz w:val="24"/>
                <w:lang w:val="en-AU"/>
              </w:rPr>
              <w:t>Haematological response</w:t>
            </w:r>
            <w:r w:rsidRPr="00CC0663">
              <w:rPr>
                <w:rFonts w:ascii="Times New Roman" w:hAnsi="Times New Roman"/>
                <w:sz w:val="24"/>
                <w:vertAlign w:val="superscript"/>
                <w:lang w:val="en-AU"/>
              </w:rPr>
              <w:t>1</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95</w:t>
            </w:r>
            <w:r w:rsidR="00014579" w:rsidRPr="00CC0663">
              <w:rPr>
                <w:rFonts w:ascii="Times New Roman" w:hAnsi="Times New Roman"/>
                <w:sz w:val="24"/>
                <w:lang w:val="en-AU"/>
              </w:rPr>
              <w:t>% (9</w:t>
            </w:r>
            <w:r w:rsidRPr="00CC0663">
              <w:rPr>
                <w:rFonts w:ascii="Times New Roman" w:hAnsi="Times New Roman"/>
                <w:sz w:val="24"/>
                <w:lang w:val="en-AU"/>
              </w:rPr>
              <w:t>2.3-96.3</w:t>
            </w:r>
            <w:r w:rsidR="00014579" w:rsidRPr="00CC0663">
              <w:rPr>
                <w:rFonts w:ascii="Times New Roman" w:hAnsi="Times New Roman"/>
                <w:sz w:val="24"/>
                <w:lang w:val="en-AU"/>
              </w:rPr>
              <w:t>)</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71% (65.3-77.2)</w:t>
            </w:r>
          </w:p>
        </w:tc>
        <w:tc>
          <w:tcPr>
            <w:tcW w:w="2126"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31% (25.2-36.8)</w:t>
            </w:r>
          </w:p>
        </w:tc>
      </w:tr>
      <w:tr w:rsidR="00AB3942" w:rsidRPr="00057C4C">
        <w:tc>
          <w:tcPr>
            <w:tcW w:w="3544"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tabs>
                <w:tab w:val="clear" w:pos="284"/>
                <w:tab w:val="left" w:pos="0"/>
              </w:tabs>
              <w:spacing w:before="60" w:after="60"/>
              <w:rPr>
                <w:rFonts w:ascii="Times New Roman" w:hAnsi="Times New Roman"/>
                <w:sz w:val="24"/>
                <w:lang w:val="en-AU"/>
              </w:rPr>
            </w:pPr>
            <w:r w:rsidRPr="00CC0663">
              <w:rPr>
                <w:rFonts w:ascii="Times New Roman" w:hAnsi="Times New Roman"/>
                <w:sz w:val="24"/>
                <w:lang w:val="en-AU"/>
              </w:rPr>
              <w:t>Complete haematological response (CHR)</w:t>
            </w:r>
          </w:p>
        </w:tc>
        <w:tc>
          <w:tcPr>
            <w:tcW w:w="1843" w:type="dxa"/>
            <w:tcBorders>
              <w:top w:val="single" w:sz="4" w:space="0" w:color="auto"/>
              <w:left w:val="single" w:sz="4" w:space="0" w:color="auto"/>
              <w:bottom w:val="single" w:sz="4" w:space="0" w:color="auto"/>
              <w:right w:val="single" w:sz="4" w:space="0" w:color="auto"/>
            </w:tcBorders>
            <w:vAlign w:val="center"/>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95 %</w:t>
            </w:r>
          </w:p>
        </w:tc>
        <w:tc>
          <w:tcPr>
            <w:tcW w:w="1843" w:type="dxa"/>
            <w:tcBorders>
              <w:top w:val="single" w:sz="4" w:space="0" w:color="auto"/>
              <w:left w:val="single" w:sz="4" w:space="0" w:color="auto"/>
              <w:bottom w:val="single" w:sz="4" w:space="0" w:color="auto"/>
              <w:right w:val="single" w:sz="4" w:space="0" w:color="auto"/>
            </w:tcBorders>
            <w:vAlign w:val="center"/>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42 %</w:t>
            </w:r>
          </w:p>
        </w:tc>
        <w:tc>
          <w:tcPr>
            <w:tcW w:w="2126" w:type="dxa"/>
            <w:tcBorders>
              <w:top w:val="single" w:sz="4" w:space="0" w:color="auto"/>
              <w:left w:val="single" w:sz="4" w:space="0" w:color="auto"/>
              <w:bottom w:val="single" w:sz="4" w:space="0" w:color="auto"/>
              <w:right w:val="single" w:sz="4" w:space="0" w:color="auto"/>
            </w:tcBorders>
            <w:vAlign w:val="center"/>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8 %</w:t>
            </w:r>
          </w:p>
        </w:tc>
      </w:tr>
      <w:tr w:rsidR="00014579" w:rsidRPr="00057C4C">
        <w:tc>
          <w:tcPr>
            <w:tcW w:w="3544"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No evidence of leukaemia (NEL)</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Not applicable</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12 %</w:t>
            </w:r>
          </w:p>
        </w:tc>
        <w:tc>
          <w:tcPr>
            <w:tcW w:w="2126"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5 %</w:t>
            </w:r>
          </w:p>
        </w:tc>
      </w:tr>
      <w:tr w:rsidR="00014579" w:rsidRPr="00057C4C">
        <w:tc>
          <w:tcPr>
            <w:tcW w:w="3544"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Return to chronic phase (RTC)</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Not applicable</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 xml:space="preserve">17 </w:t>
            </w:r>
            <w:r w:rsidR="00014579" w:rsidRPr="00CC0663">
              <w:rPr>
                <w:rFonts w:ascii="Times New Roman" w:hAnsi="Times New Roman"/>
                <w:sz w:val="24"/>
                <w:lang w:val="en-AU"/>
              </w:rPr>
              <w:t>%</w:t>
            </w:r>
          </w:p>
        </w:tc>
        <w:tc>
          <w:tcPr>
            <w:tcW w:w="2126"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18 %</w:t>
            </w:r>
          </w:p>
        </w:tc>
      </w:tr>
      <w:tr w:rsidR="00014579" w:rsidRPr="00057C4C">
        <w:tc>
          <w:tcPr>
            <w:tcW w:w="3544"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Median time to haematological response</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1 month</w:t>
            </w:r>
          </w:p>
        </w:tc>
        <w:tc>
          <w:tcPr>
            <w:tcW w:w="1843"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1 month</w:t>
            </w:r>
          </w:p>
          <w:p w:rsidR="00014579" w:rsidRPr="00CC0663" w:rsidRDefault="00014579" w:rsidP="00151ACA">
            <w:pPr>
              <w:pStyle w:val="Table0"/>
              <w:spacing w:before="60" w:after="60"/>
              <w:jc w:val="center"/>
              <w:rPr>
                <w:rFonts w:ascii="Times New Roman" w:hAnsi="Times New Roman"/>
                <w:sz w:val="24"/>
                <w:lang w:val="en-AU"/>
              </w:rPr>
            </w:pPr>
          </w:p>
        </w:tc>
        <w:tc>
          <w:tcPr>
            <w:tcW w:w="2126" w:type="dxa"/>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1 month</w:t>
            </w:r>
          </w:p>
        </w:tc>
      </w:tr>
      <w:tr w:rsidR="00AB3942" w:rsidRPr="00057C4C">
        <w:tc>
          <w:tcPr>
            <w:tcW w:w="3544"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Estimated % still in haematological response after 24 months</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72%</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40% (400 mg)</w:t>
            </w:r>
            <w:r w:rsidR="00151ACA" w:rsidRPr="00CC0663">
              <w:rPr>
                <w:rFonts w:ascii="Times New Roman" w:hAnsi="Times New Roman"/>
                <w:sz w:val="24"/>
                <w:lang w:val="en-AU"/>
              </w:rPr>
              <w:br/>
            </w:r>
            <w:r w:rsidRPr="00CC0663">
              <w:rPr>
                <w:rFonts w:ascii="Times New Roman" w:hAnsi="Times New Roman"/>
                <w:sz w:val="24"/>
                <w:lang w:val="en-AU"/>
              </w:rPr>
              <w:t>61% (600 mg)</w:t>
            </w:r>
          </w:p>
        </w:tc>
        <w:tc>
          <w:tcPr>
            <w:tcW w:w="2126"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28%</w:t>
            </w:r>
          </w:p>
        </w:tc>
      </w:tr>
      <w:tr w:rsidR="00014579" w:rsidRPr="00057C4C">
        <w:trPr>
          <w:cantSplit/>
        </w:trPr>
        <w:tc>
          <w:tcPr>
            <w:tcW w:w="9356" w:type="dxa"/>
            <w:gridSpan w:val="4"/>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p>
        </w:tc>
      </w:tr>
      <w:tr w:rsidR="00AB3942" w:rsidRPr="00057C4C" w:rsidTr="00544E16">
        <w:tc>
          <w:tcPr>
            <w:tcW w:w="3544" w:type="dxa"/>
            <w:tcBorders>
              <w:top w:val="single" w:sz="4" w:space="0" w:color="auto"/>
              <w:left w:val="single" w:sz="4" w:space="0" w:color="auto"/>
              <w:bottom w:val="single" w:sz="4" w:space="0" w:color="auto"/>
              <w:right w:val="single" w:sz="4" w:space="0" w:color="auto"/>
            </w:tcBorders>
            <w:shd w:val="clear" w:color="auto" w:fill="auto"/>
          </w:tcPr>
          <w:p w:rsidR="00AB3942" w:rsidRPr="00CC0663" w:rsidRDefault="00AB3942" w:rsidP="00151ACA">
            <w:pPr>
              <w:pStyle w:val="Table0"/>
              <w:spacing w:before="60" w:after="60"/>
              <w:rPr>
                <w:rFonts w:ascii="Times New Roman" w:hAnsi="Times New Roman"/>
                <w:sz w:val="24"/>
                <w:vertAlign w:val="superscript"/>
                <w:lang w:val="en-AU"/>
              </w:rPr>
            </w:pPr>
            <w:r w:rsidRPr="00CC0663">
              <w:rPr>
                <w:rFonts w:ascii="Times New Roman" w:hAnsi="Times New Roman"/>
                <w:sz w:val="24"/>
                <w:lang w:val="en-AU"/>
              </w:rPr>
              <w:t>Major cytogenetic response</w:t>
            </w:r>
            <w:r w:rsidRPr="00CC0663">
              <w:rPr>
                <w:rFonts w:ascii="Times New Roman" w:hAnsi="Times New Roman"/>
                <w:sz w:val="24"/>
                <w:vertAlign w:val="superscript"/>
                <w:lang w:val="en-AU"/>
              </w:rPr>
              <w:t>2</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65% (61.2-69.5)</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28% (22.0-33.9)</w:t>
            </w:r>
          </w:p>
        </w:tc>
        <w:tc>
          <w:tcPr>
            <w:tcW w:w="2126"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15% (11.2-20.4)</w:t>
            </w:r>
          </w:p>
        </w:tc>
      </w:tr>
      <w:tr w:rsidR="00AB3942" w:rsidRPr="00057C4C">
        <w:tc>
          <w:tcPr>
            <w:tcW w:w="3544" w:type="dxa"/>
            <w:tcBorders>
              <w:top w:val="single" w:sz="4" w:space="0" w:color="auto"/>
              <w:left w:val="single" w:sz="4" w:space="0" w:color="auto"/>
              <w:bottom w:val="nil"/>
              <w:right w:val="single" w:sz="4" w:space="0" w:color="auto"/>
            </w:tcBorders>
          </w:tcPr>
          <w:p w:rsidR="00AB3942" w:rsidRPr="00CC0663" w:rsidRDefault="00AB3942" w:rsidP="00151ACA">
            <w:pPr>
              <w:pStyle w:val="Table0"/>
              <w:tabs>
                <w:tab w:val="clear" w:pos="284"/>
                <w:tab w:val="left" w:pos="0"/>
                <w:tab w:val="left" w:pos="142"/>
              </w:tabs>
              <w:spacing w:before="60" w:after="60"/>
              <w:rPr>
                <w:rFonts w:ascii="Times New Roman" w:hAnsi="Times New Roman"/>
                <w:sz w:val="24"/>
                <w:lang w:val="en-AU"/>
              </w:rPr>
            </w:pPr>
            <w:r w:rsidRPr="00CC0663">
              <w:rPr>
                <w:rFonts w:ascii="Times New Roman" w:hAnsi="Times New Roman"/>
                <w:sz w:val="24"/>
                <w:lang w:val="en-AU"/>
              </w:rPr>
              <w:t>Complete(confirmed</w:t>
            </w:r>
            <w:r w:rsidRPr="00CC0663">
              <w:rPr>
                <w:rFonts w:ascii="Times New Roman" w:hAnsi="Times New Roman"/>
                <w:sz w:val="24"/>
                <w:vertAlign w:val="superscript"/>
                <w:lang w:val="en-AU"/>
              </w:rPr>
              <w:t>3</w:t>
            </w:r>
            <w:r w:rsidRPr="00CC0663">
              <w:rPr>
                <w:rFonts w:ascii="Times New Roman" w:hAnsi="Times New Roman"/>
                <w:sz w:val="24"/>
                <w:lang w:val="en-AU"/>
              </w:rPr>
              <w:t>)</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53% (43%)</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20 (16%)</w:t>
            </w:r>
          </w:p>
        </w:tc>
        <w:tc>
          <w:tcPr>
            <w:tcW w:w="2126"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7% (2%)</w:t>
            </w:r>
          </w:p>
        </w:tc>
      </w:tr>
      <w:tr w:rsidR="00014579" w:rsidRPr="00057C4C">
        <w:trPr>
          <w:cantSplit/>
        </w:trPr>
        <w:tc>
          <w:tcPr>
            <w:tcW w:w="9356" w:type="dxa"/>
            <w:gridSpan w:val="4"/>
            <w:tcBorders>
              <w:top w:val="single" w:sz="4" w:space="0" w:color="auto"/>
              <w:left w:val="single" w:sz="4" w:space="0" w:color="auto"/>
              <w:bottom w:val="single" w:sz="4" w:space="0" w:color="auto"/>
              <w:right w:val="single" w:sz="4" w:space="0" w:color="auto"/>
            </w:tcBorders>
          </w:tcPr>
          <w:p w:rsidR="00014579" w:rsidRPr="00CC0663" w:rsidRDefault="00014579" w:rsidP="00151ACA">
            <w:pPr>
              <w:pStyle w:val="Table0"/>
              <w:spacing w:before="60" w:after="60"/>
              <w:jc w:val="center"/>
              <w:rPr>
                <w:rFonts w:ascii="Times New Roman" w:hAnsi="Times New Roman"/>
                <w:sz w:val="24"/>
                <w:lang w:val="en-AU"/>
              </w:rPr>
            </w:pPr>
          </w:p>
        </w:tc>
      </w:tr>
      <w:tr w:rsidR="00AB3942" w:rsidRPr="00057C4C" w:rsidTr="00544E16">
        <w:tc>
          <w:tcPr>
            <w:tcW w:w="3544" w:type="dxa"/>
            <w:tcBorders>
              <w:top w:val="single" w:sz="4" w:space="0" w:color="auto"/>
              <w:left w:val="single" w:sz="4" w:space="0" w:color="auto"/>
              <w:bottom w:val="single" w:sz="4" w:space="0" w:color="auto"/>
              <w:right w:val="single" w:sz="4" w:space="0" w:color="auto"/>
            </w:tcBorders>
            <w:shd w:val="clear" w:color="auto" w:fill="auto"/>
          </w:tcPr>
          <w:p w:rsidR="00AB3942" w:rsidRPr="00CC0663" w:rsidRDefault="00AB3942" w:rsidP="00151ACA">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 xml:space="preserve">Estimated % progression-free at 24 months </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85%</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33% (400 mg)</w:t>
            </w:r>
            <w:r w:rsidR="00151ACA" w:rsidRPr="00CC0663">
              <w:rPr>
                <w:rFonts w:ascii="Times New Roman" w:hAnsi="Times New Roman"/>
                <w:sz w:val="24"/>
                <w:lang w:val="en-AU"/>
              </w:rPr>
              <w:br/>
            </w:r>
            <w:r w:rsidRPr="00CC0663">
              <w:rPr>
                <w:rFonts w:ascii="Times New Roman" w:hAnsi="Times New Roman"/>
                <w:sz w:val="24"/>
                <w:lang w:val="en-AU"/>
              </w:rPr>
              <w:t>50% (600 mg)</w:t>
            </w:r>
          </w:p>
        </w:tc>
        <w:tc>
          <w:tcPr>
            <w:tcW w:w="2126"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NA</w:t>
            </w:r>
          </w:p>
        </w:tc>
      </w:tr>
      <w:tr w:rsidR="00AB3942" w:rsidRPr="00057C4C" w:rsidTr="00544E16">
        <w:tc>
          <w:tcPr>
            <w:tcW w:w="3544" w:type="dxa"/>
            <w:tcBorders>
              <w:top w:val="single" w:sz="4" w:space="0" w:color="auto"/>
              <w:left w:val="single" w:sz="4" w:space="0" w:color="auto"/>
              <w:bottom w:val="single" w:sz="4" w:space="0" w:color="auto"/>
              <w:right w:val="single" w:sz="4" w:space="0" w:color="auto"/>
            </w:tcBorders>
            <w:shd w:val="clear" w:color="auto" w:fill="auto"/>
          </w:tcPr>
          <w:p w:rsidR="00AB3942" w:rsidRPr="00CC0663" w:rsidRDefault="00AB3942" w:rsidP="00151ACA">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 xml:space="preserve">Estimated % alive at 24 months </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91%</w:t>
            </w:r>
          </w:p>
        </w:tc>
        <w:tc>
          <w:tcPr>
            <w:tcW w:w="1843"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46% (400 mg)</w:t>
            </w:r>
            <w:r w:rsidR="00151ACA" w:rsidRPr="00CC0663">
              <w:rPr>
                <w:rFonts w:ascii="Times New Roman" w:hAnsi="Times New Roman"/>
                <w:sz w:val="24"/>
                <w:lang w:val="en-AU"/>
              </w:rPr>
              <w:br/>
            </w:r>
            <w:r w:rsidRPr="00CC0663">
              <w:rPr>
                <w:rFonts w:ascii="Times New Roman" w:hAnsi="Times New Roman"/>
                <w:sz w:val="24"/>
                <w:lang w:val="en-AU"/>
              </w:rPr>
              <w:t>66% (600 mg)</w:t>
            </w:r>
          </w:p>
        </w:tc>
        <w:tc>
          <w:tcPr>
            <w:tcW w:w="2126" w:type="dxa"/>
            <w:tcBorders>
              <w:top w:val="single" w:sz="4" w:space="0" w:color="auto"/>
              <w:left w:val="single" w:sz="4" w:space="0" w:color="auto"/>
              <w:bottom w:val="single" w:sz="4" w:space="0" w:color="auto"/>
              <w:right w:val="single" w:sz="4" w:space="0" w:color="auto"/>
            </w:tcBorders>
          </w:tcPr>
          <w:p w:rsidR="00AB3942" w:rsidRPr="00CC0663" w:rsidRDefault="00AB3942" w:rsidP="00151ACA">
            <w:pPr>
              <w:pStyle w:val="Table0"/>
              <w:spacing w:before="60" w:after="60"/>
              <w:jc w:val="center"/>
              <w:rPr>
                <w:rFonts w:ascii="Times New Roman" w:hAnsi="Times New Roman"/>
                <w:sz w:val="24"/>
                <w:lang w:val="en-AU"/>
              </w:rPr>
            </w:pPr>
            <w:r w:rsidRPr="00CC0663">
              <w:rPr>
                <w:rFonts w:ascii="Times New Roman" w:hAnsi="Times New Roman"/>
                <w:sz w:val="24"/>
                <w:lang w:val="en-AU"/>
              </w:rPr>
              <w:t>18%</w:t>
            </w:r>
          </w:p>
        </w:tc>
      </w:tr>
      <w:tr w:rsidR="00014579" w:rsidRPr="00057C4C">
        <w:trPr>
          <w:cantSplit/>
        </w:trPr>
        <w:tc>
          <w:tcPr>
            <w:tcW w:w="9356" w:type="dxa"/>
            <w:gridSpan w:val="4"/>
            <w:tcBorders>
              <w:top w:val="nil"/>
              <w:bottom w:val="nil"/>
            </w:tcBorders>
          </w:tcPr>
          <w:p w:rsidR="00014579" w:rsidRPr="00CC0663" w:rsidRDefault="00014579" w:rsidP="006D2FAB">
            <w:pPr>
              <w:pStyle w:val="Table0"/>
              <w:tabs>
                <w:tab w:val="clear" w:pos="284"/>
                <w:tab w:val="left" w:pos="-3794"/>
              </w:tabs>
              <w:spacing w:before="20"/>
              <w:rPr>
                <w:rFonts w:ascii="Times New Roman" w:hAnsi="Times New Roman"/>
                <w:b/>
                <w:lang w:val="en-AU"/>
              </w:rPr>
            </w:pPr>
            <w:r w:rsidRPr="00CC0663">
              <w:rPr>
                <w:rFonts w:ascii="Times New Roman" w:hAnsi="Times New Roman"/>
                <w:b/>
                <w:vertAlign w:val="superscript"/>
                <w:lang w:val="en-AU"/>
              </w:rPr>
              <w:lastRenderedPageBreak/>
              <w:t>1</w:t>
            </w:r>
            <w:r w:rsidRPr="00CC0663">
              <w:rPr>
                <w:rFonts w:ascii="Times New Roman" w:hAnsi="Times New Roman"/>
                <w:b/>
                <w:lang w:val="en-AU"/>
              </w:rPr>
              <w:t xml:space="preserve">Haematological response criteria (all responses to be confirmed after </w:t>
            </w:r>
            <w:r w:rsidRPr="00CC0663">
              <w:rPr>
                <w:rFonts w:ascii="Times New Roman" w:hAnsi="Times New Roman"/>
                <w:lang w:val="en-AU"/>
              </w:rPr>
              <w:sym w:font="Symbol" w:char="F0B3"/>
            </w:r>
            <w:r w:rsidRPr="00CC0663">
              <w:rPr>
                <w:rFonts w:ascii="Times New Roman" w:hAnsi="Times New Roman"/>
                <w:b/>
                <w:lang w:val="en-AU"/>
              </w:rPr>
              <w:t>4 weeks):</w:t>
            </w:r>
          </w:p>
          <w:p w:rsidR="00014579" w:rsidRPr="00CC0663" w:rsidRDefault="00014579" w:rsidP="006D2FAB">
            <w:pPr>
              <w:pStyle w:val="Table0"/>
              <w:tabs>
                <w:tab w:val="clear" w:pos="284"/>
                <w:tab w:val="left" w:pos="-3794"/>
              </w:tabs>
              <w:spacing w:before="20"/>
              <w:rPr>
                <w:rFonts w:ascii="Times New Roman" w:hAnsi="Times New Roman"/>
                <w:lang w:val="en-AU"/>
              </w:rPr>
            </w:pPr>
            <w:r w:rsidRPr="00CC0663">
              <w:rPr>
                <w:rFonts w:ascii="Times New Roman" w:hAnsi="Times New Roman"/>
                <w:lang w:val="en-AU"/>
              </w:rPr>
              <w:t>CHR: chronic phase study [WBC &lt;10 x10</w:t>
            </w:r>
            <w:r w:rsidRPr="00CC0663">
              <w:rPr>
                <w:rFonts w:ascii="Times New Roman" w:hAnsi="Times New Roman"/>
                <w:vertAlign w:val="superscript"/>
                <w:lang w:val="en-AU"/>
              </w:rPr>
              <w:t>9</w:t>
            </w:r>
            <w:r w:rsidRPr="00CC0663">
              <w:rPr>
                <w:rFonts w:ascii="Times New Roman" w:hAnsi="Times New Roman"/>
                <w:lang w:val="en-AU"/>
              </w:rPr>
              <w:t>/L, platelets &lt;450 x10</w:t>
            </w:r>
            <w:r w:rsidRPr="00CC0663">
              <w:rPr>
                <w:rFonts w:ascii="Times New Roman" w:hAnsi="Times New Roman"/>
                <w:vertAlign w:val="superscript"/>
                <w:lang w:val="en-AU"/>
              </w:rPr>
              <w:t>9</w:t>
            </w:r>
            <w:r w:rsidRPr="00CC0663">
              <w:rPr>
                <w:rFonts w:ascii="Times New Roman" w:hAnsi="Times New Roman"/>
                <w:lang w:val="en-AU"/>
              </w:rPr>
              <w:t xml:space="preserve">/L, myelocytes+metamyelocytes &lt;5% in blood, no blasts and promyelocytes in blood, basophils &lt;20%, no extramedullary involvement] and in the accelerated and blast crisis studies [ANC </w:t>
            </w:r>
            <w:r w:rsidRPr="00CC0663">
              <w:rPr>
                <w:rFonts w:ascii="Times New Roman" w:hAnsi="Times New Roman"/>
                <w:lang w:val="en-AU"/>
              </w:rPr>
              <w:sym w:font="Symbol" w:char="F0B3"/>
            </w:r>
            <w:r w:rsidRPr="00CC0663">
              <w:rPr>
                <w:rFonts w:ascii="Times New Roman" w:hAnsi="Times New Roman"/>
                <w:lang w:val="en-AU"/>
              </w:rPr>
              <w:t>1.5 x10</w:t>
            </w:r>
            <w:r w:rsidRPr="00CC0663">
              <w:rPr>
                <w:rFonts w:ascii="Times New Roman" w:hAnsi="Times New Roman"/>
                <w:vertAlign w:val="superscript"/>
                <w:lang w:val="en-AU"/>
              </w:rPr>
              <w:t>9</w:t>
            </w:r>
            <w:r w:rsidRPr="00CC0663">
              <w:rPr>
                <w:rFonts w:ascii="Times New Roman" w:hAnsi="Times New Roman"/>
                <w:lang w:val="en-AU"/>
              </w:rPr>
              <w:t xml:space="preserve">/L, platelets </w:t>
            </w:r>
            <w:r w:rsidRPr="00CC0663">
              <w:rPr>
                <w:rFonts w:ascii="Times New Roman" w:hAnsi="Times New Roman"/>
                <w:lang w:val="en-AU"/>
              </w:rPr>
              <w:sym w:font="Symbol" w:char="F0B3"/>
            </w:r>
            <w:r w:rsidRPr="00CC0663">
              <w:rPr>
                <w:rFonts w:ascii="Times New Roman" w:hAnsi="Times New Roman"/>
                <w:lang w:val="en-AU"/>
              </w:rPr>
              <w:t>100 x10</w:t>
            </w:r>
            <w:r w:rsidRPr="00CC0663">
              <w:rPr>
                <w:rFonts w:ascii="Times New Roman" w:hAnsi="Times New Roman"/>
                <w:vertAlign w:val="superscript"/>
                <w:lang w:val="en-AU"/>
              </w:rPr>
              <w:t>9</w:t>
            </w:r>
            <w:r w:rsidRPr="00CC0663">
              <w:rPr>
                <w:rFonts w:ascii="Times New Roman" w:hAnsi="Times New Roman"/>
                <w:lang w:val="en-AU"/>
              </w:rPr>
              <w:t>/L, no blood blasts, BM blasts &lt;5% and no extramedullary disease]</w:t>
            </w:r>
          </w:p>
          <w:p w:rsidR="00014579" w:rsidRPr="00CC0663" w:rsidRDefault="00014579" w:rsidP="006D2FAB">
            <w:pPr>
              <w:pStyle w:val="Table0"/>
              <w:tabs>
                <w:tab w:val="clear" w:pos="284"/>
                <w:tab w:val="left" w:pos="-3794"/>
              </w:tabs>
              <w:spacing w:before="20"/>
              <w:rPr>
                <w:rFonts w:ascii="Times New Roman" w:hAnsi="Times New Roman"/>
                <w:lang w:val="en-AU"/>
              </w:rPr>
            </w:pPr>
            <w:r w:rsidRPr="00CC0663">
              <w:rPr>
                <w:rFonts w:ascii="Times New Roman" w:hAnsi="Times New Roman"/>
                <w:lang w:val="en-AU"/>
              </w:rPr>
              <w:t xml:space="preserve">NEL: Same criteria as for CHR but ANC </w:t>
            </w:r>
            <w:r w:rsidRPr="00CC0663">
              <w:rPr>
                <w:rFonts w:ascii="Times New Roman" w:hAnsi="Times New Roman"/>
                <w:lang w:val="en-AU"/>
              </w:rPr>
              <w:sym w:font="Symbol" w:char="F0B3"/>
            </w:r>
            <w:r w:rsidRPr="00CC0663">
              <w:rPr>
                <w:rFonts w:ascii="Times New Roman" w:hAnsi="Times New Roman"/>
                <w:lang w:val="en-AU"/>
              </w:rPr>
              <w:t>1 x10</w:t>
            </w:r>
            <w:r w:rsidRPr="00CC0663">
              <w:rPr>
                <w:rFonts w:ascii="Times New Roman" w:hAnsi="Times New Roman"/>
                <w:vertAlign w:val="superscript"/>
                <w:lang w:val="en-AU"/>
              </w:rPr>
              <w:t>9</w:t>
            </w:r>
            <w:r w:rsidRPr="00CC0663">
              <w:rPr>
                <w:rFonts w:ascii="Times New Roman" w:hAnsi="Times New Roman"/>
                <w:lang w:val="en-AU"/>
              </w:rPr>
              <w:t xml:space="preserve">/L and platelets </w:t>
            </w:r>
            <w:r w:rsidRPr="00CC0663">
              <w:rPr>
                <w:rFonts w:ascii="Times New Roman" w:hAnsi="Times New Roman"/>
                <w:lang w:val="en-AU"/>
              </w:rPr>
              <w:sym w:font="Symbol" w:char="F0B3"/>
            </w:r>
            <w:r w:rsidRPr="00CC0663">
              <w:rPr>
                <w:rFonts w:ascii="Times New Roman" w:hAnsi="Times New Roman"/>
                <w:lang w:val="en-AU"/>
              </w:rPr>
              <w:t>20 x10</w:t>
            </w:r>
            <w:r w:rsidRPr="00CC0663">
              <w:rPr>
                <w:rFonts w:ascii="Times New Roman" w:hAnsi="Times New Roman"/>
                <w:vertAlign w:val="superscript"/>
                <w:lang w:val="en-AU"/>
              </w:rPr>
              <w:t>9</w:t>
            </w:r>
            <w:r w:rsidRPr="00CC0663">
              <w:rPr>
                <w:rFonts w:ascii="Times New Roman" w:hAnsi="Times New Roman"/>
                <w:lang w:val="en-AU"/>
              </w:rPr>
              <w:t>/L (accelerated and blast crisis studies)</w:t>
            </w:r>
          </w:p>
          <w:p w:rsidR="00014579" w:rsidRPr="00CC0663" w:rsidRDefault="00014579" w:rsidP="006D2FAB">
            <w:pPr>
              <w:pStyle w:val="Table0"/>
              <w:tabs>
                <w:tab w:val="clear" w:pos="284"/>
                <w:tab w:val="left" w:pos="-3794"/>
              </w:tabs>
              <w:spacing w:before="20"/>
              <w:rPr>
                <w:rFonts w:ascii="Times New Roman" w:hAnsi="Times New Roman"/>
                <w:lang w:val="en-AU"/>
              </w:rPr>
            </w:pPr>
            <w:r w:rsidRPr="00CC0663">
              <w:rPr>
                <w:rFonts w:ascii="Times New Roman" w:hAnsi="Times New Roman"/>
                <w:lang w:val="en-AU"/>
              </w:rPr>
              <w:t xml:space="preserve">RTC: &lt;15% blasts BM and PB, &lt;30% blasts+promyelocytes in BM and PB, &lt;20% basophils in PB, no extramedullary disease other than spleen and </w:t>
            </w:r>
            <w:proofErr w:type="gramStart"/>
            <w:r w:rsidRPr="00CC0663">
              <w:rPr>
                <w:rFonts w:ascii="Times New Roman" w:hAnsi="Times New Roman"/>
                <w:lang w:val="en-AU"/>
              </w:rPr>
              <w:t>liver  (</w:t>
            </w:r>
            <w:proofErr w:type="gramEnd"/>
            <w:r w:rsidRPr="00CC0663">
              <w:rPr>
                <w:rFonts w:ascii="Times New Roman" w:hAnsi="Times New Roman"/>
                <w:lang w:val="en-AU"/>
              </w:rPr>
              <w:t>accelerated and blast crisis studies).</w:t>
            </w:r>
          </w:p>
          <w:p w:rsidR="00014579" w:rsidRPr="00CC0663" w:rsidRDefault="00014579" w:rsidP="006D2FAB">
            <w:pPr>
              <w:pStyle w:val="Table0"/>
              <w:tabs>
                <w:tab w:val="clear" w:pos="284"/>
                <w:tab w:val="left" w:pos="-3794"/>
              </w:tabs>
              <w:spacing w:before="20"/>
              <w:rPr>
                <w:rFonts w:ascii="Times New Roman" w:hAnsi="Times New Roman"/>
                <w:lang w:val="en-AU"/>
              </w:rPr>
            </w:pPr>
            <w:r w:rsidRPr="00CC0663">
              <w:rPr>
                <w:rFonts w:ascii="Times New Roman" w:hAnsi="Times New Roman"/>
                <w:lang w:val="en-AU"/>
              </w:rPr>
              <w:t>BM=bone marrow, PB=peripheral blood</w:t>
            </w:r>
          </w:p>
          <w:p w:rsidR="00014579" w:rsidRPr="00CC0663" w:rsidRDefault="00014579" w:rsidP="006D2FAB">
            <w:pPr>
              <w:pStyle w:val="Table0"/>
              <w:tabs>
                <w:tab w:val="clear" w:pos="284"/>
                <w:tab w:val="left" w:pos="-3794"/>
              </w:tabs>
              <w:spacing w:before="20"/>
              <w:rPr>
                <w:rFonts w:ascii="Times New Roman" w:hAnsi="Times New Roman"/>
                <w:lang w:val="en-AU"/>
              </w:rPr>
            </w:pPr>
            <w:r w:rsidRPr="00CC0663">
              <w:rPr>
                <w:rFonts w:ascii="Times New Roman" w:hAnsi="Times New Roman"/>
                <w:b/>
                <w:vertAlign w:val="superscript"/>
                <w:lang w:val="en-AU"/>
              </w:rPr>
              <w:t>2</w:t>
            </w:r>
            <w:r w:rsidRPr="00CC0663">
              <w:rPr>
                <w:rFonts w:ascii="Times New Roman" w:hAnsi="Times New Roman"/>
                <w:b/>
                <w:lang w:val="en-AU"/>
              </w:rPr>
              <w:t>Cytogenetic response criteria:</w:t>
            </w:r>
          </w:p>
          <w:p w:rsidR="00014579" w:rsidRPr="00CC0663" w:rsidRDefault="00014579" w:rsidP="006D2FAB">
            <w:pPr>
              <w:pStyle w:val="Table0"/>
              <w:tabs>
                <w:tab w:val="clear" w:pos="284"/>
                <w:tab w:val="left" w:pos="-3794"/>
              </w:tabs>
              <w:spacing w:before="20"/>
              <w:rPr>
                <w:rFonts w:ascii="Times New Roman" w:hAnsi="Times New Roman"/>
                <w:lang w:val="en-AU"/>
              </w:rPr>
            </w:pPr>
            <w:r w:rsidRPr="00CC0663">
              <w:rPr>
                <w:rFonts w:ascii="Times New Roman" w:hAnsi="Times New Roman"/>
                <w:lang w:val="en-AU"/>
              </w:rPr>
              <w:t>A major response combines both complete and partial responses:  complete (0% Ph+ metaphases), partial (1-35%).</w:t>
            </w:r>
          </w:p>
          <w:p w:rsidR="00014579" w:rsidRPr="00CC0663" w:rsidRDefault="00014579" w:rsidP="006D2FAB">
            <w:pPr>
              <w:pStyle w:val="Table0"/>
              <w:tabs>
                <w:tab w:val="clear" w:pos="284"/>
                <w:tab w:val="left" w:pos="-3794"/>
              </w:tabs>
              <w:spacing w:before="20"/>
              <w:rPr>
                <w:rFonts w:ascii="Times New Roman" w:hAnsi="Times New Roman"/>
                <w:lang w:val="en-AU"/>
              </w:rPr>
            </w:pPr>
            <w:r w:rsidRPr="00CC0663">
              <w:rPr>
                <w:rFonts w:ascii="Times New Roman" w:hAnsi="Times New Roman"/>
                <w:b/>
                <w:vertAlign w:val="superscript"/>
                <w:lang w:val="en-AU"/>
              </w:rPr>
              <w:t>3</w:t>
            </w:r>
            <w:r w:rsidRPr="00CC0663">
              <w:rPr>
                <w:rFonts w:ascii="Times New Roman" w:hAnsi="Times New Roman"/>
                <w:lang w:val="en-AU"/>
              </w:rPr>
              <w:t>Complete cytogenetic response confirmed by a second bone marrow cytogenetic evaluation performed at least one month after the initial bone marrow study.</w:t>
            </w:r>
          </w:p>
        </w:tc>
      </w:tr>
    </w:tbl>
    <w:p w:rsidR="00014579" w:rsidRPr="00057C4C" w:rsidRDefault="00014579" w:rsidP="006D2CF6">
      <w:pPr>
        <w:pStyle w:val="paragraph"/>
        <w:spacing w:after="120"/>
        <w:jc w:val="left"/>
        <w:rPr>
          <w:lang w:val="en-GB"/>
        </w:rPr>
      </w:pPr>
      <w:r w:rsidRPr="00057C4C">
        <w:rPr>
          <w:lang w:val="en-GB"/>
        </w:rPr>
        <w:t>Efficacy results were similar in men and women and in patients younger and older than age 65.  Responses were seen in black patients, but there were too few black patients to allow a quantitative comparison.</w:t>
      </w:r>
    </w:p>
    <w:p w:rsidR="00014579" w:rsidRPr="00057C4C" w:rsidRDefault="00014579" w:rsidP="00D71D4F">
      <w:pPr>
        <w:pStyle w:val="Heading3"/>
        <w:rPr>
          <w:lang w:val="en-GB"/>
        </w:rPr>
      </w:pPr>
      <w:r w:rsidRPr="00057C4C">
        <w:rPr>
          <w:lang w:val="en-GB"/>
        </w:rPr>
        <w:t>Paediatric patients:</w:t>
      </w:r>
    </w:p>
    <w:p w:rsidR="00922E59" w:rsidRPr="00057C4C" w:rsidRDefault="00922E59" w:rsidP="00922E59">
      <w:pPr>
        <w:spacing w:before="120" w:after="120"/>
      </w:pPr>
      <w:r w:rsidRPr="00057C4C">
        <w:t>A total of 51 paediatric patients with newly diagnosed and untreated CML in chronic phase</w:t>
      </w:r>
      <w:r w:rsidRPr="00057C4C">
        <w:rPr>
          <w:lang w:val="en-GB"/>
        </w:rPr>
        <w:t xml:space="preserve"> </w:t>
      </w:r>
      <w:r w:rsidR="00773024">
        <w:rPr>
          <w:lang w:val="en-GB"/>
        </w:rPr>
        <w:t>were</w:t>
      </w:r>
      <w:r w:rsidRPr="00057C4C">
        <w:rPr>
          <w:lang w:val="en-GB"/>
        </w:rPr>
        <w:t xml:space="preserve"> </w:t>
      </w:r>
      <w:r w:rsidRPr="00057C4C">
        <w:t>enrolled in an open-label, multicentre, single arm phase II trial</w:t>
      </w:r>
      <w:r w:rsidR="00773024">
        <w:t xml:space="preserve"> and</w:t>
      </w:r>
      <w:r w:rsidRPr="00057C4C">
        <w:t xml:space="preserve"> were treated with Glivec 340</w:t>
      </w:r>
      <w:r w:rsidRPr="00057C4C">
        <w:rPr>
          <w:lang w:val="en-GB" w:eastAsia="ja-JP"/>
        </w:rPr>
        <w:t> </w:t>
      </w:r>
      <w:r w:rsidRPr="00057C4C">
        <w:t>mg/m</w:t>
      </w:r>
      <w:r w:rsidRPr="00057C4C">
        <w:rPr>
          <w:vertAlign w:val="superscript"/>
        </w:rPr>
        <w:t>2</w:t>
      </w:r>
      <w:r w:rsidRPr="00057C4C">
        <w:t xml:space="preserve">/day. Glivec treatment induced a rapid response in newly diagnosed paediatric CML patients with a </w:t>
      </w:r>
      <w:smartTag w:uri="urn:schemas-microsoft-com:office:smarttags" w:element="stockticker">
        <w:r w:rsidRPr="00057C4C">
          <w:t>CHR</w:t>
        </w:r>
      </w:smartTag>
      <w:r w:rsidRPr="00057C4C">
        <w:t xml:space="preserve"> of 78% after 8 weeks of therapy</w:t>
      </w:r>
      <w:r w:rsidR="00773024">
        <w:t xml:space="preserve"> and </w:t>
      </w:r>
      <w:r w:rsidRPr="00057C4C">
        <w:t xml:space="preserve">a complete cytogenetic response (CCyR) of 65% </w:t>
      </w:r>
      <w:r w:rsidR="00773024">
        <w:t>(</w:t>
      </w:r>
      <w:r w:rsidRPr="00057C4C">
        <w:t>comparable to results in adults</w:t>
      </w:r>
      <w:r w:rsidR="00C32892">
        <w:t>) after 3 to 10 months of treatment</w:t>
      </w:r>
      <w:r w:rsidR="002B14EF">
        <w:t>.</w:t>
      </w:r>
    </w:p>
    <w:p w:rsidR="00014579" w:rsidRPr="00057C4C" w:rsidRDefault="00014579" w:rsidP="006D2CF6">
      <w:pPr>
        <w:spacing w:before="120" w:after="120"/>
      </w:pPr>
      <w:r w:rsidRPr="00057C4C">
        <w:t>In an uncontrolled trial, 14 children with chronic phase CML were treated with imatinib following relapse after stem cell transplantation or resistance to interferon. After excluding 2 children with minimal disease at study entry and another with no cytogenetic data, 6 children (55%) had complete cytogenetic responses and 3 (27%) had major responses. The children were aged 8-20 years with 5 males and 6 females. By dose, the complete response rates were 67% (2 out of 3), 67% (2 out of 3), 33% (1 out of 3) and 50% (1 out of 2) for the 260, 340, 440 and 570 mg/m</w:t>
      </w:r>
      <w:r w:rsidRPr="00057C4C">
        <w:rPr>
          <w:vertAlign w:val="superscript"/>
        </w:rPr>
        <w:t>2</w:t>
      </w:r>
      <w:r w:rsidRPr="00057C4C">
        <w:t xml:space="preserve"> doses respectively. Median follow-up time was 17 months. </w:t>
      </w:r>
      <w:r w:rsidRPr="00057C4C">
        <w:rPr>
          <w:snapToGrid w:val="0"/>
          <w:lang w:val="en-GB"/>
        </w:rPr>
        <w:t>There are insufficient data to suggest that the lowest dose (</w:t>
      </w:r>
      <w:r w:rsidRPr="00057C4C">
        <w:t>260 mg/m</w:t>
      </w:r>
      <w:r w:rsidRPr="00057C4C">
        <w:rPr>
          <w:vertAlign w:val="superscript"/>
        </w:rPr>
        <w:t>2</w:t>
      </w:r>
      <w:r w:rsidRPr="00057C4C">
        <w:rPr>
          <w:snapToGrid w:val="0"/>
          <w:lang w:val="en-GB"/>
        </w:rPr>
        <w:t>) differs in efficacy compared with the higher doses.</w:t>
      </w:r>
    </w:p>
    <w:p w:rsidR="00014579" w:rsidRPr="00057C4C" w:rsidRDefault="00014579" w:rsidP="006D2CF6">
      <w:pPr>
        <w:spacing w:before="120" w:after="120"/>
      </w:pPr>
      <w:r w:rsidRPr="00057C4C">
        <w:t>The trial also enrolled 4 children with blast crisis (aged 3-18 years, 3 male), but none with accelerated phase CML. Two children were dosed at 260 mg/m</w:t>
      </w:r>
      <w:r w:rsidRPr="00057C4C">
        <w:rPr>
          <w:vertAlign w:val="superscript"/>
        </w:rPr>
        <w:t>2</w:t>
      </w:r>
      <w:r w:rsidRPr="00057C4C">
        <w:t>, one at 340 mg/m</w:t>
      </w:r>
      <w:r w:rsidRPr="00057C4C">
        <w:rPr>
          <w:vertAlign w:val="superscript"/>
        </w:rPr>
        <w:t>2</w:t>
      </w:r>
      <w:r w:rsidRPr="00057C4C">
        <w:t xml:space="preserve"> and one at 570 mg/m</w:t>
      </w:r>
      <w:r w:rsidRPr="00057C4C">
        <w:rPr>
          <w:vertAlign w:val="superscript"/>
        </w:rPr>
        <w:t>2</w:t>
      </w:r>
      <w:r w:rsidRPr="00057C4C">
        <w:t>. Based on the criterion of &lt; 5% blasts in bone marrow, neither of the two children treated at 260 mg/m</w:t>
      </w:r>
      <w:r w:rsidRPr="00057C4C">
        <w:rPr>
          <w:vertAlign w:val="superscript"/>
        </w:rPr>
        <w:t>2</w:t>
      </w:r>
      <w:r w:rsidRPr="00057C4C">
        <w:t xml:space="preserve"> responded, but the children treated at the higher doses did. The child treated at 340 mg/m</w:t>
      </w:r>
      <w:r w:rsidRPr="00057C4C">
        <w:rPr>
          <w:vertAlign w:val="superscript"/>
        </w:rPr>
        <w:t>2</w:t>
      </w:r>
      <w:r w:rsidRPr="00057C4C">
        <w:t xml:space="preserve"> achieved a major cytogenetic response. There were no complete responses. The data supports the dose recommendation of 340 mg/m</w:t>
      </w:r>
      <w:r w:rsidRPr="00057C4C">
        <w:rPr>
          <w:vertAlign w:val="superscript"/>
        </w:rPr>
        <w:t>2</w:t>
      </w:r>
      <w:r w:rsidRPr="00057C4C">
        <w:t xml:space="preserve"> for children with blast crisis.</w:t>
      </w:r>
    </w:p>
    <w:p w:rsidR="0077024A" w:rsidRPr="00057C4C" w:rsidRDefault="00014579" w:rsidP="006D2CF6">
      <w:pPr>
        <w:spacing w:before="120" w:after="120"/>
      </w:pPr>
      <w:r w:rsidRPr="00057C4C">
        <w:t>In another uncontrolled trial, there were 3 children with chronic phase CML and one with CML in blast crisis. The 3 chronic phase children (aged 5-13 years, 2 male) received imatinib doses of 200, 242 and 258 mg/m</w:t>
      </w:r>
      <w:r w:rsidRPr="00057C4C">
        <w:rPr>
          <w:vertAlign w:val="superscript"/>
        </w:rPr>
        <w:t>2</w:t>
      </w:r>
      <w:r w:rsidRPr="00057C4C">
        <w:t>. Complete cytogenetic responses were achieved in 2 of the 3 children (doses 242, 258 mg/m</w:t>
      </w:r>
      <w:r w:rsidRPr="00057C4C">
        <w:rPr>
          <w:vertAlign w:val="superscript"/>
        </w:rPr>
        <w:t>2</w:t>
      </w:r>
      <w:r w:rsidRPr="00057C4C">
        <w:t>). The child with blast crisis, a boy aged 7 years, was treated at 362 mg/m</w:t>
      </w:r>
      <w:r w:rsidRPr="00057C4C">
        <w:rPr>
          <w:vertAlign w:val="superscript"/>
        </w:rPr>
        <w:t>2</w:t>
      </w:r>
      <w:r w:rsidRPr="00057C4C">
        <w:t xml:space="preserve"> and achieved a complete cytogenetic response.</w:t>
      </w:r>
    </w:p>
    <w:p w:rsidR="00806FDA" w:rsidRPr="00057C4C" w:rsidRDefault="00806FDA" w:rsidP="002B14EF">
      <w:pPr>
        <w:pStyle w:val="Heading2"/>
        <w:rPr>
          <w:lang w:val="en-GB"/>
        </w:rPr>
      </w:pPr>
      <w:r w:rsidRPr="00057C4C">
        <w:t>Acute Lymphoblastic Le</w:t>
      </w:r>
      <w:r w:rsidR="002B14EF">
        <w:t>ukaemia</w:t>
      </w:r>
    </w:p>
    <w:p w:rsidR="00806FDA" w:rsidRPr="00057C4C" w:rsidRDefault="00806FDA" w:rsidP="006D2CF6">
      <w:pPr>
        <w:spacing w:before="120" w:after="120"/>
      </w:pPr>
      <w:r w:rsidRPr="00057C4C">
        <w:rPr>
          <w:b/>
        </w:rPr>
        <w:t xml:space="preserve">Newly diagnosed Ph+ </w:t>
      </w:r>
      <w:smartTag w:uri="urn:schemas-microsoft-com:office:smarttags" w:element="stockticker">
        <w:r w:rsidRPr="00057C4C">
          <w:rPr>
            <w:b/>
          </w:rPr>
          <w:t>ALL</w:t>
        </w:r>
      </w:smartTag>
      <w:r w:rsidRPr="00057C4C">
        <w:rPr>
          <w:b/>
        </w:rPr>
        <w:t xml:space="preserve">: </w:t>
      </w:r>
      <w:r w:rsidRPr="00057C4C">
        <w:t>Imatinib monotherapy (600 mg</w:t>
      </w:r>
      <w:r w:rsidR="00B51691" w:rsidRPr="00057C4C">
        <w:t xml:space="preserve"> per day</w:t>
      </w:r>
      <w:r w:rsidRPr="00057C4C">
        <w:t xml:space="preserve">) as induction was tested in a randomised, controlled study versus chemotherapy </w:t>
      </w:r>
      <w:r w:rsidR="0077024A" w:rsidRPr="00057C4C">
        <w:t>(GMALL protocol for elderly patients)</w:t>
      </w:r>
      <w:r w:rsidRPr="00057C4C">
        <w:t xml:space="preserve"> in 55 newly diagnosed patients aged 55 years and over.  Used as a single agent, imatinib</w:t>
      </w:r>
      <w:r w:rsidR="002958F3" w:rsidRPr="00057C4C">
        <w:t xml:space="preserve"> </w:t>
      </w:r>
      <w:r w:rsidRPr="00057C4C">
        <w:t>(</w:t>
      </w:r>
      <w:r w:rsidR="00DD2067" w:rsidRPr="00057C4C">
        <w:t>N</w:t>
      </w:r>
      <w:r w:rsidRPr="00057C4C">
        <w:t xml:space="preserve">= 28) resulted in a significantly higher </w:t>
      </w:r>
      <w:smartTag w:uri="urn:schemas-microsoft-com:office:smarttags" w:element="stockticker">
        <w:r w:rsidRPr="00057C4C">
          <w:t>CHR</w:t>
        </w:r>
      </w:smartTag>
      <w:r w:rsidRPr="00057C4C">
        <w:t xml:space="preserve"> than chemotherapy (</w:t>
      </w:r>
      <w:r w:rsidR="00DD2067" w:rsidRPr="00057C4C">
        <w:t>N</w:t>
      </w:r>
      <w:r w:rsidRPr="00057C4C">
        <w:t xml:space="preserve">=27) (96.3% </w:t>
      </w:r>
      <w:r w:rsidRPr="00057C4C">
        <w:lastRenderedPageBreak/>
        <w:t xml:space="preserve">vs. 50%; p=0.0001) in the induction phase. When salvage therapy with imatinib was used in patients who did not respond or who responded poorly to </w:t>
      </w:r>
      <w:r w:rsidR="0077024A" w:rsidRPr="00057C4C">
        <w:t xml:space="preserve">induction with </w:t>
      </w:r>
      <w:r w:rsidRPr="00057C4C">
        <w:t xml:space="preserve">chemotherapy, it resulted in 9 (81.8%) out of 11 patients achieving a </w:t>
      </w:r>
      <w:smartTag w:uri="urn:schemas-microsoft-com:office:smarttags" w:element="stockticker">
        <w:r w:rsidRPr="00057C4C">
          <w:t>CHR</w:t>
        </w:r>
      </w:smartTag>
      <w:r w:rsidRPr="00057C4C">
        <w:t xml:space="preserve">. This clinical effect was associated with a </w:t>
      </w:r>
      <w:r w:rsidR="0077024A" w:rsidRPr="00057C4C">
        <w:t xml:space="preserve">greater </w:t>
      </w:r>
      <w:r w:rsidRPr="00057C4C">
        <w:t xml:space="preserve">reduction in </w:t>
      </w:r>
      <w:r w:rsidR="00A84AA0" w:rsidRPr="00057C4C">
        <w:t>B</w:t>
      </w:r>
      <w:r w:rsidRPr="00057C4C">
        <w:t>cr-</w:t>
      </w:r>
      <w:r w:rsidR="00A84AA0" w:rsidRPr="00057C4C">
        <w:t>A</w:t>
      </w:r>
      <w:r w:rsidRPr="00057C4C">
        <w:t xml:space="preserve">bl transcripts in the imatinib-treated patients than in the chemotherapy arm after 2 weeks of therapy (p=0.02). Following induction, all patients received imatinib </w:t>
      </w:r>
      <w:r w:rsidR="0077024A" w:rsidRPr="00057C4C">
        <w:t>(600 mg/day) combined with</w:t>
      </w:r>
      <w:r w:rsidRPr="00057C4C">
        <w:t xml:space="preserve"> consolidation chemotherapy and the levels of </w:t>
      </w:r>
      <w:r w:rsidR="00A84AA0" w:rsidRPr="00057C4C">
        <w:t>B</w:t>
      </w:r>
      <w:r w:rsidRPr="00057C4C">
        <w:t>cr-</w:t>
      </w:r>
      <w:r w:rsidR="00A84AA0" w:rsidRPr="00057C4C">
        <w:t>A</w:t>
      </w:r>
      <w:r w:rsidRPr="00057C4C">
        <w:t xml:space="preserve">bl transcripts were </w:t>
      </w:r>
      <w:r w:rsidR="0077024A" w:rsidRPr="00057C4C">
        <w:t xml:space="preserve">comparable </w:t>
      </w:r>
      <w:r w:rsidRPr="00057C4C">
        <w:t>in the two arms at 8 weeks. Since patients received the same treatment in both arms after the induction phase, it wa</w:t>
      </w:r>
      <w:r w:rsidRPr="00057C4C">
        <w:rPr>
          <w:rFonts w:eastAsia="MS Mincho"/>
          <w:lang w:eastAsia="ja-JP"/>
        </w:rPr>
        <w:t>s expected and observed that there was no difference in remission duration, disease-free survival or overall survival. However, it was observed that patients with complete molecular response and remaining in minimal residual disease had a better outcome in terms of both remission duration (p=0.01) and disease-free survival (p=0.02)</w:t>
      </w:r>
      <w:r w:rsidR="002B14EF">
        <w:t>.</w:t>
      </w:r>
    </w:p>
    <w:p w:rsidR="00806FDA" w:rsidRPr="00057C4C" w:rsidRDefault="00AC0ACB" w:rsidP="006D2CF6">
      <w:pPr>
        <w:pStyle w:val="Text"/>
        <w:spacing w:after="120"/>
      </w:pPr>
      <w:r w:rsidRPr="00057C4C">
        <w:t>Th</w:t>
      </w:r>
      <w:r w:rsidR="0077024A" w:rsidRPr="00057C4C">
        <w:t>ree studies compared chemotherapy regimens integrating imatinib with historical data of chemotherapy alone.</w:t>
      </w:r>
    </w:p>
    <w:p w:rsidR="008317F8" w:rsidRPr="00057C4C" w:rsidRDefault="0077024A" w:rsidP="006D2CF6">
      <w:pPr>
        <w:pStyle w:val="Text"/>
        <w:spacing w:after="120"/>
      </w:pPr>
      <w:r w:rsidRPr="00057C4C">
        <w:t>In study AUS01 imatini</w:t>
      </w:r>
      <w:r w:rsidR="00B51691" w:rsidRPr="00057C4C">
        <w:t>b</w:t>
      </w:r>
      <w:r w:rsidRPr="00057C4C">
        <w:t xml:space="preserve"> (400 mg/day on days 1 – 14 of each chemotherapy cycle during induction/consolidation, and </w:t>
      </w:r>
      <w:r w:rsidR="00EC0B88" w:rsidRPr="00057C4C">
        <w:t xml:space="preserve">600 mg daily during maintenance treatment) was integrated into a HyperCVAD chemotherapy protocol, in Ph+ </w:t>
      </w:r>
      <w:smartTag w:uri="urn:schemas-microsoft-com:office:smarttags" w:element="stockticker">
        <w:r w:rsidR="00EC0B88" w:rsidRPr="00057C4C">
          <w:t>ALL</w:t>
        </w:r>
      </w:smartTag>
      <w:r w:rsidR="00EC0B88" w:rsidRPr="00057C4C">
        <w:t xml:space="preserve"> patients with de novo </w:t>
      </w:r>
      <w:r w:rsidR="00A54184" w:rsidRPr="00057C4C">
        <w:t>disease</w:t>
      </w:r>
      <w:r w:rsidR="00EC0B88" w:rsidRPr="00057C4C">
        <w:t xml:space="preserve"> (</w:t>
      </w:r>
      <w:r w:rsidR="00DD2067" w:rsidRPr="00057C4C">
        <w:t>N</w:t>
      </w:r>
      <w:r w:rsidR="00EC0B88" w:rsidRPr="00057C4C">
        <w:t>=21), disease refractory to one cycle chemotherapy (</w:t>
      </w:r>
      <w:r w:rsidR="00DD2067" w:rsidRPr="00057C4C">
        <w:t>N</w:t>
      </w:r>
      <w:r w:rsidR="00EC0B88" w:rsidRPr="00057C4C">
        <w:t>=5) or patients with a complete response after 1 cycle of chemotherapy (</w:t>
      </w:r>
      <w:r w:rsidR="00DD2067" w:rsidRPr="00057C4C">
        <w:t>N</w:t>
      </w:r>
      <w:r w:rsidR="00EC0B88" w:rsidRPr="00057C4C">
        <w:t>=6). Results are summarized in the following table:</w:t>
      </w:r>
    </w:p>
    <w:tbl>
      <w:tblPr>
        <w:tblW w:w="9214" w:type="dxa"/>
        <w:tblInd w:w="108" w:type="dxa"/>
        <w:tblBorders>
          <w:top w:val="single" w:sz="4" w:space="0" w:color="auto"/>
          <w:bottom w:val="single" w:sz="4" w:space="0" w:color="auto"/>
        </w:tblBorders>
        <w:tblLayout w:type="fixed"/>
        <w:tblLook w:val="0000"/>
      </w:tblPr>
      <w:tblGrid>
        <w:gridCol w:w="3544"/>
        <w:gridCol w:w="1843"/>
        <w:gridCol w:w="2315"/>
        <w:gridCol w:w="1512"/>
      </w:tblGrid>
      <w:tr w:rsidR="008317F8" w:rsidRPr="00057C4C">
        <w:tc>
          <w:tcPr>
            <w:tcW w:w="3544"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rPr>
                <w:rFonts w:ascii="Times New Roman" w:hAnsi="Times New Roman"/>
                <w:sz w:val="24"/>
                <w:lang w:val="en-AU"/>
              </w:rPr>
            </w:pPr>
          </w:p>
        </w:tc>
        <w:tc>
          <w:tcPr>
            <w:tcW w:w="1843"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b/>
                <w:sz w:val="24"/>
                <w:lang w:val="en-AU"/>
              </w:rPr>
            </w:pPr>
            <w:r w:rsidRPr="00CC0663">
              <w:rPr>
                <w:rFonts w:ascii="Times New Roman" w:hAnsi="Times New Roman"/>
                <w:b/>
                <w:sz w:val="24"/>
                <w:lang w:val="en-AU"/>
              </w:rPr>
              <w:t>Imatinib + HyperCVAD</w:t>
            </w:r>
          </w:p>
        </w:tc>
        <w:tc>
          <w:tcPr>
            <w:tcW w:w="2315"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b/>
                <w:sz w:val="24"/>
                <w:lang w:val="en-AU"/>
              </w:rPr>
            </w:pPr>
            <w:r w:rsidRPr="00CC0663">
              <w:rPr>
                <w:rFonts w:ascii="Times New Roman" w:hAnsi="Times New Roman"/>
                <w:b/>
                <w:sz w:val="24"/>
                <w:lang w:val="en-AU"/>
              </w:rPr>
              <w:t>HyperCVAD alone (historical data)</w:t>
            </w:r>
          </w:p>
        </w:tc>
        <w:tc>
          <w:tcPr>
            <w:tcW w:w="1512"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b/>
                <w:sz w:val="24"/>
                <w:lang w:val="en-AU"/>
              </w:rPr>
            </w:pPr>
            <w:r w:rsidRPr="00CC0663">
              <w:rPr>
                <w:rFonts w:ascii="Times New Roman" w:hAnsi="Times New Roman"/>
                <w:b/>
                <w:sz w:val="24"/>
                <w:lang w:val="en-AU"/>
              </w:rPr>
              <w:t>p value</w:t>
            </w:r>
          </w:p>
        </w:tc>
      </w:tr>
      <w:tr w:rsidR="008317F8" w:rsidRPr="00057C4C">
        <w:tc>
          <w:tcPr>
            <w:tcW w:w="3544"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N</w:t>
            </w:r>
          </w:p>
        </w:tc>
        <w:tc>
          <w:tcPr>
            <w:tcW w:w="1843"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32</w:t>
            </w:r>
          </w:p>
        </w:tc>
        <w:tc>
          <w:tcPr>
            <w:tcW w:w="2315"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50</w:t>
            </w:r>
          </w:p>
        </w:tc>
        <w:tc>
          <w:tcPr>
            <w:tcW w:w="1512"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sz w:val="24"/>
                <w:lang w:val="en-AU"/>
              </w:rPr>
            </w:pPr>
          </w:p>
        </w:tc>
      </w:tr>
      <w:tr w:rsidR="008317F8" w:rsidRPr="00057C4C">
        <w:tc>
          <w:tcPr>
            <w:tcW w:w="3544"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Complete Response</w:t>
            </w:r>
          </w:p>
        </w:tc>
        <w:tc>
          <w:tcPr>
            <w:tcW w:w="1843"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96%</w:t>
            </w:r>
          </w:p>
        </w:tc>
        <w:tc>
          <w:tcPr>
            <w:tcW w:w="2315"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94%</w:t>
            </w:r>
          </w:p>
        </w:tc>
        <w:tc>
          <w:tcPr>
            <w:tcW w:w="1512"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NS</w:t>
            </w:r>
          </w:p>
        </w:tc>
      </w:tr>
      <w:tr w:rsidR="008317F8" w:rsidRPr="00057C4C">
        <w:tc>
          <w:tcPr>
            <w:tcW w:w="3544"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Disease-free survival at 2 years</w:t>
            </w:r>
          </w:p>
        </w:tc>
        <w:tc>
          <w:tcPr>
            <w:tcW w:w="1843"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87%</w:t>
            </w:r>
          </w:p>
        </w:tc>
        <w:tc>
          <w:tcPr>
            <w:tcW w:w="2315"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28%</w:t>
            </w:r>
          </w:p>
        </w:tc>
        <w:tc>
          <w:tcPr>
            <w:tcW w:w="1512" w:type="dxa"/>
            <w:tcBorders>
              <w:top w:val="single" w:sz="4" w:space="0" w:color="auto"/>
              <w:left w:val="single" w:sz="4" w:space="0" w:color="auto"/>
              <w:bottom w:val="single" w:sz="4" w:space="0" w:color="auto"/>
              <w:right w:val="single" w:sz="4" w:space="0" w:color="auto"/>
            </w:tcBorders>
          </w:tcPr>
          <w:p w:rsidR="008317F8" w:rsidRPr="00CC0663" w:rsidRDefault="008317F8"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&lt; 0.001</w:t>
            </w:r>
          </w:p>
        </w:tc>
      </w:tr>
    </w:tbl>
    <w:p w:rsidR="0063750A" w:rsidRPr="00057C4C" w:rsidRDefault="008317F8" w:rsidP="00544E16">
      <w:pPr>
        <w:pStyle w:val="Text"/>
        <w:spacing w:before="240" w:after="240"/>
      </w:pPr>
      <w:r w:rsidRPr="00057C4C">
        <w:t>In study AJP01 imatinib (600 mg/day on days 8 – 63 of induction chemotherapy, and on days 1 – 28 of each chemotherapy cycle during consolidation and maintenance) was in</w:t>
      </w:r>
      <w:r w:rsidR="005352B7" w:rsidRPr="00057C4C">
        <w:t xml:space="preserve">tegrated into a chemotherapy regimen in 80 patients with </w:t>
      </w:r>
      <w:r w:rsidR="005352B7" w:rsidRPr="00057C4C">
        <w:rPr>
          <w:i/>
        </w:rPr>
        <w:t>de novo</w:t>
      </w:r>
      <w:r w:rsidR="005352B7" w:rsidRPr="00057C4C">
        <w:t xml:space="preserve"> Ph+ ALL. Results are summarized in the following table:</w:t>
      </w:r>
    </w:p>
    <w:tbl>
      <w:tblPr>
        <w:tblW w:w="9214" w:type="dxa"/>
        <w:tblInd w:w="108" w:type="dxa"/>
        <w:tblBorders>
          <w:top w:val="single" w:sz="4" w:space="0" w:color="auto"/>
          <w:bottom w:val="single" w:sz="4" w:space="0" w:color="auto"/>
        </w:tblBorders>
        <w:tblLayout w:type="fixed"/>
        <w:tblLook w:val="0000"/>
      </w:tblPr>
      <w:tblGrid>
        <w:gridCol w:w="3544"/>
        <w:gridCol w:w="1843"/>
        <w:gridCol w:w="2688"/>
        <w:gridCol w:w="1139"/>
      </w:tblGrid>
      <w:tr w:rsidR="00312D91" w:rsidRPr="00057C4C">
        <w:tc>
          <w:tcPr>
            <w:tcW w:w="3544"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spacing w:before="60" w:after="60"/>
              <w:rPr>
                <w:rFonts w:ascii="Times New Roman" w:hAnsi="Times New Roman"/>
                <w:sz w:val="24"/>
                <w:lang w:val="en-AU"/>
              </w:rPr>
            </w:pPr>
          </w:p>
        </w:tc>
        <w:tc>
          <w:tcPr>
            <w:tcW w:w="1843"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spacing w:before="60" w:after="60"/>
              <w:jc w:val="center"/>
              <w:rPr>
                <w:rFonts w:ascii="Times New Roman" w:hAnsi="Times New Roman"/>
                <w:b/>
                <w:sz w:val="24"/>
                <w:lang w:val="en-AU"/>
              </w:rPr>
            </w:pPr>
            <w:r w:rsidRPr="00CC0663">
              <w:rPr>
                <w:rFonts w:ascii="Times New Roman" w:hAnsi="Times New Roman"/>
                <w:b/>
                <w:sz w:val="24"/>
                <w:lang w:val="en-AU"/>
              </w:rPr>
              <w:t>Imatinib + Chemotherapy</w:t>
            </w:r>
          </w:p>
        </w:tc>
        <w:tc>
          <w:tcPr>
            <w:tcW w:w="2688"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spacing w:before="60" w:after="60"/>
              <w:jc w:val="center"/>
              <w:rPr>
                <w:rFonts w:ascii="Times New Roman" w:hAnsi="Times New Roman"/>
                <w:b/>
                <w:sz w:val="24"/>
                <w:lang w:val="en-AU"/>
              </w:rPr>
            </w:pPr>
            <w:r w:rsidRPr="00CC0663">
              <w:rPr>
                <w:rFonts w:ascii="Times New Roman" w:hAnsi="Times New Roman"/>
                <w:b/>
                <w:sz w:val="24"/>
                <w:lang w:val="en-AU"/>
              </w:rPr>
              <w:t>Chemotherapy alone (historical data)</w:t>
            </w:r>
          </w:p>
        </w:tc>
        <w:tc>
          <w:tcPr>
            <w:tcW w:w="1139"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spacing w:before="60" w:after="60"/>
              <w:jc w:val="center"/>
              <w:rPr>
                <w:rFonts w:ascii="Times New Roman" w:hAnsi="Times New Roman"/>
                <w:b/>
                <w:sz w:val="24"/>
                <w:lang w:val="en-AU"/>
              </w:rPr>
            </w:pPr>
            <w:r w:rsidRPr="00CC0663">
              <w:rPr>
                <w:rFonts w:ascii="Times New Roman" w:hAnsi="Times New Roman"/>
                <w:b/>
                <w:sz w:val="24"/>
                <w:lang w:val="en-AU"/>
              </w:rPr>
              <w:t>p value</w:t>
            </w:r>
          </w:p>
        </w:tc>
      </w:tr>
      <w:tr w:rsidR="00312D91" w:rsidRPr="00057C4C">
        <w:tc>
          <w:tcPr>
            <w:tcW w:w="3544"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N</w:t>
            </w:r>
          </w:p>
        </w:tc>
        <w:tc>
          <w:tcPr>
            <w:tcW w:w="1843"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80</w:t>
            </w:r>
          </w:p>
        </w:tc>
        <w:tc>
          <w:tcPr>
            <w:tcW w:w="2688" w:type="dxa"/>
            <w:tcBorders>
              <w:top w:val="single" w:sz="4" w:space="0" w:color="auto"/>
              <w:left w:val="single" w:sz="4" w:space="0" w:color="auto"/>
              <w:bottom w:val="single" w:sz="4" w:space="0" w:color="auto"/>
              <w:right w:val="single" w:sz="4" w:space="0" w:color="auto"/>
            </w:tcBorders>
          </w:tcPr>
          <w:p w:rsidR="00312D91" w:rsidRPr="00CC0663" w:rsidRDefault="00B51691"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51</w:t>
            </w:r>
          </w:p>
        </w:tc>
        <w:tc>
          <w:tcPr>
            <w:tcW w:w="1139"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spacing w:before="60" w:after="60"/>
              <w:jc w:val="center"/>
              <w:rPr>
                <w:rFonts w:ascii="Times New Roman" w:hAnsi="Times New Roman"/>
                <w:sz w:val="24"/>
                <w:lang w:val="en-AU"/>
              </w:rPr>
            </w:pPr>
          </w:p>
        </w:tc>
      </w:tr>
      <w:tr w:rsidR="00312D91" w:rsidRPr="00057C4C">
        <w:tc>
          <w:tcPr>
            <w:tcW w:w="3544"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Complete Response</w:t>
            </w:r>
          </w:p>
        </w:tc>
        <w:tc>
          <w:tcPr>
            <w:tcW w:w="1843"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96%</w:t>
            </w:r>
          </w:p>
        </w:tc>
        <w:tc>
          <w:tcPr>
            <w:tcW w:w="2688"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51%</w:t>
            </w:r>
          </w:p>
        </w:tc>
        <w:tc>
          <w:tcPr>
            <w:tcW w:w="1139" w:type="dxa"/>
            <w:tcBorders>
              <w:top w:val="single" w:sz="4" w:space="0" w:color="auto"/>
              <w:left w:val="single" w:sz="4" w:space="0" w:color="auto"/>
              <w:bottom w:val="single" w:sz="4" w:space="0" w:color="auto"/>
              <w:right w:val="single" w:sz="4" w:space="0" w:color="auto"/>
            </w:tcBorders>
          </w:tcPr>
          <w:p w:rsidR="00312D91" w:rsidRPr="00CC0663" w:rsidRDefault="00312D91"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NS</w:t>
            </w:r>
          </w:p>
        </w:tc>
      </w:tr>
    </w:tbl>
    <w:p w:rsidR="00312D91" w:rsidRPr="00057C4C" w:rsidRDefault="00312D91" w:rsidP="006D2CF6">
      <w:pPr>
        <w:pStyle w:val="Text"/>
        <w:spacing w:after="120"/>
      </w:pPr>
      <w:r w:rsidRPr="00057C4C">
        <w:t xml:space="preserve">Analysis of event-free </w:t>
      </w:r>
      <w:r w:rsidR="000A6AC0" w:rsidRPr="00057C4C">
        <w:t>survival and overall survival also indicated superiorit</w:t>
      </w:r>
      <w:r w:rsidR="00AA3337" w:rsidRPr="00057C4C">
        <w:t>y</w:t>
      </w:r>
      <w:r w:rsidR="000A6AC0" w:rsidRPr="00057C4C">
        <w:t xml:space="preserve"> of the imatinib-containing regimen (</w:t>
      </w:r>
      <w:r w:rsidR="00AA3337" w:rsidRPr="00057C4C">
        <w:t>p&lt;0.0001 for both).</w:t>
      </w:r>
    </w:p>
    <w:p w:rsidR="002B14EF" w:rsidRDefault="002B14EF">
      <w:pPr>
        <w:rPr>
          <w:lang w:val="en-US"/>
        </w:rPr>
      </w:pPr>
      <w:r>
        <w:br w:type="page"/>
      </w:r>
    </w:p>
    <w:p w:rsidR="0023181C" w:rsidRPr="00057C4C" w:rsidRDefault="00AA3337" w:rsidP="006D2CF6">
      <w:pPr>
        <w:pStyle w:val="Text"/>
        <w:spacing w:after="120"/>
      </w:pPr>
      <w:r w:rsidRPr="00057C4C">
        <w:lastRenderedPageBreak/>
        <w:t>In study AFR-09 imatinib (600 mg/day for two months during consolidation/salvage chemotherapy, and for two separate two-month periods during maintenance</w:t>
      </w:r>
      <w:r w:rsidR="00C85995" w:rsidRPr="00057C4C">
        <w:t xml:space="preserve"> chemotherapy) was integrated into a chemotherapy regimen in 30 patients aged &gt; 55 years with </w:t>
      </w:r>
      <w:r w:rsidR="00C85995" w:rsidRPr="00057C4C">
        <w:rPr>
          <w:i/>
        </w:rPr>
        <w:t>de novo</w:t>
      </w:r>
      <w:r w:rsidR="00C85995" w:rsidRPr="00057C4C">
        <w:t xml:space="preserve"> Ph+ ALL. R</w:t>
      </w:r>
      <w:r w:rsidR="00AA79C4" w:rsidRPr="00057C4C">
        <w:t>e</w:t>
      </w:r>
      <w:r w:rsidR="00C85995" w:rsidRPr="00057C4C">
        <w:t>sults are su</w:t>
      </w:r>
      <w:r w:rsidR="00FC0B50" w:rsidRPr="00057C4C">
        <w:t>mmarized in the following table:</w:t>
      </w:r>
    </w:p>
    <w:tbl>
      <w:tblPr>
        <w:tblW w:w="9214" w:type="dxa"/>
        <w:tblInd w:w="108" w:type="dxa"/>
        <w:tblBorders>
          <w:top w:val="single" w:sz="4" w:space="0" w:color="auto"/>
          <w:bottom w:val="single" w:sz="4" w:space="0" w:color="auto"/>
        </w:tblBorders>
        <w:tblLayout w:type="fixed"/>
        <w:tblLook w:val="0000"/>
      </w:tblPr>
      <w:tblGrid>
        <w:gridCol w:w="3544"/>
        <w:gridCol w:w="1843"/>
        <w:gridCol w:w="2551"/>
        <w:gridCol w:w="1276"/>
      </w:tblGrid>
      <w:tr w:rsidR="0023181C" w:rsidRPr="00057C4C">
        <w:tc>
          <w:tcPr>
            <w:tcW w:w="3544"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rPr>
                <w:rFonts w:ascii="Times New Roman" w:hAnsi="Times New Roman"/>
                <w:sz w:val="24"/>
                <w:lang w:val="en-AU"/>
              </w:rPr>
            </w:pPr>
          </w:p>
        </w:tc>
        <w:tc>
          <w:tcPr>
            <w:tcW w:w="1843"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b/>
                <w:sz w:val="24"/>
                <w:lang w:val="en-AU"/>
              </w:rPr>
            </w:pPr>
            <w:r w:rsidRPr="00CC0663">
              <w:rPr>
                <w:rFonts w:ascii="Times New Roman" w:hAnsi="Times New Roman"/>
                <w:b/>
                <w:sz w:val="24"/>
                <w:lang w:val="en-AU"/>
              </w:rPr>
              <w:t>Imatinib + Chemotherapy</w:t>
            </w:r>
          </w:p>
        </w:tc>
        <w:tc>
          <w:tcPr>
            <w:tcW w:w="2551"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b/>
                <w:sz w:val="24"/>
                <w:lang w:val="en-AU"/>
              </w:rPr>
            </w:pPr>
            <w:r w:rsidRPr="00CC0663">
              <w:rPr>
                <w:rFonts w:ascii="Times New Roman" w:hAnsi="Times New Roman"/>
                <w:b/>
                <w:sz w:val="24"/>
                <w:lang w:val="en-AU"/>
              </w:rPr>
              <w:t>Chemotherapy alone (historical data)</w:t>
            </w:r>
          </w:p>
        </w:tc>
        <w:tc>
          <w:tcPr>
            <w:tcW w:w="1276"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b/>
                <w:sz w:val="24"/>
                <w:lang w:val="en-AU"/>
              </w:rPr>
            </w:pPr>
            <w:r w:rsidRPr="00CC0663">
              <w:rPr>
                <w:rFonts w:ascii="Times New Roman" w:hAnsi="Times New Roman"/>
                <w:b/>
                <w:sz w:val="24"/>
                <w:lang w:val="en-AU"/>
              </w:rPr>
              <w:t>p value</w:t>
            </w:r>
          </w:p>
        </w:tc>
      </w:tr>
      <w:tr w:rsidR="0023181C" w:rsidRPr="00057C4C">
        <w:tc>
          <w:tcPr>
            <w:tcW w:w="3544"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N</w:t>
            </w:r>
          </w:p>
        </w:tc>
        <w:tc>
          <w:tcPr>
            <w:tcW w:w="1843"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30</w:t>
            </w:r>
          </w:p>
        </w:tc>
        <w:tc>
          <w:tcPr>
            <w:tcW w:w="2551"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21</w:t>
            </w:r>
          </w:p>
        </w:tc>
        <w:tc>
          <w:tcPr>
            <w:tcW w:w="1276"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p>
        </w:tc>
      </w:tr>
      <w:tr w:rsidR="0023181C" w:rsidRPr="00057C4C">
        <w:tc>
          <w:tcPr>
            <w:tcW w:w="3544"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Complete Response after consolidation / salvage</w:t>
            </w:r>
          </w:p>
        </w:tc>
        <w:tc>
          <w:tcPr>
            <w:tcW w:w="1843"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90%</w:t>
            </w:r>
          </w:p>
        </w:tc>
        <w:tc>
          <w:tcPr>
            <w:tcW w:w="2551"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48%</w:t>
            </w:r>
          </w:p>
        </w:tc>
        <w:tc>
          <w:tcPr>
            <w:tcW w:w="1276"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 0.001</w:t>
            </w:r>
          </w:p>
        </w:tc>
      </w:tr>
      <w:tr w:rsidR="0023181C" w:rsidRPr="00057C4C">
        <w:tc>
          <w:tcPr>
            <w:tcW w:w="3544"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Relapse-free survival at 1 year</w:t>
            </w:r>
          </w:p>
        </w:tc>
        <w:tc>
          <w:tcPr>
            <w:tcW w:w="1843"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59%</w:t>
            </w:r>
          </w:p>
        </w:tc>
        <w:tc>
          <w:tcPr>
            <w:tcW w:w="2551"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11%</w:t>
            </w:r>
          </w:p>
        </w:tc>
        <w:tc>
          <w:tcPr>
            <w:tcW w:w="1276"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 0.001</w:t>
            </w:r>
          </w:p>
        </w:tc>
      </w:tr>
      <w:tr w:rsidR="0023181C" w:rsidRPr="00057C4C">
        <w:trPr>
          <w:trHeight w:val="404"/>
        </w:trPr>
        <w:tc>
          <w:tcPr>
            <w:tcW w:w="3544"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tabs>
                <w:tab w:val="clear" w:pos="284"/>
                <w:tab w:val="left" w:pos="76"/>
              </w:tabs>
              <w:spacing w:before="60" w:after="60"/>
              <w:rPr>
                <w:rFonts w:ascii="Times New Roman" w:hAnsi="Times New Roman"/>
                <w:sz w:val="24"/>
                <w:lang w:val="en-AU"/>
              </w:rPr>
            </w:pPr>
            <w:r w:rsidRPr="00CC0663">
              <w:rPr>
                <w:rFonts w:ascii="Times New Roman" w:hAnsi="Times New Roman"/>
                <w:sz w:val="24"/>
                <w:lang w:val="en-AU"/>
              </w:rPr>
              <w:t>Overall survival at 1 year</w:t>
            </w:r>
          </w:p>
        </w:tc>
        <w:tc>
          <w:tcPr>
            <w:tcW w:w="1843"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68%</w:t>
            </w:r>
          </w:p>
        </w:tc>
        <w:tc>
          <w:tcPr>
            <w:tcW w:w="2551"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43%</w:t>
            </w:r>
          </w:p>
        </w:tc>
        <w:tc>
          <w:tcPr>
            <w:tcW w:w="1276" w:type="dxa"/>
            <w:tcBorders>
              <w:top w:val="single" w:sz="4" w:space="0" w:color="auto"/>
              <w:left w:val="single" w:sz="4" w:space="0" w:color="auto"/>
              <w:bottom w:val="single" w:sz="4" w:space="0" w:color="auto"/>
              <w:right w:val="single" w:sz="4" w:space="0" w:color="auto"/>
            </w:tcBorders>
          </w:tcPr>
          <w:p w:rsidR="0023181C" w:rsidRPr="00CC0663" w:rsidRDefault="0023181C" w:rsidP="00FC0B50">
            <w:pPr>
              <w:pStyle w:val="Table0"/>
              <w:spacing w:before="60" w:after="60"/>
              <w:jc w:val="center"/>
              <w:rPr>
                <w:rFonts w:ascii="Times New Roman" w:hAnsi="Times New Roman"/>
                <w:sz w:val="24"/>
                <w:lang w:val="en-AU"/>
              </w:rPr>
            </w:pPr>
            <w:r w:rsidRPr="00CC0663">
              <w:rPr>
                <w:rFonts w:ascii="Times New Roman" w:hAnsi="Times New Roman"/>
                <w:sz w:val="24"/>
                <w:lang w:val="en-AU"/>
              </w:rPr>
              <w:t>= 0.001</w:t>
            </w:r>
          </w:p>
        </w:tc>
      </w:tr>
    </w:tbl>
    <w:p w:rsidR="00806FDA" w:rsidRPr="00057C4C" w:rsidRDefault="00806FDA" w:rsidP="0063750A">
      <w:pPr>
        <w:spacing w:before="120" w:after="120"/>
        <w:rPr>
          <w:b/>
        </w:rPr>
      </w:pPr>
      <w:r w:rsidRPr="00057C4C">
        <w:rPr>
          <w:b/>
        </w:rPr>
        <w:t>Relapsed/refractory Ph+ ALL</w:t>
      </w:r>
      <w:r w:rsidRPr="00057C4C">
        <w:t xml:space="preserve">: A total of 429 patients with relapsed/refractory Ph+ALL or CML blast </w:t>
      </w:r>
      <w:proofErr w:type="gramStart"/>
      <w:r w:rsidRPr="00057C4C">
        <w:t>crisis were</w:t>
      </w:r>
      <w:proofErr w:type="gramEnd"/>
      <w:r w:rsidRPr="00057C4C">
        <w:t xml:space="preserve"> enrolled in three studies assessing the efficacy and safety of imatinib as monotherapy. Imatinib was given as single agent in 66 patients evaluable for efficacy and resulted in a haematological response rate of 33% (12% of which were complete) and a MCyR rate of 23%. The median time to progression for the overall population of 429 patients with relapsed/refractory Ph+ ALL ranged from 1.9 to 3.1 months, and median overall survival for the 409 evaluable patients ranged from 5 to 9 months.  </w:t>
      </w:r>
    </w:p>
    <w:p w:rsidR="00806FDA" w:rsidRPr="00057C4C" w:rsidRDefault="00806FDA" w:rsidP="006D2CF6">
      <w:pPr>
        <w:pStyle w:val="Text"/>
        <w:spacing w:after="120"/>
        <w:rPr>
          <w:b/>
        </w:rPr>
      </w:pPr>
      <w:r w:rsidRPr="00057C4C">
        <w:t>Of the 429 patients described above, 146 were ≥ 55 years of age.  The median time to progression and overall survival in this sub-population was similar to the overall population.</w:t>
      </w:r>
    </w:p>
    <w:p w:rsidR="009778CF" w:rsidRPr="00057C4C" w:rsidRDefault="009778CF" w:rsidP="002B14EF">
      <w:pPr>
        <w:pStyle w:val="Heading2"/>
        <w:rPr>
          <w:lang w:val="en-GB"/>
        </w:rPr>
      </w:pPr>
      <w:r w:rsidRPr="00057C4C">
        <w:rPr>
          <w:lang w:val="en-GB"/>
        </w:rPr>
        <w:t xml:space="preserve">Clinical Studies in </w:t>
      </w:r>
      <w:r w:rsidR="000011E2" w:rsidRPr="00057C4C">
        <w:rPr>
          <w:lang w:val="en-GB"/>
        </w:rPr>
        <w:t>myelodysplastic/myeloproliferative diseases (MDS/MPD) expressing imatinib-sensitive kinases</w:t>
      </w:r>
    </w:p>
    <w:p w:rsidR="009778CF" w:rsidRPr="00057C4C" w:rsidRDefault="009778CF" w:rsidP="006D2CF6">
      <w:pPr>
        <w:spacing w:before="120" w:after="120"/>
      </w:pPr>
      <w:r w:rsidRPr="00057C4C">
        <w:rPr>
          <w:rFonts w:eastAsia="MS Mincho"/>
        </w:rPr>
        <w:t>One open label,</w:t>
      </w:r>
      <w:r w:rsidR="000011E2" w:rsidRPr="00057C4C">
        <w:rPr>
          <w:rFonts w:eastAsia="MS Mincho"/>
        </w:rPr>
        <w:t xml:space="preserve"> multinational,</w:t>
      </w:r>
      <w:r w:rsidRPr="00057C4C">
        <w:rPr>
          <w:rFonts w:eastAsia="MS Mincho"/>
        </w:rPr>
        <w:t xml:space="preserve"> multicentre, phase II clinical trial (study B2225) was conducted testing Glivec in diverse populations of patients suffering from</w:t>
      </w:r>
      <w:r w:rsidR="000011E2" w:rsidRPr="00057C4C">
        <w:rPr>
          <w:rFonts w:eastAsia="MS Mincho"/>
        </w:rPr>
        <w:t xml:space="preserve"> very rare and</w:t>
      </w:r>
      <w:r w:rsidRPr="00057C4C">
        <w:rPr>
          <w:rFonts w:eastAsia="MS Mincho"/>
        </w:rPr>
        <w:t xml:space="preserve"> life-threatening diseases associated with Abl, Kit or PDGFR protein tyrosine kinases. This study included 7 patients with </w:t>
      </w:r>
      <w:smartTag w:uri="urn:schemas-microsoft-com:office:smarttags" w:element="stockticker">
        <w:r w:rsidRPr="00057C4C">
          <w:rPr>
            <w:rFonts w:eastAsia="MS Mincho"/>
          </w:rPr>
          <w:t>MDS</w:t>
        </w:r>
      </w:smartTag>
      <w:r w:rsidRPr="00057C4C">
        <w:rPr>
          <w:rFonts w:eastAsia="MS Mincho"/>
        </w:rPr>
        <w:t>/MPD out of a total of 185 patients treated, 45 of whom had haematological diseases and 140 a variety of solid tumours. These patients were treated with Glivec 400 mg daily</w:t>
      </w:r>
      <w:r w:rsidR="00C84CA0" w:rsidRPr="00057C4C">
        <w:rPr>
          <w:rFonts w:eastAsia="MS Mincho"/>
        </w:rPr>
        <w:t>, with provision to increase to 800 mg daily</w:t>
      </w:r>
      <w:r w:rsidRPr="00057C4C">
        <w:rPr>
          <w:rFonts w:eastAsia="MS Mincho"/>
        </w:rPr>
        <w:t xml:space="preserve">. The ages of the enrolled patients ranged from 20 to 86 years.  A further 24 patients with </w:t>
      </w:r>
      <w:smartTag w:uri="urn:schemas-microsoft-com:office:smarttags" w:element="stockticker">
        <w:r w:rsidRPr="00057C4C">
          <w:rPr>
            <w:rFonts w:eastAsia="MS Mincho"/>
          </w:rPr>
          <w:t>MDS</w:t>
        </w:r>
      </w:smartTag>
      <w:r w:rsidRPr="00057C4C">
        <w:rPr>
          <w:rFonts w:eastAsia="MS Mincho"/>
        </w:rPr>
        <w:t xml:space="preserve">/MPD aged 2 to 79 years were reported in </w:t>
      </w:r>
      <w:r w:rsidRPr="00057C4C">
        <w:t xml:space="preserve">12 published case reports and a clinical study. These patients also received Glivec at a dose of 400mg daily with the exception of three patients who received lower doses. Of the total population of 31 patients treated for </w:t>
      </w:r>
      <w:smartTag w:uri="urn:schemas-microsoft-com:office:smarttags" w:element="stockticker">
        <w:r w:rsidRPr="00057C4C">
          <w:t>MDS</w:t>
        </w:r>
      </w:smartTag>
      <w:r w:rsidRPr="00057C4C">
        <w:t>/MPD, 14 (45%) achieved a complete haematological response and 9 (29%) a complete cytogenetic response (39% including major and partial responses). Of note, the malignancy carried a translocation, usually involving the chromosome t5q33 or t4q12, resulting in a PDGFR gene re-arrangement in 14 evaluable patients. All of these responded haematologically (12 completely). Cytogenetic response was evaluated in 11 out of 14 patients, all of whom responded (9 patients completely). Only 2 (13%) out of the 16 patients without a translocation associated with PDGFR gene re-arrangement achieved a complete haematological response and one (6%) achieved a major cytogenetic response.</w:t>
      </w:r>
      <w:r w:rsidRPr="00057C4C" w:rsidDel="005829F3">
        <w:t xml:space="preserve"> </w:t>
      </w:r>
      <w:r w:rsidRPr="00057C4C">
        <w:t>A further patient with a PDGFR gene re-arrangement in molecular relapse after bone marrow transplant responded molecularly</w:t>
      </w:r>
      <w:r w:rsidR="009A3F73" w:rsidRPr="00057C4C">
        <w:t xml:space="preserve"> (RT-</w:t>
      </w:r>
      <w:smartTag w:uri="urn:schemas-microsoft-com:office:smarttags" w:element="stockticker">
        <w:r w:rsidR="009A3F73" w:rsidRPr="00057C4C">
          <w:t>PCR</w:t>
        </w:r>
      </w:smartTag>
      <w:r w:rsidR="009A3F73" w:rsidRPr="00057C4C">
        <w:t xml:space="preserve"> negative for PDGFR</w:t>
      </w:r>
      <w:r w:rsidR="009A3F73" w:rsidRPr="00057C4C">
        <w:rPr>
          <w:rFonts w:ascii="Symbol" w:hAnsi="Symbol"/>
        </w:rPr>
        <w:t></w:t>
      </w:r>
      <w:r w:rsidR="009A3F73" w:rsidRPr="00057C4C">
        <w:t xml:space="preserve"> fusion oncogene)</w:t>
      </w:r>
      <w:r w:rsidRPr="00057C4C">
        <w:t>. Median duration of therapy was 12.9 months (0.8</w:t>
      </w:r>
      <w:r w:rsidR="00ED26A1" w:rsidRPr="00057C4C">
        <w:t xml:space="preserve"> </w:t>
      </w:r>
      <w:r w:rsidR="00E33392" w:rsidRPr="00057C4C">
        <w:t>-</w:t>
      </w:r>
      <w:r w:rsidR="00ED26A1" w:rsidRPr="00057C4C">
        <w:t xml:space="preserve"> </w:t>
      </w:r>
      <w:r w:rsidRPr="00057C4C">
        <w:t xml:space="preserve">26.7) in the 7 patients treated within study B2225 and ranged between 1 week and more than 18 months in responding patients in the published literature. Results are provided in table </w:t>
      </w:r>
      <w:r w:rsidR="00E33392" w:rsidRPr="00057C4C">
        <w:t>5</w:t>
      </w:r>
      <w:r w:rsidRPr="00057C4C">
        <w:t>.</w:t>
      </w:r>
    </w:p>
    <w:p w:rsidR="009778CF" w:rsidRPr="00057C4C" w:rsidRDefault="009778CF" w:rsidP="00544E16">
      <w:pPr>
        <w:pStyle w:val="Heading7"/>
        <w:spacing w:before="120"/>
        <w:ind w:left="0" w:firstLine="0"/>
        <w:rPr>
          <w:rFonts w:ascii="Times New Roman" w:hAnsi="Times New Roman"/>
          <w:lang w:val="en-GB"/>
        </w:rPr>
      </w:pPr>
      <w:r w:rsidRPr="00057C4C">
        <w:rPr>
          <w:rFonts w:ascii="Times New Roman" w:hAnsi="Times New Roman"/>
          <w:lang w:val="en-GB"/>
        </w:rPr>
        <w:lastRenderedPageBreak/>
        <w:t xml:space="preserve">Table </w:t>
      </w:r>
      <w:r w:rsidR="00E33392" w:rsidRPr="00057C4C">
        <w:rPr>
          <w:rFonts w:ascii="Times New Roman" w:hAnsi="Times New Roman"/>
          <w:lang w:val="en-GB"/>
        </w:rPr>
        <w:t>5</w:t>
      </w:r>
      <w:r w:rsidRPr="00057C4C">
        <w:rPr>
          <w:rFonts w:ascii="Times New Roman" w:hAnsi="Times New Roman"/>
          <w:lang w:val="en-GB"/>
        </w:rPr>
        <w:tab/>
        <w:t>Response in MDS/MPD</w:t>
      </w:r>
    </w:p>
    <w:tbl>
      <w:tblPr>
        <w:tblW w:w="8820"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3"/>
        <w:gridCol w:w="1035"/>
        <w:gridCol w:w="3055"/>
        <w:gridCol w:w="1937"/>
      </w:tblGrid>
      <w:tr w:rsidR="009778CF" w:rsidRPr="00057C4C">
        <w:trPr>
          <w:tblHeader/>
          <w:jc w:val="center"/>
        </w:trPr>
        <w:tc>
          <w:tcPr>
            <w:tcW w:w="2793" w:type="dxa"/>
          </w:tcPr>
          <w:p w:rsidR="009778CF" w:rsidRPr="00CC0663" w:rsidRDefault="009778CF" w:rsidP="00FC0B50">
            <w:pPr>
              <w:pStyle w:val="Table0"/>
              <w:spacing w:before="60" w:after="60"/>
              <w:rPr>
                <w:rFonts w:ascii="Times New Roman" w:hAnsi="Times New Roman"/>
                <w:b/>
                <w:sz w:val="22"/>
                <w:lang w:val="en-AU"/>
              </w:rPr>
            </w:pPr>
          </w:p>
        </w:tc>
        <w:tc>
          <w:tcPr>
            <w:tcW w:w="1035" w:type="dxa"/>
          </w:tcPr>
          <w:p w:rsidR="009778CF" w:rsidRPr="00CC0663" w:rsidRDefault="009778CF" w:rsidP="00FC0B50">
            <w:pPr>
              <w:pStyle w:val="Table0"/>
              <w:spacing w:before="60" w:after="60"/>
              <w:jc w:val="center"/>
              <w:rPr>
                <w:rFonts w:ascii="Times New Roman" w:hAnsi="Times New Roman"/>
                <w:b/>
                <w:sz w:val="22"/>
                <w:lang w:val="en-AU"/>
              </w:rPr>
            </w:pPr>
            <w:r w:rsidRPr="00CC0663">
              <w:rPr>
                <w:rFonts w:ascii="Times New Roman" w:hAnsi="Times New Roman"/>
                <w:b/>
                <w:sz w:val="22"/>
                <w:lang w:val="en-AU"/>
              </w:rPr>
              <w:t>N</w:t>
            </w:r>
          </w:p>
        </w:tc>
        <w:tc>
          <w:tcPr>
            <w:tcW w:w="3055" w:type="dxa"/>
            <w:shd w:val="clear" w:color="auto" w:fill="auto"/>
          </w:tcPr>
          <w:p w:rsidR="009778CF" w:rsidRPr="00CC0663" w:rsidRDefault="009778CF" w:rsidP="00FC0B50">
            <w:pPr>
              <w:pStyle w:val="Table0"/>
              <w:spacing w:before="60" w:after="60"/>
              <w:jc w:val="center"/>
              <w:rPr>
                <w:rFonts w:ascii="Times New Roman" w:hAnsi="Times New Roman"/>
                <w:b/>
                <w:sz w:val="22"/>
                <w:lang w:val="en-AU"/>
              </w:rPr>
            </w:pPr>
            <w:r w:rsidRPr="00CC0663">
              <w:rPr>
                <w:rFonts w:ascii="Times New Roman" w:hAnsi="Times New Roman"/>
                <w:b/>
                <w:sz w:val="22"/>
                <w:lang w:val="en-AU"/>
              </w:rPr>
              <w:t xml:space="preserve">Complete haematological </w:t>
            </w:r>
            <w:proofErr w:type="gramStart"/>
            <w:r w:rsidRPr="00CC0663">
              <w:rPr>
                <w:rFonts w:ascii="Times New Roman" w:hAnsi="Times New Roman"/>
                <w:b/>
                <w:sz w:val="22"/>
                <w:lang w:val="en-AU"/>
              </w:rPr>
              <w:t>response(</w:t>
            </w:r>
            <w:proofErr w:type="gramEnd"/>
            <w:r w:rsidRPr="00CC0663">
              <w:rPr>
                <w:rFonts w:ascii="Times New Roman" w:hAnsi="Times New Roman"/>
                <w:b/>
                <w:sz w:val="22"/>
                <w:lang w:val="en-AU"/>
              </w:rPr>
              <w:t>%)</w:t>
            </w:r>
          </w:p>
        </w:tc>
        <w:tc>
          <w:tcPr>
            <w:tcW w:w="1937" w:type="dxa"/>
            <w:shd w:val="clear" w:color="auto" w:fill="auto"/>
          </w:tcPr>
          <w:p w:rsidR="009778CF" w:rsidRPr="00CC0663" w:rsidRDefault="009778CF" w:rsidP="00FC0B50">
            <w:pPr>
              <w:pStyle w:val="Table0"/>
              <w:spacing w:before="60" w:after="60"/>
              <w:jc w:val="center"/>
              <w:rPr>
                <w:rFonts w:ascii="Times New Roman" w:hAnsi="Times New Roman"/>
                <w:b/>
                <w:sz w:val="22"/>
                <w:lang w:val="en-AU"/>
              </w:rPr>
            </w:pPr>
            <w:r w:rsidRPr="00CC0663">
              <w:rPr>
                <w:rFonts w:ascii="Times New Roman" w:hAnsi="Times New Roman"/>
                <w:b/>
                <w:sz w:val="22"/>
                <w:lang w:val="en-AU"/>
              </w:rPr>
              <w:t xml:space="preserve">Cytogenetic </w:t>
            </w:r>
            <w:proofErr w:type="gramStart"/>
            <w:r w:rsidRPr="00CC0663">
              <w:rPr>
                <w:rFonts w:ascii="Times New Roman" w:hAnsi="Times New Roman"/>
                <w:b/>
                <w:sz w:val="22"/>
                <w:lang w:val="en-AU"/>
              </w:rPr>
              <w:t>response(</w:t>
            </w:r>
            <w:proofErr w:type="gramEnd"/>
            <w:r w:rsidRPr="00CC0663">
              <w:rPr>
                <w:rFonts w:ascii="Times New Roman" w:hAnsi="Times New Roman"/>
                <w:b/>
                <w:sz w:val="22"/>
                <w:lang w:val="en-AU"/>
              </w:rPr>
              <w:t>%)</w:t>
            </w:r>
          </w:p>
        </w:tc>
      </w:tr>
      <w:tr w:rsidR="009778CF" w:rsidRPr="00057C4C">
        <w:trPr>
          <w:trHeight w:val="429"/>
          <w:jc w:val="center"/>
        </w:trPr>
        <w:tc>
          <w:tcPr>
            <w:tcW w:w="2793" w:type="dxa"/>
          </w:tcPr>
          <w:p w:rsidR="009778CF" w:rsidRPr="00CC0663" w:rsidRDefault="009778CF" w:rsidP="00FC0B50">
            <w:pPr>
              <w:pStyle w:val="Table0"/>
              <w:spacing w:before="60" w:after="60"/>
              <w:rPr>
                <w:rFonts w:ascii="Times New Roman" w:hAnsi="Times New Roman"/>
                <w:b/>
                <w:sz w:val="22"/>
                <w:lang w:val="en-AU"/>
              </w:rPr>
            </w:pPr>
            <w:r w:rsidRPr="00CC0663">
              <w:rPr>
                <w:rFonts w:ascii="Times New Roman" w:hAnsi="Times New Roman"/>
                <w:b/>
                <w:sz w:val="22"/>
                <w:lang w:val="en-AU"/>
              </w:rPr>
              <w:t>Overall population</w:t>
            </w:r>
          </w:p>
        </w:tc>
        <w:tc>
          <w:tcPr>
            <w:tcW w:w="1035" w:type="dxa"/>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31</w:t>
            </w:r>
          </w:p>
        </w:tc>
        <w:tc>
          <w:tcPr>
            <w:tcW w:w="3055" w:type="dxa"/>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45</w:t>
            </w:r>
          </w:p>
        </w:tc>
        <w:tc>
          <w:tcPr>
            <w:tcW w:w="1937" w:type="dxa"/>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39</w:t>
            </w:r>
          </w:p>
        </w:tc>
      </w:tr>
      <w:tr w:rsidR="009778CF" w:rsidRPr="00057C4C">
        <w:trPr>
          <w:jc w:val="center"/>
        </w:trPr>
        <w:tc>
          <w:tcPr>
            <w:tcW w:w="2793" w:type="dxa"/>
          </w:tcPr>
          <w:p w:rsidR="009778CF" w:rsidRPr="00CC0663" w:rsidRDefault="009778CF" w:rsidP="00FC0B50">
            <w:pPr>
              <w:pStyle w:val="Table0"/>
              <w:spacing w:before="60" w:after="60"/>
              <w:rPr>
                <w:rFonts w:ascii="Times New Roman" w:hAnsi="Times New Roman"/>
                <w:sz w:val="22"/>
                <w:lang w:val="en-AU"/>
              </w:rPr>
            </w:pPr>
            <w:r w:rsidRPr="00CC0663">
              <w:rPr>
                <w:rFonts w:ascii="Times New Roman" w:hAnsi="Times New Roman"/>
                <w:sz w:val="22"/>
                <w:lang w:val="en-AU"/>
              </w:rPr>
              <w:tab/>
              <w:t>Chromosome t5 involved</w:t>
            </w:r>
          </w:p>
        </w:tc>
        <w:tc>
          <w:tcPr>
            <w:tcW w:w="1035" w:type="dxa"/>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12</w:t>
            </w:r>
          </w:p>
        </w:tc>
        <w:tc>
          <w:tcPr>
            <w:tcW w:w="3055" w:type="dxa"/>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83</w:t>
            </w:r>
          </w:p>
        </w:tc>
        <w:tc>
          <w:tcPr>
            <w:tcW w:w="1937" w:type="dxa"/>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83</w:t>
            </w:r>
          </w:p>
        </w:tc>
      </w:tr>
      <w:tr w:rsidR="009778CF" w:rsidRPr="00057C4C">
        <w:trPr>
          <w:jc w:val="center"/>
        </w:trPr>
        <w:tc>
          <w:tcPr>
            <w:tcW w:w="2793" w:type="dxa"/>
          </w:tcPr>
          <w:p w:rsidR="009778CF" w:rsidRPr="00CC0663" w:rsidRDefault="009778CF" w:rsidP="00FC0B50">
            <w:pPr>
              <w:pStyle w:val="Table0"/>
              <w:spacing w:before="60" w:after="60"/>
              <w:rPr>
                <w:rFonts w:ascii="Times New Roman" w:hAnsi="Times New Roman"/>
                <w:sz w:val="22"/>
                <w:lang w:val="en-AU"/>
              </w:rPr>
            </w:pPr>
            <w:r w:rsidRPr="00CC0663">
              <w:rPr>
                <w:rFonts w:ascii="Times New Roman" w:hAnsi="Times New Roman"/>
                <w:sz w:val="22"/>
                <w:lang w:val="en-AU"/>
              </w:rPr>
              <w:tab/>
              <w:t>Chromosome t4 involved</w:t>
            </w:r>
          </w:p>
        </w:tc>
        <w:tc>
          <w:tcPr>
            <w:tcW w:w="1035" w:type="dxa"/>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2</w:t>
            </w:r>
          </w:p>
        </w:tc>
        <w:tc>
          <w:tcPr>
            <w:tcW w:w="3055" w:type="dxa"/>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100</w:t>
            </w:r>
          </w:p>
        </w:tc>
        <w:tc>
          <w:tcPr>
            <w:tcW w:w="1937" w:type="dxa"/>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50</w:t>
            </w:r>
          </w:p>
        </w:tc>
      </w:tr>
      <w:tr w:rsidR="009778CF" w:rsidRPr="00057C4C">
        <w:trPr>
          <w:jc w:val="center"/>
        </w:trPr>
        <w:tc>
          <w:tcPr>
            <w:tcW w:w="2793" w:type="dxa"/>
            <w:tcBorders>
              <w:bottom w:val="single" w:sz="4" w:space="0" w:color="auto"/>
            </w:tcBorders>
          </w:tcPr>
          <w:p w:rsidR="009778CF" w:rsidRPr="00CC0663" w:rsidRDefault="009778CF" w:rsidP="00FC0B50">
            <w:pPr>
              <w:pStyle w:val="Table0"/>
              <w:spacing w:before="60" w:after="60"/>
              <w:rPr>
                <w:rFonts w:ascii="Times New Roman" w:hAnsi="Times New Roman"/>
                <w:sz w:val="22"/>
                <w:lang w:val="en-AU"/>
              </w:rPr>
            </w:pPr>
            <w:r w:rsidRPr="00CC0663">
              <w:rPr>
                <w:rFonts w:ascii="Times New Roman" w:hAnsi="Times New Roman"/>
                <w:sz w:val="22"/>
                <w:lang w:val="en-AU"/>
              </w:rPr>
              <w:tab/>
              <w:t>Others / no translocation</w:t>
            </w:r>
          </w:p>
        </w:tc>
        <w:tc>
          <w:tcPr>
            <w:tcW w:w="1035" w:type="dxa"/>
            <w:tcBorders>
              <w:bottom w:val="single" w:sz="4" w:space="0" w:color="auto"/>
            </w:tcBorders>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16</w:t>
            </w:r>
          </w:p>
        </w:tc>
        <w:tc>
          <w:tcPr>
            <w:tcW w:w="3055" w:type="dxa"/>
            <w:tcBorders>
              <w:bottom w:val="single" w:sz="4" w:space="0" w:color="auto"/>
            </w:tcBorders>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13</w:t>
            </w:r>
          </w:p>
        </w:tc>
        <w:tc>
          <w:tcPr>
            <w:tcW w:w="1937" w:type="dxa"/>
            <w:tcBorders>
              <w:bottom w:val="single" w:sz="4" w:space="0" w:color="auto"/>
            </w:tcBorders>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6</w:t>
            </w:r>
          </w:p>
        </w:tc>
      </w:tr>
      <w:tr w:rsidR="009778CF" w:rsidRPr="00057C4C">
        <w:trPr>
          <w:jc w:val="center"/>
        </w:trPr>
        <w:tc>
          <w:tcPr>
            <w:tcW w:w="2793" w:type="dxa"/>
            <w:tcBorders>
              <w:bottom w:val="single" w:sz="4" w:space="0" w:color="auto"/>
            </w:tcBorders>
          </w:tcPr>
          <w:p w:rsidR="009778CF" w:rsidRPr="00CC0663" w:rsidRDefault="009778CF" w:rsidP="00FC0B50">
            <w:pPr>
              <w:pStyle w:val="Table0"/>
              <w:spacing w:before="60" w:after="60"/>
              <w:rPr>
                <w:rFonts w:ascii="Times New Roman" w:hAnsi="Times New Roman"/>
                <w:sz w:val="22"/>
                <w:lang w:val="en-AU"/>
              </w:rPr>
            </w:pPr>
            <w:r w:rsidRPr="00CC0663">
              <w:rPr>
                <w:rFonts w:ascii="Times New Roman" w:hAnsi="Times New Roman"/>
                <w:sz w:val="22"/>
                <w:lang w:val="en-AU"/>
              </w:rPr>
              <w:tab/>
              <w:t>Molecular relapse</w:t>
            </w:r>
          </w:p>
        </w:tc>
        <w:tc>
          <w:tcPr>
            <w:tcW w:w="1035" w:type="dxa"/>
            <w:tcBorders>
              <w:bottom w:val="single" w:sz="4" w:space="0" w:color="auto"/>
            </w:tcBorders>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w:t>
            </w:r>
          </w:p>
        </w:tc>
        <w:tc>
          <w:tcPr>
            <w:tcW w:w="3055" w:type="dxa"/>
            <w:tcBorders>
              <w:bottom w:val="single" w:sz="4" w:space="0" w:color="auto"/>
            </w:tcBorders>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NE</w:t>
            </w:r>
          </w:p>
        </w:tc>
        <w:tc>
          <w:tcPr>
            <w:tcW w:w="1937" w:type="dxa"/>
            <w:tcBorders>
              <w:bottom w:val="single" w:sz="4" w:space="0" w:color="auto"/>
            </w:tcBorders>
            <w:shd w:val="clear" w:color="auto" w:fill="auto"/>
          </w:tcPr>
          <w:p w:rsidR="009778CF" w:rsidRPr="00CC0663" w:rsidRDefault="009778C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NE</w:t>
            </w:r>
          </w:p>
        </w:tc>
      </w:tr>
      <w:tr w:rsidR="009778CF" w:rsidRPr="00057C4C">
        <w:trPr>
          <w:trHeight w:val="568"/>
          <w:jc w:val="center"/>
        </w:trPr>
        <w:tc>
          <w:tcPr>
            <w:tcW w:w="8820" w:type="dxa"/>
            <w:gridSpan w:val="4"/>
            <w:tcBorders>
              <w:top w:val="single" w:sz="4" w:space="0" w:color="auto"/>
              <w:left w:val="nil"/>
              <w:bottom w:val="nil"/>
              <w:right w:val="nil"/>
            </w:tcBorders>
          </w:tcPr>
          <w:p w:rsidR="009778CF" w:rsidRPr="00CC0663" w:rsidRDefault="009778CF" w:rsidP="00FC0B50">
            <w:pPr>
              <w:pStyle w:val="Table0"/>
              <w:spacing w:before="60" w:after="60"/>
              <w:rPr>
                <w:rFonts w:ascii="Times New Roman" w:hAnsi="Times New Roman"/>
                <w:sz w:val="22"/>
                <w:lang w:val="en-AU"/>
              </w:rPr>
            </w:pPr>
            <w:r w:rsidRPr="00CC0663">
              <w:rPr>
                <w:rFonts w:ascii="Times New Roman" w:hAnsi="Times New Roman"/>
                <w:sz w:val="18"/>
                <w:szCs w:val="18"/>
                <w:lang w:val="en-AU"/>
              </w:rPr>
              <w:t>NE: Not evaluable</w:t>
            </w:r>
            <w:r w:rsidR="000332EE" w:rsidRPr="00CC0663">
              <w:rPr>
                <w:rFonts w:ascii="Times New Roman" w:hAnsi="Times New Roman"/>
                <w:sz w:val="18"/>
                <w:szCs w:val="18"/>
                <w:lang w:val="en-AU"/>
              </w:rPr>
              <w:t>. Patient responded molecularly to treatment  (RT-PCR negative for PDGFR</w:t>
            </w:r>
            <w:r w:rsidR="000332EE" w:rsidRPr="00CC0663">
              <w:rPr>
                <w:rFonts w:ascii="Symbol" w:hAnsi="Symbol"/>
                <w:sz w:val="18"/>
                <w:szCs w:val="18"/>
                <w:lang w:val="en-AU"/>
              </w:rPr>
              <w:t></w:t>
            </w:r>
            <w:r w:rsidR="000332EE" w:rsidRPr="00CC0663">
              <w:rPr>
                <w:rFonts w:ascii="Times New Roman" w:hAnsi="Times New Roman"/>
                <w:sz w:val="18"/>
                <w:szCs w:val="18"/>
                <w:lang w:val="en-AU"/>
              </w:rPr>
              <w:t xml:space="preserve"> fusion oncogene)</w:t>
            </w:r>
          </w:p>
        </w:tc>
      </w:tr>
    </w:tbl>
    <w:p w:rsidR="0081650F" w:rsidRPr="00057C4C" w:rsidRDefault="0081650F" w:rsidP="002B14EF">
      <w:pPr>
        <w:pStyle w:val="Heading2"/>
        <w:rPr>
          <w:lang w:val="en-GB"/>
        </w:rPr>
      </w:pPr>
      <w:r w:rsidRPr="00057C4C">
        <w:rPr>
          <w:lang w:val="en-GB"/>
        </w:rPr>
        <w:t xml:space="preserve">Clinical Studies in </w:t>
      </w:r>
      <w:r w:rsidR="0023181C" w:rsidRPr="00057C4C">
        <w:rPr>
          <w:lang w:val="en-GB"/>
        </w:rPr>
        <w:t xml:space="preserve">aggressive </w:t>
      </w:r>
      <w:r w:rsidR="00912217" w:rsidRPr="00057C4C">
        <w:rPr>
          <w:lang w:val="en-GB"/>
        </w:rPr>
        <w:t>systemic mastocytosis (</w:t>
      </w:r>
      <w:r w:rsidR="0023181C" w:rsidRPr="00057C4C">
        <w:rPr>
          <w:lang w:val="en-GB"/>
        </w:rPr>
        <w:t>A</w:t>
      </w:r>
      <w:r w:rsidRPr="00057C4C">
        <w:rPr>
          <w:lang w:val="en-GB"/>
        </w:rPr>
        <w:t>SM</w:t>
      </w:r>
      <w:r w:rsidR="00912217" w:rsidRPr="00057C4C">
        <w:rPr>
          <w:lang w:val="en-GB"/>
        </w:rPr>
        <w:t>)</w:t>
      </w:r>
    </w:p>
    <w:p w:rsidR="0081650F" w:rsidRPr="00057C4C" w:rsidRDefault="0081650F" w:rsidP="00BB7165">
      <w:pPr>
        <w:pStyle w:val="paragraph"/>
        <w:spacing w:after="120"/>
        <w:jc w:val="left"/>
        <w:rPr>
          <w:lang w:val="en-GB"/>
        </w:rPr>
      </w:pPr>
      <w:r w:rsidRPr="00057C4C">
        <w:rPr>
          <w:lang w:val="en-GB"/>
        </w:rPr>
        <w:t xml:space="preserve">Study B2225 also included 5 patients with </w:t>
      </w:r>
      <w:r w:rsidR="0027788D" w:rsidRPr="00057C4C">
        <w:rPr>
          <w:lang w:val="en-GB"/>
        </w:rPr>
        <w:t>A</w:t>
      </w:r>
      <w:r w:rsidRPr="00057C4C">
        <w:rPr>
          <w:lang w:val="en-GB"/>
        </w:rPr>
        <w:t xml:space="preserve">SM out of a total of 185 patients enrolled. The </w:t>
      </w:r>
      <w:r w:rsidR="0027788D" w:rsidRPr="00057C4C">
        <w:rPr>
          <w:lang w:val="en-GB"/>
        </w:rPr>
        <w:t>A</w:t>
      </w:r>
      <w:r w:rsidRPr="00057C4C">
        <w:rPr>
          <w:lang w:val="en-GB"/>
        </w:rPr>
        <w:t>SM patients were treated with Glivec 100 mg to 400 mg daily</w:t>
      </w:r>
      <w:r w:rsidR="00D46498" w:rsidRPr="00057C4C">
        <w:rPr>
          <w:lang w:val="en-GB"/>
        </w:rPr>
        <w:t>, with provision to increase the dose to 800 mg daily</w:t>
      </w:r>
      <w:r w:rsidRPr="00057C4C">
        <w:rPr>
          <w:lang w:val="en-GB"/>
        </w:rPr>
        <w:t xml:space="preserve">. The ages of these patients ranged from 49 to </w:t>
      </w:r>
      <w:r w:rsidR="0038772A" w:rsidRPr="00057C4C">
        <w:rPr>
          <w:lang w:val="en-GB"/>
        </w:rPr>
        <w:t xml:space="preserve">74 </w:t>
      </w:r>
      <w:r w:rsidRPr="00057C4C">
        <w:rPr>
          <w:lang w:val="en-GB"/>
        </w:rPr>
        <w:t xml:space="preserve">years. A further 25 patients with </w:t>
      </w:r>
      <w:r w:rsidR="0027788D" w:rsidRPr="00057C4C">
        <w:rPr>
          <w:lang w:val="en-GB"/>
        </w:rPr>
        <w:t>A</w:t>
      </w:r>
      <w:r w:rsidRPr="00057C4C">
        <w:rPr>
          <w:lang w:val="en-GB"/>
        </w:rPr>
        <w:t>SM aged 26 to 85 years were reported in 10 published case reports and case series. These patients also received Glivec at doses of 100 mg to 400 mg daily. Of the total popu</w:t>
      </w:r>
      <w:r w:rsidR="0027788D" w:rsidRPr="00057C4C">
        <w:rPr>
          <w:lang w:val="en-GB"/>
        </w:rPr>
        <w:t>la</w:t>
      </w:r>
      <w:r w:rsidRPr="00057C4C">
        <w:rPr>
          <w:lang w:val="en-GB"/>
        </w:rPr>
        <w:t xml:space="preserve">tion of 30 patients treated for </w:t>
      </w:r>
      <w:r w:rsidR="0027788D" w:rsidRPr="00057C4C">
        <w:rPr>
          <w:lang w:val="en-GB"/>
        </w:rPr>
        <w:t>A</w:t>
      </w:r>
      <w:r w:rsidRPr="00057C4C">
        <w:rPr>
          <w:lang w:val="en-GB"/>
        </w:rPr>
        <w:t>SM, 10 (33%) achieved a complete haematological response and 9 (30%) a partial haematological response (63% overall response rate). Cytogenetic abnormalities were evaluated in 21 of the 30 patients treated. Eight out of these 21 patients had FIP1L1-PDGFR</w:t>
      </w:r>
      <w:r w:rsidRPr="00057C4C">
        <w:rPr>
          <w:rFonts w:ascii="Symbol" w:hAnsi="Symbol"/>
          <w:lang w:val="en-GB"/>
        </w:rPr>
        <w:t></w:t>
      </w:r>
      <w:r w:rsidRPr="00057C4C">
        <w:rPr>
          <w:rFonts w:ascii="Symbol" w:hAnsi="Symbol"/>
          <w:lang w:val="en-GB"/>
        </w:rPr>
        <w:t></w:t>
      </w:r>
      <w:r w:rsidRPr="00057C4C">
        <w:rPr>
          <w:lang w:val="en-GB"/>
        </w:rPr>
        <w:t xml:space="preserve">fusion kinase. Patients with this cytogenetic abnormality are most likely to be males and to have eosinophilia associated with their systemic mast cell disease. Two patients showed a Kit mutation in the juxtamembrane region (one Phe522Cys and one K509I). Sixteen patients had unknown or no detected cytogenetic abnormality. Four patients showed a D816V mutation (the one responder had concomitant CML and SM). The majority of patients reported in the reviewed literature with the D816V c-Kit mutation </w:t>
      </w:r>
      <w:r w:rsidR="002958F3" w:rsidRPr="00057C4C">
        <w:rPr>
          <w:lang w:val="en-GB"/>
        </w:rPr>
        <w:t>were</w:t>
      </w:r>
      <w:r w:rsidRPr="00057C4C">
        <w:rPr>
          <w:lang w:val="en-GB"/>
        </w:rPr>
        <w:t xml:space="preserve"> not considered sensitive to Glivec. Median duration of therapy was 13 months (range 1.4</w:t>
      </w:r>
      <w:r w:rsidR="00ED26A1" w:rsidRPr="00057C4C">
        <w:rPr>
          <w:lang w:val="en-GB"/>
        </w:rPr>
        <w:t xml:space="preserve"> to </w:t>
      </w:r>
      <w:r w:rsidRPr="00057C4C">
        <w:rPr>
          <w:lang w:val="en-GB"/>
        </w:rPr>
        <w:t>22.3 months) in the 5 patients treated within study B2225 and ranged between 1 month and more than 30 months in responding patients in the published literature. Results are provided in Table</w:t>
      </w:r>
      <w:r w:rsidR="00AF3AC6" w:rsidRPr="00057C4C">
        <w:rPr>
          <w:lang w:val="en-GB"/>
        </w:rPr>
        <w:t xml:space="preserve"> </w:t>
      </w:r>
      <w:r w:rsidR="00E33392" w:rsidRPr="00057C4C">
        <w:rPr>
          <w:lang w:val="en-GB"/>
        </w:rPr>
        <w:t>6</w:t>
      </w:r>
      <w:r w:rsidRPr="00057C4C">
        <w:rPr>
          <w:lang w:val="en-GB"/>
        </w:rPr>
        <w:t>.</w:t>
      </w:r>
      <w:r w:rsidR="00BB7165" w:rsidRPr="00057C4C">
        <w:rPr>
          <w:lang w:val="en-GB"/>
        </w:rPr>
        <w:tab/>
      </w:r>
    </w:p>
    <w:p w:rsidR="0081650F" w:rsidRPr="00057C4C" w:rsidRDefault="0081650F" w:rsidP="00544E16">
      <w:pPr>
        <w:pStyle w:val="Heading7"/>
        <w:spacing w:before="120"/>
        <w:ind w:left="0" w:firstLine="0"/>
        <w:rPr>
          <w:rFonts w:ascii="Times New Roman" w:hAnsi="Times New Roman"/>
          <w:lang w:val="en-GB"/>
        </w:rPr>
      </w:pPr>
      <w:r w:rsidRPr="00057C4C">
        <w:rPr>
          <w:rFonts w:ascii="Times New Roman" w:hAnsi="Times New Roman"/>
          <w:lang w:val="en-GB"/>
        </w:rPr>
        <w:t xml:space="preserve">Table </w:t>
      </w:r>
      <w:r w:rsidR="00E33392" w:rsidRPr="00057C4C">
        <w:rPr>
          <w:rFonts w:ascii="Times New Roman" w:hAnsi="Times New Roman"/>
          <w:lang w:val="en-GB"/>
        </w:rPr>
        <w:t xml:space="preserve">6 </w:t>
      </w:r>
      <w:r w:rsidRPr="00057C4C">
        <w:rPr>
          <w:rFonts w:ascii="Times New Roman" w:hAnsi="Times New Roman"/>
          <w:lang w:val="en-GB"/>
        </w:rPr>
        <w:t xml:space="preserve">Response in </w:t>
      </w:r>
      <w:r w:rsidR="0027788D" w:rsidRPr="00057C4C">
        <w:rPr>
          <w:rFonts w:ascii="Times New Roman" w:hAnsi="Times New Roman"/>
          <w:lang w:val="en-GB"/>
        </w:rPr>
        <w:t>A</w:t>
      </w:r>
      <w:r w:rsidRPr="00057C4C">
        <w:rPr>
          <w:rFonts w:ascii="Times New Roman" w:hAnsi="Times New Roman"/>
          <w:lang w:val="en-GB"/>
        </w:rPr>
        <w:t>SM</w:t>
      </w:r>
    </w:p>
    <w:tbl>
      <w:tblPr>
        <w:tblW w:w="9023"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29"/>
        <w:gridCol w:w="548"/>
        <w:gridCol w:w="3055"/>
        <w:gridCol w:w="2391"/>
      </w:tblGrid>
      <w:tr w:rsidR="0081650F" w:rsidRPr="00057C4C">
        <w:trPr>
          <w:tblHeader/>
          <w:jc w:val="center"/>
        </w:trPr>
        <w:tc>
          <w:tcPr>
            <w:tcW w:w="3029" w:type="dxa"/>
          </w:tcPr>
          <w:p w:rsidR="0081650F" w:rsidRPr="00CC0663" w:rsidRDefault="0081650F" w:rsidP="00FC0B50">
            <w:pPr>
              <w:pStyle w:val="Table0"/>
              <w:spacing w:before="60" w:after="60"/>
              <w:rPr>
                <w:rFonts w:ascii="Times New Roman" w:hAnsi="Times New Roman"/>
                <w:b/>
                <w:sz w:val="22"/>
                <w:lang w:val="en-AU"/>
              </w:rPr>
            </w:pPr>
            <w:r w:rsidRPr="00CC0663">
              <w:rPr>
                <w:rFonts w:ascii="Times New Roman" w:hAnsi="Times New Roman"/>
                <w:b/>
                <w:sz w:val="22"/>
                <w:lang w:val="en-AU"/>
              </w:rPr>
              <w:t>Cytogenetic abnormality</w:t>
            </w:r>
          </w:p>
        </w:tc>
        <w:tc>
          <w:tcPr>
            <w:tcW w:w="548" w:type="dxa"/>
          </w:tcPr>
          <w:p w:rsidR="0081650F" w:rsidRPr="00CC0663" w:rsidRDefault="0081650F" w:rsidP="00FC0B50">
            <w:pPr>
              <w:pStyle w:val="Table0"/>
              <w:spacing w:before="60" w:after="60"/>
              <w:jc w:val="center"/>
              <w:rPr>
                <w:rFonts w:ascii="Times New Roman" w:hAnsi="Times New Roman"/>
                <w:b/>
                <w:sz w:val="22"/>
                <w:lang w:val="en-AU"/>
              </w:rPr>
            </w:pPr>
            <w:r w:rsidRPr="00CC0663">
              <w:rPr>
                <w:rFonts w:ascii="Times New Roman" w:hAnsi="Times New Roman"/>
                <w:b/>
                <w:sz w:val="22"/>
                <w:lang w:val="en-AU"/>
              </w:rPr>
              <w:t>N</w:t>
            </w:r>
          </w:p>
        </w:tc>
        <w:tc>
          <w:tcPr>
            <w:tcW w:w="3055" w:type="dxa"/>
            <w:shd w:val="clear" w:color="auto" w:fill="auto"/>
          </w:tcPr>
          <w:p w:rsidR="0081650F" w:rsidRPr="00CC0663" w:rsidRDefault="0081650F" w:rsidP="00FC0B50">
            <w:pPr>
              <w:pStyle w:val="Table0"/>
              <w:spacing w:before="60" w:after="60"/>
              <w:jc w:val="center"/>
              <w:rPr>
                <w:rFonts w:ascii="Times New Roman" w:hAnsi="Times New Roman"/>
                <w:b/>
                <w:sz w:val="22"/>
                <w:lang w:val="en-AU"/>
              </w:rPr>
            </w:pPr>
            <w:r w:rsidRPr="00CC0663">
              <w:rPr>
                <w:rFonts w:ascii="Times New Roman" w:hAnsi="Times New Roman"/>
                <w:b/>
                <w:sz w:val="22"/>
                <w:lang w:val="en-AU"/>
              </w:rPr>
              <w:t>Complete haematological response</w:t>
            </w:r>
          </w:p>
        </w:tc>
        <w:tc>
          <w:tcPr>
            <w:tcW w:w="2391" w:type="dxa"/>
            <w:shd w:val="clear" w:color="auto" w:fill="auto"/>
          </w:tcPr>
          <w:p w:rsidR="0081650F" w:rsidRPr="00CC0663" w:rsidRDefault="0081650F" w:rsidP="00FC0B50">
            <w:pPr>
              <w:pStyle w:val="Table0"/>
              <w:spacing w:before="60" w:after="60"/>
              <w:jc w:val="center"/>
              <w:rPr>
                <w:rFonts w:ascii="Times New Roman" w:hAnsi="Times New Roman"/>
                <w:b/>
                <w:sz w:val="22"/>
                <w:lang w:val="en-AU"/>
              </w:rPr>
            </w:pPr>
            <w:r w:rsidRPr="00CC0663">
              <w:rPr>
                <w:rFonts w:ascii="Times New Roman" w:hAnsi="Times New Roman"/>
                <w:b/>
                <w:sz w:val="22"/>
                <w:lang w:val="en-AU"/>
              </w:rPr>
              <w:t>Partial haematological</w:t>
            </w:r>
            <w:r w:rsidR="00FC0B50" w:rsidRPr="00CC0663">
              <w:rPr>
                <w:rFonts w:ascii="Times New Roman" w:hAnsi="Times New Roman"/>
                <w:b/>
                <w:sz w:val="22"/>
                <w:lang w:val="en-AU"/>
              </w:rPr>
              <w:br/>
            </w:r>
            <w:r w:rsidRPr="00CC0663">
              <w:rPr>
                <w:rFonts w:ascii="Times New Roman" w:hAnsi="Times New Roman"/>
                <w:b/>
                <w:sz w:val="22"/>
                <w:lang w:val="en-AU"/>
              </w:rPr>
              <w:t xml:space="preserve">response </w:t>
            </w:r>
          </w:p>
        </w:tc>
      </w:tr>
      <w:tr w:rsidR="0081650F" w:rsidRPr="00057C4C">
        <w:trPr>
          <w:trHeight w:val="429"/>
          <w:jc w:val="center"/>
        </w:trPr>
        <w:tc>
          <w:tcPr>
            <w:tcW w:w="3029" w:type="dxa"/>
          </w:tcPr>
          <w:p w:rsidR="0081650F" w:rsidRPr="00CC0663" w:rsidRDefault="0081650F" w:rsidP="00FC0B50">
            <w:pPr>
              <w:pStyle w:val="Table0"/>
              <w:spacing w:before="60" w:after="60"/>
              <w:rPr>
                <w:rFonts w:ascii="Times New Roman" w:hAnsi="Times New Roman"/>
                <w:sz w:val="22"/>
                <w:lang w:val="en-AU"/>
              </w:rPr>
            </w:pPr>
            <w:r w:rsidRPr="00057C4C">
              <w:rPr>
                <w:rFonts w:ascii="Times New Roman" w:hAnsi="Times New Roman"/>
                <w:sz w:val="22"/>
                <w:lang w:val="en-GB"/>
              </w:rPr>
              <w:t>FIP1L1-PDGFR</w:t>
            </w:r>
            <w:r w:rsidR="0063750A" w:rsidRPr="00057C4C">
              <w:rPr>
                <w:rFonts w:ascii="Symbol" w:hAnsi="Symbol"/>
                <w:lang w:val="en-GB"/>
              </w:rPr>
              <w:t></w:t>
            </w:r>
            <w:r w:rsidRPr="00057C4C">
              <w:rPr>
                <w:rFonts w:ascii="Times New Roman" w:hAnsi="Times New Roman"/>
                <w:sz w:val="22"/>
                <w:lang w:val="en-GB"/>
              </w:rPr>
              <w:t xml:space="preserve"> fusion kinase (or </w:t>
            </w:r>
            <w:smartTag w:uri="urn:schemas-microsoft-com:office:smarttags" w:element="stockticker">
              <w:r w:rsidRPr="00057C4C">
                <w:rPr>
                  <w:rFonts w:ascii="Times New Roman" w:hAnsi="Times New Roman"/>
                  <w:sz w:val="22"/>
                  <w:lang w:val="en-GB"/>
                </w:rPr>
                <w:t>CHIC</w:t>
              </w:r>
            </w:smartTag>
            <w:r w:rsidRPr="00057C4C">
              <w:rPr>
                <w:rFonts w:ascii="Times New Roman" w:hAnsi="Times New Roman"/>
                <w:sz w:val="22"/>
                <w:lang w:val="en-GB"/>
              </w:rPr>
              <w:t>2 deletion)</w:t>
            </w:r>
          </w:p>
        </w:tc>
        <w:tc>
          <w:tcPr>
            <w:tcW w:w="548" w:type="dxa"/>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8</w:t>
            </w:r>
          </w:p>
        </w:tc>
        <w:tc>
          <w:tcPr>
            <w:tcW w:w="3055"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8</w:t>
            </w:r>
          </w:p>
        </w:tc>
        <w:tc>
          <w:tcPr>
            <w:tcW w:w="2391"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0</w:t>
            </w:r>
          </w:p>
        </w:tc>
      </w:tr>
      <w:tr w:rsidR="0081650F" w:rsidRPr="00057C4C">
        <w:trPr>
          <w:jc w:val="center"/>
        </w:trPr>
        <w:tc>
          <w:tcPr>
            <w:tcW w:w="3029" w:type="dxa"/>
          </w:tcPr>
          <w:p w:rsidR="0081650F" w:rsidRPr="00CC0663" w:rsidRDefault="0081650F" w:rsidP="00FC0B50">
            <w:pPr>
              <w:pStyle w:val="Table0"/>
              <w:spacing w:before="60" w:after="60"/>
              <w:rPr>
                <w:rFonts w:ascii="Times New Roman" w:hAnsi="Times New Roman"/>
                <w:sz w:val="22"/>
                <w:lang w:val="en-AU"/>
              </w:rPr>
            </w:pPr>
            <w:r w:rsidRPr="00CC0663">
              <w:rPr>
                <w:rFonts w:ascii="Times New Roman" w:hAnsi="Times New Roman"/>
                <w:sz w:val="22"/>
                <w:lang w:val="en-AU"/>
              </w:rPr>
              <w:t>Juxtamembrane mutation</w:t>
            </w:r>
          </w:p>
        </w:tc>
        <w:tc>
          <w:tcPr>
            <w:tcW w:w="548" w:type="dxa"/>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2</w:t>
            </w:r>
          </w:p>
        </w:tc>
        <w:tc>
          <w:tcPr>
            <w:tcW w:w="3055"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0</w:t>
            </w:r>
          </w:p>
        </w:tc>
        <w:tc>
          <w:tcPr>
            <w:tcW w:w="2391"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2</w:t>
            </w:r>
          </w:p>
        </w:tc>
      </w:tr>
      <w:tr w:rsidR="0081650F" w:rsidRPr="00057C4C">
        <w:trPr>
          <w:jc w:val="center"/>
        </w:trPr>
        <w:tc>
          <w:tcPr>
            <w:tcW w:w="3029" w:type="dxa"/>
          </w:tcPr>
          <w:p w:rsidR="0081650F" w:rsidRPr="00CC0663" w:rsidRDefault="0081650F" w:rsidP="00FC0B50">
            <w:pPr>
              <w:pStyle w:val="Table0"/>
              <w:spacing w:before="60" w:after="60"/>
              <w:rPr>
                <w:rFonts w:ascii="Times New Roman" w:hAnsi="Times New Roman"/>
                <w:sz w:val="22"/>
                <w:lang w:val="en-AU"/>
              </w:rPr>
            </w:pPr>
            <w:r w:rsidRPr="00CC0663">
              <w:rPr>
                <w:rFonts w:ascii="Times New Roman" w:hAnsi="Times New Roman"/>
                <w:sz w:val="22"/>
                <w:lang w:val="en-AU"/>
              </w:rPr>
              <w:t>Unknown or no cytogenetic abnormality detected</w:t>
            </w:r>
          </w:p>
        </w:tc>
        <w:tc>
          <w:tcPr>
            <w:tcW w:w="548" w:type="dxa"/>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16</w:t>
            </w:r>
          </w:p>
        </w:tc>
        <w:tc>
          <w:tcPr>
            <w:tcW w:w="3055"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w:t>
            </w:r>
          </w:p>
        </w:tc>
        <w:tc>
          <w:tcPr>
            <w:tcW w:w="2391"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7</w:t>
            </w:r>
          </w:p>
        </w:tc>
      </w:tr>
      <w:tr w:rsidR="0081650F" w:rsidRPr="00057C4C">
        <w:trPr>
          <w:jc w:val="center"/>
        </w:trPr>
        <w:tc>
          <w:tcPr>
            <w:tcW w:w="3029" w:type="dxa"/>
            <w:tcBorders>
              <w:bottom w:val="single" w:sz="4" w:space="0" w:color="auto"/>
            </w:tcBorders>
          </w:tcPr>
          <w:p w:rsidR="0081650F" w:rsidRPr="00CC0663" w:rsidRDefault="0081650F" w:rsidP="00FC0B50">
            <w:pPr>
              <w:pStyle w:val="Table0"/>
              <w:spacing w:before="60" w:after="60"/>
              <w:rPr>
                <w:rFonts w:ascii="Times New Roman" w:hAnsi="Times New Roman"/>
                <w:sz w:val="22"/>
                <w:lang w:val="en-AU"/>
              </w:rPr>
            </w:pPr>
            <w:r w:rsidRPr="00CC0663">
              <w:rPr>
                <w:rFonts w:ascii="Times New Roman" w:hAnsi="Times New Roman"/>
                <w:sz w:val="22"/>
                <w:lang w:val="en-AU"/>
              </w:rPr>
              <w:t>D816V mutation</w:t>
            </w:r>
          </w:p>
        </w:tc>
        <w:tc>
          <w:tcPr>
            <w:tcW w:w="548" w:type="dxa"/>
            <w:tcBorders>
              <w:bottom w:val="single" w:sz="4" w:space="0" w:color="auto"/>
            </w:tcBorders>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4</w:t>
            </w:r>
          </w:p>
        </w:tc>
        <w:tc>
          <w:tcPr>
            <w:tcW w:w="3055" w:type="dxa"/>
            <w:tcBorders>
              <w:bottom w:val="single" w:sz="4" w:space="0" w:color="auto"/>
            </w:tcBorders>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w:t>
            </w:r>
          </w:p>
        </w:tc>
        <w:tc>
          <w:tcPr>
            <w:tcW w:w="2391" w:type="dxa"/>
            <w:tcBorders>
              <w:bottom w:val="single" w:sz="4" w:space="0" w:color="auto"/>
            </w:tcBorders>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0</w:t>
            </w:r>
          </w:p>
        </w:tc>
      </w:tr>
      <w:tr w:rsidR="0081650F" w:rsidRPr="00057C4C">
        <w:trPr>
          <w:jc w:val="center"/>
        </w:trPr>
        <w:tc>
          <w:tcPr>
            <w:tcW w:w="3029" w:type="dxa"/>
            <w:tcBorders>
              <w:bottom w:val="single" w:sz="4" w:space="0" w:color="auto"/>
            </w:tcBorders>
          </w:tcPr>
          <w:p w:rsidR="0081650F" w:rsidRPr="00CC0663" w:rsidRDefault="0081650F" w:rsidP="00FC0B50">
            <w:pPr>
              <w:pStyle w:val="Table0"/>
              <w:spacing w:before="60" w:after="60"/>
              <w:rPr>
                <w:rFonts w:ascii="Times New Roman" w:hAnsi="Times New Roman"/>
                <w:sz w:val="22"/>
                <w:lang w:val="en-AU"/>
              </w:rPr>
            </w:pPr>
            <w:r w:rsidRPr="00CC0663">
              <w:rPr>
                <w:rFonts w:ascii="Times New Roman" w:hAnsi="Times New Roman"/>
                <w:sz w:val="22"/>
                <w:lang w:val="en-AU"/>
              </w:rPr>
              <w:t>Overall totals</w:t>
            </w:r>
          </w:p>
        </w:tc>
        <w:tc>
          <w:tcPr>
            <w:tcW w:w="548" w:type="dxa"/>
            <w:tcBorders>
              <w:bottom w:val="single" w:sz="4" w:space="0" w:color="auto"/>
            </w:tcBorders>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30</w:t>
            </w:r>
          </w:p>
        </w:tc>
        <w:tc>
          <w:tcPr>
            <w:tcW w:w="3055" w:type="dxa"/>
            <w:tcBorders>
              <w:bottom w:val="single" w:sz="4" w:space="0" w:color="auto"/>
            </w:tcBorders>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10 (33%)</w:t>
            </w:r>
          </w:p>
        </w:tc>
        <w:tc>
          <w:tcPr>
            <w:tcW w:w="2391" w:type="dxa"/>
            <w:tcBorders>
              <w:bottom w:val="single" w:sz="4" w:space="0" w:color="auto"/>
            </w:tcBorders>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9 (30%)</w:t>
            </w:r>
          </w:p>
        </w:tc>
      </w:tr>
      <w:tr w:rsidR="0081650F" w:rsidRPr="00057C4C">
        <w:trPr>
          <w:jc w:val="center"/>
        </w:trPr>
        <w:tc>
          <w:tcPr>
            <w:tcW w:w="9023" w:type="dxa"/>
            <w:gridSpan w:val="4"/>
            <w:tcBorders>
              <w:top w:val="single" w:sz="4" w:space="0" w:color="auto"/>
              <w:left w:val="nil"/>
              <w:bottom w:val="nil"/>
              <w:right w:val="nil"/>
            </w:tcBorders>
          </w:tcPr>
          <w:p w:rsidR="0081650F" w:rsidRPr="00CC0663" w:rsidRDefault="0081650F" w:rsidP="00FC0B50">
            <w:pPr>
              <w:pStyle w:val="Table0"/>
              <w:spacing w:before="120" w:after="120"/>
              <w:rPr>
                <w:rFonts w:ascii="Times New Roman" w:hAnsi="Times New Roman"/>
                <w:sz w:val="22"/>
                <w:lang w:val="en-AU"/>
              </w:rPr>
            </w:pPr>
            <w:r w:rsidRPr="00CC0663">
              <w:rPr>
                <w:rFonts w:ascii="Times New Roman" w:hAnsi="Times New Roman"/>
                <w:sz w:val="18"/>
                <w:szCs w:val="18"/>
                <w:lang w:val="en-AU"/>
              </w:rPr>
              <w:t>* Patient had concomitant CML and SM</w:t>
            </w:r>
          </w:p>
        </w:tc>
      </w:tr>
    </w:tbl>
    <w:p w:rsidR="00CD7B09" w:rsidRPr="00057C4C" w:rsidRDefault="00A952EB" w:rsidP="006D2CF6">
      <w:pPr>
        <w:autoSpaceDE w:val="0"/>
        <w:autoSpaceDN w:val="0"/>
        <w:adjustRightInd w:val="0"/>
        <w:spacing w:before="120" w:after="120"/>
        <w:rPr>
          <w:lang w:val="en-GB"/>
        </w:rPr>
      </w:pPr>
      <w:r w:rsidRPr="00057C4C">
        <w:rPr>
          <w:lang w:val="en-GB"/>
        </w:rPr>
        <w:t xml:space="preserve">Glivec has not been shown to be effective in patients with less aggressive forms of systemic mastocytosis. </w:t>
      </w:r>
      <w:r w:rsidR="0027788D" w:rsidRPr="00057C4C">
        <w:rPr>
          <w:lang w:val="en-GB"/>
        </w:rPr>
        <w:t xml:space="preserve">Glivec is not recommended for use in patients with cutaneous mastocytosis, indolent systemic mastocytosis (smoldering SM or isolated bone marrow mastocytosis), </w:t>
      </w:r>
      <w:r w:rsidR="00F02B73" w:rsidRPr="00057C4C">
        <w:rPr>
          <w:lang w:val="en-GB"/>
        </w:rPr>
        <w:t xml:space="preserve">SM with an associated clonal haematological non-mast cell lineage disease, </w:t>
      </w:r>
      <w:r w:rsidR="0027788D" w:rsidRPr="00057C4C">
        <w:rPr>
          <w:lang w:val="en-GB"/>
        </w:rPr>
        <w:t xml:space="preserve">mast cell </w:t>
      </w:r>
      <w:r w:rsidR="00D56209" w:rsidRPr="00057C4C">
        <w:rPr>
          <w:lang w:val="en-GB"/>
        </w:rPr>
        <w:t>leukaemia</w:t>
      </w:r>
      <w:r w:rsidR="0027788D" w:rsidRPr="00057C4C">
        <w:rPr>
          <w:lang w:val="en-GB"/>
        </w:rPr>
        <w:t>, mast cell sarcoma or extracutaneous mastocytoma</w:t>
      </w:r>
      <w:r w:rsidR="00660727" w:rsidRPr="00057C4C">
        <w:t xml:space="preserve">. </w:t>
      </w:r>
      <w:r w:rsidR="00CD7B09" w:rsidRPr="00057C4C">
        <w:rPr>
          <w:i/>
        </w:rPr>
        <w:t>In vitro,</w:t>
      </w:r>
      <w:r w:rsidR="00CD7B09" w:rsidRPr="00057C4C">
        <w:t xml:space="preserve"> cell lines and patient-derived </w:t>
      </w:r>
      <w:r w:rsidR="00CD7B09" w:rsidRPr="00057C4C">
        <w:lastRenderedPageBreak/>
        <w:t>mast cells harbo</w:t>
      </w:r>
      <w:r w:rsidR="002958F3" w:rsidRPr="00057C4C">
        <w:t>u</w:t>
      </w:r>
      <w:r w:rsidR="00CD7B09" w:rsidRPr="00057C4C">
        <w:t xml:space="preserve">ring the c-Kit D816V mutation were resistant to imatinib </w:t>
      </w:r>
      <w:r w:rsidR="00CD7B09" w:rsidRPr="00057C4C">
        <w:rPr>
          <w:lang w:val="en-GB"/>
        </w:rPr>
        <w:t xml:space="preserve">and </w:t>
      </w:r>
      <w:r w:rsidR="00CD7B09" w:rsidRPr="00057C4C">
        <w:rPr>
          <w:bCs/>
        </w:rPr>
        <w:t xml:space="preserve">the </w:t>
      </w:r>
      <w:r w:rsidR="00CD7B09" w:rsidRPr="00057C4C">
        <w:t xml:space="preserve">effectiveness of Glivec in the treatment of patients with SM who have the D816V mutation remains controversial. </w:t>
      </w:r>
    </w:p>
    <w:p w:rsidR="0081650F" w:rsidRPr="00057C4C" w:rsidRDefault="0081650F" w:rsidP="002B14EF">
      <w:pPr>
        <w:pStyle w:val="Heading2"/>
        <w:rPr>
          <w:lang w:val="en-GB"/>
        </w:rPr>
      </w:pPr>
      <w:r w:rsidRPr="00057C4C">
        <w:rPr>
          <w:lang w:val="en-GB"/>
        </w:rPr>
        <w:t xml:space="preserve">Clinical studies in </w:t>
      </w:r>
      <w:r w:rsidR="00D46498" w:rsidRPr="00057C4C">
        <w:rPr>
          <w:lang w:val="en-GB"/>
        </w:rPr>
        <w:t>hypereosinophilic syndrome and/or chronic eosinophilic leukaemia (</w:t>
      </w:r>
      <w:r w:rsidRPr="00057C4C">
        <w:rPr>
          <w:lang w:val="en-GB"/>
        </w:rPr>
        <w:t>HES/CEL</w:t>
      </w:r>
      <w:r w:rsidR="00D46498" w:rsidRPr="00057C4C">
        <w:rPr>
          <w:lang w:val="en-GB"/>
        </w:rPr>
        <w:t>)</w:t>
      </w:r>
    </w:p>
    <w:p w:rsidR="0081650F" w:rsidRPr="00057C4C" w:rsidRDefault="0081650F" w:rsidP="006D2CF6">
      <w:pPr>
        <w:pStyle w:val="paragraph"/>
        <w:spacing w:after="120"/>
        <w:jc w:val="left"/>
        <w:rPr>
          <w:lang w:val="en-GB"/>
        </w:rPr>
      </w:pPr>
      <w:r w:rsidRPr="00057C4C">
        <w:rPr>
          <w:lang w:val="en-GB"/>
        </w:rPr>
        <w:t>Study B2225 also included 14 patients with HES/</w:t>
      </w:r>
      <w:smartTag w:uri="urn:schemas-microsoft-com:office:smarttags" w:element="stockticker">
        <w:r w:rsidRPr="00057C4C">
          <w:rPr>
            <w:lang w:val="en-GB"/>
          </w:rPr>
          <w:t>CEL</w:t>
        </w:r>
      </w:smartTag>
      <w:r w:rsidRPr="00057C4C">
        <w:rPr>
          <w:lang w:val="en-GB"/>
        </w:rPr>
        <w:t xml:space="preserve"> out of a total of 185 patients enrolled. These patients were treated with 100 mg to 1,000 mg of Glivec daily. The ages of these patients ranged from 16 to 64 years. A further 162 patients with HES/</w:t>
      </w:r>
      <w:smartTag w:uri="urn:schemas-microsoft-com:office:smarttags" w:element="stockticker">
        <w:r w:rsidRPr="00057C4C">
          <w:rPr>
            <w:lang w:val="en-GB"/>
          </w:rPr>
          <w:t>CEL</w:t>
        </w:r>
      </w:smartTag>
      <w:r w:rsidRPr="00057C4C">
        <w:rPr>
          <w:lang w:val="en-GB"/>
        </w:rPr>
        <w:t xml:space="preserve"> aged 11 to 78 years were reported in 35 published case reports and case series</w:t>
      </w:r>
      <w:r w:rsidR="0001291D" w:rsidRPr="00057C4C">
        <w:rPr>
          <w:lang w:val="en-GB"/>
        </w:rPr>
        <w:t xml:space="preserve"> with a cut-off date of 15-Jan-06</w:t>
      </w:r>
      <w:r w:rsidRPr="00057C4C">
        <w:rPr>
          <w:lang w:val="en-GB"/>
        </w:rPr>
        <w:t>. These patients received Glivec at doses of  75 mg to 800 mg daily. Of the total population of 176 patients treated for HES/</w:t>
      </w:r>
      <w:smartTag w:uri="urn:schemas-microsoft-com:office:smarttags" w:element="stockticker">
        <w:r w:rsidRPr="00057C4C">
          <w:rPr>
            <w:lang w:val="en-GB"/>
          </w:rPr>
          <w:t>CEL</w:t>
        </w:r>
      </w:smartTag>
      <w:r w:rsidRPr="00057C4C">
        <w:rPr>
          <w:lang w:val="en-GB"/>
        </w:rPr>
        <w:t>, 107 (61%) achieved a complete haematological response and 16 (9%) a partial haematological response (70% overall response rate). Cytogenetic abnormalities were evaluated in 117 of the 176 patients treated. Out of these 117 patients, 61 were positive for FIP1L1-PDGFR</w:t>
      </w:r>
      <w:r w:rsidRPr="00057C4C">
        <w:rPr>
          <w:rFonts w:ascii="Symbol" w:hAnsi="Symbol"/>
          <w:lang w:val="en-GB"/>
        </w:rPr>
        <w:t></w:t>
      </w:r>
      <w:r w:rsidRPr="00057C4C">
        <w:rPr>
          <w:rFonts w:ascii="Symbol" w:hAnsi="Symbol"/>
          <w:lang w:val="en-GB"/>
        </w:rPr>
        <w:t></w:t>
      </w:r>
      <w:r w:rsidRPr="00057C4C">
        <w:rPr>
          <w:lang w:val="en-GB"/>
        </w:rPr>
        <w:t>fusion kinase. All these FIP1L1-PDGFR</w:t>
      </w:r>
      <w:r w:rsidRPr="00057C4C">
        <w:rPr>
          <w:rFonts w:ascii="Symbol" w:hAnsi="Symbol"/>
          <w:lang w:val="en-GB"/>
        </w:rPr>
        <w:t></w:t>
      </w:r>
      <w:r w:rsidRPr="00057C4C">
        <w:rPr>
          <w:rFonts w:ascii="Symbol" w:hAnsi="Symbol"/>
          <w:lang w:val="en-GB"/>
        </w:rPr>
        <w:t></w:t>
      </w:r>
      <w:r w:rsidRPr="00057C4C">
        <w:rPr>
          <w:lang w:val="en-GB"/>
        </w:rPr>
        <w:t>fusion kinase positive patients achieved a complete haematological response. The FIP1L1-PDGFR</w:t>
      </w:r>
      <w:r w:rsidRPr="00057C4C">
        <w:rPr>
          <w:rFonts w:ascii="Symbol" w:hAnsi="Symbol"/>
          <w:lang w:val="en-GB"/>
        </w:rPr>
        <w:t></w:t>
      </w:r>
      <w:r w:rsidRPr="00057C4C">
        <w:rPr>
          <w:rFonts w:ascii="Symbol" w:hAnsi="Symbol"/>
          <w:lang w:val="en-GB"/>
        </w:rPr>
        <w:t></w:t>
      </w:r>
      <w:r w:rsidRPr="00057C4C">
        <w:rPr>
          <w:lang w:val="en-GB"/>
        </w:rPr>
        <w:t>fusion kinase was either negative or unknown in 115 patients, of which 62 (54%) achieved either a complete (</w:t>
      </w:r>
      <w:r w:rsidR="00DD2067" w:rsidRPr="00057C4C">
        <w:rPr>
          <w:lang w:val="en-GB"/>
        </w:rPr>
        <w:t>N</w:t>
      </w:r>
      <w:r w:rsidRPr="00057C4C">
        <w:rPr>
          <w:lang w:val="en-GB"/>
        </w:rPr>
        <w:t>=46) or partial (</w:t>
      </w:r>
      <w:r w:rsidR="00DD2067" w:rsidRPr="00057C4C">
        <w:rPr>
          <w:lang w:val="en-GB"/>
        </w:rPr>
        <w:t>N</w:t>
      </w:r>
      <w:r w:rsidRPr="00057C4C">
        <w:rPr>
          <w:lang w:val="en-GB"/>
        </w:rPr>
        <w:t>=16) haematological response. Results are provided in Table</w:t>
      </w:r>
      <w:r w:rsidR="00F02B73" w:rsidRPr="00057C4C">
        <w:rPr>
          <w:lang w:val="en-GB"/>
        </w:rPr>
        <w:t xml:space="preserve"> </w:t>
      </w:r>
      <w:r w:rsidR="00E33392" w:rsidRPr="00057C4C">
        <w:rPr>
          <w:lang w:val="en-GB"/>
        </w:rPr>
        <w:t>7</w:t>
      </w:r>
      <w:r w:rsidRPr="00057C4C">
        <w:rPr>
          <w:lang w:val="en-GB"/>
        </w:rPr>
        <w:t>.</w:t>
      </w:r>
    </w:p>
    <w:p w:rsidR="0081650F" w:rsidRPr="00057C4C" w:rsidRDefault="0081650F" w:rsidP="00544E16">
      <w:pPr>
        <w:pStyle w:val="Heading7"/>
        <w:spacing w:before="120"/>
        <w:rPr>
          <w:rFonts w:ascii="Times New Roman" w:hAnsi="Times New Roman"/>
          <w:lang w:val="en-GB"/>
        </w:rPr>
      </w:pPr>
      <w:r w:rsidRPr="00057C4C">
        <w:rPr>
          <w:rFonts w:ascii="Times New Roman" w:hAnsi="Times New Roman"/>
          <w:lang w:val="en-GB"/>
        </w:rPr>
        <w:t xml:space="preserve">Table </w:t>
      </w:r>
      <w:r w:rsidR="00E33392" w:rsidRPr="00057C4C">
        <w:rPr>
          <w:rFonts w:ascii="Times New Roman" w:hAnsi="Times New Roman"/>
          <w:lang w:val="en-GB"/>
        </w:rPr>
        <w:t xml:space="preserve">7 </w:t>
      </w:r>
      <w:r w:rsidRPr="00057C4C">
        <w:rPr>
          <w:rFonts w:ascii="Times New Roman" w:hAnsi="Times New Roman"/>
          <w:lang w:val="en-GB"/>
        </w:rPr>
        <w:t>Response in HES/CEL</w:t>
      </w:r>
    </w:p>
    <w:tbl>
      <w:tblPr>
        <w:tblW w:w="9158" w:type="dxa"/>
        <w:jc w:val="center"/>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77"/>
        <w:gridCol w:w="1035"/>
        <w:gridCol w:w="3055"/>
        <w:gridCol w:w="2391"/>
      </w:tblGrid>
      <w:tr w:rsidR="0081650F" w:rsidRPr="00057C4C">
        <w:trPr>
          <w:tblHeader/>
          <w:jc w:val="center"/>
        </w:trPr>
        <w:tc>
          <w:tcPr>
            <w:tcW w:w="2677" w:type="dxa"/>
          </w:tcPr>
          <w:p w:rsidR="0081650F" w:rsidRPr="00CC0663" w:rsidRDefault="0081650F" w:rsidP="00FC0B50">
            <w:pPr>
              <w:pStyle w:val="Table0"/>
              <w:spacing w:before="60" w:after="60"/>
              <w:rPr>
                <w:rFonts w:ascii="Times New Roman" w:hAnsi="Times New Roman"/>
                <w:b/>
                <w:sz w:val="22"/>
                <w:lang w:val="en-AU"/>
              </w:rPr>
            </w:pPr>
            <w:r w:rsidRPr="00CC0663">
              <w:rPr>
                <w:rFonts w:ascii="Times New Roman" w:hAnsi="Times New Roman"/>
                <w:b/>
                <w:sz w:val="22"/>
                <w:lang w:val="en-AU"/>
              </w:rPr>
              <w:t>Cytogenetic abnormality</w:t>
            </w:r>
          </w:p>
        </w:tc>
        <w:tc>
          <w:tcPr>
            <w:tcW w:w="1035" w:type="dxa"/>
          </w:tcPr>
          <w:p w:rsidR="0081650F" w:rsidRPr="00CC0663" w:rsidRDefault="0081650F" w:rsidP="00FC0B50">
            <w:pPr>
              <w:pStyle w:val="Table0"/>
              <w:spacing w:before="60" w:after="60"/>
              <w:jc w:val="center"/>
              <w:rPr>
                <w:rFonts w:ascii="Times New Roman" w:hAnsi="Times New Roman"/>
                <w:b/>
                <w:sz w:val="22"/>
                <w:lang w:val="en-AU"/>
              </w:rPr>
            </w:pPr>
            <w:r w:rsidRPr="00CC0663">
              <w:rPr>
                <w:rFonts w:ascii="Times New Roman" w:hAnsi="Times New Roman"/>
                <w:b/>
                <w:sz w:val="22"/>
                <w:lang w:val="en-AU"/>
              </w:rPr>
              <w:t>N</w:t>
            </w:r>
          </w:p>
        </w:tc>
        <w:tc>
          <w:tcPr>
            <w:tcW w:w="3055" w:type="dxa"/>
            <w:shd w:val="clear" w:color="auto" w:fill="auto"/>
          </w:tcPr>
          <w:p w:rsidR="0081650F" w:rsidRPr="00CC0663" w:rsidRDefault="0081650F" w:rsidP="00FC0B50">
            <w:pPr>
              <w:pStyle w:val="Table0"/>
              <w:spacing w:before="60" w:after="60"/>
              <w:jc w:val="center"/>
              <w:rPr>
                <w:rFonts w:ascii="Times New Roman" w:hAnsi="Times New Roman"/>
                <w:b/>
                <w:sz w:val="22"/>
                <w:lang w:val="en-AU"/>
              </w:rPr>
            </w:pPr>
            <w:r w:rsidRPr="00CC0663">
              <w:rPr>
                <w:rFonts w:ascii="Times New Roman" w:hAnsi="Times New Roman"/>
                <w:b/>
                <w:sz w:val="22"/>
                <w:lang w:val="en-AU"/>
              </w:rPr>
              <w:t>Complete haematological response</w:t>
            </w:r>
          </w:p>
        </w:tc>
        <w:tc>
          <w:tcPr>
            <w:tcW w:w="2391" w:type="dxa"/>
            <w:shd w:val="clear" w:color="auto" w:fill="auto"/>
          </w:tcPr>
          <w:p w:rsidR="0081650F" w:rsidRPr="00CC0663" w:rsidRDefault="0081650F" w:rsidP="00FC0B50">
            <w:pPr>
              <w:pStyle w:val="Table0"/>
              <w:spacing w:before="60" w:after="60"/>
              <w:jc w:val="center"/>
              <w:rPr>
                <w:rFonts w:ascii="Times New Roman" w:hAnsi="Times New Roman"/>
                <w:b/>
                <w:sz w:val="22"/>
                <w:lang w:val="en-AU"/>
              </w:rPr>
            </w:pPr>
            <w:r w:rsidRPr="00CC0663">
              <w:rPr>
                <w:rFonts w:ascii="Times New Roman" w:hAnsi="Times New Roman"/>
                <w:b/>
                <w:sz w:val="22"/>
                <w:lang w:val="en-AU"/>
              </w:rPr>
              <w:t>Partial haematological</w:t>
            </w:r>
            <w:r w:rsidR="00FC0B50" w:rsidRPr="00CC0663">
              <w:rPr>
                <w:rFonts w:ascii="Times New Roman" w:hAnsi="Times New Roman"/>
                <w:b/>
                <w:sz w:val="22"/>
                <w:lang w:val="en-AU"/>
              </w:rPr>
              <w:br/>
            </w:r>
            <w:r w:rsidRPr="00CC0663">
              <w:rPr>
                <w:rFonts w:ascii="Times New Roman" w:hAnsi="Times New Roman"/>
                <w:b/>
                <w:sz w:val="22"/>
                <w:lang w:val="en-AU"/>
              </w:rPr>
              <w:t xml:space="preserve">response </w:t>
            </w:r>
          </w:p>
        </w:tc>
      </w:tr>
      <w:tr w:rsidR="0081650F" w:rsidRPr="00057C4C">
        <w:trPr>
          <w:trHeight w:val="429"/>
          <w:jc w:val="center"/>
        </w:trPr>
        <w:tc>
          <w:tcPr>
            <w:tcW w:w="2677" w:type="dxa"/>
          </w:tcPr>
          <w:p w:rsidR="0081650F" w:rsidRPr="00CC0663" w:rsidRDefault="0081650F" w:rsidP="00FC0B50">
            <w:pPr>
              <w:pStyle w:val="Table0"/>
              <w:spacing w:before="60" w:after="60"/>
              <w:rPr>
                <w:rFonts w:ascii="Times New Roman" w:hAnsi="Times New Roman"/>
                <w:sz w:val="22"/>
                <w:lang w:val="en-AU"/>
              </w:rPr>
            </w:pPr>
            <w:r w:rsidRPr="00057C4C">
              <w:rPr>
                <w:rFonts w:ascii="Times New Roman" w:hAnsi="Times New Roman"/>
                <w:sz w:val="22"/>
                <w:lang w:val="en-GB"/>
              </w:rPr>
              <w:t>Positive FIP1L1-PDGFR</w:t>
            </w:r>
            <w:r w:rsidR="0063750A" w:rsidRPr="00057C4C">
              <w:rPr>
                <w:rFonts w:ascii="Symbol" w:hAnsi="Symbol"/>
                <w:lang w:val="en-GB"/>
              </w:rPr>
              <w:t></w:t>
            </w:r>
            <w:r w:rsidR="00E33392" w:rsidRPr="00057C4C">
              <w:rPr>
                <w:rFonts w:ascii="Symbol" w:hAnsi="Symbol"/>
                <w:lang w:val="en-GB"/>
              </w:rPr>
              <w:t></w:t>
            </w:r>
            <w:r w:rsidRPr="00057C4C">
              <w:rPr>
                <w:rFonts w:ascii="Times New Roman" w:hAnsi="Times New Roman"/>
                <w:sz w:val="22"/>
                <w:lang w:val="en-GB"/>
              </w:rPr>
              <w:t xml:space="preserve">fusion kinase </w:t>
            </w:r>
          </w:p>
        </w:tc>
        <w:tc>
          <w:tcPr>
            <w:tcW w:w="1035" w:type="dxa"/>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61</w:t>
            </w:r>
          </w:p>
        </w:tc>
        <w:tc>
          <w:tcPr>
            <w:tcW w:w="3055"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61</w:t>
            </w:r>
          </w:p>
        </w:tc>
        <w:tc>
          <w:tcPr>
            <w:tcW w:w="2391"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0</w:t>
            </w:r>
          </w:p>
        </w:tc>
      </w:tr>
      <w:tr w:rsidR="0081650F" w:rsidRPr="00057C4C">
        <w:trPr>
          <w:jc w:val="center"/>
        </w:trPr>
        <w:tc>
          <w:tcPr>
            <w:tcW w:w="2677" w:type="dxa"/>
          </w:tcPr>
          <w:p w:rsidR="0081650F" w:rsidRPr="00CC0663" w:rsidRDefault="0081650F" w:rsidP="00FC0B50">
            <w:pPr>
              <w:pStyle w:val="Table0"/>
              <w:spacing w:before="60" w:after="60"/>
              <w:rPr>
                <w:rFonts w:ascii="Times New Roman" w:hAnsi="Times New Roman"/>
                <w:sz w:val="22"/>
                <w:lang w:val="en-AU"/>
              </w:rPr>
            </w:pPr>
            <w:r w:rsidRPr="00057C4C">
              <w:rPr>
                <w:rFonts w:ascii="Times New Roman" w:hAnsi="Times New Roman"/>
                <w:sz w:val="22"/>
                <w:lang w:val="en-GB"/>
              </w:rPr>
              <w:t>Negative FIP1L1-PDGFR</w:t>
            </w:r>
            <w:r w:rsidR="0063750A" w:rsidRPr="00057C4C">
              <w:rPr>
                <w:rFonts w:ascii="Symbol" w:hAnsi="Symbol"/>
                <w:lang w:val="en-GB"/>
              </w:rPr>
              <w:t></w:t>
            </w:r>
            <w:r w:rsidRPr="00057C4C">
              <w:rPr>
                <w:rFonts w:ascii="Times New Roman" w:hAnsi="Times New Roman"/>
                <w:sz w:val="22"/>
                <w:lang w:val="en-GB"/>
              </w:rPr>
              <w:t xml:space="preserve"> fusion kinase</w:t>
            </w:r>
          </w:p>
        </w:tc>
        <w:tc>
          <w:tcPr>
            <w:tcW w:w="1035" w:type="dxa"/>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56</w:t>
            </w:r>
          </w:p>
        </w:tc>
        <w:tc>
          <w:tcPr>
            <w:tcW w:w="3055"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12</w:t>
            </w:r>
          </w:p>
        </w:tc>
        <w:tc>
          <w:tcPr>
            <w:tcW w:w="2391"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9</w:t>
            </w:r>
          </w:p>
        </w:tc>
      </w:tr>
      <w:tr w:rsidR="0081650F" w:rsidRPr="00057C4C">
        <w:trPr>
          <w:jc w:val="center"/>
        </w:trPr>
        <w:tc>
          <w:tcPr>
            <w:tcW w:w="2677" w:type="dxa"/>
          </w:tcPr>
          <w:p w:rsidR="0081650F" w:rsidRPr="00CC0663" w:rsidRDefault="0081650F" w:rsidP="00FC0B50">
            <w:pPr>
              <w:pStyle w:val="Table0"/>
              <w:spacing w:before="60" w:after="60"/>
              <w:rPr>
                <w:rFonts w:ascii="Times New Roman" w:hAnsi="Times New Roman"/>
                <w:sz w:val="22"/>
                <w:lang w:val="en-AU"/>
              </w:rPr>
            </w:pPr>
            <w:r w:rsidRPr="00CC0663">
              <w:rPr>
                <w:rFonts w:ascii="Times New Roman" w:hAnsi="Times New Roman"/>
                <w:sz w:val="22"/>
                <w:lang w:val="en-AU"/>
              </w:rPr>
              <w:t>Unknown cytogenetic abnormality detected</w:t>
            </w:r>
          </w:p>
        </w:tc>
        <w:tc>
          <w:tcPr>
            <w:tcW w:w="1035" w:type="dxa"/>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59</w:t>
            </w:r>
          </w:p>
        </w:tc>
        <w:tc>
          <w:tcPr>
            <w:tcW w:w="3055"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34</w:t>
            </w:r>
          </w:p>
        </w:tc>
        <w:tc>
          <w:tcPr>
            <w:tcW w:w="2391" w:type="dxa"/>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7</w:t>
            </w:r>
          </w:p>
        </w:tc>
      </w:tr>
      <w:tr w:rsidR="0081650F" w:rsidRPr="00057C4C">
        <w:trPr>
          <w:jc w:val="center"/>
        </w:trPr>
        <w:tc>
          <w:tcPr>
            <w:tcW w:w="2677" w:type="dxa"/>
            <w:tcBorders>
              <w:bottom w:val="single" w:sz="4" w:space="0" w:color="auto"/>
            </w:tcBorders>
          </w:tcPr>
          <w:p w:rsidR="0081650F" w:rsidRPr="00CC0663" w:rsidRDefault="0081650F" w:rsidP="00FC0B50">
            <w:pPr>
              <w:pStyle w:val="Table0"/>
              <w:spacing w:before="60" w:after="60"/>
              <w:rPr>
                <w:rFonts w:ascii="Times New Roman" w:hAnsi="Times New Roman"/>
                <w:sz w:val="22"/>
                <w:lang w:val="en-AU"/>
              </w:rPr>
            </w:pPr>
            <w:r w:rsidRPr="00CC0663">
              <w:rPr>
                <w:rFonts w:ascii="Times New Roman" w:hAnsi="Times New Roman"/>
                <w:sz w:val="22"/>
                <w:lang w:val="en-AU"/>
              </w:rPr>
              <w:t>Overall totals</w:t>
            </w:r>
          </w:p>
        </w:tc>
        <w:tc>
          <w:tcPr>
            <w:tcW w:w="1035" w:type="dxa"/>
            <w:tcBorders>
              <w:bottom w:val="single" w:sz="4" w:space="0" w:color="auto"/>
            </w:tcBorders>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176</w:t>
            </w:r>
          </w:p>
        </w:tc>
        <w:tc>
          <w:tcPr>
            <w:tcW w:w="3055" w:type="dxa"/>
            <w:tcBorders>
              <w:bottom w:val="single" w:sz="4" w:space="0" w:color="auto"/>
            </w:tcBorders>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107 (61%)</w:t>
            </w:r>
          </w:p>
        </w:tc>
        <w:tc>
          <w:tcPr>
            <w:tcW w:w="2391" w:type="dxa"/>
            <w:tcBorders>
              <w:bottom w:val="single" w:sz="4" w:space="0" w:color="auto"/>
            </w:tcBorders>
            <w:shd w:val="clear" w:color="auto" w:fill="auto"/>
          </w:tcPr>
          <w:p w:rsidR="0081650F" w:rsidRPr="00CC0663" w:rsidRDefault="0081650F" w:rsidP="00FC0B50">
            <w:pPr>
              <w:pStyle w:val="Table0"/>
              <w:spacing w:before="60" w:after="60"/>
              <w:jc w:val="center"/>
              <w:rPr>
                <w:rFonts w:ascii="Times New Roman" w:hAnsi="Times New Roman"/>
                <w:sz w:val="22"/>
                <w:lang w:val="en-AU"/>
              </w:rPr>
            </w:pPr>
            <w:r w:rsidRPr="00CC0663">
              <w:rPr>
                <w:rFonts w:ascii="Times New Roman" w:hAnsi="Times New Roman"/>
                <w:sz w:val="22"/>
                <w:lang w:val="en-AU"/>
              </w:rPr>
              <w:t>16 (9%)</w:t>
            </w:r>
          </w:p>
        </w:tc>
      </w:tr>
    </w:tbl>
    <w:p w:rsidR="00014579" w:rsidRPr="00057C4C" w:rsidRDefault="0081650F" w:rsidP="006D2CF6">
      <w:pPr>
        <w:pStyle w:val="paragraph"/>
        <w:spacing w:after="120"/>
        <w:jc w:val="left"/>
      </w:pPr>
      <w:r w:rsidRPr="00057C4C">
        <w:t>Additionally, improvements in symptomatology and other organ dysfunction abnormalities were reported by the investigators in the case reports. Improvements were reported in cardiac, nervous, skin/subcutaneous tissue, re</w:t>
      </w:r>
      <w:r w:rsidR="00AA0CFA" w:rsidRPr="00057C4C">
        <w:t xml:space="preserve">spiratory/thoracic/mediastinal, </w:t>
      </w:r>
      <w:r w:rsidRPr="00057C4C">
        <w:t>musculoskeletal/</w:t>
      </w:r>
      <w:r w:rsidR="00AA0CFA" w:rsidRPr="00057C4C">
        <w:br/>
      </w:r>
      <w:r w:rsidRPr="00057C4C">
        <w:t>connective tissue/vascular, and gastrointestinal organ systems.</w:t>
      </w:r>
    </w:p>
    <w:p w:rsidR="00014579" w:rsidRPr="00057C4C" w:rsidRDefault="00165828" w:rsidP="002B14EF">
      <w:pPr>
        <w:pStyle w:val="Heading2"/>
        <w:rPr>
          <w:lang w:val="en-GB"/>
        </w:rPr>
      </w:pPr>
      <w:r w:rsidRPr="00C32892">
        <w:rPr>
          <w:lang w:val="en-GB"/>
        </w:rPr>
        <w:t xml:space="preserve">Clinical studies in unresectable or metastatic </w:t>
      </w:r>
      <w:r w:rsidR="00014579" w:rsidRPr="00057C4C">
        <w:rPr>
          <w:lang w:val="en-GB"/>
        </w:rPr>
        <w:t>Gastrointestinal Stromal Tumours (GIST)</w:t>
      </w:r>
    </w:p>
    <w:p w:rsidR="00165828" w:rsidRPr="00057C4C" w:rsidRDefault="00165828" w:rsidP="00165828">
      <w:pPr>
        <w:pStyle w:val="Text"/>
        <w:spacing w:after="120"/>
      </w:pPr>
      <w:r w:rsidRPr="00057C4C">
        <w:t>Two open</w:t>
      </w:r>
      <w:r w:rsidRPr="00057C4C">
        <w:noBreakHyphen/>
        <w:t>label, randomi</w:t>
      </w:r>
      <w:r w:rsidR="00BD5ED7" w:rsidRPr="00057C4C">
        <w:t>s</w:t>
      </w:r>
      <w:r w:rsidRPr="00057C4C">
        <w:t xml:space="preserve">ed, multinational Phase </w:t>
      </w:r>
      <w:smartTag w:uri="urn:schemas-microsoft-com:office:smarttags" w:element="stockticker">
        <w:r w:rsidRPr="00057C4C">
          <w:t>III</w:t>
        </w:r>
      </w:smartTag>
      <w:r w:rsidRPr="00057C4C">
        <w:t xml:space="preserve"> studies (SWOG, EORTC) were conducted in patients with unresectable or metastatic malignant gastrointestinal stromal tumo</w:t>
      </w:r>
      <w:r w:rsidR="00BD5ED7" w:rsidRPr="00057C4C">
        <w:t>u</w:t>
      </w:r>
      <w:r w:rsidRPr="00057C4C">
        <w:t>rs (GIST). The design of these two studies were similar allowing a predefined combined analysis of safety and efficacy. A total of 1,640 patients were enrolled into the two studies and randomized 1:1 to receive either 400 mg or 800 mg orally q.d. continuously until disease progression or unacceptable toxicity. Patients in the 400 mg q.d. treatment group who experienced disease progression were permitted to crossover to receive treatment with 800 mg q.d. The studies were designed to compare response rates, progression free survival and overall survival between the dose groups. Median age at patient entry was 60 (range 17 to 94, 25</w:t>
      </w:r>
      <w:r w:rsidRPr="00057C4C">
        <w:rPr>
          <w:vertAlign w:val="superscript"/>
        </w:rPr>
        <w:t>th</w:t>
      </w:r>
      <w:r w:rsidRPr="00057C4C">
        <w:t>-75</w:t>
      </w:r>
      <w:r w:rsidRPr="00057C4C">
        <w:rPr>
          <w:vertAlign w:val="superscript"/>
        </w:rPr>
        <w:t>th</w:t>
      </w:r>
      <w:r w:rsidRPr="00057C4C">
        <w:t xml:space="preserve"> age percentile 50 to 69). Males comprised 58% of the patients enrolled. All patients had a pathologic diagnosis of CD117 positive unresectable and/or metastatic malignant GIST. </w:t>
      </w:r>
    </w:p>
    <w:p w:rsidR="00165828" w:rsidRPr="00057C4C" w:rsidRDefault="00165828" w:rsidP="00165828">
      <w:pPr>
        <w:pStyle w:val="Text"/>
        <w:spacing w:after="120"/>
      </w:pPr>
      <w:r w:rsidRPr="00057C4C">
        <w:t>The primary objective of the</w:t>
      </w:r>
      <w:r w:rsidR="007D12A8" w:rsidRPr="00057C4C">
        <w:t xml:space="preserve"> EORTC study was</w:t>
      </w:r>
      <w:r w:rsidRPr="00057C4C">
        <w:t xml:space="preserve"> to evaluate progression free survival (PFS) with a secondary objective </w:t>
      </w:r>
      <w:r w:rsidR="007D12A8" w:rsidRPr="00057C4C">
        <w:t>to evaluate</w:t>
      </w:r>
      <w:r w:rsidRPr="00057C4C">
        <w:t xml:space="preserve"> overall survival (OS) </w:t>
      </w:r>
      <w:r w:rsidR="0059036C" w:rsidRPr="00057C4C">
        <w:t>The primary objective of the SWOG trial was to evaluate</w:t>
      </w:r>
      <w:r w:rsidRPr="00057C4C">
        <w:t xml:space="preserve"> </w:t>
      </w:r>
      <w:r w:rsidR="0059036C" w:rsidRPr="00057C4C">
        <w:t>OS</w:t>
      </w:r>
      <w:r w:rsidRPr="00057C4C">
        <w:t xml:space="preserve"> with a secondary objective</w:t>
      </w:r>
      <w:r w:rsidR="0059036C" w:rsidRPr="00057C4C">
        <w:t>,</w:t>
      </w:r>
      <w:r w:rsidRPr="00057C4C">
        <w:t xml:space="preserve"> PFS</w:t>
      </w:r>
      <w:r w:rsidR="0059036C" w:rsidRPr="00057C4C">
        <w:t>.</w:t>
      </w:r>
      <w:r w:rsidRPr="00057C4C">
        <w:t xml:space="preserve"> A planned analysis of both </w:t>
      </w:r>
      <w:r w:rsidRPr="00057C4C">
        <w:lastRenderedPageBreak/>
        <w:t xml:space="preserve">OS and PFS from the combined datasets from these two studies was conducted. </w:t>
      </w:r>
      <w:r w:rsidR="00FB4944" w:rsidRPr="00057C4C">
        <w:t>Neither study showed an advantage for the higher daily dose of 800 mg, so the data from both trials were pooled. No benefit of the higher dose was seen in OS or in Best Overall Tumour Response rates from the analysis of the pooled data, but a statistically significant increase in PFS was shown</w:t>
      </w:r>
      <w:r w:rsidRPr="00057C4C">
        <w:t xml:space="preserve"> </w:t>
      </w:r>
      <w:r w:rsidR="00FB4944" w:rsidRPr="00057C4C">
        <w:t>(</w:t>
      </w:r>
      <w:r w:rsidRPr="00057C4C">
        <w:t xml:space="preserve">Table </w:t>
      </w:r>
      <w:r w:rsidR="00E33392" w:rsidRPr="00057C4C">
        <w:t>8</w:t>
      </w:r>
      <w:r w:rsidR="00FB4944" w:rsidRPr="00057C4C">
        <w:t>)</w:t>
      </w:r>
      <w:r w:rsidRPr="00057C4C">
        <w:t>.</w:t>
      </w:r>
    </w:p>
    <w:p w:rsidR="00165828" w:rsidRPr="00057C4C" w:rsidRDefault="00165828" w:rsidP="0063750A">
      <w:pPr>
        <w:pStyle w:val="Heading6"/>
        <w:tabs>
          <w:tab w:val="left" w:pos="4536"/>
        </w:tabs>
        <w:ind w:left="851" w:hanging="851"/>
        <w:jc w:val="center"/>
        <w:rPr>
          <w:rFonts w:ascii="Times New Roman" w:hAnsi="Times New Roman"/>
          <w:szCs w:val="24"/>
        </w:rPr>
      </w:pPr>
      <w:r w:rsidRPr="00057C4C">
        <w:rPr>
          <w:rFonts w:ascii="Times New Roman" w:hAnsi="Times New Roman"/>
          <w:szCs w:val="24"/>
        </w:rPr>
        <w:t xml:space="preserve">Table </w:t>
      </w:r>
      <w:r w:rsidR="00E33392" w:rsidRPr="00057C4C">
        <w:rPr>
          <w:rFonts w:ascii="Times New Roman" w:hAnsi="Times New Roman"/>
          <w:szCs w:val="24"/>
        </w:rPr>
        <w:t xml:space="preserve">8 </w:t>
      </w:r>
      <w:r w:rsidRPr="00057C4C">
        <w:rPr>
          <w:rFonts w:ascii="Times New Roman" w:hAnsi="Times New Roman"/>
          <w:szCs w:val="24"/>
        </w:rPr>
        <w:t xml:space="preserve">Overall survival, Progression Free Survival and </w:t>
      </w:r>
      <w:r w:rsidR="00626081">
        <w:rPr>
          <w:rFonts w:ascii="Times New Roman" w:hAnsi="Times New Roman"/>
          <w:szCs w:val="24"/>
        </w:rPr>
        <w:t>Tumour</w:t>
      </w:r>
      <w:r w:rsidRPr="00057C4C">
        <w:rPr>
          <w:rFonts w:ascii="Times New Roman" w:hAnsi="Times New Roman"/>
          <w:szCs w:val="24"/>
        </w:rPr>
        <w:t xml:space="preserve"> Response Rates in the</w:t>
      </w:r>
      <w:r w:rsidR="003971C1" w:rsidRPr="00057C4C">
        <w:rPr>
          <w:rFonts w:ascii="Times New Roman" w:hAnsi="Times New Roman"/>
          <w:szCs w:val="24"/>
        </w:rPr>
        <w:t xml:space="preserve"> </w:t>
      </w:r>
      <w:r w:rsidRPr="00057C4C">
        <w:rPr>
          <w:rFonts w:ascii="Times New Roman" w:hAnsi="Times New Roman"/>
          <w:szCs w:val="24"/>
        </w:rPr>
        <w:t>Phase III GIST Trials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5"/>
        <w:gridCol w:w="1912"/>
        <w:gridCol w:w="1793"/>
        <w:gridCol w:w="2101"/>
      </w:tblGrid>
      <w:tr w:rsidR="00165828" w:rsidRPr="00057C4C" w:rsidTr="00073C62">
        <w:tc>
          <w:tcPr>
            <w:tcW w:w="3345" w:type="dxa"/>
            <w:tcBorders>
              <w:top w:val="single" w:sz="4" w:space="0" w:color="auto"/>
              <w:bottom w:val="single" w:sz="4" w:space="0" w:color="auto"/>
            </w:tcBorders>
          </w:tcPr>
          <w:p w:rsidR="00165828" w:rsidRPr="00057C4C" w:rsidRDefault="00165828" w:rsidP="00073C62">
            <w:pPr>
              <w:pStyle w:val="Table0"/>
              <w:tabs>
                <w:tab w:val="left" w:pos="4536"/>
              </w:tabs>
              <w:rPr>
                <w:rFonts w:ascii="Times New Roman" w:hAnsi="Times New Roman"/>
                <w:b/>
                <w:sz w:val="22"/>
                <w:szCs w:val="22"/>
                <w:lang w:val="en-GB"/>
              </w:rPr>
            </w:pPr>
          </w:p>
        </w:tc>
        <w:tc>
          <w:tcPr>
            <w:tcW w:w="1912" w:type="dxa"/>
            <w:tcBorders>
              <w:top w:val="single" w:sz="4" w:space="0" w:color="auto"/>
              <w:bottom w:val="single" w:sz="4" w:space="0" w:color="auto"/>
            </w:tcBorders>
          </w:tcPr>
          <w:p w:rsidR="00165828" w:rsidRPr="00057C4C" w:rsidRDefault="00165828" w:rsidP="00073C62">
            <w:pPr>
              <w:pStyle w:val="Table0"/>
              <w:tabs>
                <w:tab w:val="left" w:pos="4536"/>
              </w:tabs>
              <w:jc w:val="center"/>
              <w:rPr>
                <w:rFonts w:ascii="Times New Roman" w:hAnsi="Times New Roman"/>
                <w:b/>
                <w:sz w:val="22"/>
                <w:szCs w:val="22"/>
                <w:lang w:val="en-GB"/>
              </w:rPr>
            </w:pPr>
            <w:r w:rsidRPr="00057C4C">
              <w:rPr>
                <w:rFonts w:ascii="Times New Roman" w:hAnsi="Times New Roman"/>
                <w:b/>
                <w:sz w:val="22"/>
                <w:szCs w:val="22"/>
                <w:lang w:val="en-GB"/>
              </w:rPr>
              <w:t>Glivec 400 mg</w:t>
            </w:r>
          </w:p>
          <w:p w:rsidR="00165828" w:rsidRPr="00057C4C" w:rsidRDefault="00165828" w:rsidP="00073C62">
            <w:pPr>
              <w:pStyle w:val="Table0"/>
              <w:tabs>
                <w:tab w:val="left" w:pos="4536"/>
              </w:tabs>
              <w:jc w:val="center"/>
              <w:rPr>
                <w:rFonts w:ascii="Times New Roman" w:hAnsi="Times New Roman"/>
                <w:b/>
                <w:sz w:val="22"/>
                <w:szCs w:val="22"/>
                <w:lang w:val="en-GB"/>
              </w:rPr>
            </w:pPr>
            <w:r w:rsidRPr="00057C4C">
              <w:rPr>
                <w:rFonts w:ascii="Times New Roman" w:hAnsi="Times New Roman"/>
                <w:b/>
                <w:sz w:val="22"/>
                <w:szCs w:val="22"/>
                <w:lang w:val="en-GB"/>
              </w:rPr>
              <w:t>N=818</w:t>
            </w:r>
          </w:p>
        </w:tc>
        <w:tc>
          <w:tcPr>
            <w:tcW w:w="1793" w:type="dxa"/>
            <w:tcBorders>
              <w:top w:val="single" w:sz="4" w:space="0" w:color="auto"/>
              <w:bottom w:val="single" w:sz="4" w:space="0" w:color="auto"/>
            </w:tcBorders>
          </w:tcPr>
          <w:p w:rsidR="00165828" w:rsidRPr="00057C4C" w:rsidRDefault="00165828" w:rsidP="00073C62">
            <w:pPr>
              <w:pStyle w:val="Table0"/>
              <w:tabs>
                <w:tab w:val="left" w:pos="4536"/>
              </w:tabs>
              <w:jc w:val="center"/>
              <w:rPr>
                <w:rFonts w:ascii="Times New Roman" w:hAnsi="Times New Roman"/>
                <w:b/>
                <w:sz w:val="22"/>
                <w:szCs w:val="22"/>
                <w:lang w:val="en-GB"/>
              </w:rPr>
            </w:pPr>
            <w:r w:rsidRPr="00057C4C">
              <w:rPr>
                <w:rFonts w:ascii="Times New Roman" w:hAnsi="Times New Roman"/>
                <w:b/>
                <w:sz w:val="22"/>
                <w:szCs w:val="22"/>
                <w:lang w:val="en-GB"/>
              </w:rPr>
              <w:t>Glivec 800 mg</w:t>
            </w:r>
          </w:p>
          <w:p w:rsidR="00165828" w:rsidRPr="00057C4C" w:rsidRDefault="00165828" w:rsidP="00073C62">
            <w:pPr>
              <w:pStyle w:val="Table0"/>
              <w:tabs>
                <w:tab w:val="left" w:pos="4536"/>
              </w:tabs>
              <w:jc w:val="center"/>
              <w:rPr>
                <w:rFonts w:ascii="Times New Roman" w:hAnsi="Times New Roman"/>
                <w:b/>
                <w:sz w:val="22"/>
                <w:szCs w:val="22"/>
                <w:lang w:val="en-GB"/>
              </w:rPr>
            </w:pPr>
            <w:r w:rsidRPr="00057C4C">
              <w:rPr>
                <w:rFonts w:ascii="Times New Roman" w:hAnsi="Times New Roman"/>
                <w:b/>
                <w:sz w:val="22"/>
                <w:szCs w:val="22"/>
                <w:lang w:val="en-GB"/>
              </w:rPr>
              <w:t>N=822</w:t>
            </w:r>
          </w:p>
        </w:tc>
        <w:tc>
          <w:tcPr>
            <w:tcW w:w="2101" w:type="dxa"/>
            <w:tcBorders>
              <w:top w:val="single" w:sz="4" w:space="0" w:color="auto"/>
              <w:bottom w:val="single" w:sz="4" w:space="0" w:color="auto"/>
            </w:tcBorders>
          </w:tcPr>
          <w:p w:rsidR="00165828" w:rsidRPr="00057C4C" w:rsidRDefault="00165828" w:rsidP="00073C62">
            <w:pPr>
              <w:pStyle w:val="Table0"/>
              <w:tabs>
                <w:tab w:val="left" w:pos="4536"/>
              </w:tabs>
              <w:jc w:val="center"/>
              <w:rPr>
                <w:rFonts w:ascii="Times New Roman" w:hAnsi="Times New Roman"/>
                <w:b/>
                <w:sz w:val="22"/>
                <w:szCs w:val="22"/>
                <w:lang w:val="en-GB"/>
              </w:rPr>
            </w:pPr>
            <w:r w:rsidRPr="00057C4C">
              <w:rPr>
                <w:rFonts w:ascii="Times New Roman" w:hAnsi="Times New Roman"/>
                <w:b/>
                <w:sz w:val="22"/>
                <w:szCs w:val="22"/>
                <w:lang w:val="en-GB"/>
              </w:rPr>
              <w:t>Total</w:t>
            </w:r>
          </w:p>
          <w:p w:rsidR="00165828" w:rsidRPr="00057C4C" w:rsidRDefault="00165828" w:rsidP="00073C62">
            <w:pPr>
              <w:pStyle w:val="Table0"/>
              <w:tabs>
                <w:tab w:val="left" w:pos="4536"/>
              </w:tabs>
              <w:jc w:val="center"/>
              <w:rPr>
                <w:rFonts w:ascii="Times New Roman" w:hAnsi="Times New Roman"/>
                <w:b/>
                <w:sz w:val="22"/>
                <w:szCs w:val="22"/>
                <w:lang w:val="en-GB"/>
              </w:rPr>
            </w:pPr>
            <w:r w:rsidRPr="00057C4C">
              <w:rPr>
                <w:rFonts w:ascii="Times New Roman" w:hAnsi="Times New Roman"/>
                <w:b/>
                <w:sz w:val="22"/>
                <w:szCs w:val="22"/>
                <w:lang w:val="en-GB"/>
              </w:rPr>
              <w:t>N=1640</w:t>
            </w:r>
          </w:p>
        </w:tc>
      </w:tr>
      <w:tr w:rsidR="00165828" w:rsidRPr="00057C4C" w:rsidTr="00073C62">
        <w:tc>
          <w:tcPr>
            <w:tcW w:w="3345" w:type="dxa"/>
            <w:tcBorders>
              <w:top w:val="single" w:sz="4" w:space="0" w:color="auto"/>
            </w:tcBorders>
          </w:tcPr>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Progression Free Survival (months)</w:t>
            </w:r>
          </w:p>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(50% median)</w:t>
            </w:r>
          </w:p>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[95% CI]</w:t>
            </w:r>
          </w:p>
          <w:p w:rsidR="00165828" w:rsidRPr="00057C4C" w:rsidRDefault="00165828" w:rsidP="00073C62">
            <w:pPr>
              <w:pStyle w:val="Table0"/>
              <w:tabs>
                <w:tab w:val="left" w:pos="4536"/>
              </w:tabs>
              <w:rPr>
                <w:rFonts w:ascii="Times New Roman" w:hAnsi="Times New Roman"/>
                <w:sz w:val="22"/>
                <w:szCs w:val="22"/>
                <w:lang w:val="en-GB"/>
              </w:rPr>
            </w:pPr>
          </w:p>
        </w:tc>
        <w:tc>
          <w:tcPr>
            <w:tcW w:w="1912" w:type="dxa"/>
            <w:tcBorders>
              <w:top w:val="single" w:sz="4" w:space="0" w:color="auto"/>
            </w:tcBorders>
          </w:tcPr>
          <w:p w:rsidR="00165828" w:rsidRPr="00057C4C" w:rsidRDefault="00165828" w:rsidP="00073C62">
            <w:pPr>
              <w:pStyle w:val="Table0"/>
              <w:tabs>
                <w:tab w:val="left" w:pos="4536"/>
              </w:tabs>
              <w:jc w:val="center"/>
              <w:rPr>
                <w:rFonts w:ascii="Times New Roman" w:hAnsi="Times New Roman"/>
                <w:sz w:val="22"/>
                <w:szCs w:val="22"/>
                <w:lang w:val="en-GB"/>
              </w:rPr>
            </w:pP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18.9</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[17.4-21.2]</w:t>
            </w:r>
          </w:p>
        </w:tc>
        <w:tc>
          <w:tcPr>
            <w:tcW w:w="1793" w:type="dxa"/>
            <w:tcBorders>
              <w:top w:val="single" w:sz="4" w:space="0" w:color="auto"/>
            </w:tcBorders>
          </w:tcPr>
          <w:p w:rsidR="00165828" w:rsidRPr="00057C4C" w:rsidRDefault="00165828" w:rsidP="00073C62">
            <w:pPr>
              <w:pStyle w:val="Table0"/>
              <w:tabs>
                <w:tab w:val="left" w:pos="4536"/>
              </w:tabs>
              <w:jc w:val="center"/>
              <w:rPr>
                <w:rFonts w:ascii="Times New Roman" w:hAnsi="Times New Roman"/>
                <w:sz w:val="22"/>
                <w:szCs w:val="22"/>
                <w:lang w:val="en-GB"/>
              </w:rPr>
            </w:pP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23.2</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[20.8-24.9]</w:t>
            </w:r>
          </w:p>
        </w:tc>
        <w:tc>
          <w:tcPr>
            <w:tcW w:w="2101" w:type="dxa"/>
            <w:tcBorders>
              <w:top w:val="single" w:sz="4" w:space="0" w:color="auto"/>
            </w:tcBorders>
          </w:tcPr>
          <w:p w:rsidR="00165828" w:rsidRPr="00057C4C" w:rsidRDefault="00165828" w:rsidP="00073C62">
            <w:pPr>
              <w:pStyle w:val="Table0"/>
              <w:tabs>
                <w:tab w:val="left" w:pos="4536"/>
              </w:tabs>
              <w:jc w:val="center"/>
              <w:rPr>
                <w:rFonts w:ascii="Times New Roman" w:hAnsi="Times New Roman"/>
                <w:sz w:val="22"/>
                <w:szCs w:val="22"/>
                <w:lang w:val="en-GB"/>
              </w:rPr>
            </w:pP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21.0</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[19.4-22.5]</w:t>
            </w:r>
          </w:p>
        </w:tc>
      </w:tr>
      <w:tr w:rsidR="00165828" w:rsidRPr="00057C4C" w:rsidTr="00073C62">
        <w:tc>
          <w:tcPr>
            <w:tcW w:w="3345" w:type="dxa"/>
          </w:tcPr>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Overall Survival (months)</w:t>
            </w:r>
          </w:p>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[95% CI]</w:t>
            </w:r>
          </w:p>
          <w:p w:rsidR="00165828" w:rsidRPr="00057C4C" w:rsidRDefault="00165828" w:rsidP="00073C62">
            <w:pPr>
              <w:pStyle w:val="Table0"/>
              <w:tabs>
                <w:tab w:val="left" w:pos="4536"/>
              </w:tabs>
              <w:rPr>
                <w:rFonts w:ascii="Times New Roman" w:hAnsi="Times New Roman"/>
                <w:sz w:val="22"/>
                <w:szCs w:val="22"/>
                <w:lang w:val="en-GB"/>
              </w:rPr>
            </w:pPr>
          </w:p>
        </w:tc>
        <w:tc>
          <w:tcPr>
            <w:tcW w:w="1912" w:type="dxa"/>
          </w:tcPr>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49.0</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[45.3-60.0]</w:t>
            </w:r>
          </w:p>
        </w:tc>
        <w:tc>
          <w:tcPr>
            <w:tcW w:w="1793" w:type="dxa"/>
          </w:tcPr>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48.7</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[45.3-51.6]</w:t>
            </w:r>
          </w:p>
        </w:tc>
        <w:tc>
          <w:tcPr>
            <w:tcW w:w="2101" w:type="dxa"/>
          </w:tcPr>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48.8</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[46.3-51.6]</w:t>
            </w:r>
          </w:p>
        </w:tc>
      </w:tr>
      <w:tr w:rsidR="00165828" w:rsidRPr="00057C4C" w:rsidTr="00073C62">
        <w:tc>
          <w:tcPr>
            <w:tcW w:w="3345" w:type="dxa"/>
            <w:tcBorders>
              <w:bottom w:val="single" w:sz="4" w:space="0" w:color="auto"/>
            </w:tcBorders>
          </w:tcPr>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 xml:space="preserve">Best Overall </w:t>
            </w:r>
            <w:r w:rsidR="00626081">
              <w:rPr>
                <w:rFonts w:ascii="Times New Roman" w:hAnsi="Times New Roman"/>
                <w:sz w:val="22"/>
                <w:szCs w:val="22"/>
                <w:lang w:val="en-GB"/>
              </w:rPr>
              <w:t>Tumour</w:t>
            </w:r>
            <w:r w:rsidRPr="00057C4C">
              <w:rPr>
                <w:rFonts w:ascii="Times New Roman" w:hAnsi="Times New Roman"/>
                <w:sz w:val="22"/>
                <w:szCs w:val="22"/>
                <w:lang w:val="en-GB"/>
              </w:rPr>
              <w:t xml:space="preserve"> Response</w:t>
            </w:r>
          </w:p>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ab/>
              <w:t>Complete Response (CR)</w:t>
            </w:r>
          </w:p>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ab/>
              <w:t>Partial Response (PR)</w:t>
            </w:r>
          </w:p>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ab/>
              <w:t>Not Confirmed (NC)*</w:t>
            </w:r>
          </w:p>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ab/>
              <w:t>Progressive Disease</w:t>
            </w:r>
          </w:p>
          <w:p w:rsidR="00165828" w:rsidRPr="00057C4C" w:rsidRDefault="00165828" w:rsidP="00073C62">
            <w:pPr>
              <w:pStyle w:val="Table0"/>
              <w:tabs>
                <w:tab w:val="left" w:pos="4536"/>
              </w:tabs>
              <w:rPr>
                <w:rFonts w:ascii="Times New Roman" w:hAnsi="Times New Roman"/>
                <w:sz w:val="22"/>
                <w:szCs w:val="22"/>
                <w:lang w:val="en-GB"/>
              </w:rPr>
            </w:pPr>
            <w:r w:rsidRPr="00057C4C">
              <w:rPr>
                <w:rFonts w:ascii="Times New Roman" w:hAnsi="Times New Roman"/>
                <w:sz w:val="22"/>
                <w:szCs w:val="22"/>
                <w:lang w:val="en-GB"/>
              </w:rPr>
              <w:tab/>
              <w:t>Missing</w:t>
            </w:r>
          </w:p>
        </w:tc>
        <w:tc>
          <w:tcPr>
            <w:tcW w:w="1912" w:type="dxa"/>
            <w:tcBorders>
              <w:bottom w:val="single" w:sz="4" w:space="0" w:color="auto"/>
            </w:tcBorders>
          </w:tcPr>
          <w:p w:rsidR="00165828" w:rsidRPr="00057C4C" w:rsidRDefault="00165828" w:rsidP="00073C62">
            <w:pPr>
              <w:pStyle w:val="Table0"/>
              <w:tabs>
                <w:tab w:val="left" w:pos="4536"/>
              </w:tabs>
              <w:jc w:val="center"/>
              <w:rPr>
                <w:rFonts w:ascii="Times New Roman" w:hAnsi="Times New Roman"/>
                <w:sz w:val="22"/>
                <w:szCs w:val="22"/>
                <w:lang w:val="en-GB"/>
              </w:rPr>
            </w:pP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43 (5.3%)</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377 (46.1%)</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235 (28.7%</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103 (12.6%)</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60 (7.3%)</w:t>
            </w:r>
          </w:p>
        </w:tc>
        <w:tc>
          <w:tcPr>
            <w:tcW w:w="1793" w:type="dxa"/>
            <w:tcBorders>
              <w:bottom w:val="single" w:sz="4" w:space="0" w:color="auto"/>
            </w:tcBorders>
          </w:tcPr>
          <w:p w:rsidR="00165828" w:rsidRPr="00057C4C" w:rsidRDefault="00165828" w:rsidP="00073C62">
            <w:pPr>
              <w:pStyle w:val="Table0"/>
              <w:tabs>
                <w:tab w:val="left" w:pos="4536"/>
              </w:tabs>
              <w:jc w:val="center"/>
              <w:rPr>
                <w:rFonts w:ascii="Times New Roman" w:hAnsi="Times New Roman"/>
                <w:sz w:val="22"/>
                <w:szCs w:val="22"/>
                <w:lang w:val="en-GB"/>
              </w:rPr>
            </w:pP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41 (5.0%)</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402 (48.9%)</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224 (27.3%)</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78 (9.5%)</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77 (9.4%)</w:t>
            </w:r>
          </w:p>
        </w:tc>
        <w:tc>
          <w:tcPr>
            <w:tcW w:w="2101" w:type="dxa"/>
            <w:tcBorders>
              <w:bottom w:val="single" w:sz="4" w:space="0" w:color="auto"/>
            </w:tcBorders>
          </w:tcPr>
          <w:p w:rsidR="00165828" w:rsidRPr="00057C4C" w:rsidRDefault="00165828" w:rsidP="00073C62">
            <w:pPr>
              <w:pStyle w:val="Table0"/>
              <w:tabs>
                <w:tab w:val="left" w:pos="4536"/>
              </w:tabs>
              <w:jc w:val="center"/>
              <w:rPr>
                <w:rFonts w:ascii="Times New Roman" w:hAnsi="Times New Roman"/>
                <w:sz w:val="22"/>
                <w:szCs w:val="22"/>
                <w:lang w:val="en-GB"/>
              </w:rPr>
            </w:pP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84 (5.1%)</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779 (47.5%)</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459 (28.0%)</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181 (11.0%)</w:t>
            </w:r>
          </w:p>
          <w:p w:rsidR="00165828" w:rsidRPr="00057C4C" w:rsidRDefault="00165828" w:rsidP="00073C62">
            <w:pPr>
              <w:pStyle w:val="Table0"/>
              <w:tabs>
                <w:tab w:val="left" w:pos="4536"/>
              </w:tabs>
              <w:jc w:val="center"/>
              <w:rPr>
                <w:rFonts w:ascii="Times New Roman" w:hAnsi="Times New Roman"/>
                <w:sz w:val="22"/>
                <w:szCs w:val="22"/>
                <w:lang w:val="en-GB"/>
              </w:rPr>
            </w:pPr>
            <w:r w:rsidRPr="00057C4C">
              <w:rPr>
                <w:rFonts w:ascii="Times New Roman" w:hAnsi="Times New Roman"/>
                <w:sz w:val="22"/>
                <w:szCs w:val="22"/>
                <w:lang w:val="en-GB"/>
              </w:rPr>
              <w:t>137 (8.4%)</w:t>
            </w:r>
          </w:p>
          <w:p w:rsidR="00404A38" w:rsidRPr="00057C4C" w:rsidRDefault="00404A38" w:rsidP="00073C62">
            <w:pPr>
              <w:pStyle w:val="Table0"/>
              <w:tabs>
                <w:tab w:val="left" w:pos="4536"/>
              </w:tabs>
              <w:jc w:val="center"/>
              <w:rPr>
                <w:rFonts w:ascii="Times New Roman" w:hAnsi="Times New Roman"/>
                <w:sz w:val="22"/>
                <w:szCs w:val="22"/>
                <w:lang w:val="en-GB"/>
              </w:rPr>
            </w:pPr>
          </w:p>
        </w:tc>
      </w:tr>
    </w:tbl>
    <w:p w:rsidR="00165828" w:rsidRPr="00057C4C" w:rsidRDefault="00165828" w:rsidP="00F449AB">
      <w:pPr>
        <w:pStyle w:val="Text"/>
        <w:tabs>
          <w:tab w:val="left" w:pos="4536"/>
        </w:tabs>
        <w:spacing w:after="120"/>
        <w:jc w:val="left"/>
        <w:rPr>
          <w:sz w:val="20"/>
        </w:rPr>
      </w:pPr>
      <w:r w:rsidRPr="00057C4C">
        <w:rPr>
          <w:sz w:val="20"/>
          <w:vertAlign w:val="superscript"/>
        </w:rPr>
        <w:t>*</w:t>
      </w:r>
      <w:r w:rsidRPr="00057C4C">
        <w:rPr>
          <w:sz w:val="20"/>
        </w:rPr>
        <w:t>NC includes patients with unconfirmed responses, no change and lack of progressive disease</w:t>
      </w:r>
    </w:p>
    <w:p w:rsidR="00165828" w:rsidRPr="00057C4C" w:rsidRDefault="00165828" w:rsidP="00A402D1">
      <w:pPr>
        <w:pStyle w:val="Text"/>
        <w:spacing w:after="120"/>
        <w:jc w:val="left"/>
      </w:pPr>
      <w:r w:rsidRPr="00057C4C">
        <w:t>Median follow up for the combined studies was 37.5 months (25</w:t>
      </w:r>
      <w:r w:rsidRPr="00057C4C">
        <w:rPr>
          <w:vertAlign w:val="superscript"/>
        </w:rPr>
        <w:t>th</w:t>
      </w:r>
      <w:r w:rsidRPr="00057C4C">
        <w:t xml:space="preserve"> – 75</w:t>
      </w:r>
      <w:r w:rsidRPr="00057C4C">
        <w:rPr>
          <w:vertAlign w:val="superscript"/>
        </w:rPr>
        <w:t>th</w:t>
      </w:r>
      <w:r w:rsidRPr="00057C4C">
        <w:t xml:space="preserve"> percentile 19 to 46 months). There was a statistically significant improvement in PFS in the 800 mg treatment group (23.2 months [95% CI, 20.8 to 24.9]) compared to the 400 mg treatment group (18.9 months [95% CI, 17.4 to 21.2]) (p=0.03). However, there were no observed differences in overall survival between the treatment groups (p=0.98). The estimated overall PFS for all 1640 patients in these Phase III studies was 21 months [95% CI 19.4 to 22.5] and the estimated OS of 48.8 months [95% CI 46.3 to 51.6]. 5.1% of patients achieved a confirmed complete response and 47.5% achieved a partial response. Treatment at either dose level was generally well tolerated and overall 5.4% of patients withdrew due to toxicity. </w:t>
      </w:r>
    </w:p>
    <w:p w:rsidR="000C01E3" w:rsidRPr="00057C4C" w:rsidRDefault="00165828" w:rsidP="00A402D1">
      <w:pPr>
        <w:pStyle w:val="Text"/>
        <w:spacing w:after="120"/>
        <w:jc w:val="left"/>
      </w:pPr>
      <w:r w:rsidRPr="00057C4C">
        <w:t>Patients who crossed over following disease progression from the 400 mg/day treatment group to the 800 mg/day treatment (</w:t>
      </w:r>
      <w:r w:rsidR="00DD2067" w:rsidRPr="00057C4C">
        <w:t>N</w:t>
      </w:r>
      <w:r w:rsidRPr="00057C4C">
        <w:t>=347) had a 3.4 month median and 7.7 month mean exposure to Glivec following crossover. Overall survival of patients following crossover was 14.3 months [95% CI  12.2 to 16.7] and 19.3% of these patients were still alive at 48 months.</w:t>
      </w:r>
      <w:r w:rsidR="00A402D1" w:rsidRPr="00057C4C" w:rsidDel="00165828">
        <w:t xml:space="preserve"> </w:t>
      </w:r>
    </w:p>
    <w:p w:rsidR="00014579" w:rsidRPr="00057C4C" w:rsidRDefault="00014579" w:rsidP="00A402D1">
      <w:pPr>
        <w:pStyle w:val="Text"/>
        <w:spacing w:after="120"/>
        <w:jc w:val="left"/>
      </w:pPr>
      <w:r w:rsidRPr="00057C4C">
        <w:t xml:space="preserve">One phase </w:t>
      </w:r>
      <w:r w:rsidR="00165828" w:rsidRPr="00057C4C">
        <w:t>II</w:t>
      </w:r>
      <w:r w:rsidRPr="00057C4C">
        <w:t>, open-label, randomised multinational study was conducted in patients with unresectable or metastatic malignant gastrointestinal stromal tumours (GIST). In this study 147 patients were enrolled and randomised to receive either 400 mg or 600 mg Glivec orally daily for up to</w:t>
      </w:r>
      <w:r w:rsidR="00AB3942" w:rsidRPr="00057C4C">
        <w:t xml:space="preserve"> 36</w:t>
      </w:r>
      <w:r w:rsidRPr="00057C4C">
        <w:t xml:space="preserve"> months. These patients ranged in age from 18 to 83 years old and had a pathologic diagnosis of Kit-positive malignant GIST that was unresectable and/or metastatic. </w:t>
      </w:r>
    </w:p>
    <w:p w:rsidR="00014579" w:rsidRPr="00057C4C" w:rsidRDefault="00014579" w:rsidP="00A402D1">
      <w:pPr>
        <w:pStyle w:val="Text"/>
        <w:spacing w:after="120"/>
        <w:jc w:val="left"/>
      </w:pPr>
      <w:r w:rsidRPr="00057C4C">
        <w:t xml:space="preserve">The primary evidence of efficacy was based on objective response rates.  Tumours were required to be measurable in at least one site of disease and response characterisation was based on Southwestern Oncology Group (SWOG) criteria. </w:t>
      </w:r>
      <w:r w:rsidR="000274D0" w:rsidRPr="00057C4C">
        <w:rPr>
          <w:lang w:val="en-GB"/>
        </w:rPr>
        <w:t xml:space="preserve">In this study, 83% of the patients achieved either a complete response, partial response or stable disease. </w:t>
      </w:r>
      <w:r w:rsidRPr="00057C4C">
        <w:t xml:space="preserve">Results are provided in Table </w:t>
      </w:r>
      <w:r w:rsidR="00E433C3" w:rsidRPr="00057C4C">
        <w:t>9</w:t>
      </w:r>
      <w:r w:rsidRPr="00057C4C">
        <w:t>.</w:t>
      </w:r>
    </w:p>
    <w:p w:rsidR="00014579" w:rsidRPr="00057C4C" w:rsidRDefault="00014579" w:rsidP="00544E16">
      <w:pPr>
        <w:pStyle w:val="Text"/>
        <w:spacing w:after="120"/>
        <w:ind w:left="567"/>
        <w:jc w:val="left"/>
        <w:rPr>
          <w:b/>
        </w:rPr>
      </w:pPr>
      <w:r w:rsidRPr="00057C4C">
        <w:rPr>
          <w:b/>
        </w:rPr>
        <w:lastRenderedPageBreak/>
        <w:t xml:space="preserve">Table </w:t>
      </w:r>
      <w:r w:rsidR="00E433C3" w:rsidRPr="00057C4C">
        <w:rPr>
          <w:b/>
        </w:rPr>
        <w:t xml:space="preserve">9 </w:t>
      </w:r>
      <w:r w:rsidRPr="00057C4C">
        <w:rPr>
          <w:b/>
        </w:rPr>
        <w:t>Tumour response in GIST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134"/>
        <w:gridCol w:w="2268"/>
        <w:gridCol w:w="2127"/>
      </w:tblGrid>
      <w:tr w:rsidR="00014579" w:rsidRPr="00057C4C">
        <w:tc>
          <w:tcPr>
            <w:tcW w:w="1701" w:type="dxa"/>
          </w:tcPr>
          <w:p w:rsidR="00014579" w:rsidRPr="00CC0663" w:rsidRDefault="00014579">
            <w:pPr>
              <w:pStyle w:val="Text"/>
              <w:spacing w:before="40" w:after="60" w:line="320" w:lineRule="atLeast"/>
              <w:jc w:val="left"/>
              <w:rPr>
                <w:b/>
                <w:lang w:val="en-AU"/>
              </w:rPr>
            </w:pPr>
            <w:r w:rsidRPr="00CC0663">
              <w:rPr>
                <w:b/>
                <w:lang w:val="en-AU"/>
              </w:rPr>
              <w:t>Total Patients</w:t>
            </w:r>
          </w:p>
        </w:tc>
        <w:tc>
          <w:tcPr>
            <w:tcW w:w="1134" w:type="dxa"/>
          </w:tcPr>
          <w:p w:rsidR="00014579" w:rsidRPr="00CC0663" w:rsidRDefault="007F0916">
            <w:pPr>
              <w:pStyle w:val="Text"/>
              <w:spacing w:before="40" w:after="60" w:line="320" w:lineRule="atLeast"/>
              <w:jc w:val="center"/>
              <w:rPr>
                <w:b/>
                <w:lang w:val="en-AU"/>
              </w:rPr>
            </w:pPr>
            <w:r w:rsidRPr="00CC0663">
              <w:rPr>
                <w:b/>
                <w:lang w:val="en-AU"/>
              </w:rPr>
              <w:t>N</w:t>
            </w:r>
          </w:p>
        </w:tc>
        <w:tc>
          <w:tcPr>
            <w:tcW w:w="2268" w:type="dxa"/>
          </w:tcPr>
          <w:p w:rsidR="00014579" w:rsidRPr="00CC0663" w:rsidRDefault="00014579" w:rsidP="007F0916">
            <w:pPr>
              <w:pStyle w:val="Text"/>
              <w:spacing w:before="40" w:after="60" w:line="320" w:lineRule="atLeast"/>
              <w:jc w:val="center"/>
              <w:rPr>
                <w:b/>
                <w:lang w:val="en-AU"/>
              </w:rPr>
            </w:pPr>
            <w:r w:rsidRPr="00CC0663">
              <w:rPr>
                <w:b/>
                <w:lang w:val="en-AU"/>
              </w:rPr>
              <w:t xml:space="preserve">Confirmed Partial Response, </w:t>
            </w:r>
            <w:r w:rsidR="007F0916" w:rsidRPr="00CC0663">
              <w:rPr>
                <w:b/>
                <w:lang w:val="en-AU"/>
              </w:rPr>
              <w:t xml:space="preserve">N </w:t>
            </w:r>
            <w:r w:rsidRPr="00CC0663">
              <w:rPr>
                <w:b/>
                <w:lang w:val="en-AU"/>
              </w:rPr>
              <w:t>(%)</w:t>
            </w:r>
          </w:p>
        </w:tc>
        <w:tc>
          <w:tcPr>
            <w:tcW w:w="2127" w:type="dxa"/>
          </w:tcPr>
          <w:p w:rsidR="00014579" w:rsidRPr="00CC0663" w:rsidRDefault="00014579">
            <w:pPr>
              <w:pStyle w:val="Text"/>
              <w:spacing w:before="40" w:after="60" w:line="320" w:lineRule="atLeast"/>
              <w:jc w:val="center"/>
              <w:rPr>
                <w:b/>
                <w:lang w:val="en-AU"/>
              </w:rPr>
            </w:pPr>
            <w:r w:rsidRPr="00CC0663">
              <w:rPr>
                <w:b/>
                <w:lang w:val="en-AU"/>
              </w:rPr>
              <w:t>95% Confidence Interval</w:t>
            </w:r>
          </w:p>
        </w:tc>
      </w:tr>
      <w:tr w:rsidR="000274D0" w:rsidRPr="00057C4C">
        <w:tc>
          <w:tcPr>
            <w:tcW w:w="1701" w:type="dxa"/>
          </w:tcPr>
          <w:p w:rsidR="000274D0" w:rsidRPr="00CC0663" w:rsidRDefault="000274D0">
            <w:pPr>
              <w:pStyle w:val="Text"/>
              <w:spacing w:before="40" w:after="60" w:line="320" w:lineRule="atLeast"/>
              <w:jc w:val="left"/>
              <w:rPr>
                <w:lang w:val="en-AU"/>
              </w:rPr>
            </w:pPr>
            <w:r w:rsidRPr="00CC0663">
              <w:rPr>
                <w:lang w:val="en-AU"/>
              </w:rPr>
              <w:t>400 mg daily</w:t>
            </w:r>
          </w:p>
        </w:tc>
        <w:tc>
          <w:tcPr>
            <w:tcW w:w="1134" w:type="dxa"/>
          </w:tcPr>
          <w:p w:rsidR="000274D0" w:rsidRPr="00CC0663" w:rsidRDefault="000274D0">
            <w:pPr>
              <w:pStyle w:val="Text"/>
              <w:spacing w:before="40" w:after="60" w:line="320" w:lineRule="atLeast"/>
              <w:jc w:val="center"/>
              <w:rPr>
                <w:lang w:val="en-AU"/>
              </w:rPr>
            </w:pPr>
            <w:r w:rsidRPr="00CC0663">
              <w:rPr>
                <w:lang w:val="en-AU"/>
              </w:rPr>
              <w:t>73</w:t>
            </w:r>
          </w:p>
        </w:tc>
        <w:tc>
          <w:tcPr>
            <w:tcW w:w="2268" w:type="dxa"/>
          </w:tcPr>
          <w:p w:rsidR="000274D0" w:rsidRPr="00CC0663" w:rsidRDefault="000274D0">
            <w:pPr>
              <w:pStyle w:val="Text"/>
              <w:spacing w:before="40" w:after="60" w:line="320" w:lineRule="atLeast"/>
              <w:jc w:val="center"/>
              <w:rPr>
                <w:lang w:val="en-AU"/>
              </w:rPr>
            </w:pPr>
            <w:r w:rsidRPr="00CC0663">
              <w:rPr>
                <w:lang w:val="en-AU"/>
              </w:rPr>
              <w:t>49 (67.1%)</w:t>
            </w:r>
          </w:p>
        </w:tc>
        <w:tc>
          <w:tcPr>
            <w:tcW w:w="2127" w:type="dxa"/>
          </w:tcPr>
          <w:p w:rsidR="000274D0" w:rsidRPr="00CC0663" w:rsidRDefault="000274D0">
            <w:pPr>
              <w:pStyle w:val="Text"/>
              <w:spacing w:before="40" w:after="60" w:line="320" w:lineRule="atLeast"/>
              <w:jc w:val="center"/>
              <w:rPr>
                <w:lang w:val="en-AU"/>
              </w:rPr>
            </w:pPr>
            <w:r w:rsidRPr="00CC0663">
              <w:rPr>
                <w:lang w:val="en-AU"/>
              </w:rPr>
              <w:t>55.1%, 77.7%</w:t>
            </w:r>
          </w:p>
        </w:tc>
      </w:tr>
      <w:tr w:rsidR="000274D0" w:rsidRPr="00057C4C">
        <w:tc>
          <w:tcPr>
            <w:tcW w:w="1701" w:type="dxa"/>
          </w:tcPr>
          <w:p w:rsidR="000274D0" w:rsidRPr="00CC0663" w:rsidRDefault="000274D0">
            <w:pPr>
              <w:pStyle w:val="Text"/>
              <w:spacing w:before="40" w:after="60" w:line="320" w:lineRule="atLeast"/>
              <w:jc w:val="left"/>
              <w:rPr>
                <w:lang w:val="en-AU"/>
              </w:rPr>
            </w:pPr>
            <w:r w:rsidRPr="00CC0663">
              <w:rPr>
                <w:lang w:val="en-AU"/>
              </w:rPr>
              <w:t>600 mg daily</w:t>
            </w:r>
          </w:p>
        </w:tc>
        <w:tc>
          <w:tcPr>
            <w:tcW w:w="1134" w:type="dxa"/>
          </w:tcPr>
          <w:p w:rsidR="000274D0" w:rsidRPr="00CC0663" w:rsidRDefault="000274D0">
            <w:pPr>
              <w:pStyle w:val="Text"/>
              <w:spacing w:before="40" w:after="60" w:line="320" w:lineRule="atLeast"/>
              <w:jc w:val="center"/>
              <w:rPr>
                <w:lang w:val="en-AU"/>
              </w:rPr>
            </w:pPr>
            <w:r w:rsidRPr="00CC0663">
              <w:rPr>
                <w:lang w:val="en-AU"/>
              </w:rPr>
              <w:t>74</w:t>
            </w:r>
          </w:p>
        </w:tc>
        <w:tc>
          <w:tcPr>
            <w:tcW w:w="2268" w:type="dxa"/>
          </w:tcPr>
          <w:p w:rsidR="000274D0" w:rsidRPr="00CC0663" w:rsidRDefault="000274D0">
            <w:pPr>
              <w:pStyle w:val="Text"/>
              <w:spacing w:before="40" w:after="60" w:line="320" w:lineRule="atLeast"/>
              <w:jc w:val="center"/>
              <w:rPr>
                <w:lang w:val="en-AU"/>
              </w:rPr>
            </w:pPr>
            <w:r w:rsidRPr="00CC0663">
              <w:rPr>
                <w:lang w:val="en-AU"/>
              </w:rPr>
              <w:t>49 (66.2%)</w:t>
            </w:r>
          </w:p>
        </w:tc>
        <w:tc>
          <w:tcPr>
            <w:tcW w:w="2127" w:type="dxa"/>
          </w:tcPr>
          <w:p w:rsidR="000274D0" w:rsidRPr="00CC0663" w:rsidRDefault="000274D0">
            <w:pPr>
              <w:pStyle w:val="Text"/>
              <w:spacing w:before="40" w:after="60" w:line="320" w:lineRule="atLeast"/>
              <w:jc w:val="center"/>
              <w:rPr>
                <w:lang w:val="en-AU"/>
              </w:rPr>
            </w:pPr>
            <w:r w:rsidRPr="00CC0663">
              <w:rPr>
                <w:lang w:val="en-AU"/>
              </w:rPr>
              <w:t>55.6%, 78.0%</w:t>
            </w:r>
          </w:p>
        </w:tc>
      </w:tr>
      <w:tr w:rsidR="000274D0" w:rsidRPr="00057C4C">
        <w:tc>
          <w:tcPr>
            <w:tcW w:w="1701" w:type="dxa"/>
          </w:tcPr>
          <w:p w:rsidR="000274D0" w:rsidRPr="00CC0663" w:rsidRDefault="000274D0">
            <w:pPr>
              <w:pStyle w:val="Text"/>
              <w:spacing w:before="40" w:after="60" w:line="320" w:lineRule="atLeast"/>
              <w:jc w:val="left"/>
              <w:rPr>
                <w:lang w:val="en-AU"/>
              </w:rPr>
            </w:pPr>
            <w:r w:rsidRPr="00CC0663">
              <w:rPr>
                <w:lang w:val="en-AU"/>
              </w:rPr>
              <w:t>Total</w:t>
            </w:r>
          </w:p>
        </w:tc>
        <w:tc>
          <w:tcPr>
            <w:tcW w:w="1134" w:type="dxa"/>
          </w:tcPr>
          <w:p w:rsidR="000274D0" w:rsidRPr="00CC0663" w:rsidRDefault="000274D0">
            <w:pPr>
              <w:pStyle w:val="Text"/>
              <w:spacing w:before="40" w:after="60" w:line="320" w:lineRule="atLeast"/>
              <w:jc w:val="center"/>
              <w:rPr>
                <w:lang w:val="en-AU"/>
              </w:rPr>
            </w:pPr>
            <w:r w:rsidRPr="00CC0663">
              <w:rPr>
                <w:lang w:val="en-AU"/>
              </w:rPr>
              <w:t>147</w:t>
            </w:r>
          </w:p>
        </w:tc>
        <w:tc>
          <w:tcPr>
            <w:tcW w:w="2268" w:type="dxa"/>
          </w:tcPr>
          <w:p w:rsidR="000274D0" w:rsidRPr="00CC0663" w:rsidRDefault="000274D0">
            <w:pPr>
              <w:pStyle w:val="Text"/>
              <w:spacing w:before="40" w:after="60" w:line="320" w:lineRule="atLeast"/>
              <w:jc w:val="center"/>
              <w:rPr>
                <w:lang w:val="en-AU"/>
              </w:rPr>
            </w:pPr>
            <w:r w:rsidRPr="00CC0663">
              <w:rPr>
                <w:lang w:val="en-AU"/>
              </w:rPr>
              <w:t>98 (66.7%)</w:t>
            </w:r>
          </w:p>
        </w:tc>
        <w:tc>
          <w:tcPr>
            <w:tcW w:w="2127" w:type="dxa"/>
          </w:tcPr>
          <w:p w:rsidR="000274D0" w:rsidRPr="00CC0663" w:rsidRDefault="000274D0">
            <w:pPr>
              <w:pStyle w:val="Text"/>
              <w:spacing w:before="40" w:after="60" w:line="320" w:lineRule="atLeast"/>
              <w:jc w:val="center"/>
              <w:rPr>
                <w:lang w:val="en-AU"/>
              </w:rPr>
            </w:pPr>
            <w:r w:rsidRPr="00CC0663">
              <w:rPr>
                <w:lang w:val="en-AU"/>
              </w:rPr>
              <w:t>59.1%, 74.8%</w:t>
            </w:r>
          </w:p>
        </w:tc>
      </w:tr>
    </w:tbl>
    <w:p w:rsidR="00FC0B50" w:rsidRPr="00057C4C" w:rsidRDefault="00014579" w:rsidP="00AA0CFA">
      <w:pPr>
        <w:pStyle w:val="Text"/>
        <w:spacing w:before="240" w:after="120"/>
        <w:jc w:val="left"/>
      </w:pPr>
      <w:r w:rsidRPr="00057C4C">
        <w:t xml:space="preserve">A statistically significant difference in response rates between the two dose groups was not demonstrated. </w:t>
      </w:r>
      <w:r w:rsidR="000274D0" w:rsidRPr="00057C4C">
        <w:t>A significant number of patients who had stable disease at the time of the interim analysis achieved a partial response with longer treatment (median follow-up 31 months). Median time to response was 13 weeks (95 % C.I. 12</w:t>
      </w:r>
      <w:r w:rsidR="00404A38" w:rsidRPr="00057C4C">
        <w:t xml:space="preserve"> to </w:t>
      </w:r>
      <w:r w:rsidR="000274D0" w:rsidRPr="00057C4C">
        <w:t xml:space="preserve">23). Median time to treatment failure in responders was 122 weeks (95% C.I. 106 </w:t>
      </w:r>
      <w:r w:rsidR="00404A38" w:rsidRPr="00057C4C">
        <w:t xml:space="preserve">to </w:t>
      </w:r>
      <w:r w:rsidR="000274D0" w:rsidRPr="00057C4C">
        <w:t xml:space="preserve">147), while in the overall study population it was 84 weeks (95% C.I. 71 </w:t>
      </w:r>
      <w:r w:rsidR="00404A38" w:rsidRPr="00057C4C">
        <w:t xml:space="preserve">to </w:t>
      </w:r>
      <w:r w:rsidR="000274D0" w:rsidRPr="00057C4C">
        <w:t xml:space="preserve">109). The median overall survival has not been reached. The Kaplan-Meier estimate for survival after 36-month follow-up is 68 % [Figure </w:t>
      </w:r>
      <w:r w:rsidR="00E433C3" w:rsidRPr="00057C4C">
        <w:t>3</w:t>
      </w:r>
      <w:r w:rsidR="000274D0" w:rsidRPr="00057C4C">
        <w:t xml:space="preserve">]. </w:t>
      </w:r>
      <w:r w:rsidR="00FC0B50" w:rsidRPr="00057C4C">
        <w:t xml:space="preserve">Additionally, there is no difference in survival between patients achieving stable disease and partial response [Figure </w:t>
      </w:r>
      <w:r w:rsidR="00E433C3" w:rsidRPr="00057C4C">
        <w:t>4</w:t>
      </w:r>
      <w:r w:rsidR="00FC0B50" w:rsidRPr="00057C4C">
        <w:t xml:space="preserve">]. </w:t>
      </w:r>
    </w:p>
    <w:p w:rsidR="000274D0" w:rsidRPr="00057C4C" w:rsidRDefault="003971C1" w:rsidP="00FC0B50">
      <w:pPr>
        <w:pStyle w:val="Heading7"/>
        <w:spacing w:before="120"/>
        <w:rPr>
          <w:rFonts w:ascii="Times New Roman" w:hAnsi="Times New Roman"/>
        </w:rPr>
      </w:pPr>
      <w:r w:rsidRPr="00057C4C">
        <w:rPr>
          <w:rFonts w:ascii="Times New Roman" w:hAnsi="Times New Roman"/>
        </w:rPr>
        <w:lastRenderedPageBreak/>
        <w:t xml:space="preserve">Figure </w:t>
      </w:r>
      <w:r w:rsidR="00E433C3" w:rsidRPr="00057C4C">
        <w:rPr>
          <w:rFonts w:ascii="Times New Roman" w:hAnsi="Times New Roman"/>
        </w:rPr>
        <w:t xml:space="preserve">3 </w:t>
      </w:r>
      <w:r w:rsidR="000274D0" w:rsidRPr="00057C4C">
        <w:rPr>
          <w:rFonts w:ascii="Times New Roman" w:hAnsi="Times New Roman"/>
        </w:rPr>
        <w:t>Kaplan-Meier estimate of overall survival since start of study by treatment</w:t>
      </w:r>
    </w:p>
    <w:p w:rsidR="00F02B73" w:rsidRPr="00057C4C" w:rsidRDefault="008C7351" w:rsidP="002B14EF">
      <w:pPr>
        <w:pStyle w:val="Text"/>
        <w:keepNext/>
      </w:pPr>
      <w:r>
        <w:rPr>
          <w:noProof/>
          <w:lang w:val="en-AU" w:eastAsia="en-AU"/>
        </w:rPr>
        <w:drawing>
          <wp:inline distT="0" distB="0" distL="0" distR="0">
            <wp:extent cx="5762625" cy="3381375"/>
            <wp:effectExtent l="19050" t="0" r="9525" b="0"/>
            <wp:docPr id="1" name="Picture 3" descr="Figure 3 Kaplan-Meier estimate of overall survival since start of study by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1"/>
                    <pic:cNvPicPr>
                      <a:picLocks noChangeAspect="1" noChangeArrowheads="1"/>
                    </pic:cNvPicPr>
                  </pic:nvPicPr>
                  <pic:blipFill>
                    <a:blip r:embed="rId12" cstate="print"/>
                    <a:srcRect/>
                    <a:stretch>
                      <a:fillRect/>
                    </a:stretch>
                  </pic:blipFill>
                  <pic:spPr bwMode="auto">
                    <a:xfrm>
                      <a:off x="0" y="0"/>
                      <a:ext cx="5762625" cy="3381375"/>
                    </a:xfrm>
                    <a:prstGeom prst="rect">
                      <a:avLst/>
                    </a:prstGeom>
                    <a:noFill/>
                    <a:ln w="9525">
                      <a:noFill/>
                      <a:miter lim="800000"/>
                      <a:headEnd/>
                      <a:tailEnd/>
                    </a:ln>
                  </pic:spPr>
                </pic:pic>
              </a:graphicData>
            </a:graphic>
          </wp:inline>
        </w:drawing>
      </w:r>
      <w:r w:rsidR="000274D0" w:rsidRPr="00057C4C">
        <w:t>Hazard ratio: 0.852, Log rank test p=0.5537.</w:t>
      </w:r>
    </w:p>
    <w:p w:rsidR="000274D0" w:rsidRPr="00057C4C" w:rsidRDefault="003971C1" w:rsidP="00FC0B50">
      <w:pPr>
        <w:pStyle w:val="Text"/>
        <w:keepNext/>
        <w:spacing w:before="240" w:after="120"/>
        <w:jc w:val="center"/>
        <w:rPr>
          <w:b/>
        </w:rPr>
      </w:pPr>
      <w:r w:rsidRPr="00057C4C">
        <w:rPr>
          <w:b/>
        </w:rPr>
        <w:t xml:space="preserve">Figure </w:t>
      </w:r>
      <w:r w:rsidR="00E433C3" w:rsidRPr="00057C4C">
        <w:rPr>
          <w:b/>
        </w:rPr>
        <w:t xml:space="preserve">4 </w:t>
      </w:r>
      <w:r w:rsidR="000274D0" w:rsidRPr="00057C4C">
        <w:rPr>
          <w:b/>
        </w:rPr>
        <w:t>Kaplan-Meier estimate of overall survival since start of study by best response</w:t>
      </w:r>
    </w:p>
    <w:p w:rsidR="000274D0" w:rsidRPr="00057C4C" w:rsidRDefault="008C7351" w:rsidP="000274D0">
      <w:pPr>
        <w:pStyle w:val="Text"/>
        <w:keepNext/>
      </w:pPr>
      <w:r>
        <w:rPr>
          <w:noProof/>
          <w:lang w:val="en-AU" w:eastAsia="en-AU"/>
        </w:rPr>
        <w:drawing>
          <wp:inline distT="0" distB="0" distL="0" distR="0">
            <wp:extent cx="5762625" cy="3257550"/>
            <wp:effectExtent l="19050" t="0" r="9525" b="0"/>
            <wp:docPr id="3" name="Picture 3" descr="Figure 4 Kaplan-Meier estimate of overall survival since start of study by best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2"/>
                    <pic:cNvPicPr>
                      <a:picLocks noChangeAspect="1" noChangeArrowheads="1"/>
                    </pic:cNvPicPr>
                  </pic:nvPicPr>
                  <pic:blipFill>
                    <a:blip r:embed="rId13" cstate="print"/>
                    <a:srcRect/>
                    <a:stretch>
                      <a:fillRect/>
                    </a:stretch>
                  </pic:blipFill>
                  <pic:spPr bwMode="auto">
                    <a:xfrm>
                      <a:off x="0" y="0"/>
                      <a:ext cx="5762625" cy="3257550"/>
                    </a:xfrm>
                    <a:prstGeom prst="rect">
                      <a:avLst/>
                    </a:prstGeom>
                    <a:noFill/>
                    <a:ln w="9525">
                      <a:noFill/>
                      <a:miter lim="800000"/>
                      <a:headEnd/>
                      <a:tailEnd/>
                    </a:ln>
                  </pic:spPr>
                </pic:pic>
              </a:graphicData>
            </a:graphic>
          </wp:inline>
        </w:drawing>
      </w:r>
    </w:p>
    <w:p w:rsidR="00404A38" w:rsidRPr="0033005D" w:rsidRDefault="00F56E80" w:rsidP="002B14EF">
      <w:pPr>
        <w:pStyle w:val="Heading2"/>
        <w:rPr>
          <w:lang w:val="en-GB"/>
        </w:rPr>
      </w:pPr>
      <w:r w:rsidRPr="00057C4C">
        <w:rPr>
          <w:lang w:val="en-GB" w:eastAsia="ja-JP"/>
        </w:rPr>
        <w:br w:type="page"/>
      </w:r>
      <w:r w:rsidR="00404A38" w:rsidRPr="0033005D">
        <w:rPr>
          <w:lang w:val="en-GB"/>
        </w:rPr>
        <w:lastRenderedPageBreak/>
        <w:t>Clinical stud</w:t>
      </w:r>
      <w:r w:rsidR="00F06D7F" w:rsidRPr="0033005D">
        <w:rPr>
          <w:lang w:val="en-GB"/>
        </w:rPr>
        <w:t>ies</w:t>
      </w:r>
      <w:r w:rsidR="002B14EF">
        <w:rPr>
          <w:lang w:val="en-GB"/>
        </w:rPr>
        <w:t xml:space="preserve"> in adjuvant GIST</w:t>
      </w:r>
    </w:p>
    <w:p w:rsidR="00404A38" w:rsidRPr="00057C4C" w:rsidRDefault="00404A38" w:rsidP="00404A38">
      <w:pPr>
        <w:pStyle w:val="Text"/>
        <w:spacing w:after="120"/>
        <w:rPr>
          <w:lang w:val="en-GB" w:eastAsia="ja-JP"/>
        </w:rPr>
      </w:pPr>
      <w:r w:rsidRPr="00057C4C">
        <w:rPr>
          <w:lang w:val="en-GB" w:eastAsia="ja-JP"/>
        </w:rPr>
        <w:t xml:space="preserve">In the adjuvant setting, Glivec was investigated in a multicentre, double-blind, long-term, placebo controlled phase III study (Z9001) involving </w:t>
      </w:r>
      <w:r w:rsidRPr="00A03D99">
        <w:rPr>
          <w:lang w:val="en-GB" w:eastAsia="ja-JP"/>
        </w:rPr>
        <w:t>7</w:t>
      </w:r>
      <w:r w:rsidR="0043045C" w:rsidRPr="00A03D99">
        <w:rPr>
          <w:lang w:val="en-GB" w:eastAsia="ja-JP"/>
        </w:rPr>
        <w:t>1</w:t>
      </w:r>
      <w:r w:rsidRPr="00A03D99">
        <w:rPr>
          <w:lang w:val="en-GB" w:eastAsia="ja-JP"/>
        </w:rPr>
        <w:t>3</w:t>
      </w:r>
      <w:r w:rsidRPr="00057C4C">
        <w:rPr>
          <w:lang w:val="en-GB" w:eastAsia="ja-JP"/>
        </w:rPr>
        <w:t xml:space="preserve"> patients. The ages of these patients ranged from 18 to 91 years. Patients were included who had a histologic diagnosis of primary GIST expressing KIT protein by immunochemistry and a </w:t>
      </w:r>
      <w:r w:rsidR="00626081">
        <w:rPr>
          <w:lang w:val="en-GB" w:eastAsia="ja-JP"/>
        </w:rPr>
        <w:t>tumour</w:t>
      </w:r>
      <w:r w:rsidRPr="00057C4C">
        <w:rPr>
          <w:lang w:val="en-GB" w:eastAsia="ja-JP"/>
        </w:rPr>
        <w:t xml:space="preserve"> size ≥3 cm in maximum dimension, with complete gross resection of primary GIST within 14 to 70 days prior to registration. After resection of primary GIST, patients were randomized to one of the two arms: Glivec at 400 mg/day or matching placebo for one y</w:t>
      </w:r>
      <w:r w:rsidR="002B14EF">
        <w:rPr>
          <w:lang w:val="en-GB" w:eastAsia="ja-JP"/>
        </w:rPr>
        <w:t>ear.</w:t>
      </w:r>
    </w:p>
    <w:p w:rsidR="00404A38" w:rsidRPr="00E856D9" w:rsidRDefault="00404A38" w:rsidP="00404A38">
      <w:pPr>
        <w:pStyle w:val="Text"/>
        <w:spacing w:after="120"/>
        <w:rPr>
          <w:lang w:val="en-GB" w:eastAsia="ja-JP"/>
        </w:rPr>
      </w:pPr>
      <w:r w:rsidRPr="00057C4C">
        <w:rPr>
          <w:lang w:val="en-GB" w:eastAsia="ja-JP"/>
        </w:rPr>
        <w:t xml:space="preserve">The primary endpoint of the study was recurrence free survival (RFS) defined as the time </w:t>
      </w:r>
      <w:r w:rsidRPr="00E856D9">
        <w:rPr>
          <w:lang w:val="en-GB" w:eastAsia="ja-JP"/>
        </w:rPr>
        <w:t>from date of randomization to the date of recu</w:t>
      </w:r>
      <w:r w:rsidR="002B14EF">
        <w:rPr>
          <w:lang w:val="en-GB" w:eastAsia="ja-JP"/>
        </w:rPr>
        <w:t>rrence or death from any cause.</w:t>
      </w:r>
    </w:p>
    <w:p w:rsidR="00F06D7F" w:rsidRPr="00E856D9" w:rsidRDefault="00F06D7F" w:rsidP="00744F1D">
      <w:pPr>
        <w:pStyle w:val="Text"/>
        <w:spacing w:after="120"/>
        <w:rPr>
          <w:lang w:val="en-GB" w:eastAsia="ja-JP"/>
        </w:rPr>
      </w:pPr>
      <w:r w:rsidRPr="00E856D9">
        <w:rPr>
          <w:lang w:val="en-GB" w:eastAsia="ja-JP"/>
        </w:rPr>
        <w:t>In the planned interim analysis at a median follow-up of 15 months</w:t>
      </w:r>
      <w:r w:rsidR="00B429AB">
        <w:rPr>
          <w:lang w:val="en-GB" w:eastAsia="ja-JP"/>
        </w:rPr>
        <w:t xml:space="preserve"> in patients without an RFS event</w:t>
      </w:r>
      <w:r w:rsidRPr="00E856D9">
        <w:rPr>
          <w:lang w:val="en-GB" w:eastAsia="ja-JP"/>
        </w:rPr>
        <w:t>,</w:t>
      </w:r>
      <w:r w:rsidRPr="00E856D9">
        <w:rPr>
          <w:i/>
        </w:rPr>
        <w:t xml:space="preserve"> </w:t>
      </w:r>
      <w:r w:rsidR="00404A38" w:rsidRPr="00E856D9">
        <w:rPr>
          <w:lang w:val="en-GB" w:eastAsia="ja-JP"/>
        </w:rPr>
        <w:t xml:space="preserve">Glivec </w:t>
      </w:r>
      <w:r w:rsidRPr="00E856D9">
        <w:rPr>
          <w:lang w:val="en-GB" w:eastAsia="ja-JP"/>
        </w:rPr>
        <w:t xml:space="preserve">significantly </w:t>
      </w:r>
      <w:r w:rsidR="00404A38" w:rsidRPr="00E856D9">
        <w:rPr>
          <w:lang w:val="en-GB" w:eastAsia="ja-JP"/>
        </w:rPr>
        <w:t xml:space="preserve">prolonged RFS </w:t>
      </w:r>
      <w:r w:rsidR="00B429AB">
        <w:rPr>
          <w:lang w:val="en-GB" w:eastAsia="ja-JP"/>
        </w:rPr>
        <w:t>compared to placebo (hazard ratio 0.40, 95% CI [0.26, 0.61], p&lt;0.0001)</w:t>
      </w:r>
      <w:r w:rsidR="00721E34">
        <w:rPr>
          <w:lang w:val="en-GB" w:eastAsia="ja-JP"/>
        </w:rPr>
        <w:t>.</w:t>
      </w:r>
      <w:r w:rsidR="00B429AB">
        <w:rPr>
          <w:lang w:val="en-GB" w:eastAsia="ja-JP"/>
        </w:rPr>
        <w:t xml:space="preserve"> </w:t>
      </w:r>
      <w:r w:rsidRPr="00E856D9">
        <w:rPr>
          <w:lang w:val="en-GB" w:eastAsia="ja-JP"/>
        </w:rPr>
        <w:t>After the interim analysis of RFS, 72 of the 354 patients randomized to placebo crossed over to one year of Glivec. In an updated analysis of 50 months median follow-up</w:t>
      </w:r>
      <w:r w:rsidR="00B45156" w:rsidRPr="00E856D9">
        <w:rPr>
          <w:lang w:val="en-GB" w:eastAsia="ja-JP"/>
        </w:rPr>
        <w:t xml:space="preserve"> in patients without an event</w:t>
      </w:r>
      <w:r w:rsidRPr="00E856D9">
        <w:rPr>
          <w:lang w:val="en-GB" w:eastAsia="ja-JP"/>
        </w:rPr>
        <w:t>, the hazard ratio for RFS remained significant at 0.7</w:t>
      </w:r>
      <w:r w:rsidR="00B429AB">
        <w:rPr>
          <w:lang w:val="en-GB" w:eastAsia="ja-JP"/>
        </w:rPr>
        <w:t>2</w:t>
      </w:r>
      <w:r w:rsidRPr="00E856D9">
        <w:rPr>
          <w:lang w:val="en-GB" w:eastAsia="ja-JP"/>
        </w:rPr>
        <w:t>, 95% CI: [0.53, 0.97]. At 6</w:t>
      </w:r>
      <w:r w:rsidR="00B45156" w:rsidRPr="00E856D9">
        <w:rPr>
          <w:lang w:val="en-GB" w:eastAsia="ja-JP"/>
        </w:rPr>
        <w:t>1</w:t>
      </w:r>
      <w:r w:rsidRPr="00E856D9">
        <w:rPr>
          <w:lang w:val="en-GB" w:eastAsia="ja-JP"/>
        </w:rPr>
        <w:t xml:space="preserve"> months median </w:t>
      </w:r>
      <w:r w:rsidR="00B45156" w:rsidRPr="00E856D9">
        <w:rPr>
          <w:lang w:val="en-GB" w:eastAsia="ja-JP"/>
        </w:rPr>
        <w:t xml:space="preserve">survival </w:t>
      </w:r>
      <w:r w:rsidRPr="00E856D9">
        <w:rPr>
          <w:lang w:val="en-GB" w:eastAsia="ja-JP"/>
        </w:rPr>
        <w:t>follow-up</w:t>
      </w:r>
      <w:r w:rsidR="00B45156" w:rsidRPr="00E856D9">
        <w:rPr>
          <w:lang w:val="en-GB" w:eastAsia="ja-JP"/>
        </w:rPr>
        <w:t xml:space="preserve"> (measured in patients still alive)</w:t>
      </w:r>
      <w:r w:rsidRPr="00E856D9">
        <w:rPr>
          <w:lang w:val="en-GB" w:eastAsia="ja-JP"/>
        </w:rPr>
        <w:t>, the hazard ratio for overall survival (OS) was not significant but favoured Glivec: 0.8</w:t>
      </w:r>
      <w:r w:rsidR="00721E34">
        <w:rPr>
          <w:lang w:val="en-GB" w:eastAsia="ja-JP"/>
        </w:rPr>
        <w:t>2</w:t>
      </w:r>
      <w:r w:rsidRPr="00E856D9">
        <w:rPr>
          <w:lang w:val="en-GB" w:eastAsia="ja-JP"/>
        </w:rPr>
        <w:t>, 95% CI: [0.4</w:t>
      </w:r>
      <w:r w:rsidR="00071998">
        <w:rPr>
          <w:lang w:val="en-GB" w:eastAsia="ja-JP"/>
        </w:rPr>
        <w:t>9</w:t>
      </w:r>
      <w:r w:rsidRPr="00E856D9">
        <w:rPr>
          <w:lang w:val="en-GB" w:eastAsia="ja-JP"/>
        </w:rPr>
        <w:t>, 1.3</w:t>
      </w:r>
      <w:r w:rsidR="00071998">
        <w:rPr>
          <w:lang w:val="en-GB" w:eastAsia="ja-JP"/>
        </w:rPr>
        <w:t>7</w:t>
      </w:r>
      <w:r w:rsidRPr="00E856D9">
        <w:rPr>
          <w:lang w:val="en-GB" w:eastAsia="ja-JP"/>
        </w:rPr>
        <w:t>]. Death due to any cause was reported in 26 patients on Glivec (11 due to GIST) and 33 patients on placebo (18 due to GIST). An OS analysis censoring placebo patients</w:t>
      </w:r>
      <w:r w:rsidR="000A6535" w:rsidRPr="00E856D9">
        <w:rPr>
          <w:lang w:val="en-GB" w:eastAsia="ja-JP"/>
        </w:rPr>
        <w:t xml:space="preserve"> </w:t>
      </w:r>
      <w:r w:rsidRPr="00E856D9">
        <w:rPr>
          <w:lang w:val="en-GB" w:eastAsia="ja-JP"/>
        </w:rPr>
        <w:t>eligible for cross-over to Glivec was also not significant but supportive of Glivec: HR=0.7</w:t>
      </w:r>
      <w:r w:rsidR="00721E34">
        <w:rPr>
          <w:lang w:val="en-GB" w:eastAsia="ja-JP"/>
        </w:rPr>
        <w:t>5</w:t>
      </w:r>
      <w:r w:rsidRPr="00E856D9">
        <w:rPr>
          <w:lang w:val="en-GB" w:eastAsia="ja-JP"/>
        </w:rPr>
        <w:t>; 95% CI: [0.44, 1.26].</w:t>
      </w:r>
    </w:p>
    <w:p w:rsidR="007403C9" w:rsidRPr="00A03D99" w:rsidRDefault="007403C9" w:rsidP="007403C9">
      <w:pPr>
        <w:pStyle w:val="Text"/>
        <w:rPr>
          <w:iCs/>
          <w:lang w:eastAsia="ja-JP"/>
        </w:rPr>
      </w:pPr>
      <w:r w:rsidRPr="00E856D9">
        <w:rPr>
          <w:lang w:eastAsia="ja-JP"/>
        </w:rPr>
        <w:t xml:space="preserve">A second open label phase III study (SSG XVIII/AIO) compared 400 mg/day Glivec 12 months treatment vs. 36 months treatment in patients after surgical resection of </w:t>
      </w:r>
      <w:r w:rsidR="00F06D7F" w:rsidRPr="00E856D9">
        <w:rPr>
          <w:lang w:eastAsia="ja-JP"/>
        </w:rPr>
        <w:t>kit-positive</w:t>
      </w:r>
      <w:r w:rsidR="00F06D7F">
        <w:rPr>
          <w:lang w:eastAsia="ja-JP"/>
        </w:rPr>
        <w:t xml:space="preserve"> </w:t>
      </w:r>
      <w:r w:rsidRPr="00A03D99">
        <w:rPr>
          <w:lang w:eastAsia="ja-JP"/>
        </w:rPr>
        <w:t xml:space="preserve">GIST and one of the following: </w:t>
      </w:r>
      <w:r w:rsidRPr="00A03D99">
        <w:rPr>
          <w:iCs/>
          <w:lang w:eastAsia="ja-JP"/>
        </w:rPr>
        <w:t xml:space="preserve">tumour diameter &gt;5 cm and mitotic count &gt;5/50 high power fields (HPF); or tumour diameter &gt;10 cm and any mitotic count or tumour of any size with mitotic count &gt;10/50 HPF or tumours ruptured into the peritoneal cavity. There were a total of 397 patients consented and randomized to the study (199 patients on 12 month arm and 198 patients on 36 month arm), median age was </w:t>
      </w:r>
      <w:r w:rsidRPr="00A03D99">
        <w:rPr>
          <w:bCs/>
          <w:iCs/>
          <w:lang w:eastAsia="ja-JP"/>
        </w:rPr>
        <w:t>61 years</w:t>
      </w:r>
      <w:r w:rsidRPr="00A03D99">
        <w:rPr>
          <w:iCs/>
          <w:lang w:eastAsia="ja-JP"/>
        </w:rPr>
        <w:t xml:space="preserve"> (range 22 to 84 years). The median time of follow-up was 54 months (from date of randomization to data cut-off), with a total of 83 months between the first patient ra</w:t>
      </w:r>
      <w:r w:rsidR="002B14EF">
        <w:rPr>
          <w:iCs/>
          <w:lang w:eastAsia="ja-JP"/>
        </w:rPr>
        <w:t>ndomized and the cut-off date.</w:t>
      </w:r>
    </w:p>
    <w:p w:rsidR="007403C9" w:rsidRPr="00A03D99" w:rsidRDefault="007403C9" w:rsidP="007403C9">
      <w:pPr>
        <w:pStyle w:val="Text"/>
        <w:rPr>
          <w:lang w:val="en-GB" w:eastAsia="ja-JP"/>
        </w:rPr>
      </w:pPr>
      <w:r w:rsidRPr="00A03D99">
        <w:rPr>
          <w:lang w:val="en-GB" w:eastAsia="ja-JP"/>
        </w:rPr>
        <w:t>The primary endpoint of the study was recurrence free survival (</w:t>
      </w:r>
      <w:smartTag w:uri="urn:schemas-microsoft-com:office:smarttags" w:element="stockticker">
        <w:r w:rsidRPr="00A03D99">
          <w:rPr>
            <w:lang w:val="en-GB" w:eastAsia="ja-JP"/>
          </w:rPr>
          <w:t>RFS</w:t>
        </w:r>
      </w:smartTag>
      <w:r w:rsidRPr="00A03D99">
        <w:rPr>
          <w:lang w:val="en-GB" w:eastAsia="ja-JP"/>
        </w:rPr>
        <w:t>) defined as the time from date of randomization to the date of recurrence or death from any cause.</w:t>
      </w:r>
    </w:p>
    <w:p w:rsidR="007403C9" w:rsidRPr="006C6662" w:rsidRDefault="007403C9" w:rsidP="007403C9">
      <w:pPr>
        <w:pStyle w:val="Text"/>
        <w:rPr>
          <w:iCs/>
          <w:lang w:eastAsia="ja-JP"/>
        </w:rPr>
      </w:pPr>
      <w:r w:rsidRPr="00A03D99">
        <w:rPr>
          <w:iCs/>
          <w:lang w:eastAsia="ja-JP"/>
        </w:rPr>
        <w:t xml:space="preserve">Thirty-six (36) months of Glivec treatment significantly prolonged RFS compared to 12 months of Glivec treatment (with overall Hazard Ratio (HR)=0.46 [0.32, 0.65], p&lt;0.0001 and </w:t>
      </w:r>
      <w:r w:rsidRPr="006C6662">
        <w:rPr>
          <w:iCs/>
          <w:lang w:eastAsia="ja-JP"/>
        </w:rPr>
        <w:t xml:space="preserve">a HR of 0.42 [0.28, 0.61] beyond month 12) (Table 10, Figure 5). There were 84 (42%) and 50 (25%) total RFS events for the 12-months and 36 months arms respectively. </w:t>
      </w:r>
    </w:p>
    <w:p w:rsidR="002B14EF" w:rsidRDefault="007403C9" w:rsidP="007403C9">
      <w:pPr>
        <w:pStyle w:val="Text"/>
        <w:rPr>
          <w:iCs/>
          <w:lang w:eastAsia="ja-JP"/>
        </w:rPr>
      </w:pPr>
      <w:r w:rsidRPr="006C6662">
        <w:rPr>
          <w:iCs/>
          <w:lang w:eastAsia="ja-JP"/>
        </w:rPr>
        <w:t>In addition, thirty-six (36) months of Glivec treatment significantly prolonged overall survival (OS) compared to 12 months of Glivec treatment (HR=0.45 [0.22, 0.89], p=0.0187) (Table 10, Figure 6). The total number of deaths were 25 for the 12-months treatment arm and 12 for the 36-months treatment arm.</w:t>
      </w:r>
      <w:r w:rsidR="000A6535" w:rsidRPr="006C6662">
        <w:rPr>
          <w:iCs/>
          <w:lang w:eastAsia="ja-JP"/>
        </w:rPr>
        <w:t xml:space="preserve"> Three randomized patients (one from 12-month group and two</w:t>
      </w:r>
      <w:r w:rsidR="000A6535" w:rsidRPr="00E856D9">
        <w:rPr>
          <w:iCs/>
          <w:lang w:eastAsia="ja-JP"/>
        </w:rPr>
        <w:t xml:space="preserve"> from the 36-month group) did not give informed consent and were excluded from analysis.</w:t>
      </w:r>
    </w:p>
    <w:p w:rsidR="002B14EF" w:rsidRDefault="002B14EF">
      <w:pPr>
        <w:rPr>
          <w:iCs/>
          <w:lang w:val="en-US" w:eastAsia="ja-JP"/>
        </w:rPr>
      </w:pPr>
      <w:r>
        <w:rPr>
          <w:iCs/>
          <w:lang w:eastAsia="ja-JP"/>
        </w:rPr>
        <w:br w:type="page"/>
      </w:r>
    </w:p>
    <w:p w:rsidR="007403C9" w:rsidRPr="00A03D99" w:rsidRDefault="007403C9" w:rsidP="006C6662">
      <w:pPr>
        <w:pStyle w:val="Text"/>
        <w:keepNext/>
        <w:spacing w:before="240" w:after="120"/>
        <w:jc w:val="left"/>
        <w:rPr>
          <w:b/>
        </w:rPr>
      </w:pPr>
      <w:bookmarkStart w:id="3" w:name="_Toc298131460"/>
      <w:r w:rsidRPr="00A03D99">
        <w:rPr>
          <w:b/>
        </w:rPr>
        <w:lastRenderedPageBreak/>
        <w:t xml:space="preserve">Table </w:t>
      </w:r>
      <w:fldSimple w:instr="  SEQ Table \s 1 \* ARABIC  \* MERGEFORMAT ">
        <w:r w:rsidR="0004281D">
          <w:rPr>
            <w:b/>
            <w:noProof/>
          </w:rPr>
          <w:t>1</w:t>
        </w:r>
      </w:fldSimple>
      <w:r w:rsidRPr="00A03D99">
        <w:rPr>
          <w:b/>
        </w:rPr>
        <w:t>0</w:t>
      </w:r>
      <w:r w:rsidRPr="00A03D99">
        <w:rPr>
          <w:b/>
        </w:rPr>
        <w:tab/>
        <w:t>12-month and 36-month Glivec Treatment (SSGXVIII/AIO Trial)</w:t>
      </w:r>
      <w:bookmarkEnd w:id="3"/>
    </w:p>
    <w:tbl>
      <w:tblPr>
        <w:tblW w:w="0" w:type="auto"/>
        <w:tblBorders>
          <w:top w:val="single" w:sz="4" w:space="0" w:color="auto"/>
          <w:bottom w:val="single" w:sz="4" w:space="0" w:color="auto"/>
        </w:tblBorders>
        <w:tblLayout w:type="fixed"/>
        <w:tblLook w:val="0000"/>
      </w:tblPr>
      <w:tblGrid>
        <w:gridCol w:w="3099"/>
        <w:gridCol w:w="3100"/>
        <w:gridCol w:w="3100"/>
      </w:tblGrid>
      <w:tr w:rsidR="007403C9" w:rsidRPr="00A03D99" w:rsidTr="00A155FC">
        <w:trPr>
          <w:tblHeader/>
        </w:trPr>
        <w:tc>
          <w:tcPr>
            <w:tcW w:w="3099" w:type="dxa"/>
            <w:tcBorders>
              <w:top w:val="single" w:sz="4" w:space="0" w:color="auto"/>
              <w:bottom w:val="nil"/>
            </w:tcBorders>
            <w:shd w:val="clear" w:color="auto" w:fill="auto"/>
          </w:tcPr>
          <w:p w:rsidR="007403C9" w:rsidRPr="00CC0663" w:rsidRDefault="007403C9" w:rsidP="00A155FC">
            <w:pPr>
              <w:pStyle w:val="Table0"/>
              <w:rPr>
                <w:rFonts w:ascii="Times New Roman" w:hAnsi="Times New Roman"/>
                <w:sz w:val="22"/>
                <w:szCs w:val="22"/>
                <w:lang w:val="en-AU"/>
              </w:rPr>
            </w:pPr>
          </w:p>
        </w:tc>
        <w:tc>
          <w:tcPr>
            <w:tcW w:w="3100" w:type="dxa"/>
            <w:tcBorders>
              <w:top w:val="single" w:sz="4" w:space="0" w:color="auto"/>
              <w:bottom w:val="nil"/>
            </w:tcBorders>
            <w:shd w:val="clear" w:color="auto" w:fill="auto"/>
          </w:tcPr>
          <w:p w:rsidR="007403C9" w:rsidRPr="00CC0663" w:rsidRDefault="007403C9" w:rsidP="00A155FC">
            <w:pPr>
              <w:pStyle w:val="Table0"/>
              <w:rPr>
                <w:rFonts w:ascii="Times New Roman" w:hAnsi="Times New Roman"/>
                <w:b/>
                <w:sz w:val="22"/>
                <w:szCs w:val="22"/>
                <w:lang w:val="en-AU"/>
              </w:rPr>
            </w:pPr>
            <w:r w:rsidRPr="00CC0663">
              <w:rPr>
                <w:rFonts w:ascii="Times New Roman" w:hAnsi="Times New Roman"/>
                <w:b/>
                <w:sz w:val="22"/>
                <w:szCs w:val="22"/>
                <w:lang w:val="en-AU"/>
              </w:rPr>
              <w:t>12-month treatment arm</w:t>
            </w:r>
          </w:p>
        </w:tc>
        <w:tc>
          <w:tcPr>
            <w:tcW w:w="3100" w:type="dxa"/>
            <w:tcBorders>
              <w:top w:val="single" w:sz="4" w:space="0" w:color="auto"/>
              <w:bottom w:val="nil"/>
            </w:tcBorders>
            <w:shd w:val="clear" w:color="auto" w:fill="auto"/>
          </w:tcPr>
          <w:p w:rsidR="007403C9" w:rsidRPr="00CC0663" w:rsidRDefault="007403C9" w:rsidP="00A155FC">
            <w:pPr>
              <w:pStyle w:val="Table0"/>
              <w:rPr>
                <w:rFonts w:ascii="Times New Roman" w:hAnsi="Times New Roman"/>
                <w:b/>
                <w:sz w:val="22"/>
                <w:szCs w:val="22"/>
                <w:lang w:val="en-AU"/>
              </w:rPr>
            </w:pPr>
            <w:r w:rsidRPr="00CC0663">
              <w:rPr>
                <w:rFonts w:ascii="Times New Roman" w:hAnsi="Times New Roman"/>
                <w:b/>
                <w:sz w:val="22"/>
                <w:szCs w:val="22"/>
                <w:lang w:val="en-AU"/>
              </w:rPr>
              <w:t>36-month treatment arm</w:t>
            </w:r>
          </w:p>
        </w:tc>
      </w:tr>
      <w:tr w:rsidR="007403C9" w:rsidRPr="00A03D99" w:rsidTr="00A155FC">
        <w:tc>
          <w:tcPr>
            <w:tcW w:w="3099" w:type="dxa"/>
            <w:tcBorders>
              <w:top w:val="nil"/>
            </w:tcBorders>
            <w:shd w:val="clear" w:color="auto" w:fill="auto"/>
          </w:tcPr>
          <w:p w:rsidR="007403C9" w:rsidRPr="00CC0663" w:rsidRDefault="007403C9" w:rsidP="00A155FC">
            <w:pPr>
              <w:pStyle w:val="Table0"/>
              <w:rPr>
                <w:rFonts w:ascii="Times New Roman" w:hAnsi="Times New Roman"/>
                <w:b/>
                <w:sz w:val="22"/>
                <w:szCs w:val="22"/>
                <w:lang w:val="en-AU"/>
              </w:rPr>
            </w:pPr>
            <w:r w:rsidRPr="00CC0663">
              <w:rPr>
                <w:rFonts w:ascii="Times New Roman" w:hAnsi="Times New Roman"/>
                <w:b/>
                <w:sz w:val="22"/>
                <w:szCs w:val="22"/>
                <w:lang w:val="en-AU"/>
              </w:rPr>
              <w:t>RFS</w:t>
            </w:r>
          </w:p>
        </w:tc>
        <w:tc>
          <w:tcPr>
            <w:tcW w:w="3100" w:type="dxa"/>
            <w:tcBorders>
              <w:top w:val="nil"/>
            </w:tcBorders>
            <w:shd w:val="clear" w:color="auto" w:fill="auto"/>
          </w:tcPr>
          <w:p w:rsidR="007403C9" w:rsidRPr="00CC0663" w:rsidRDefault="007403C9" w:rsidP="00A155FC">
            <w:pPr>
              <w:pStyle w:val="Table0"/>
              <w:rPr>
                <w:rFonts w:ascii="Times New Roman" w:hAnsi="Times New Roman"/>
                <w:b/>
                <w:sz w:val="22"/>
                <w:szCs w:val="22"/>
                <w:lang w:val="en-AU"/>
              </w:rPr>
            </w:pPr>
            <w:r w:rsidRPr="00CC0663">
              <w:rPr>
                <w:rFonts w:ascii="Times New Roman" w:hAnsi="Times New Roman"/>
                <w:b/>
                <w:sz w:val="22"/>
                <w:szCs w:val="22"/>
                <w:lang w:val="en-AU"/>
              </w:rPr>
              <w:t>%(CI)</w:t>
            </w:r>
          </w:p>
        </w:tc>
        <w:tc>
          <w:tcPr>
            <w:tcW w:w="3100" w:type="dxa"/>
            <w:tcBorders>
              <w:top w:val="nil"/>
            </w:tcBorders>
            <w:shd w:val="clear" w:color="auto" w:fill="auto"/>
          </w:tcPr>
          <w:p w:rsidR="007403C9" w:rsidRPr="00CC0663" w:rsidRDefault="007403C9" w:rsidP="00A155FC">
            <w:pPr>
              <w:pStyle w:val="Table0"/>
              <w:rPr>
                <w:rFonts w:ascii="Times New Roman" w:hAnsi="Times New Roman"/>
                <w:b/>
                <w:sz w:val="22"/>
                <w:szCs w:val="22"/>
                <w:lang w:val="en-AU"/>
              </w:rPr>
            </w:pPr>
            <w:r w:rsidRPr="00CC0663">
              <w:rPr>
                <w:rFonts w:ascii="Times New Roman" w:hAnsi="Times New Roman"/>
                <w:b/>
                <w:sz w:val="22"/>
                <w:szCs w:val="22"/>
                <w:lang w:val="en-AU"/>
              </w:rPr>
              <w:t>%(CI)</w:t>
            </w:r>
          </w:p>
        </w:tc>
      </w:tr>
      <w:tr w:rsidR="007403C9" w:rsidRPr="00A03D99" w:rsidTr="00A155FC">
        <w:tc>
          <w:tcPr>
            <w:tcW w:w="3099"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 xml:space="preserve">     12 mos.</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93.7 (89.2-96.4)</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95.9 (91.9-97.9)</w:t>
            </w:r>
          </w:p>
        </w:tc>
      </w:tr>
      <w:tr w:rsidR="007403C9" w:rsidRPr="00A03D99" w:rsidTr="00A155FC">
        <w:tc>
          <w:tcPr>
            <w:tcW w:w="3099"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 xml:space="preserve">     24 mos.</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75.4 (68.6-81.0)</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90.7 (85.6-94)</w:t>
            </w:r>
          </w:p>
        </w:tc>
      </w:tr>
      <w:tr w:rsidR="007403C9" w:rsidRPr="00A03D99" w:rsidTr="00A155FC">
        <w:tc>
          <w:tcPr>
            <w:tcW w:w="3099"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 xml:space="preserve">     36 mos.</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60.1 (52.5-66.9)</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86.6 (80.8-90.8)</w:t>
            </w:r>
          </w:p>
        </w:tc>
      </w:tr>
      <w:tr w:rsidR="007403C9" w:rsidRPr="00A03D99" w:rsidTr="00A155FC">
        <w:tc>
          <w:tcPr>
            <w:tcW w:w="3099"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 xml:space="preserve">     48 mos.</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52.3 (44.0-59.8)</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78.3 (70.8-84.1)</w:t>
            </w:r>
          </w:p>
        </w:tc>
      </w:tr>
      <w:tr w:rsidR="007403C9" w:rsidRPr="00A03D99" w:rsidTr="00A155FC">
        <w:tc>
          <w:tcPr>
            <w:tcW w:w="3099" w:type="dxa"/>
            <w:tcBorders>
              <w:bottom w:val="single" w:sz="4" w:space="0" w:color="auto"/>
            </w:tcBorders>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 xml:space="preserve">     60 mos.</w:t>
            </w:r>
          </w:p>
        </w:tc>
        <w:tc>
          <w:tcPr>
            <w:tcW w:w="3100" w:type="dxa"/>
            <w:tcBorders>
              <w:bottom w:val="single" w:sz="4" w:space="0" w:color="auto"/>
            </w:tcBorders>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47.9 (39.0-56.3)</w:t>
            </w:r>
          </w:p>
        </w:tc>
        <w:tc>
          <w:tcPr>
            <w:tcW w:w="3100" w:type="dxa"/>
            <w:tcBorders>
              <w:bottom w:val="single" w:sz="4" w:space="0" w:color="auto"/>
            </w:tcBorders>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65.6 (56.1-73.4)</w:t>
            </w:r>
          </w:p>
        </w:tc>
      </w:tr>
      <w:tr w:rsidR="007403C9" w:rsidRPr="00A03D99" w:rsidTr="00A155FC">
        <w:tc>
          <w:tcPr>
            <w:tcW w:w="3099" w:type="dxa"/>
            <w:tcBorders>
              <w:top w:val="single" w:sz="4" w:space="0" w:color="auto"/>
              <w:bottom w:val="nil"/>
            </w:tcBorders>
            <w:shd w:val="clear" w:color="auto" w:fill="auto"/>
          </w:tcPr>
          <w:p w:rsidR="007403C9" w:rsidRPr="00CC0663" w:rsidRDefault="007403C9" w:rsidP="00A155FC">
            <w:pPr>
              <w:pStyle w:val="Table0"/>
              <w:rPr>
                <w:rFonts w:ascii="Times New Roman" w:hAnsi="Times New Roman"/>
                <w:b/>
                <w:sz w:val="22"/>
                <w:szCs w:val="22"/>
                <w:lang w:val="en-AU"/>
              </w:rPr>
            </w:pPr>
            <w:r w:rsidRPr="00CC0663">
              <w:rPr>
                <w:rFonts w:ascii="Times New Roman" w:hAnsi="Times New Roman"/>
                <w:b/>
                <w:sz w:val="22"/>
                <w:szCs w:val="22"/>
                <w:lang w:val="en-AU"/>
              </w:rPr>
              <w:t>Survival</w:t>
            </w:r>
          </w:p>
        </w:tc>
        <w:tc>
          <w:tcPr>
            <w:tcW w:w="3100" w:type="dxa"/>
            <w:tcBorders>
              <w:top w:val="single" w:sz="4" w:space="0" w:color="auto"/>
              <w:bottom w:val="nil"/>
            </w:tcBorders>
            <w:shd w:val="clear" w:color="auto" w:fill="auto"/>
          </w:tcPr>
          <w:p w:rsidR="007403C9" w:rsidRPr="00CC0663" w:rsidRDefault="007403C9" w:rsidP="00A155FC">
            <w:pPr>
              <w:pStyle w:val="Table0"/>
              <w:rPr>
                <w:rFonts w:ascii="Times New Roman" w:hAnsi="Times New Roman"/>
                <w:sz w:val="22"/>
                <w:szCs w:val="22"/>
                <w:lang w:val="en-AU"/>
              </w:rPr>
            </w:pPr>
          </w:p>
        </w:tc>
        <w:tc>
          <w:tcPr>
            <w:tcW w:w="3100" w:type="dxa"/>
            <w:tcBorders>
              <w:top w:val="single" w:sz="4" w:space="0" w:color="auto"/>
              <w:bottom w:val="nil"/>
            </w:tcBorders>
            <w:shd w:val="clear" w:color="auto" w:fill="auto"/>
          </w:tcPr>
          <w:p w:rsidR="007403C9" w:rsidRPr="00CC0663" w:rsidRDefault="007403C9" w:rsidP="00A155FC">
            <w:pPr>
              <w:pStyle w:val="Table0"/>
              <w:rPr>
                <w:rFonts w:ascii="Times New Roman" w:hAnsi="Times New Roman"/>
                <w:sz w:val="22"/>
                <w:szCs w:val="22"/>
                <w:lang w:val="en-AU"/>
              </w:rPr>
            </w:pPr>
          </w:p>
        </w:tc>
      </w:tr>
      <w:tr w:rsidR="007403C9" w:rsidRPr="00A03D99" w:rsidTr="00A155FC">
        <w:tc>
          <w:tcPr>
            <w:tcW w:w="3099" w:type="dxa"/>
            <w:tcBorders>
              <w:top w:val="nil"/>
            </w:tcBorders>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 xml:space="preserve">     36 mos.</w:t>
            </w:r>
          </w:p>
        </w:tc>
        <w:tc>
          <w:tcPr>
            <w:tcW w:w="3100" w:type="dxa"/>
            <w:tcBorders>
              <w:top w:val="nil"/>
            </w:tcBorders>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94.0 (89.5-96.7)</w:t>
            </w:r>
          </w:p>
        </w:tc>
        <w:tc>
          <w:tcPr>
            <w:tcW w:w="3100" w:type="dxa"/>
            <w:tcBorders>
              <w:top w:val="nil"/>
            </w:tcBorders>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96.3 (92.4-98.2)</w:t>
            </w:r>
          </w:p>
        </w:tc>
      </w:tr>
      <w:tr w:rsidR="007403C9" w:rsidRPr="00A03D99" w:rsidTr="00A155FC">
        <w:tc>
          <w:tcPr>
            <w:tcW w:w="3099"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 xml:space="preserve">     48 mos.</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87.9 (81.1-92.3)</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95.6 (91.2-97.8)</w:t>
            </w:r>
          </w:p>
        </w:tc>
      </w:tr>
      <w:tr w:rsidR="007403C9" w:rsidRPr="00A03D99" w:rsidTr="00A155FC">
        <w:tc>
          <w:tcPr>
            <w:tcW w:w="3099"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 xml:space="preserve">     60 mos.</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81.7 (73.0-87.8)</w:t>
            </w:r>
          </w:p>
        </w:tc>
        <w:tc>
          <w:tcPr>
            <w:tcW w:w="3100" w:type="dxa"/>
            <w:shd w:val="clear" w:color="auto" w:fill="auto"/>
          </w:tcPr>
          <w:p w:rsidR="007403C9" w:rsidRPr="00CC0663" w:rsidRDefault="007403C9" w:rsidP="00A155FC">
            <w:pPr>
              <w:pStyle w:val="Table0"/>
              <w:rPr>
                <w:rFonts w:ascii="Times New Roman" w:hAnsi="Times New Roman"/>
                <w:sz w:val="22"/>
                <w:szCs w:val="22"/>
                <w:lang w:val="en-AU"/>
              </w:rPr>
            </w:pPr>
            <w:r w:rsidRPr="00CC0663">
              <w:rPr>
                <w:rFonts w:ascii="Times New Roman" w:hAnsi="Times New Roman"/>
                <w:sz w:val="22"/>
                <w:szCs w:val="22"/>
                <w:lang w:val="en-AU"/>
              </w:rPr>
              <w:t>92.0 (85.3-95.7)</w:t>
            </w:r>
          </w:p>
        </w:tc>
      </w:tr>
    </w:tbl>
    <w:p w:rsidR="007403C9" w:rsidRPr="00A03D99" w:rsidRDefault="007403C9" w:rsidP="007403C9">
      <w:pPr>
        <w:pStyle w:val="Text"/>
        <w:keepNext/>
        <w:spacing w:before="240" w:after="120"/>
        <w:jc w:val="center"/>
        <w:rPr>
          <w:b/>
        </w:rPr>
      </w:pPr>
      <w:bookmarkStart w:id="4" w:name="_Toc298131471"/>
      <w:r w:rsidRPr="00A03D99">
        <w:rPr>
          <w:b/>
        </w:rPr>
        <w:t>Figure 5</w:t>
      </w:r>
      <w:r w:rsidRPr="00A03D99">
        <w:rPr>
          <w:b/>
        </w:rPr>
        <w:tab/>
        <w:t>Kaplan-Meier estimates for primary recurrence-free survival endpoint (ITT population)</w:t>
      </w:r>
      <w:bookmarkEnd w:id="4"/>
    </w:p>
    <w:p w:rsidR="007403C9" w:rsidRPr="00A03D99" w:rsidRDefault="008C7351" w:rsidP="007403C9">
      <w:pPr>
        <w:pStyle w:val="Text"/>
        <w:keepNext/>
        <w:spacing w:before="240" w:after="120"/>
        <w:jc w:val="center"/>
        <w:rPr>
          <w:b/>
        </w:rPr>
      </w:pPr>
      <w:r>
        <w:rPr>
          <w:b/>
          <w:noProof/>
          <w:lang w:val="en-AU" w:eastAsia="en-AU"/>
        </w:rPr>
        <w:drawing>
          <wp:inline distT="0" distB="0" distL="0" distR="0">
            <wp:extent cx="4152900" cy="2200275"/>
            <wp:effectExtent l="19050" t="0" r="0" b="0"/>
            <wp:docPr id="4" name="Picture 4" descr="Figure 5 Kaplan-Meier estimates for primary recurrence-free survival endpoint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4152900" cy="2200275"/>
                    </a:xfrm>
                    <a:prstGeom prst="rect">
                      <a:avLst/>
                    </a:prstGeom>
                    <a:noFill/>
                    <a:ln w="9525">
                      <a:noFill/>
                      <a:miter lim="800000"/>
                      <a:headEnd/>
                      <a:tailEnd/>
                    </a:ln>
                  </pic:spPr>
                </pic:pic>
              </a:graphicData>
            </a:graphic>
          </wp:inline>
        </w:drawing>
      </w:r>
    </w:p>
    <w:p w:rsidR="007403C9" w:rsidRPr="00A03D99" w:rsidRDefault="007403C9" w:rsidP="007403C9">
      <w:pPr>
        <w:pStyle w:val="Text"/>
        <w:keepNext/>
        <w:spacing w:before="240" w:after="120"/>
        <w:jc w:val="center"/>
        <w:rPr>
          <w:b/>
        </w:rPr>
      </w:pPr>
      <w:bookmarkStart w:id="5" w:name="_Toc298131472"/>
      <w:r w:rsidRPr="00A03D99">
        <w:rPr>
          <w:b/>
        </w:rPr>
        <w:t>Figure 6</w:t>
      </w:r>
      <w:r w:rsidRPr="00A03D99">
        <w:rPr>
          <w:b/>
        </w:rPr>
        <w:tab/>
        <w:t>Kaplan-Meier estimates for overall survival (ITT population)</w:t>
      </w:r>
      <w:bookmarkEnd w:id="5"/>
    </w:p>
    <w:p w:rsidR="007403C9" w:rsidRPr="007403C9" w:rsidRDefault="008C7351" w:rsidP="007403C9">
      <w:pPr>
        <w:pStyle w:val="Text"/>
        <w:keepNext/>
        <w:spacing w:before="240" w:after="120"/>
        <w:jc w:val="center"/>
        <w:rPr>
          <w:b/>
        </w:rPr>
      </w:pPr>
      <w:r>
        <w:rPr>
          <w:b/>
          <w:noProof/>
          <w:lang w:val="en-AU" w:eastAsia="en-AU"/>
        </w:rPr>
        <w:drawing>
          <wp:inline distT="0" distB="0" distL="0" distR="0">
            <wp:extent cx="4181475" cy="2238375"/>
            <wp:effectExtent l="19050" t="0" r="9525" b="0"/>
            <wp:docPr id="5" name="Picture 5" descr="Figure 6 Kaplan-Meier estimates for overall survival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4181475" cy="2238375"/>
                    </a:xfrm>
                    <a:prstGeom prst="rect">
                      <a:avLst/>
                    </a:prstGeom>
                    <a:noFill/>
                    <a:ln w="9525">
                      <a:noFill/>
                      <a:miter lim="800000"/>
                      <a:headEnd/>
                      <a:tailEnd/>
                    </a:ln>
                  </pic:spPr>
                </pic:pic>
              </a:graphicData>
            </a:graphic>
          </wp:inline>
        </w:drawing>
      </w:r>
    </w:p>
    <w:p w:rsidR="00CD3517" w:rsidRPr="00057C4C" w:rsidRDefault="00CD3517" w:rsidP="002B14EF">
      <w:pPr>
        <w:pStyle w:val="Heading2"/>
        <w:rPr>
          <w:rFonts w:eastAsia="MS Mincho"/>
        </w:rPr>
      </w:pPr>
      <w:r w:rsidRPr="00057C4C">
        <w:rPr>
          <w:rFonts w:eastAsia="MS Mincho"/>
          <w:lang w:eastAsia="ja-JP"/>
        </w:rPr>
        <w:t xml:space="preserve">Clinical studies in </w:t>
      </w:r>
      <w:r w:rsidR="00D46498" w:rsidRPr="00057C4C">
        <w:rPr>
          <w:rFonts w:eastAsia="MS Mincho"/>
          <w:lang w:eastAsia="ja-JP"/>
        </w:rPr>
        <w:t>dermatofibrosarcoma protuberans (</w:t>
      </w:r>
      <w:r w:rsidRPr="00057C4C">
        <w:rPr>
          <w:rFonts w:eastAsia="MS Mincho"/>
          <w:lang w:eastAsia="ja-JP"/>
        </w:rPr>
        <w:t>DFSP</w:t>
      </w:r>
      <w:r w:rsidR="00D46498" w:rsidRPr="00057C4C">
        <w:rPr>
          <w:rFonts w:eastAsia="MS Mincho"/>
          <w:lang w:eastAsia="ja-JP"/>
        </w:rPr>
        <w:t>)</w:t>
      </w:r>
    </w:p>
    <w:p w:rsidR="00CD3517" w:rsidRPr="00057C4C" w:rsidRDefault="00CD3517" w:rsidP="00FC0B50">
      <w:pPr>
        <w:spacing w:before="120" w:after="120"/>
        <w:rPr>
          <w:rFonts w:eastAsia="MS Mincho"/>
        </w:rPr>
      </w:pPr>
      <w:r w:rsidRPr="00057C4C">
        <w:rPr>
          <w:rFonts w:eastAsia="MS Mincho"/>
        </w:rPr>
        <w:t xml:space="preserve">Study B2225 (see “Clinical studies in </w:t>
      </w:r>
      <w:smartTag w:uri="urn:schemas-microsoft-com:office:smarttags" w:element="stockticker">
        <w:r w:rsidRPr="00057C4C">
          <w:rPr>
            <w:rFonts w:eastAsia="MS Mincho"/>
          </w:rPr>
          <w:t>MDS</w:t>
        </w:r>
      </w:smartTag>
      <w:r w:rsidRPr="00057C4C">
        <w:rPr>
          <w:rFonts w:eastAsia="MS Mincho"/>
        </w:rPr>
        <w:t>/MPD”) also included 12 patients with DFSP out of a total of 185 patients.  The primary evidence of efficacy for patients in the solid tumour group (</w:t>
      </w:r>
      <w:r w:rsidR="00DD2067" w:rsidRPr="00057C4C">
        <w:rPr>
          <w:rFonts w:eastAsia="MS Mincho"/>
        </w:rPr>
        <w:t>N</w:t>
      </w:r>
      <w:r w:rsidRPr="00057C4C">
        <w:rPr>
          <w:rFonts w:eastAsia="MS Mincho"/>
        </w:rPr>
        <w:t xml:space="preserve">=140) was based on objective response rates.  The solid tumour population was treated with Glivec 800 mg daily. The age of the DFSP patients ranged from 23 to 75 years; DFSP was metastatic, locally recurrent following initial resective surgery and not considered </w:t>
      </w:r>
      <w:r w:rsidRPr="00057C4C">
        <w:rPr>
          <w:rFonts w:eastAsia="MS Mincho"/>
        </w:rPr>
        <w:lastRenderedPageBreak/>
        <w:t xml:space="preserve">amenable to further resective surgery at the time of study entry. A further 6 DFSP patients treated with Glivec </w:t>
      </w:r>
      <w:r w:rsidR="002958F3" w:rsidRPr="00057C4C">
        <w:rPr>
          <w:rFonts w:eastAsia="MS Mincho"/>
        </w:rPr>
        <w:t>were</w:t>
      </w:r>
      <w:r w:rsidRPr="00057C4C">
        <w:rPr>
          <w:rFonts w:eastAsia="MS Mincho"/>
        </w:rPr>
        <w:t xml:space="preserve"> reported  in 5 published case reports, their ages ranging from 18 months to 49 years. The total population treated for DFSP comprises 18 patients, 8 of them with metastatic disease. The adult patients reported in the published literature were treated with either 400 mg (4 cases) or 800 mg (1 case) Glivec daily. The paediatric patient received 400 mg/m</w:t>
      </w:r>
      <w:r w:rsidRPr="00057C4C">
        <w:rPr>
          <w:rFonts w:eastAsia="MS Mincho"/>
          <w:szCs w:val="24"/>
          <w:vertAlign w:val="superscript"/>
        </w:rPr>
        <w:t>2</w:t>
      </w:r>
      <w:r w:rsidRPr="00057C4C">
        <w:rPr>
          <w:rFonts w:eastAsia="MS Mincho"/>
        </w:rPr>
        <w:t>/daily, subsequently increased to 520 mg/m</w:t>
      </w:r>
      <w:r w:rsidRPr="00057C4C">
        <w:rPr>
          <w:rFonts w:eastAsia="MS Mincho"/>
          <w:szCs w:val="24"/>
          <w:vertAlign w:val="superscript"/>
        </w:rPr>
        <w:t>2</w:t>
      </w:r>
      <w:r w:rsidRPr="00057C4C">
        <w:rPr>
          <w:rFonts w:eastAsia="MS Mincho"/>
        </w:rPr>
        <w:t xml:space="preserve">/daily. Responses to treatment are described in Table </w:t>
      </w:r>
      <w:r w:rsidR="00E433C3" w:rsidRPr="00057C4C">
        <w:rPr>
          <w:rFonts w:eastAsia="MS Mincho"/>
        </w:rPr>
        <w:t>1</w:t>
      </w:r>
      <w:r w:rsidR="00B83415">
        <w:rPr>
          <w:rFonts w:eastAsia="MS Mincho"/>
        </w:rPr>
        <w:t>1</w:t>
      </w:r>
      <w:r w:rsidR="002B14EF">
        <w:rPr>
          <w:rFonts w:eastAsia="MS Mincho"/>
        </w:rPr>
        <w:t>.</w:t>
      </w:r>
    </w:p>
    <w:p w:rsidR="00CD3517" w:rsidRPr="00057C4C" w:rsidRDefault="00CD3517" w:rsidP="00AA0CFA">
      <w:pPr>
        <w:pStyle w:val="Heading7"/>
        <w:spacing w:before="120"/>
        <w:jc w:val="center"/>
        <w:rPr>
          <w:rFonts w:ascii="Times New Roman" w:hAnsi="Times New Roman"/>
          <w:lang w:eastAsia="ja-JP"/>
        </w:rPr>
      </w:pPr>
      <w:r w:rsidRPr="00057C4C">
        <w:rPr>
          <w:rFonts w:ascii="Times New Roman" w:hAnsi="Times New Roman"/>
          <w:szCs w:val="24"/>
        </w:rPr>
        <w:t xml:space="preserve">Table </w:t>
      </w:r>
      <w:r w:rsidR="00E433C3" w:rsidRPr="00057C4C">
        <w:rPr>
          <w:rFonts w:ascii="Times New Roman" w:hAnsi="Times New Roman"/>
          <w:szCs w:val="24"/>
        </w:rPr>
        <w:t>1</w:t>
      </w:r>
      <w:r w:rsidR="007403C9">
        <w:rPr>
          <w:rFonts w:ascii="Times New Roman" w:hAnsi="Times New Roman"/>
          <w:szCs w:val="24"/>
        </w:rPr>
        <w:t>1</w:t>
      </w:r>
      <w:r w:rsidR="00E433C3" w:rsidRPr="00057C4C">
        <w:rPr>
          <w:rFonts w:ascii="Times New Roman" w:hAnsi="Times New Roman"/>
          <w:szCs w:val="24"/>
          <w:lang w:eastAsia="ja-JP"/>
        </w:rPr>
        <w:t xml:space="preserve"> </w:t>
      </w:r>
      <w:r w:rsidRPr="00057C4C">
        <w:rPr>
          <w:rFonts w:ascii="Times New Roman" w:hAnsi="Times New Roman"/>
          <w:lang w:eastAsia="ja-JP"/>
        </w:rPr>
        <w:t>Response rate in 18 DFSP patients treated with imatinib</w:t>
      </w:r>
    </w:p>
    <w:tbl>
      <w:tblPr>
        <w:tblW w:w="0" w:type="auto"/>
        <w:jc w:val="center"/>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0"/>
        <w:gridCol w:w="2405"/>
        <w:gridCol w:w="1706"/>
      </w:tblGrid>
      <w:tr w:rsidR="00CD3517" w:rsidRPr="00057C4C">
        <w:trPr>
          <w:tblHeader/>
          <w:jc w:val="center"/>
        </w:trPr>
        <w:tc>
          <w:tcPr>
            <w:tcW w:w="2410" w:type="dxa"/>
            <w:shd w:val="clear" w:color="auto" w:fill="auto"/>
          </w:tcPr>
          <w:p w:rsidR="00CD3517" w:rsidRPr="00CC0663" w:rsidRDefault="00CD3517" w:rsidP="00202B37">
            <w:pPr>
              <w:pStyle w:val="Table0"/>
              <w:spacing w:before="60" w:after="60"/>
              <w:rPr>
                <w:rFonts w:ascii="Times New Roman" w:hAnsi="Times New Roman"/>
                <w:b/>
                <w:bCs/>
                <w:sz w:val="22"/>
                <w:szCs w:val="22"/>
                <w:lang w:val="en-AU"/>
              </w:rPr>
            </w:pPr>
            <w:r w:rsidRPr="00CC0663">
              <w:rPr>
                <w:rFonts w:ascii="Times New Roman" w:hAnsi="Times New Roman"/>
                <w:b/>
                <w:bCs/>
                <w:sz w:val="22"/>
                <w:szCs w:val="22"/>
                <w:lang w:val="en-AU"/>
              </w:rPr>
              <w:t>Tumour response</w:t>
            </w:r>
          </w:p>
        </w:tc>
        <w:tc>
          <w:tcPr>
            <w:tcW w:w="2405" w:type="dxa"/>
            <w:shd w:val="clear" w:color="auto" w:fill="auto"/>
          </w:tcPr>
          <w:p w:rsidR="00CD3517" w:rsidRPr="00CC0663" w:rsidRDefault="00CD3517" w:rsidP="00202B37">
            <w:pPr>
              <w:pStyle w:val="Table0"/>
              <w:spacing w:before="60" w:after="60"/>
              <w:jc w:val="center"/>
              <w:rPr>
                <w:rFonts w:ascii="Times New Roman" w:hAnsi="Times New Roman"/>
                <w:b/>
                <w:bCs/>
                <w:sz w:val="22"/>
                <w:szCs w:val="22"/>
                <w:lang w:val="en-AU"/>
              </w:rPr>
            </w:pPr>
            <w:r w:rsidRPr="00CC0663">
              <w:rPr>
                <w:rFonts w:ascii="Times New Roman" w:hAnsi="Times New Roman"/>
                <w:b/>
                <w:bCs/>
                <w:sz w:val="22"/>
                <w:szCs w:val="22"/>
                <w:lang w:val="en-AU"/>
              </w:rPr>
              <w:t>Number of patients</w:t>
            </w:r>
          </w:p>
        </w:tc>
        <w:tc>
          <w:tcPr>
            <w:tcW w:w="1706" w:type="dxa"/>
            <w:shd w:val="clear" w:color="auto" w:fill="auto"/>
          </w:tcPr>
          <w:p w:rsidR="00CD3517" w:rsidRPr="00CC0663" w:rsidRDefault="00CD3517" w:rsidP="00202B37">
            <w:pPr>
              <w:pStyle w:val="Table0"/>
              <w:spacing w:before="60" w:after="60"/>
              <w:jc w:val="center"/>
              <w:rPr>
                <w:rFonts w:ascii="Times New Roman" w:hAnsi="Times New Roman"/>
                <w:b/>
                <w:bCs/>
                <w:sz w:val="22"/>
                <w:szCs w:val="22"/>
                <w:lang w:val="en-AU"/>
              </w:rPr>
            </w:pPr>
            <w:r w:rsidRPr="00CC0663">
              <w:rPr>
                <w:rFonts w:ascii="Times New Roman" w:hAnsi="Times New Roman"/>
                <w:b/>
                <w:bCs/>
                <w:sz w:val="22"/>
                <w:szCs w:val="22"/>
                <w:lang w:val="en-AU"/>
              </w:rPr>
              <w:t>%</w:t>
            </w:r>
          </w:p>
        </w:tc>
      </w:tr>
      <w:tr w:rsidR="00CD3517" w:rsidRPr="00057C4C">
        <w:trPr>
          <w:jc w:val="center"/>
        </w:trPr>
        <w:tc>
          <w:tcPr>
            <w:tcW w:w="2410" w:type="dxa"/>
            <w:shd w:val="clear" w:color="auto" w:fill="auto"/>
          </w:tcPr>
          <w:p w:rsidR="00CD3517" w:rsidRPr="00CC0663" w:rsidRDefault="00CD3517" w:rsidP="00202B37">
            <w:pPr>
              <w:pStyle w:val="Table0"/>
              <w:spacing w:before="60" w:after="60"/>
              <w:rPr>
                <w:rFonts w:ascii="Times New Roman" w:hAnsi="Times New Roman"/>
                <w:b/>
                <w:bCs/>
                <w:sz w:val="22"/>
                <w:szCs w:val="22"/>
                <w:lang w:val="en-AU"/>
              </w:rPr>
            </w:pPr>
            <w:r w:rsidRPr="00CC0663">
              <w:rPr>
                <w:rFonts w:ascii="Times New Roman" w:hAnsi="Times New Roman"/>
                <w:b/>
                <w:bCs/>
                <w:sz w:val="22"/>
                <w:szCs w:val="22"/>
                <w:lang w:val="en-AU"/>
              </w:rPr>
              <w:t>Complete response</w:t>
            </w:r>
          </w:p>
        </w:tc>
        <w:tc>
          <w:tcPr>
            <w:tcW w:w="2405" w:type="dxa"/>
            <w:shd w:val="clear" w:color="auto" w:fill="auto"/>
          </w:tcPr>
          <w:p w:rsidR="00CD3517" w:rsidRPr="00CC0663" w:rsidRDefault="00CD3517" w:rsidP="00202B37">
            <w:pPr>
              <w:pStyle w:val="Table0"/>
              <w:spacing w:before="60" w:after="60"/>
              <w:jc w:val="center"/>
              <w:rPr>
                <w:rFonts w:ascii="Times New Roman" w:hAnsi="Times New Roman"/>
                <w:bCs/>
                <w:sz w:val="22"/>
                <w:szCs w:val="22"/>
                <w:lang w:val="en-AU"/>
              </w:rPr>
            </w:pPr>
            <w:r w:rsidRPr="00CC0663">
              <w:rPr>
                <w:rFonts w:ascii="Times New Roman" w:hAnsi="Times New Roman"/>
                <w:bCs/>
                <w:sz w:val="22"/>
                <w:szCs w:val="22"/>
                <w:lang w:val="en-AU"/>
              </w:rPr>
              <w:t>7</w:t>
            </w:r>
          </w:p>
        </w:tc>
        <w:tc>
          <w:tcPr>
            <w:tcW w:w="1706" w:type="dxa"/>
            <w:shd w:val="clear" w:color="auto" w:fill="auto"/>
          </w:tcPr>
          <w:p w:rsidR="00CD3517" w:rsidRPr="00CC0663" w:rsidRDefault="00CD3517" w:rsidP="00202B37">
            <w:pPr>
              <w:pStyle w:val="Table0"/>
              <w:spacing w:before="60" w:after="60"/>
              <w:jc w:val="center"/>
              <w:rPr>
                <w:rFonts w:ascii="Times New Roman" w:hAnsi="Times New Roman"/>
                <w:bCs/>
                <w:sz w:val="22"/>
                <w:szCs w:val="22"/>
                <w:lang w:val="en-AU"/>
              </w:rPr>
            </w:pPr>
            <w:r w:rsidRPr="00CC0663">
              <w:rPr>
                <w:rFonts w:ascii="Times New Roman" w:hAnsi="Times New Roman"/>
                <w:bCs/>
                <w:sz w:val="22"/>
                <w:szCs w:val="22"/>
                <w:lang w:val="en-AU"/>
              </w:rPr>
              <w:t>39</w:t>
            </w:r>
          </w:p>
        </w:tc>
      </w:tr>
      <w:tr w:rsidR="00CD3517" w:rsidRPr="00057C4C">
        <w:trPr>
          <w:jc w:val="center"/>
        </w:trPr>
        <w:tc>
          <w:tcPr>
            <w:tcW w:w="2410" w:type="dxa"/>
            <w:tcBorders>
              <w:bottom w:val="single" w:sz="4" w:space="0" w:color="auto"/>
            </w:tcBorders>
            <w:shd w:val="clear" w:color="auto" w:fill="auto"/>
          </w:tcPr>
          <w:p w:rsidR="00CD3517" w:rsidRPr="00CC0663" w:rsidRDefault="00CD3517" w:rsidP="00202B37">
            <w:pPr>
              <w:pStyle w:val="Table0"/>
              <w:spacing w:before="60" w:after="60"/>
              <w:rPr>
                <w:rFonts w:ascii="Times New Roman" w:hAnsi="Times New Roman"/>
                <w:b/>
                <w:bCs/>
                <w:sz w:val="22"/>
                <w:szCs w:val="22"/>
                <w:lang w:val="en-AU"/>
              </w:rPr>
            </w:pPr>
            <w:r w:rsidRPr="00CC0663">
              <w:rPr>
                <w:rFonts w:ascii="Times New Roman" w:hAnsi="Times New Roman"/>
                <w:b/>
                <w:bCs/>
                <w:sz w:val="22"/>
                <w:szCs w:val="22"/>
                <w:lang w:val="en-AU"/>
              </w:rPr>
              <w:t>Partial response *</w:t>
            </w:r>
          </w:p>
        </w:tc>
        <w:tc>
          <w:tcPr>
            <w:tcW w:w="2405" w:type="dxa"/>
            <w:tcBorders>
              <w:bottom w:val="single" w:sz="4" w:space="0" w:color="auto"/>
            </w:tcBorders>
            <w:shd w:val="clear" w:color="auto" w:fill="auto"/>
          </w:tcPr>
          <w:p w:rsidR="00CD3517" w:rsidRPr="00CC0663" w:rsidRDefault="00CD3517" w:rsidP="00202B37">
            <w:pPr>
              <w:pStyle w:val="Table0"/>
              <w:spacing w:before="60" w:after="60"/>
              <w:jc w:val="center"/>
              <w:rPr>
                <w:rFonts w:ascii="Times New Roman" w:hAnsi="Times New Roman"/>
                <w:bCs/>
                <w:sz w:val="22"/>
                <w:szCs w:val="22"/>
                <w:lang w:val="en-AU"/>
              </w:rPr>
            </w:pPr>
            <w:r w:rsidRPr="00CC0663">
              <w:rPr>
                <w:rFonts w:ascii="Times New Roman" w:hAnsi="Times New Roman"/>
                <w:bCs/>
                <w:sz w:val="22"/>
                <w:szCs w:val="22"/>
                <w:lang w:val="en-AU"/>
              </w:rPr>
              <w:t>8</w:t>
            </w:r>
          </w:p>
        </w:tc>
        <w:tc>
          <w:tcPr>
            <w:tcW w:w="1706" w:type="dxa"/>
            <w:tcBorders>
              <w:bottom w:val="single" w:sz="4" w:space="0" w:color="auto"/>
            </w:tcBorders>
            <w:shd w:val="clear" w:color="auto" w:fill="auto"/>
          </w:tcPr>
          <w:p w:rsidR="00CD3517" w:rsidRPr="00CC0663" w:rsidRDefault="00CD3517" w:rsidP="00202B37">
            <w:pPr>
              <w:pStyle w:val="Table0"/>
              <w:spacing w:before="60" w:after="60"/>
              <w:jc w:val="center"/>
              <w:rPr>
                <w:rFonts w:ascii="Times New Roman" w:hAnsi="Times New Roman"/>
                <w:bCs/>
                <w:sz w:val="22"/>
                <w:szCs w:val="22"/>
                <w:lang w:val="en-AU"/>
              </w:rPr>
            </w:pPr>
            <w:r w:rsidRPr="00CC0663">
              <w:rPr>
                <w:rFonts w:ascii="Times New Roman" w:hAnsi="Times New Roman"/>
                <w:bCs/>
                <w:sz w:val="22"/>
                <w:szCs w:val="22"/>
                <w:lang w:val="en-AU"/>
              </w:rPr>
              <w:t>44</w:t>
            </w:r>
          </w:p>
        </w:tc>
      </w:tr>
      <w:tr w:rsidR="00CD3517" w:rsidRPr="00057C4C">
        <w:trPr>
          <w:jc w:val="center"/>
        </w:trPr>
        <w:tc>
          <w:tcPr>
            <w:tcW w:w="2410" w:type="dxa"/>
            <w:tcBorders>
              <w:bottom w:val="single" w:sz="4" w:space="0" w:color="auto"/>
            </w:tcBorders>
            <w:shd w:val="clear" w:color="auto" w:fill="auto"/>
          </w:tcPr>
          <w:p w:rsidR="00CD3517" w:rsidRPr="00CC0663" w:rsidRDefault="00CD3517" w:rsidP="00202B37">
            <w:pPr>
              <w:pStyle w:val="Table0"/>
              <w:spacing w:before="60" w:after="60"/>
              <w:rPr>
                <w:rFonts w:ascii="Times New Roman" w:hAnsi="Times New Roman"/>
                <w:b/>
                <w:bCs/>
                <w:sz w:val="22"/>
                <w:szCs w:val="22"/>
                <w:lang w:val="en-AU"/>
              </w:rPr>
            </w:pPr>
            <w:r w:rsidRPr="00CC0663">
              <w:rPr>
                <w:rFonts w:ascii="Times New Roman" w:hAnsi="Times New Roman"/>
                <w:b/>
                <w:bCs/>
                <w:sz w:val="22"/>
                <w:szCs w:val="22"/>
                <w:lang w:val="en-AU"/>
              </w:rPr>
              <w:t xml:space="preserve">Total </w:t>
            </w:r>
          </w:p>
        </w:tc>
        <w:tc>
          <w:tcPr>
            <w:tcW w:w="2405" w:type="dxa"/>
            <w:tcBorders>
              <w:bottom w:val="single" w:sz="4" w:space="0" w:color="auto"/>
            </w:tcBorders>
            <w:shd w:val="clear" w:color="auto" w:fill="auto"/>
          </w:tcPr>
          <w:p w:rsidR="00CD3517" w:rsidRPr="00CC0663" w:rsidRDefault="00CD3517" w:rsidP="00202B37">
            <w:pPr>
              <w:pStyle w:val="Table0"/>
              <w:spacing w:before="60" w:after="60"/>
              <w:jc w:val="center"/>
              <w:rPr>
                <w:rFonts w:ascii="Times New Roman" w:hAnsi="Times New Roman"/>
                <w:bCs/>
                <w:sz w:val="22"/>
                <w:szCs w:val="22"/>
                <w:lang w:val="en-AU"/>
              </w:rPr>
            </w:pPr>
            <w:r w:rsidRPr="00CC0663">
              <w:rPr>
                <w:rFonts w:ascii="Times New Roman" w:hAnsi="Times New Roman"/>
                <w:bCs/>
                <w:sz w:val="22"/>
                <w:szCs w:val="22"/>
                <w:lang w:val="en-AU"/>
              </w:rPr>
              <w:t>15</w:t>
            </w:r>
          </w:p>
        </w:tc>
        <w:tc>
          <w:tcPr>
            <w:tcW w:w="1706" w:type="dxa"/>
            <w:tcBorders>
              <w:bottom w:val="single" w:sz="4" w:space="0" w:color="auto"/>
            </w:tcBorders>
            <w:shd w:val="clear" w:color="auto" w:fill="auto"/>
          </w:tcPr>
          <w:p w:rsidR="00CD3517" w:rsidRPr="00CC0663" w:rsidRDefault="00CD3517" w:rsidP="00202B37">
            <w:pPr>
              <w:pStyle w:val="Table0"/>
              <w:spacing w:before="60" w:after="60"/>
              <w:jc w:val="center"/>
              <w:rPr>
                <w:rFonts w:ascii="Times New Roman" w:hAnsi="Times New Roman"/>
                <w:bCs/>
                <w:sz w:val="22"/>
                <w:szCs w:val="22"/>
                <w:lang w:val="en-AU"/>
              </w:rPr>
            </w:pPr>
            <w:r w:rsidRPr="00CC0663">
              <w:rPr>
                <w:rFonts w:ascii="Times New Roman" w:hAnsi="Times New Roman"/>
                <w:bCs/>
                <w:sz w:val="22"/>
                <w:szCs w:val="22"/>
                <w:lang w:val="en-AU"/>
              </w:rPr>
              <w:t>83</w:t>
            </w:r>
          </w:p>
        </w:tc>
      </w:tr>
      <w:tr w:rsidR="00CD3517" w:rsidRPr="00057C4C">
        <w:trPr>
          <w:jc w:val="center"/>
        </w:trPr>
        <w:tc>
          <w:tcPr>
            <w:tcW w:w="6521" w:type="dxa"/>
            <w:gridSpan w:val="3"/>
            <w:tcBorders>
              <w:top w:val="single" w:sz="4" w:space="0" w:color="auto"/>
              <w:left w:val="nil"/>
              <w:bottom w:val="nil"/>
              <w:right w:val="nil"/>
            </w:tcBorders>
            <w:shd w:val="clear" w:color="auto" w:fill="auto"/>
          </w:tcPr>
          <w:p w:rsidR="00CD3517" w:rsidRPr="00CC0663" w:rsidRDefault="00CD3517" w:rsidP="00202B37">
            <w:pPr>
              <w:pStyle w:val="Table0"/>
              <w:spacing w:before="60" w:after="60"/>
              <w:rPr>
                <w:rFonts w:ascii="Times New Roman" w:hAnsi="Times New Roman"/>
                <w:bCs/>
                <w:sz w:val="22"/>
                <w:szCs w:val="22"/>
                <w:lang w:val="en-AU"/>
              </w:rPr>
            </w:pPr>
            <w:r w:rsidRPr="00CC0663">
              <w:rPr>
                <w:rFonts w:ascii="Times New Roman" w:hAnsi="Times New Roman"/>
                <w:bCs/>
                <w:sz w:val="22"/>
                <w:szCs w:val="22"/>
                <w:lang w:val="en-AU"/>
              </w:rPr>
              <w:t>* 5 patients made disease free by surgery</w:t>
            </w:r>
          </w:p>
        </w:tc>
      </w:tr>
    </w:tbl>
    <w:p w:rsidR="00CD3517" w:rsidRPr="00057C4C" w:rsidRDefault="00CD3517" w:rsidP="00AA0CFA">
      <w:pPr>
        <w:spacing w:before="120" w:after="120"/>
        <w:rPr>
          <w:rFonts w:eastAsia="MS Mincho"/>
        </w:rPr>
      </w:pPr>
      <w:r w:rsidRPr="00057C4C">
        <w:rPr>
          <w:rFonts w:eastAsia="MS Mincho"/>
        </w:rPr>
        <w:t xml:space="preserve">Twelve of these 18 patients either achieved a complete response (7 patients) or were made disease free by surgery after a partial response (5 patients, including one child) for a total complete response rate of 67%. A further 3 patients achieved a partial response, for an overall response rate of 83%. </w:t>
      </w:r>
      <w:proofErr w:type="gramStart"/>
      <w:r w:rsidRPr="00057C4C">
        <w:rPr>
          <w:rFonts w:eastAsia="MS Mincho"/>
        </w:rPr>
        <w:t>Of the 8 patients with metastatic disease, five responded (62%), three of them completely (37%).</w:t>
      </w:r>
      <w:proofErr w:type="gramEnd"/>
      <w:r w:rsidRPr="00057C4C">
        <w:rPr>
          <w:rFonts w:eastAsia="MS Mincho"/>
        </w:rPr>
        <w:t xml:space="preserve"> The median duration of therapy in study B2225 was 6.2 months, with a maximum duration of 24.3 months, while in the published literature it ranged between 4 weeks and more than 20 months.</w:t>
      </w:r>
    </w:p>
    <w:p w:rsidR="00014579" w:rsidRPr="00057C4C" w:rsidRDefault="00CD3517" w:rsidP="00AA0CFA">
      <w:pPr>
        <w:spacing w:before="120" w:after="120"/>
        <w:rPr>
          <w:lang w:val="en-GB"/>
        </w:rPr>
      </w:pPr>
      <w:r w:rsidRPr="00057C4C">
        <w:t xml:space="preserve">The effectiveness of Glivec is based on overall haematological and cytogenetic response rates and progression-free survival in CML, on haematological and cytogenetic response rates in Ph+ </w:t>
      </w:r>
      <w:smartTag w:uri="urn:schemas-microsoft-com:office:smarttags" w:element="stockticker">
        <w:r w:rsidRPr="00057C4C">
          <w:t>ALL</w:t>
        </w:r>
      </w:smartTag>
      <w:r w:rsidRPr="00057C4C">
        <w:t xml:space="preserve">, </w:t>
      </w:r>
      <w:smartTag w:uri="urn:schemas-microsoft-com:office:smarttags" w:element="stockticker">
        <w:r w:rsidRPr="00057C4C">
          <w:t>MDS</w:t>
        </w:r>
      </w:smartTag>
      <w:r w:rsidRPr="00057C4C">
        <w:t>/MPD</w:t>
      </w:r>
      <w:r w:rsidR="00F86F9E" w:rsidRPr="00057C4C">
        <w:t>,</w:t>
      </w:r>
      <w:r w:rsidRPr="00057C4C">
        <w:t xml:space="preserve"> </w:t>
      </w:r>
      <w:r w:rsidR="00F86F9E" w:rsidRPr="00057C4C">
        <w:t>on haematological response rates in HES/</w:t>
      </w:r>
      <w:smartTag w:uri="urn:schemas-microsoft-com:office:smarttags" w:element="stockticker">
        <w:r w:rsidR="00F86F9E" w:rsidRPr="00057C4C">
          <w:t>CEL</w:t>
        </w:r>
      </w:smartTag>
      <w:r w:rsidR="00F86F9E" w:rsidRPr="00057C4C">
        <w:t xml:space="preserve">, SM, </w:t>
      </w:r>
      <w:r w:rsidR="00795438" w:rsidRPr="00057C4C">
        <w:rPr>
          <w:rFonts w:eastAsia="MS Mincho"/>
          <w:szCs w:val="24"/>
        </w:rPr>
        <w:t xml:space="preserve">and progression-free survival in unresectable and/or metastatic and objective response rates in GIST, </w:t>
      </w:r>
      <w:r w:rsidR="00795438" w:rsidRPr="00057C4C">
        <w:rPr>
          <w:szCs w:val="24"/>
          <w:lang w:val="en-GB"/>
        </w:rPr>
        <w:t>on recurrence free survival in adjuvant GIST, and on objective response rates in DFSP</w:t>
      </w:r>
      <w:r w:rsidR="00795438" w:rsidRPr="00057C4C">
        <w:rPr>
          <w:rFonts w:eastAsia="MS Mincho"/>
          <w:szCs w:val="24"/>
        </w:rPr>
        <w:t>.</w:t>
      </w:r>
      <w:r w:rsidR="00794917" w:rsidRPr="00057C4C">
        <w:t xml:space="preserve"> </w:t>
      </w:r>
      <w:r w:rsidRPr="00057C4C">
        <w:t>There are no controlled trials demonstrating increased survival.</w:t>
      </w:r>
    </w:p>
    <w:p w:rsidR="00014579" w:rsidRPr="00057C4C" w:rsidRDefault="00014579" w:rsidP="002B14EF">
      <w:pPr>
        <w:pStyle w:val="Heading1"/>
      </w:pPr>
      <w:r w:rsidRPr="00057C4C">
        <w:t>INDICATIONS</w:t>
      </w:r>
    </w:p>
    <w:p w:rsidR="00CD3517" w:rsidRPr="00057C4C" w:rsidRDefault="00014579" w:rsidP="00202B37">
      <w:pPr>
        <w:pStyle w:val="Text"/>
        <w:spacing w:after="120"/>
        <w:jc w:val="left"/>
      </w:pPr>
      <w:r w:rsidRPr="00057C4C">
        <w:t>Glivec is indicated for the</w:t>
      </w:r>
      <w:r w:rsidR="00302721" w:rsidRPr="00057C4C">
        <w:t>:</w:t>
      </w:r>
    </w:p>
    <w:p w:rsidR="00CD3517" w:rsidRPr="00057C4C" w:rsidRDefault="003E7EDC" w:rsidP="00202B37">
      <w:pPr>
        <w:pStyle w:val="Text"/>
        <w:numPr>
          <w:ilvl w:val="0"/>
          <w:numId w:val="20"/>
        </w:numPr>
        <w:spacing w:before="0"/>
        <w:jc w:val="left"/>
      </w:pPr>
      <w:r w:rsidRPr="00057C4C">
        <w:t xml:space="preserve">treatment of </w:t>
      </w:r>
      <w:r w:rsidR="00014579" w:rsidRPr="00057C4C">
        <w:t>patients with chronic myeloid leukaemia (CML)</w:t>
      </w:r>
    </w:p>
    <w:p w:rsidR="00302721" w:rsidRPr="00057C4C" w:rsidRDefault="003E7EDC" w:rsidP="00202B37">
      <w:pPr>
        <w:pStyle w:val="Text"/>
        <w:numPr>
          <w:ilvl w:val="0"/>
          <w:numId w:val="20"/>
        </w:numPr>
        <w:spacing w:before="0"/>
        <w:jc w:val="left"/>
      </w:pPr>
      <w:r w:rsidRPr="00057C4C">
        <w:t xml:space="preserve">treatment of </w:t>
      </w:r>
      <w:r w:rsidR="00302721" w:rsidRPr="00057C4C">
        <w:t>adult patients with newly diagnosed Philadelphia chromosome positive acute lymphoblastic leukaemia (Ph+ ALL) integrated with chemotherapy</w:t>
      </w:r>
    </w:p>
    <w:p w:rsidR="00302721" w:rsidRPr="00057C4C" w:rsidRDefault="003E7EDC" w:rsidP="00202B37">
      <w:pPr>
        <w:pStyle w:val="Text"/>
        <w:numPr>
          <w:ilvl w:val="0"/>
          <w:numId w:val="20"/>
        </w:numPr>
        <w:spacing w:before="0"/>
        <w:jc w:val="left"/>
      </w:pPr>
      <w:r w:rsidRPr="00057C4C">
        <w:t xml:space="preserve">treatment of </w:t>
      </w:r>
      <w:r w:rsidR="00302721" w:rsidRPr="00057C4C">
        <w:t>adult patients with relapsed or refractory Ph+ ALL as monotherapy</w:t>
      </w:r>
    </w:p>
    <w:p w:rsidR="00CD3517" w:rsidRPr="00057C4C" w:rsidRDefault="003E7EDC" w:rsidP="00202B37">
      <w:pPr>
        <w:pStyle w:val="Text"/>
        <w:numPr>
          <w:ilvl w:val="0"/>
          <w:numId w:val="20"/>
        </w:numPr>
        <w:spacing w:before="0"/>
        <w:jc w:val="left"/>
      </w:pPr>
      <w:r w:rsidRPr="00057C4C">
        <w:t xml:space="preserve">treatment of </w:t>
      </w:r>
      <w:r w:rsidR="00CD3517" w:rsidRPr="00057C4C">
        <w:t>adult patients with myelodysplastic/myeloproliferative diseases (MDS/MPD) associated with platelet-derived growth factor receptor (PDGFR) gene re-arrangements</w:t>
      </w:r>
      <w:r w:rsidR="0027788D" w:rsidRPr="00057C4C">
        <w:t>, where conventional therapies have failed</w:t>
      </w:r>
    </w:p>
    <w:p w:rsidR="00704136" w:rsidRPr="00057C4C" w:rsidRDefault="003E7EDC" w:rsidP="00202B37">
      <w:pPr>
        <w:pStyle w:val="Text"/>
        <w:numPr>
          <w:ilvl w:val="0"/>
          <w:numId w:val="23"/>
        </w:numPr>
        <w:spacing w:before="0"/>
        <w:ind w:left="357" w:hanging="357"/>
        <w:jc w:val="left"/>
      </w:pPr>
      <w:r w:rsidRPr="00057C4C">
        <w:t xml:space="preserve">treatment of </w:t>
      </w:r>
      <w:r w:rsidR="00704136" w:rsidRPr="00057C4C">
        <w:t xml:space="preserve">adult patients with </w:t>
      </w:r>
      <w:r w:rsidR="0027788D" w:rsidRPr="00057C4C">
        <w:t xml:space="preserve">aggressive </w:t>
      </w:r>
      <w:r w:rsidR="00704136" w:rsidRPr="00057C4C">
        <w:t>systemic mastocytosis (</w:t>
      </w:r>
      <w:r w:rsidR="0027788D" w:rsidRPr="00057C4C">
        <w:t>A</w:t>
      </w:r>
      <w:r w:rsidR="00704136" w:rsidRPr="00057C4C">
        <w:t>SM)</w:t>
      </w:r>
      <w:r w:rsidR="0027788D" w:rsidRPr="00057C4C">
        <w:t>,</w:t>
      </w:r>
      <w:r w:rsidR="00704136" w:rsidRPr="00057C4C">
        <w:t xml:space="preserve"> </w:t>
      </w:r>
      <w:r w:rsidR="0027788D" w:rsidRPr="00057C4C">
        <w:t>where conventional therapies have failed</w:t>
      </w:r>
    </w:p>
    <w:p w:rsidR="00DC62AF" w:rsidRPr="00057C4C" w:rsidRDefault="003E7EDC" w:rsidP="00202B37">
      <w:pPr>
        <w:pStyle w:val="Text"/>
        <w:numPr>
          <w:ilvl w:val="0"/>
          <w:numId w:val="20"/>
        </w:numPr>
        <w:spacing w:before="0"/>
        <w:ind w:left="357" w:hanging="357"/>
        <w:jc w:val="left"/>
        <w:rPr>
          <w:snapToGrid w:val="0"/>
          <w:lang w:eastAsia="de-DE"/>
        </w:rPr>
      </w:pPr>
      <w:r w:rsidRPr="00057C4C">
        <w:t xml:space="preserve">treatment of </w:t>
      </w:r>
      <w:r w:rsidR="00704136" w:rsidRPr="00057C4C">
        <w:t>adult patients with hypereosinophilic syndrome (HES) and/or chronic eosinophilic leukaemia (CEL)</w:t>
      </w:r>
    </w:p>
    <w:p w:rsidR="00014579" w:rsidRPr="00057C4C" w:rsidRDefault="003E7EDC" w:rsidP="00202B37">
      <w:pPr>
        <w:pStyle w:val="Text"/>
        <w:numPr>
          <w:ilvl w:val="0"/>
          <w:numId w:val="20"/>
        </w:numPr>
        <w:spacing w:before="0"/>
        <w:ind w:left="357" w:hanging="357"/>
        <w:jc w:val="left"/>
        <w:rPr>
          <w:snapToGrid w:val="0"/>
          <w:lang w:eastAsia="de-DE"/>
        </w:rPr>
      </w:pPr>
      <w:r w:rsidRPr="00057C4C">
        <w:rPr>
          <w:snapToGrid w:val="0"/>
          <w:lang w:eastAsia="de-DE"/>
        </w:rPr>
        <w:t xml:space="preserve">treatment of </w:t>
      </w:r>
      <w:r w:rsidR="00014579" w:rsidRPr="00057C4C">
        <w:rPr>
          <w:snapToGrid w:val="0"/>
          <w:lang w:eastAsia="de-DE"/>
        </w:rPr>
        <w:t>patients with Kit (CD117) positive unresectable and/or metastatic malignant gastrointestinal stromal tumours (GIST)</w:t>
      </w:r>
    </w:p>
    <w:p w:rsidR="00EE5AF7" w:rsidRPr="00E856D9" w:rsidRDefault="00EE5AF7" w:rsidP="00202B37">
      <w:pPr>
        <w:pStyle w:val="Text"/>
        <w:numPr>
          <w:ilvl w:val="0"/>
          <w:numId w:val="20"/>
        </w:numPr>
        <w:spacing w:before="0"/>
        <w:ind w:left="357" w:hanging="357"/>
        <w:jc w:val="left"/>
        <w:rPr>
          <w:iCs/>
          <w:snapToGrid w:val="0"/>
          <w:lang w:eastAsia="de-DE"/>
        </w:rPr>
      </w:pPr>
      <w:r w:rsidRPr="00057C4C">
        <w:rPr>
          <w:iCs/>
          <w:snapToGrid w:val="0"/>
          <w:lang w:val="en-GB" w:eastAsia="de-DE"/>
        </w:rPr>
        <w:t>adjuvant treatment of adult patients</w:t>
      </w:r>
      <w:r w:rsidR="00207902">
        <w:rPr>
          <w:iCs/>
          <w:snapToGrid w:val="0"/>
          <w:lang w:val="en-GB" w:eastAsia="de-DE"/>
        </w:rPr>
        <w:t xml:space="preserve"> at high risk of recurrence</w:t>
      </w:r>
      <w:r w:rsidRPr="00057C4C">
        <w:rPr>
          <w:iCs/>
          <w:snapToGrid w:val="0"/>
          <w:lang w:val="en-GB" w:eastAsia="de-DE"/>
        </w:rPr>
        <w:t xml:space="preserve"> following complete gross resection of </w:t>
      </w:r>
      <w:smartTag w:uri="urn:schemas-microsoft-com:office:smarttags" w:element="stockticker">
        <w:r w:rsidRPr="00057C4C">
          <w:rPr>
            <w:iCs/>
            <w:snapToGrid w:val="0"/>
            <w:lang w:val="en-GB" w:eastAsia="de-DE"/>
          </w:rPr>
          <w:t>KIT</w:t>
        </w:r>
      </w:smartTag>
      <w:r w:rsidRPr="00057C4C">
        <w:rPr>
          <w:iCs/>
          <w:snapToGrid w:val="0"/>
          <w:lang w:val="en-GB" w:eastAsia="de-DE"/>
        </w:rPr>
        <w:t xml:space="preserve"> (CD117)-</w:t>
      </w:r>
      <w:r w:rsidRPr="00E856D9">
        <w:rPr>
          <w:iCs/>
          <w:snapToGrid w:val="0"/>
          <w:lang w:val="en-GB" w:eastAsia="de-DE"/>
        </w:rPr>
        <w:t>positive primary GIST</w:t>
      </w:r>
      <w:r w:rsidR="000A6535" w:rsidRPr="00E856D9">
        <w:rPr>
          <w:iCs/>
          <w:snapToGrid w:val="0"/>
          <w:lang w:val="en-GB" w:eastAsia="de-DE"/>
        </w:rPr>
        <w:t xml:space="preserve"> (see</w:t>
      </w:r>
      <w:r w:rsidR="00D67064" w:rsidRPr="00E856D9">
        <w:rPr>
          <w:iCs/>
          <w:snapToGrid w:val="0"/>
          <w:lang w:val="en-GB" w:eastAsia="de-DE"/>
        </w:rPr>
        <w:t xml:space="preserve"> Dosage and Administration and</w:t>
      </w:r>
      <w:r w:rsidR="000A6535" w:rsidRPr="00E856D9">
        <w:rPr>
          <w:iCs/>
          <w:snapToGrid w:val="0"/>
          <w:lang w:val="en-GB" w:eastAsia="de-DE"/>
        </w:rPr>
        <w:t xml:space="preserve"> Clinical Trials)</w:t>
      </w:r>
    </w:p>
    <w:p w:rsidR="00CD3517" w:rsidRPr="00057C4C" w:rsidRDefault="00CD3517" w:rsidP="00202B37">
      <w:pPr>
        <w:pStyle w:val="Text"/>
        <w:numPr>
          <w:ilvl w:val="0"/>
          <w:numId w:val="20"/>
        </w:numPr>
        <w:spacing w:before="0"/>
        <w:ind w:left="357" w:hanging="357"/>
        <w:jc w:val="left"/>
        <w:rPr>
          <w:snapToGrid w:val="0"/>
          <w:lang w:eastAsia="de-DE"/>
        </w:rPr>
      </w:pPr>
      <w:r w:rsidRPr="00057C4C">
        <w:rPr>
          <w:snapToGrid w:val="0"/>
          <w:lang w:eastAsia="de-DE"/>
        </w:rPr>
        <w:t>adult patients with unresectable, recurrent and/or metastatic dermatofibrosarcoma protuberans (DFSP).</w:t>
      </w:r>
    </w:p>
    <w:p w:rsidR="00014579" w:rsidRPr="00057C4C" w:rsidRDefault="00014579" w:rsidP="002B14EF">
      <w:pPr>
        <w:pStyle w:val="Heading1"/>
      </w:pPr>
      <w:r w:rsidRPr="00057C4C">
        <w:lastRenderedPageBreak/>
        <w:t>CONTRAINDICATIONS</w:t>
      </w:r>
    </w:p>
    <w:p w:rsidR="00014579" w:rsidRPr="00EA1C5F" w:rsidRDefault="0076014D" w:rsidP="00202B37">
      <w:pPr>
        <w:pStyle w:val="Text"/>
        <w:spacing w:after="120"/>
        <w:jc w:val="left"/>
      </w:pPr>
      <w:r w:rsidRPr="00EA1C5F">
        <w:t>Use in patients with a h</w:t>
      </w:r>
      <w:r w:rsidR="00014579" w:rsidRPr="00EA1C5F">
        <w:t>ypersensitivity to the active substance or to any of the excipients</w:t>
      </w:r>
      <w:r w:rsidRPr="00EA1C5F">
        <w:t xml:space="preserve"> is contraindicated</w:t>
      </w:r>
      <w:r w:rsidR="00014579" w:rsidRPr="00EA1C5F">
        <w:t>.</w:t>
      </w:r>
    </w:p>
    <w:p w:rsidR="00014579" w:rsidRPr="00057C4C" w:rsidRDefault="00014579" w:rsidP="002B14EF">
      <w:pPr>
        <w:pStyle w:val="Heading1"/>
      </w:pPr>
      <w:r w:rsidRPr="00057C4C">
        <w:t>PRECAUTIONS</w:t>
      </w:r>
    </w:p>
    <w:p w:rsidR="00F3322D" w:rsidRPr="006C6662" w:rsidRDefault="00095A4A" w:rsidP="00AB6BF0">
      <w:pPr>
        <w:pStyle w:val="Text"/>
        <w:spacing w:after="120"/>
        <w:jc w:val="left"/>
        <w:rPr>
          <w:lang w:val="en-GB"/>
        </w:rPr>
      </w:pPr>
      <w:r w:rsidRPr="006C6662">
        <w:rPr>
          <w:lang w:val="en-GB"/>
        </w:rPr>
        <w:t>When Glivec is co-administered with other medications, there is a potential for drug interactions. Caution should be used when taking Glivec with rifampicin or other strong CYP3A4 inducers, ketoconazole or other strong CYP3A4 inhibitors, CYP3A4 substrates with a narrow therapeutic window (e.g. cyclosporin or pimozide) or CYP2C9 substrates with a narrow therapeutic window (e.g. warfarin and other coumarin derivatives) (see ‘Interactions with other Medicines’).</w:t>
      </w:r>
      <w:r w:rsidR="003130AC" w:rsidRPr="006C6662">
        <w:rPr>
          <w:lang w:val="en-GB"/>
        </w:rPr>
        <w:t xml:space="preserve"> </w:t>
      </w:r>
    </w:p>
    <w:p w:rsidR="00014579" w:rsidRPr="00057C4C" w:rsidRDefault="00014579" w:rsidP="00D71D4F">
      <w:pPr>
        <w:pStyle w:val="Heading3"/>
      </w:pPr>
      <w:r w:rsidRPr="00057C4C">
        <w:t>Fluid retention and oedema:</w:t>
      </w:r>
    </w:p>
    <w:p w:rsidR="00014579" w:rsidRPr="00057C4C" w:rsidRDefault="00014579" w:rsidP="00AB6BF0">
      <w:pPr>
        <w:pStyle w:val="Text"/>
        <w:spacing w:after="120"/>
        <w:jc w:val="left"/>
      </w:pPr>
      <w:r w:rsidRPr="00057C4C">
        <w:t>Glivec is often associated with oedema and occasionally serious fluid retention (see "ADVERSE REACTIONS”).  Patients should be weighed and monitored regularly for signs and symptoms of fluid retention.  An unexpected rapid weight gain should be carefully investigated and appropriate treatment provided.  The probability of oedema was increased with higher imatinib dose and age &gt; 65 years in the CML studies.  Severe fluid retention (pleural effusion, pericardial effusion, pulmonary oedema, ascites) was reported in 2 to 8% of patients taking Glivec for CML.  In addition, severe superficial oedema was reported in 2-5% of the patients with CML. In clinical trials, there was an increased incidence of these events in elderly patients and those with a prior history of cardiac disease.</w:t>
      </w:r>
    </w:p>
    <w:p w:rsidR="00014579" w:rsidRPr="00057C4C" w:rsidRDefault="00014579" w:rsidP="00AB6BF0">
      <w:pPr>
        <w:pStyle w:val="Text"/>
        <w:spacing w:after="120"/>
        <w:jc w:val="left"/>
      </w:pPr>
      <w:r w:rsidRPr="00057C4C">
        <w:t xml:space="preserve">Severe superficial oedema and severe fluid retention (pleural effusion, pulmonary oedema and ascites) were reported in </w:t>
      </w:r>
      <w:r w:rsidR="003227FC" w:rsidRPr="00057C4C">
        <w:t>89 patients (11</w:t>
      </w:r>
      <w:r w:rsidRPr="00057C4C">
        <w:t>%</w:t>
      </w:r>
      <w:r w:rsidR="003227FC" w:rsidRPr="00057C4C">
        <w:t xml:space="preserve">) taking 400 mg and in 127 (16%) taking 800 mg in the combined Phase </w:t>
      </w:r>
      <w:smartTag w:uri="urn:schemas-microsoft-com:office:smarttags" w:element="stockticker">
        <w:r w:rsidR="003227FC" w:rsidRPr="00057C4C">
          <w:t>III</w:t>
        </w:r>
      </w:smartTag>
      <w:r w:rsidR="003227FC" w:rsidRPr="00057C4C">
        <w:t xml:space="preserve"> trials</w:t>
      </w:r>
      <w:r w:rsidR="000A31B7" w:rsidRPr="00057C4C">
        <w:t xml:space="preserve"> </w:t>
      </w:r>
      <w:r w:rsidRPr="00057C4C">
        <w:t>of patients taking Glivec for GIST.</w:t>
      </w:r>
    </w:p>
    <w:p w:rsidR="00014579" w:rsidRPr="00057C4C" w:rsidRDefault="00014579" w:rsidP="00D71D4F">
      <w:pPr>
        <w:pStyle w:val="Heading3"/>
      </w:pPr>
      <w:r w:rsidRPr="00057C4C">
        <w:t>Haematological toxicity:</w:t>
      </w:r>
    </w:p>
    <w:p w:rsidR="00014579" w:rsidRPr="00057C4C" w:rsidRDefault="00014579" w:rsidP="00AB6BF0">
      <w:pPr>
        <w:pStyle w:val="Text"/>
        <w:spacing w:after="120"/>
        <w:jc w:val="left"/>
      </w:pPr>
      <w:r w:rsidRPr="00057C4C">
        <w:t xml:space="preserve">Complete blood counts must be performed regularly during therapy with Glivec. Treatment of CML patients with Glivec has been associated with neutropenia or </w:t>
      </w:r>
      <w:r w:rsidR="00D56209" w:rsidRPr="00057C4C">
        <w:t>thrombocytopenia</w:t>
      </w:r>
      <w:r w:rsidRPr="00057C4C">
        <w:t xml:space="preserve"> and anaemia. However, the occurrence of these cytopenias is dependent on the stage of the disease being treated and they were more frequent in patients with accelerated phase CML or blast crisis as compared to patients with chronic phase CML. Treatment with Glivec may be interrupted or the dose may be reduced (see "DOSAGE AND ADMINISTRATION - Haematological adverse reactions").</w:t>
      </w:r>
    </w:p>
    <w:p w:rsidR="00014579" w:rsidRPr="00EA1C5F" w:rsidRDefault="0076014D" w:rsidP="00D71D4F">
      <w:pPr>
        <w:pStyle w:val="Heading3"/>
      </w:pPr>
      <w:r w:rsidRPr="00EA1C5F">
        <w:t xml:space="preserve">Gastrointestinal </w:t>
      </w:r>
      <w:r w:rsidR="00014579" w:rsidRPr="00EA1C5F">
        <w:t>Haemorrhage:</w:t>
      </w:r>
    </w:p>
    <w:p w:rsidR="00014579" w:rsidRPr="00057C4C" w:rsidRDefault="009C6F8D" w:rsidP="00AB6BF0">
      <w:pPr>
        <w:spacing w:before="120" w:after="120"/>
        <w:rPr>
          <w:snapToGrid w:val="0"/>
          <w:lang w:val="en-GB"/>
        </w:rPr>
      </w:pPr>
      <w:r w:rsidRPr="00057C4C">
        <w:rPr>
          <w:lang w:val="en-GB"/>
        </w:rPr>
        <w:t xml:space="preserve">In the Phase </w:t>
      </w:r>
      <w:smartTag w:uri="urn:schemas-microsoft-com:office:smarttags" w:element="stockticker">
        <w:r w:rsidRPr="00057C4C">
          <w:rPr>
            <w:lang w:val="en-GB"/>
          </w:rPr>
          <w:t>III</w:t>
        </w:r>
      </w:smartTag>
      <w:r w:rsidRPr="00057C4C">
        <w:rPr>
          <w:lang w:val="en-GB"/>
        </w:rPr>
        <w:t xml:space="preserve"> studies in patients with unresectable or metastatic malignant GIST 211 patients (12.9%) reported Grade 3/4 haemorrhage at any site.  In the Phase II study in patients with unresectable or metastatic malignant</w:t>
      </w:r>
      <w:r w:rsidR="00014579" w:rsidRPr="00057C4C">
        <w:t xml:space="preserve"> GIST </w:t>
      </w:r>
      <w:r w:rsidRPr="00057C4C">
        <w:rPr>
          <w:lang w:val="en-GB"/>
        </w:rPr>
        <w:t>(study B2222)</w:t>
      </w:r>
      <w:r w:rsidR="00014579" w:rsidRPr="00057C4C">
        <w:t xml:space="preserve">, eight patients (5.4%) were reported to have had gastrointestinal (GI) haemorrhage and four patients (2.7%) were reported to have had haemorrhages at the site of tumour deposits. </w:t>
      </w:r>
      <w:r w:rsidR="00014579" w:rsidRPr="00057C4C">
        <w:rPr>
          <w:snapToGrid w:val="0"/>
          <w:lang w:val="en-GB"/>
        </w:rPr>
        <w:t xml:space="preserve">Of these, seven patients (5%) suffered events of grade </w:t>
      </w:r>
      <w:smartTag w:uri="urn:schemas-microsoft-com:office:smarttags" w:element="stockticker">
        <w:r w:rsidR="00014579" w:rsidRPr="00057C4C">
          <w:rPr>
            <w:snapToGrid w:val="0"/>
            <w:lang w:val="en-GB"/>
          </w:rPr>
          <w:t>III</w:t>
        </w:r>
      </w:smartTag>
      <w:r w:rsidR="00014579" w:rsidRPr="00057C4C">
        <w:rPr>
          <w:snapToGrid w:val="0"/>
          <w:lang w:val="en-GB"/>
        </w:rPr>
        <w:t>/IV severity.</w:t>
      </w:r>
    </w:p>
    <w:p w:rsidR="00014579" w:rsidRDefault="00014579" w:rsidP="00AB6BF0">
      <w:pPr>
        <w:pStyle w:val="Text"/>
        <w:spacing w:after="120"/>
        <w:jc w:val="left"/>
      </w:pPr>
      <w:r w:rsidRPr="00057C4C">
        <w:t>The tumour haemorrhages have been either intra-abdominal or intra-hepatic, depending on the anatomical location of tumour lesions.  GI sites of tumour may have contributed to reports of GI bleeding in this patient population. Onset of bleeding did not correlate with platelet count, tumour burden or duration of treatment. Fatal haemorrhages have been reported in other studies of imatinib in GIST.</w:t>
      </w:r>
    </w:p>
    <w:p w:rsidR="0076014D" w:rsidRPr="002F399B" w:rsidRDefault="0076014D" w:rsidP="00AB6BF0">
      <w:pPr>
        <w:pStyle w:val="Text"/>
        <w:spacing w:after="120"/>
        <w:jc w:val="left"/>
      </w:pPr>
      <w:r w:rsidRPr="002F399B">
        <w:t>Patients should therefore be monitored for gastrointestinal symptoms at the start of therapy.</w:t>
      </w:r>
    </w:p>
    <w:p w:rsidR="00F26345" w:rsidRPr="002F399B" w:rsidRDefault="00626081" w:rsidP="00D71D4F">
      <w:pPr>
        <w:pStyle w:val="Heading3"/>
      </w:pPr>
      <w:r w:rsidRPr="002F399B">
        <w:lastRenderedPageBreak/>
        <w:t>Tumour</w:t>
      </w:r>
      <w:r w:rsidR="00F26345" w:rsidRPr="002F399B">
        <w:t xml:space="preserve"> lysis syndrome:</w:t>
      </w:r>
    </w:p>
    <w:p w:rsidR="00F26345" w:rsidRPr="002F399B" w:rsidRDefault="00F26345" w:rsidP="00AB6BF0">
      <w:pPr>
        <w:pStyle w:val="Text"/>
        <w:spacing w:after="120"/>
        <w:jc w:val="left"/>
      </w:pPr>
      <w:r w:rsidRPr="002F399B">
        <w:t xml:space="preserve">Cases of </w:t>
      </w:r>
      <w:r w:rsidR="00626081" w:rsidRPr="002F399B">
        <w:t>tumour</w:t>
      </w:r>
      <w:r w:rsidRPr="002F399B">
        <w:t xml:space="preserve"> lysis syndrome (TLS) have been reported in patients treated with Glivec. Due to possible occurrence of TLS, correction of clinically significant dehydration and treatment of high uric acid levels are recommended prior to initiation of Glivec </w:t>
      </w:r>
      <w:r w:rsidR="00344245" w:rsidRPr="002F399B">
        <w:t>(see A</w:t>
      </w:r>
      <w:r w:rsidR="00FC1D74" w:rsidRPr="002F399B">
        <w:t>DVERSE</w:t>
      </w:r>
      <w:r w:rsidR="00344245" w:rsidRPr="002F399B">
        <w:t xml:space="preserve"> E</w:t>
      </w:r>
      <w:r w:rsidR="00FC1D74" w:rsidRPr="002F399B">
        <w:t>FFECTS</w:t>
      </w:r>
      <w:r w:rsidR="00344245" w:rsidRPr="002F399B">
        <w:t xml:space="preserve"> section).</w:t>
      </w:r>
    </w:p>
    <w:p w:rsidR="00014579" w:rsidRPr="00057C4C" w:rsidRDefault="00014579" w:rsidP="00D71D4F">
      <w:pPr>
        <w:pStyle w:val="Heading3"/>
      </w:pPr>
      <w:r w:rsidRPr="00057C4C">
        <w:t>Hepatotoxicity:</w:t>
      </w:r>
    </w:p>
    <w:p w:rsidR="000056E7" w:rsidRPr="00057C4C" w:rsidRDefault="00633B29" w:rsidP="00AB6BF0">
      <w:pPr>
        <w:pStyle w:val="Text"/>
        <w:spacing w:after="120"/>
        <w:jc w:val="left"/>
      </w:pPr>
      <w:r w:rsidRPr="00057C4C">
        <w:t>Cases of liver injury, including hepatic failure and hepatic necrosis, have been observed with imatinib</w:t>
      </w:r>
      <w:r w:rsidR="00014579" w:rsidRPr="00057C4C">
        <w:t xml:space="preserve"> (see "ADVERSE </w:t>
      </w:r>
      <w:r w:rsidR="00E32F95" w:rsidRPr="002F399B">
        <w:t>EFFECTS</w:t>
      </w:r>
      <w:r w:rsidR="00014579" w:rsidRPr="00057C4C">
        <w:t>").</w:t>
      </w:r>
      <w:r w:rsidR="00CD3517" w:rsidRPr="00057C4C">
        <w:rPr>
          <w:lang w:val="en-GB"/>
        </w:rPr>
        <w:t xml:space="preserve"> </w:t>
      </w:r>
      <w:r w:rsidR="000056E7" w:rsidRPr="00057C4C">
        <w:t>Liver function (transaminases, bilirubin, alkaline phosphatase) should be monitored regularly in patients receiving Glivec. Laboratory abnormalities should be managed with interruption of treatment and/or dose reduction (see "DOSAGE AND ADMINISTRATION - Non-haematological adverse reactions").</w:t>
      </w:r>
    </w:p>
    <w:p w:rsidR="00F26345" w:rsidRPr="002F399B" w:rsidRDefault="00F26345" w:rsidP="00AB6BF0">
      <w:pPr>
        <w:pStyle w:val="Text"/>
        <w:spacing w:after="120"/>
        <w:jc w:val="left"/>
      </w:pPr>
      <w:r w:rsidRPr="002F399B">
        <w:rPr>
          <w:lang w:val="en-GB"/>
        </w:rPr>
        <w:t>In patients with hepatic dysfunction (mild, moderate or severe)</w:t>
      </w:r>
      <w:r w:rsidRPr="002F399B">
        <w:t xml:space="preserve">, peripheral blood counts and liver enzymes should be carefully monitored (see “ADVERSE </w:t>
      </w:r>
      <w:r w:rsidR="00E32F95" w:rsidRPr="002F399B">
        <w:t>EFFECTS</w:t>
      </w:r>
      <w:r w:rsidRPr="002F399B">
        <w:t>”).  It is not known whether Glivec can exacerbate existing liver dysfunction.</w:t>
      </w:r>
    </w:p>
    <w:p w:rsidR="00014579" w:rsidRPr="002F399B" w:rsidRDefault="00CD3517" w:rsidP="00AB6BF0">
      <w:pPr>
        <w:pStyle w:val="Text"/>
        <w:spacing w:after="120"/>
        <w:jc w:val="left"/>
      </w:pPr>
      <w:r w:rsidRPr="002F399B">
        <w:rPr>
          <w:lang w:val="en-GB"/>
        </w:rPr>
        <w:t xml:space="preserve">When </w:t>
      </w:r>
      <w:r w:rsidR="00E32F95" w:rsidRPr="002F399B">
        <w:rPr>
          <w:lang w:val="en-GB"/>
        </w:rPr>
        <w:t xml:space="preserve">Glivec </w:t>
      </w:r>
      <w:r w:rsidRPr="002F399B">
        <w:rPr>
          <w:lang w:val="en-GB"/>
        </w:rPr>
        <w:t xml:space="preserve">is combined with high dose chemotherapy regimens, </w:t>
      </w:r>
      <w:r w:rsidR="000056E7" w:rsidRPr="002F399B">
        <w:rPr>
          <w:lang w:val="en-GB"/>
        </w:rPr>
        <w:t>an increase in serious hepatic reactions has been detected</w:t>
      </w:r>
      <w:r w:rsidRPr="002F399B">
        <w:rPr>
          <w:lang w:val="en-GB"/>
        </w:rPr>
        <w:t>.</w:t>
      </w:r>
      <w:r w:rsidR="00014579" w:rsidRPr="002F399B">
        <w:t xml:space="preserve"> </w:t>
      </w:r>
      <w:r w:rsidR="000056E7" w:rsidRPr="002F399B">
        <w:t>H</w:t>
      </w:r>
      <w:r w:rsidR="00962F31" w:rsidRPr="002F399B">
        <w:t xml:space="preserve">epatic </w:t>
      </w:r>
      <w:r w:rsidR="00917EF2" w:rsidRPr="002F399B">
        <w:t xml:space="preserve">function </w:t>
      </w:r>
      <w:r w:rsidR="000056E7" w:rsidRPr="002F399B">
        <w:t>should be carefully monitored</w:t>
      </w:r>
      <w:r w:rsidR="00917EF2" w:rsidRPr="002F399B">
        <w:t xml:space="preserve"> in circumstances where </w:t>
      </w:r>
      <w:r w:rsidR="00E32F95" w:rsidRPr="002F399B">
        <w:t xml:space="preserve">Glivec </w:t>
      </w:r>
      <w:r w:rsidR="00917EF2" w:rsidRPr="002F399B">
        <w:t xml:space="preserve">is combined with chemotherapy regimens also known to be associated with </w:t>
      </w:r>
      <w:r w:rsidR="00962F31" w:rsidRPr="002F399B">
        <w:t>hepatic</w:t>
      </w:r>
      <w:r w:rsidR="00917EF2" w:rsidRPr="002F399B">
        <w:t xml:space="preserve"> dysfunction (see “ADVERSE </w:t>
      </w:r>
      <w:r w:rsidR="001D4DC6" w:rsidRPr="002F399B">
        <w:t>EFFECTS</w:t>
      </w:r>
      <w:r w:rsidR="00917EF2" w:rsidRPr="002F399B">
        <w:t xml:space="preserve">”). </w:t>
      </w:r>
    </w:p>
    <w:p w:rsidR="006A421E" w:rsidRPr="00057C4C" w:rsidRDefault="00014579" w:rsidP="00AB6BF0">
      <w:pPr>
        <w:pStyle w:val="Text"/>
        <w:spacing w:after="120"/>
        <w:jc w:val="left"/>
      </w:pPr>
      <w:r w:rsidRPr="00057C4C">
        <w:t>One patient, who was taking paracetamol regularly for fever, died of acute liver failure. Although the aetiology is currently unknown, special caution should be exercised when using paracetamol. Patients should be warned to avoid or restrict the use of over-the-counter and prescription me</w:t>
      </w:r>
      <w:r w:rsidR="002B14EF">
        <w:t>dicines containing paracetamol.</w:t>
      </w:r>
    </w:p>
    <w:p w:rsidR="00156FDF" w:rsidRPr="00057C4C" w:rsidRDefault="005B41F7" w:rsidP="00D71D4F">
      <w:pPr>
        <w:pStyle w:val="Heading3"/>
      </w:pPr>
      <w:r w:rsidRPr="00057C4C">
        <w:t>Severe congestive heart failure and left ventricular dysfunction</w:t>
      </w:r>
      <w:r w:rsidR="00344245">
        <w:t>:</w:t>
      </w:r>
    </w:p>
    <w:p w:rsidR="00344245" w:rsidRDefault="005B41F7" w:rsidP="00AB6BF0">
      <w:pPr>
        <w:pStyle w:val="Text"/>
        <w:spacing w:after="120"/>
        <w:jc w:val="left"/>
      </w:pPr>
      <w:r w:rsidRPr="00057C4C">
        <w:t xml:space="preserve">Severe congestive heart failure and left ventricular </w:t>
      </w:r>
      <w:r w:rsidR="00234262" w:rsidRPr="00057C4C">
        <w:t>dysfunction have occasionally been reported in patients taking Glivec. Most of the patients with reported cardiac events have had other co-morbidities and risk factors, including advanced age and previous medical history of cardiac disease. In an international randomi</w:t>
      </w:r>
      <w:r w:rsidR="00E433C3" w:rsidRPr="00057C4C">
        <w:t>s</w:t>
      </w:r>
      <w:r w:rsidR="00234262" w:rsidRPr="00057C4C">
        <w:t xml:space="preserve">ed phase </w:t>
      </w:r>
      <w:smartTag w:uri="urn:schemas-microsoft-com:office:smarttags" w:element="stockticker">
        <w:r w:rsidR="00165828" w:rsidRPr="00057C4C">
          <w:t>III</w:t>
        </w:r>
      </w:smartTag>
      <w:r w:rsidR="00165828" w:rsidRPr="00057C4C">
        <w:t xml:space="preserve"> </w:t>
      </w:r>
      <w:r w:rsidR="00234262" w:rsidRPr="00057C4C">
        <w:t xml:space="preserve">study in 1106 patients with newly diagnosed Ph+ CML in chronic phase, severe cardiac failure and left ventricular dysfunction were observed in 0.7% </w:t>
      </w:r>
      <w:r w:rsidR="00AD4521" w:rsidRPr="00057C4C">
        <w:t>of</w:t>
      </w:r>
      <w:r w:rsidR="00234262" w:rsidRPr="00057C4C">
        <w:t xml:space="preserve"> patients taking Glivec compared to 0.9% </w:t>
      </w:r>
      <w:r w:rsidR="002B14EF">
        <w:t>of patients taking IFN + Ara-C.</w:t>
      </w:r>
    </w:p>
    <w:p w:rsidR="00344245" w:rsidRPr="002F399B" w:rsidRDefault="00344245" w:rsidP="00D71D4F">
      <w:pPr>
        <w:pStyle w:val="Heading3"/>
      </w:pPr>
      <w:r w:rsidRPr="002F399B">
        <w:t>Patients with cardiac disease or renal failure:</w:t>
      </w:r>
    </w:p>
    <w:p w:rsidR="00234262" w:rsidRPr="002F399B" w:rsidRDefault="00234262" w:rsidP="00AB6BF0">
      <w:pPr>
        <w:pStyle w:val="Text"/>
        <w:spacing w:after="120"/>
        <w:jc w:val="left"/>
      </w:pPr>
      <w:r w:rsidRPr="00057C4C">
        <w:t>Patients with cardiac disease</w:t>
      </w:r>
      <w:r w:rsidR="00344245">
        <w:t>,</w:t>
      </w:r>
      <w:r w:rsidRPr="00057C4C">
        <w:t xml:space="preserve"> risk factors for cardiac failure</w:t>
      </w:r>
      <w:r w:rsidR="00344245">
        <w:t xml:space="preserve"> </w:t>
      </w:r>
      <w:r w:rsidR="00344245" w:rsidRPr="002F399B">
        <w:t>or history of renal failure</w:t>
      </w:r>
      <w:r w:rsidRPr="002F399B">
        <w:t xml:space="preserve"> should be monitored carefully and any patient with signs or symptoms consistent with cardiac failure </w:t>
      </w:r>
      <w:r w:rsidR="00344245" w:rsidRPr="002F399B">
        <w:t xml:space="preserve">or renal failure </w:t>
      </w:r>
      <w:r w:rsidRPr="002F399B">
        <w:t>should be evaluated and treated.</w:t>
      </w:r>
    </w:p>
    <w:p w:rsidR="00CD3517" w:rsidRPr="00057C4C" w:rsidRDefault="005B41F7" w:rsidP="00D71D4F">
      <w:pPr>
        <w:pStyle w:val="Heading3"/>
      </w:pPr>
      <w:r w:rsidRPr="00057C4C">
        <w:t>Hypereosinophilic cardiac toxicity:</w:t>
      </w:r>
    </w:p>
    <w:p w:rsidR="00014579" w:rsidRPr="00057C4C" w:rsidRDefault="00CD3517" w:rsidP="00AA0CFA">
      <w:pPr>
        <w:pStyle w:val="Text"/>
        <w:spacing w:after="120" w:line="320" w:lineRule="atLeast"/>
        <w:jc w:val="left"/>
      </w:pPr>
      <w:r w:rsidRPr="00057C4C">
        <w:rPr>
          <w:lang w:val="en-GB"/>
        </w:rPr>
        <w:t>In patients with hypereosinophilic syndrome (HES) and cardiac involvement, isolated cases of cardiogenic shock/left ventricular dysfunction have been associated with the initiation of imatinib therapy.  The condition was reported to be reversible with the administration of systemic steroids, circulatory support measures and temporarily withholding imatinib. Myelodysplastic/myeloproliferative diseases</w:t>
      </w:r>
      <w:r w:rsidR="00F86F9E" w:rsidRPr="00057C4C">
        <w:rPr>
          <w:lang w:val="en-GB"/>
        </w:rPr>
        <w:t xml:space="preserve"> and systemic mastocytosis</w:t>
      </w:r>
      <w:r w:rsidRPr="00057C4C">
        <w:rPr>
          <w:lang w:val="en-GB"/>
        </w:rPr>
        <w:t xml:space="preserve"> </w:t>
      </w:r>
      <w:r w:rsidR="00AD4521" w:rsidRPr="00057C4C">
        <w:rPr>
          <w:lang w:val="en-GB"/>
        </w:rPr>
        <w:t xml:space="preserve">may </w:t>
      </w:r>
      <w:r w:rsidRPr="00057C4C">
        <w:rPr>
          <w:lang w:val="en-GB"/>
        </w:rPr>
        <w:t xml:space="preserve">be associated with high eosinophil levels.  Performance of an echocardiogram and determination of serum troponin should therefore be considered in patients with </w:t>
      </w:r>
      <w:r w:rsidR="00F86F9E" w:rsidRPr="00057C4C">
        <w:rPr>
          <w:lang w:val="en-GB"/>
        </w:rPr>
        <w:t xml:space="preserve">HES/CEL, </w:t>
      </w:r>
      <w:r w:rsidR="002542C4" w:rsidRPr="00057C4C">
        <w:rPr>
          <w:lang w:val="en-GB"/>
        </w:rPr>
        <w:t xml:space="preserve">and in patients with </w:t>
      </w:r>
      <w:r w:rsidRPr="00057C4C">
        <w:rPr>
          <w:lang w:val="en-GB"/>
        </w:rPr>
        <w:t xml:space="preserve">MDS/MPD </w:t>
      </w:r>
      <w:r w:rsidR="00F86F9E" w:rsidRPr="00057C4C">
        <w:rPr>
          <w:lang w:val="en-GB"/>
        </w:rPr>
        <w:t xml:space="preserve">or SM </w:t>
      </w:r>
      <w:r w:rsidRPr="00057C4C">
        <w:rPr>
          <w:lang w:val="en-GB"/>
        </w:rPr>
        <w:t xml:space="preserve">associated with high eosinophil levels. If either is abnormal, the prophylactic use of systemic steroids (1-2 mg/kg) for one to two weeks concomitantly with </w:t>
      </w:r>
      <w:r w:rsidR="00E32F95">
        <w:rPr>
          <w:lang w:val="en-GB"/>
        </w:rPr>
        <w:t>Glivec</w:t>
      </w:r>
      <w:r w:rsidR="00E32F95" w:rsidRPr="00057C4C">
        <w:rPr>
          <w:lang w:val="en-GB"/>
        </w:rPr>
        <w:t xml:space="preserve"> </w:t>
      </w:r>
      <w:r w:rsidRPr="00057C4C">
        <w:rPr>
          <w:lang w:val="en-GB"/>
        </w:rPr>
        <w:t>should be considered at the initiation of therapy</w:t>
      </w:r>
      <w:r w:rsidRPr="00057C4C">
        <w:t>.</w:t>
      </w:r>
    </w:p>
    <w:p w:rsidR="006D71F3" w:rsidRPr="00057C4C" w:rsidRDefault="00F26345" w:rsidP="00D71D4F">
      <w:pPr>
        <w:pStyle w:val="Heading3"/>
      </w:pPr>
      <w:r w:rsidRPr="002F399B">
        <w:lastRenderedPageBreak/>
        <w:t>Hypothyroidism</w:t>
      </w:r>
      <w:r w:rsidR="006D71F3" w:rsidRPr="00057C4C">
        <w:t>:</w:t>
      </w:r>
    </w:p>
    <w:p w:rsidR="006D71F3" w:rsidRPr="00057C4C" w:rsidRDefault="006D71F3" w:rsidP="00AB6BF0">
      <w:pPr>
        <w:pStyle w:val="Text"/>
        <w:spacing w:after="120"/>
        <w:jc w:val="left"/>
      </w:pPr>
      <w:r w:rsidRPr="00057C4C">
        <w:t>Clinical cases of hypothyroidism have been reported in thyroidectomy patients undergoing levothyroxine replacement during treatment with Glivec. Thyroid stimulating hormone (TSH) levels should be closely monitored in such patients.</w:t>
      </w:r>
    </w:p>
    <w:p w:rsidR="00014579" w:rsidRPr="00057C4C" w:rsidRDefault="00014579" w:rsidP="00D71D4F">
      <w:pPr>
        <w:pStyle w:val="Heading3"/>
      </w:pPr>
      <w:r w:rsidRPr="00057C4C">
        <w:t>Use in patients with renal impairment:</w:t>
      </w:r>
    </w:p>
    <w:p w:rsidR="00E433C3" w:rsidRPr="00057C4C" w:rsidRDefault="00014579" w:rsidP="00E433C3">
      <w:pPr>
        <w:pStyle w:val="Text"/>
        <w:spacing w:after="120"/>
        <w:jc w:val="left"/>
      </w:pPr>
      <w:r w:rsidRPr="00057C4C">
        <w:t xml:space="preserve">Glivec and its metabolites are not excreted via the kidney to a significant extent. </w:t>
      </w:r>
      <w:r w:rsidR="00E433C3" w:rsidRPr="00057C4C">
        <w:rPr>
          <w:lang w:val="en-GB"/>
        </w:rPr>
        <w:t xml:space="preserve">Patients with mild and moderate impairment of renal function appear to have a higher plasma exposure than patients with normal renal function. The increase is approximately 1.5- to 2-fold, corresponding to a 1.5-fold elevation of plasma AGP, to which imatinib binds strongly. The free drug clearance of imatinib is probably similar between patients with renal impairment and those with normal renal function, since renal excretion represents only a minor elimination pathway for imatinib (see “DOSAGE </w:t>
      </w:r>
      <w:smartTag w:uri="urn:schemas-microsoft-com:office:smarttags" w:element="stockticker">
        <w:r w:rsidR="00E433C3" w:rsidRPr="00057C4C">
          <w:rPr>
            <w:lang w:val="en-GB"/>
          </w:rPr>
          <w:t>AND</w:t>
        </w:r>
      </w:smartTag>
      <w:r w:rsidR="00E433C3" w:rsidRPr="00057C4C">
        <w:rPr>
          <w:lang w:val="en-GB"/>
        </w:rPr>
        <w:t xml:space="preserve"> ADMINISTRATION” and “PHARMACOLOGY”)</w:t>
      </w:r>
    </w:p>
    <w:p w:rsidR="00014579" w:rsidRPr="00057C4C" w:rsidRDefault="00014579" w:rsidP="00D71D4F">
      <w:pPr>
        <w:pStyle w:val="Heading3"/>
      </w:pPr>
      <w:r w:rsidRPr="00057C4C">
        <w:t>Use in children:</w:t>
      </w:r>
    </w:p>
    <w:p w:rsidR="00014579" w:rsidRPr="00057C4C" w:rsidRDefault="00014579" w:rsidP="00AB6BF0">
      <w:pPr>
        <w:spacing w:before="120" w:after="120"/>
      </w:pPr>
      <w:r w:rsidRPr="00057C4C">
        <w:t>Glivec efficacy and safety have been demonstrated only in children with Ph+ chronic phase CML. There is no experience with Glivec in children with accelerated phase CML and very limited experience in children with blast crisis</w:t>
      </w:r>
      <w:r w:rsidR="00D43125" w:rsidRPr="00057C4C">
        <w:t xml:space="preserve"> and Ph+ ALL</w:t>
      </w:r>
      <w:r w:rsidRPr="00057C4C">
        <w:t xml:space="preserve">. There is </w:t>
      </w:r>
      <w:r w:rsidR="00CD3517" w:rsidRPr="00057C4C">
        <w:t xml:space="preserve">very limited </w:t>
      </w:r>
      <w:r w:rsidRPr="00057C4C">
        <w:t>experience with Glivec in children under 3 years of age</w:t>
      </w:r>
      <w:r w:rsidR="00B92587" w:rsidRPr="00057C4C">
        <w:t xml:space="preserve"> (see “CLINICAL TRIALS - Paediatric patients”).</w:t>
      </w:r>
    </w:p>
    <w:p w:rsidR="006D2770" w:rsidRPr="00057C4C" w:rsidRDefault="006D2770" w:rsidP="006D2770">
      <w:pPr>
        <w:spacing w:before="120" w:after="120"/>
      </w:pPr>
      <w:r w:rsidRPr="00057C4C">
        <w:t>There have been case reports of growth retardation occurring in children</w:t>
      </w:r>
      <w:r w:rsidR="007F0916">
        <w:t xml:space="preserve"> </w:t>
      </w:r>
      <w:r w:rsidR="007F0916" w:rsidRPr="00FC1D74">
        <w:t>and pre-adolescents</w:t>
      </w:r>
      <w:r w:rsidRPr="00FD191B">
        <w:rPr>
          <w:color w:val="0070C0"/>
        </w:rPr>
        <w:t xml:space="preserve"> </w:t>
      </w:r>
      <w:r w:rsidRPr="002F399B">
        <w:t>r</w:t>
      </w:r>
      <w:r w:rsidRPr="00057C4C">
        <w:t xml:space="preserve">eceiving </w:t>
      </w:r>
      <w:r w:rsidR="00344245" w:rsidRPr="002F399B">
        <w:t>Glivec</w:t>
      </w:r>
      <w:r w:rsidRPr="00057C4C">
        <w:t>. The long term effects of prolonged treatment with imatinib on growth in children are unknown. Therefore, close monitoring of growth in children under imatinib treatment is recommended.</w:t>
      </w:r>
    </w:p>
    <w:p w:rsidR="00014579" w:rsidRPr="00057C4C" w:rsidRDefault="00014579" w:rsidP="00D71D4F">
      <w:pPr>
        <w:pStyle w:val="Heading3"/>
      </w:pPr>
      <w:r w:rsidRPr="00057C4C">
        <w:t>Effects on ability to drive and use machines:</w:t>
      </w:r>
    </w:p>
    <w:p w:rsidR="00014579" w:rsidRPr="00057C4C" w:rsidRDefault="00344245" w:rsidP="00AB6BF0">
      <w:pPr>
        <w:pStyle w:val="Text"/>
        <w:spacing w:after="120"/>
        <w:jc w:val="left"/>
      </w:pPr>
      <w:r w:rsidRPr="002F399B">
        <w:rPr>
          <w:snapToGrid w:val="0"/>
        </w:rPr>
        <w:t>Reports of motor vehicle accidents have been reported in patients receiving Glivec. While most of these reports are not suspected to be caused by Glivec,</w:t>
      </w:r>
      <w:r w:rsidR="00014579" w:rsidRPr="00057C4C">
        <w:rPr>
          <w:snapToGrid w:val="0"/>
        </w:rPr>
        <w:t xml:space="preserve"> patients should be advised that they may experience undesirable effects such as dizziness</w:t>
      </w:r>
      <w:r>
        <w:rPr>
          <w:snapToGrid w:val="0"/>
        </w:rPr>
        <w:t>,</w:t>
      </w:r>
      <w:r w:rsidR="00014579" w:rsidRPr="00057C4C">
        <w:rPr>
          <w:snapToGrid w:val="0"/>
        </w:rPr>
        <w:t xml:space="preserve"> blurred vision</w:t>
      </w:r>
      <w:r>
        <w:rPr>
          <w:snapToGrid w:val="0"/>
        </w:rPr>
        <w:t xml:space="preserve"> </w:t>
      </w:r>
      <w:r w:rsidRPr="002F399B">
        <w:rPr>
          <w:snapToGrid w:val="0"/>
        </w:rPr>
        <w:t>or s</w:t>
      </w:r>
      <w:r w:rsidR="001D4DC6" w:rsidRPr="002F399B">
        <w:rPr>
          <w:snapToGrid w:val="0"/>
        </w:rPr>
        <w:t>om</w:t>
      </w:r>
      <w:r w:rsidRPr="002F399B">
        <w:rPr>
          <w:snapToGrid w:val="0"/>
        </w:rPr>
        <w:t>nolence</w:t>
      </w:r>
      <w:r w:rsidR="00014579" w:rsidRPr="00057C4C">
        <w:rPr>
          <w:snapToGrid w:val="0"/>
        </w:rPr>
        <w:t xml:space="preserve"> during treatment with </w:t>
      </w:r>
      <w:r w:rsidRPr="002F399B">
        <w:rPr>
          <w:snapToGrid w:val="0"/>
        </w:rPr>
        <w:t>Glivec</w:t>
      </w:r>
      <w:r w:rsidR="00014579" w:rsidRPr="00057C4C">
        <w:rPr>
          <w:snapToGrid w:val="0"/>
        </w:rPr>
        <w:t>. Therefore, caution should be recommended when driving</w:t>
      </w:r>
      <w:r w:rsidR="002B14EF">
        <w:rPr>
          <w:snapToGrid w:val="0"/>
        </w:rPr>
        <w:t xml:space="preserve"> a car or operating machinery.</w:t>
      </w:r>
    </w:p>
    <w:p w:rsidR="00014579" w:rsidRPr="00057C4C" w:rsidRDefault="00014579" w:rsidP="00D71D4F">
      <w:pPr>
        <w:pStyle w:val="Heading3"/>
      </w:pPr>
      <w:r w:rsidRPr="00057C4C">
        <w:t>Toxicities from long-term use:</w:t>
      </w:r>
    </w:p>
    <w:p w:rsidR="00014579" w:rsidRPr="00057C4C" w:rsidRDefault="00014579" w:rsidP="00AB6BF0">
      <w:pPr>
        <w:pStyle w:val="Text"/>
        <w:spacing w:after="120"/>
        <w:jc w:val="left"/>
      </w:pPr>
      <w:r w:rsidRPr="00057C4C">
        <w:t>Because follow-up of most patients treated with imatinib is relatively short (&lt;6 months</w:t>
      </w:r>
      <w:r w:rsidRPr="00A03D99">
        <w:t xml:space="preserve">), </w:t>
      </w:r>
      <w:r w:rsidR="00095A4A" w:rsidRPr="00A03D99">
        <w:t>i</w:t>
      </w:r>
      <w:r w:rsidRPr="00A03D99">
        <w:t>t is important to consider poten</w:t>
      </w:r>
      <w:r w:rsidRPr="00057C4C">
        <w:t>tial</w:t>
      </w:r>
      <w:r w:rsidR="00F25FF4" w:rsidRPr="00057C4C">
        <w:t xml:space="preserve"> </w:t>
      </w:r>
      <w:r w:rsidRPr="00057C4C">
        <w:t>toxicities suggested by animal studies, specifically, liver and kidney toxicity and immunosuppression.</w:t>
      </w:r>
    </w:p>
    <w:p w:rsidR="00014579" w:rsidRPr="00057C4C" w:rsidRDefault="00014579" w:rsidP="00AB6BF0">
      <w:pPr>
        <w:pStyle w:val="Text"/>
        <w:spacing w:after="120"/>
        <w:jc w:val="left"/>
      </w:pPr>
      <w:r w:rsidRPr="00057C4C">
        <w:t xml:space="preserve">Liver toxicity was observed in the 3 species tested in repeated-dose studies (rats, dogs and cynomolgus monkeys), and was most severe in dogs, in which findings included elevated liver enzymes, hepatocellular necrosis, and bile duct necrosis and hyperplasia.  </w:t>
      </w:r>
    </w:p>
    <w:p w:rsidR="00014579" w:rsidRPr="00057C4C" w:rsidRDefault="00014579" w:rsidP="00AB6BF0">
      <w:pPr>
        <w:pStyle w:val="Text"/>
        <w:spacing w:after="120"/>
        <w:jc w:val="left"/>
      </w:pPr>
      <w:r w:rsidRPr="00057C4C">
        <w:t>Renal toxicity was observed in rats and monkeys, being most marked in the latter, with increases in blood urea nitrogen (BUN) and creatinine being observed in several animals, and with findings including renal tubular dilatation, mineralisation and nephrosis. Lymphoid tissue atrophy was observed in many of the repeated-dose animal studies and lymphopenia was sometimes observed in animals (as in humans). In a 39-week monkey study, treatment with imatinib apparently resulted in worsening of malarial infections which were normally suppressed in these animals.</w:t>
      </w:r>
    </w:p>
    <w:p w:rsidR="00014579" w:rsidRPr="00057C4C" w:rsidRDefault="00014579" w:rsidP="00D71D4F">
      <w:pPr>
        <w:pStyle w:val="Heading3"/>
      </w:pPr>
      <w:r w:rsidRPr="00057C4C">
        <w:lastRenderedPageBreak/>
        <w:t>Carcinogenicity</w:t>
      </w:r>
    </w:p>
    <w:p w:rsidR="00A15457" w:rsidRPr="00057C4C" w:rsidRDefault="00A15457" w:rsidP="003971C1">
      <w:pPr>
        <w:pStyle w:val="Text"/>
        <w:spacing w:after="120"/>
        <w:jc w:val="left"/>
      </w:pPr>
      <w:r w:rsidRPr="00057C4C">
        <w:rPr>
          <w:iCs/>
        </w:rPr>
        <w:t xml:space="preserve">In a 2-year rat carcinogenicity study </w:t>
      </w:r>
      <w:r w:rsidRPr="00057C4C">
        <w:t>administration of imatinib at 15, 30 and 60 mg/kg/day resulted in neoplastic changes in the kidneys, urinary bladder, urethra, preputial and clitoral gland, small intestine, parathyroid glands, adrenal glands and non-glandular stomach. The no observed effect levels (NOEL) for the various target organs with neoplastic lesions were established as follows: 30 mg/kg/day for the kidneys, urinary bladder, urethra, small intestine, parathyroid glands, adrenal glands and non-glandular stomach, and 15 mg/kg/day for the preputial and clitoral glands</w:t>
      </w:r>
      <w:r w:rsidRPr="00057C4C">
        <w:rPr>
          <w:iCs/>
        </w:rPr>
        <w:t>.</w:t>
      </w:r>
    </w:p>
    <w:p w:rsidR="00A15457" w:rsidRPr="00057C4C" w:rsidRDefault="00A15457" w:rsidP="003971C1">
      <w:pPr>
        <w:pStyle w:val="Text"/>
        <w:spacing w:after="120"/>
        <w:jc w:val="left"/>
      </w:pPr>
      <w:r w:rsidRPr="00057C4C">
        <w:t>The 30 mg/kg/day dose in rats is approximately equivalent to the human daily exposure (based on plasma AUC) at 800 mg/day and 2 times the daily exposure in children (based on AUC) at 340 mg/m</w:t>
      </w:r>
      <w:r w:rsidRPr="00057C4C">
        <w:rPr>
          <w:szCs w:val="24"/>
          <w:vertAlign w:val="superscript"/>
        </w:rPr>
        <w:t>2</w:t>
      </w:r>
      <w:r w:rsidR="002B14EF">
        <w:t>.</w:t>
      </w:r>
    </w:p>
    <w:p w:rsidR="00A15457" w:rsidRPr="00057C4C" w:rsidRDefault="00A15457" w:rsidP="003971C1">
      <w:pPr>
        <w:pStyle w:val="Text"/>
        <w:spacing w:after="120"/>
        <w:jc w:val="left"/>
      </w:pPr>
      <w:r w:rsidRPr="00057C4C">
        <w:t>These findings are potentially relevant for patients receiving long-term imatinib therapy. However, an analysis of the safety data from clinical trials and spontaneous adverse event reports did not provide evidence of an increase in overall incidence of malignancies, or the incidence of bladder, kidney or prostate tumours in patients treated with imatinib compared to that of the general population.</w:t>
      </w:r>
    </w:p>
    <w:p w:rsidR="00A15457" w:rsidRPr="00057C4C" w:rsidRDefault="00A15457" w:rsidP="00D71D4F">
      <w:pPr>
        <w:pStyle w:val="Heading3"/>
      </w:pPr>
      <w:r w:rsidRPr="00057C4C">
        <w:t>Mutagenicity</w:t>
      </w:r>
    </w:p>
    <w:p w:rsidR="00DC78D6" w:rsidRPr="00057C4C" w:rsidRDefault="00014579" w:rsidP="003971C1">
      <w:pPr>
        <w:pStyle w:val="Text"/>
        <w:spacing w:after="120"/>
        <w:jc w:val="left"/>
      </w:pPr>
      <w:r w:rsidRPr="00057C4C">
        <w:t xml:space="preserve">Positive genotoxic effects were observed for imatinib in an </w:t>
      </w:r>
      <w:r w:rsidRPr="00057C4C">
        <w:rPr>
          <w:i/>
        </w:rPr>
        <w:t>in vitro</w:t>
      </w:r>
      <w:r w:rsidRPr="00057C4C">
        <w:t xml:space="preserve"> mammalian cell assay (Chinese hamster ovary) for clastogenicity (chromosome aberrations) in the presence of metabolic activation, but imatinib was negative in an </w:t>
      </w:r>
      <w:r w:rsidRPr="00057C4C">
        <w:rPr>
          <w:i/>
        </w:rPr>
        <w:t>in vivo</w:t>
      </w:r>
      <w:r w:rsidRPr="00057C4C">
        <w:t xml:space="preserve"> rat micronucleus assay.  Imatinib was not genotoxic when tested in assays for gene mutations (</w:t>
      </w:r>
      <w:r w:rsidRPr="00057C4C">
        <w:rPr>
          <w:i/>
        </w:rPr>
        <w:t>in vitro</w:t>
      </w:r>
      <w:r w:rsidRPr="00057C4C">
        <w:t xml:space="preserve"> bacterial cell assay and an </w:t>
      </w:r>
      <w:r w:rsidRPr="00057C4C">
        <w:rPr>
          <w:i/>
        </w:rPr>
        <w:t>in vitro</w:t>
      </w:r>
      <w:r w:rsidRPr="00057C4C">
        <w:t xml:space="preserve"> mouse lymphoma assay).  Two intermediates of the manufacturing process, which are also present in the final product, are positive for mutagenesis in the Ames assay.  One of these intermediates was also positive in the mouse lymphoma assay.</w:t>
      </w:r>
    </w:p>
    <w:p w:rsidR="00014579" w:rsidRPr="00057C4C" w:rsidRDefault="00A15457" w:rsidP="00D71D4F">
      <w:pPr>
        <w:pStyle w:val="Heading3"/>
      </w:pPr>
      <w:r w:rsidRPr="00057C4C">
        <w:t>Impairment of fertility</w:t>
      </w:r>
    </w:p>
    <w:p w:rsidR="004A6162" w:rsidRDefault="00014579" w:rsidP="003971C1">
      <w:pPr>
        <w:pStyle w:val="Text"/>
        <w:spacing w:after="120"/>
        <w:jc w:val="left"/>
      </w:pPr>
      <w:r w:rsidRPr="00A03D99">
        <w:t>In a study of fertility, in which male rats were dosed orally for 70 days prior to mating and female rats were dosed for 14 days prior to mating and through to gestational day 6, testicular and epididymal weights and percent motile sperm were decreased at 60 mg/kg (approximately equal to the maximum clinical dose of 800 mg/day, based on body surface area).  This was not seen at doses ≤ 20 mg/kg (one-fourth the maximum human dose of 800 mg).  There was no effect on mating or on number of pregnant females.  At 60 mg/kg, but not at doses ≤ 20 mg/kg, female rats had significant post-implantation fetal loss and a reduced number of live fetuses.</w:t>
      </w:r>
      <w:r w:rsidR="00FD52EB" w:rsidRPr="00A03D99">
        <w:t xml:space="preserve"> </w:t>
      </w:r>
    </w:p>
    <w:p w:rsidR="008378BC" w:rsidRPr="00A03D99" w:rsidRDefault="008378BC" w:rsidP="003971C1">
      <w:pPr>
        <w:pStyle w:val="Text"/>
        <w:spacing w:after="120"/>
        <w:jc w:val="left"/>
      </w:pPr>
      <w:r w:rsidRPr="00A03D99">
        <w:t xml:space="preserve">Human studies on male patients receiving </w:t>
      </w:r>
      <w:r w:rsidRPr="00A03D99">
        <w:rPr>
          <w:color w:val="000000"/>
          <w:szCs w:val="24"/>
        </w:rPr>
        <w:t>Glivec</w:t>
      </w:r>
      <w:r w:rsidRPr="00A03D99">
        <w:t xml:space="preserve"> and its affect on male fertility and spermatogenesis have not been performed. Male patients concerned about their fertility on </w:t>
      </w:r>
      <w:r w:rsidRPr="00A03D99">
        <w:rPr>
          <w:color w:val="000000"/>
          <w:szCs w:val="24"/>
        </w:rPr>
        <w:t>Glivec</w:t>
      </w:r>
      <w:r w:rsidRPr="00A03D99">
        <w:t xml:space="preserve"> treatment should consult with their physician.</w:t>
      </w:r>
      <w:r w:rsidR="003130AC">
        <w:t xml:space="preserve"> </w:t>
      </w:r>
    </w:p>
    <w:p w:rsidR="00014579" w:rsidRPr="00A03D99" w:rsidRDefault="00014579" w:rsidP="002B14EF">
      <w:pPr>
        <w:pStyle w:val="Heading2"/>
      </w:pPr>
      <w:r w:rsidRPr="00A03D99">
        <w:t>Use in Pregnancy (Category D)</w:t>
      </w:r>
    </w:p>
    <w:p w:rsidR="00014579" w:rsidRPr="002F399B" w:rsidRDefault="00014579" w:rsidP="003971C1">
      <w:pPr>
        <w:pStyle w:val="Text"/>
        <w:spacing w:after="120"/>
        <w:jc w:val="left"/>
        <w:rPr>
          <w:snapToGrid w:val="0"/>
          <w:lang w:val="en-GB"/>
        </w:rPr>
      </w:pPr>
      <w:r w:rsidRPr="00A03D99">
        <w:rPr>
          <w:snapToGrid w:val="0"/>
          <w:lang w:val="en-GB"/>
        </w:rPr>
        <w:t xml:space="preserve">Women of childbearing potential must be advised to use </w:t>
      </w:r>
      <w:r w:rsidR="008378BC" w:rsidRPr="00A03D99">
        <w:rPr>
          <w:snapToGrid w:val="0"/>
          <w:lang w:val="en-GB"/>
        </w:rPr>
        <w:t xml:space="preserve">highly </w:t>
      </w:r>
      <w:r w:rsidRPr="00A03D99">
        <w:rPr>
          <w:snapToGrid w:val="0"/>
          <w:lang w:val="en-GB"/>
        </w:rPr>
        <w:t xml:space="preserve">effective contraception during treatment. </w:t>
      </w:r>
      <w:r w:rsidR="008378BC" w:rsidRPr="00A03D99">
        <w:rPr>
          <w:snapToGrid w:val="0"/>
          <w:lang w:val="en-GB"/>
        </w:rPr>
        <w:t>Highly effective contraception is a method of birth control which results in a low failure rate (i.e. less than 1% per year) when used consistently and correctly.</w:t>
      </w:r>
      <w:r w:rsidR="003130AC">
        <w:rPr>
          <w:snapToGrid w:val="0"/>
          <w:lang w:val="en-GB"/>
        </w:rPr>
        <w:t xml:space="preserve"> </w:t>
      </w:r>
      <w:r w:rsidRPr="00A03D99">
        <w:rPr>
          <w:snapToGrid w:val="0"/>
          <w:lang w:val="en-GB"/>
        </w:rPr>
        <w:t>There are no</w:t>
      </w:r>
      <w:r w:rsidRPr="00057C4C">
        <w:rPr>
          <w:snapToGrid w:val="0"/>
          <w:lang w:val="en-GB"/>
        </w:rPr>
        <w:t xml:space="preserve"> adequate and well-controlled studies in pregnant women.  If Glivec is used during pregnancy, or if the patient becomes pregnant while taking Glivec, the patient should be apprised of the potential hazard to the fetus.</w:t>
      </w:r>
      <w:r w:rsidR="00B22291">
        <w:rPr>
          <w:snapToGrid w:val="0"/>
          <w:lang w:val="en-GB"/>
        </w:rPr>
        <w:t xml:space="preserve"> </w:t>
      </w:r>
      <w:r w:rsidR="00B22291" w:rsidRPr="002F399B">
        <w:rPr>
          <w:snapToGrid w:val="0"/>
          <w:lang w:val="en-GB"/>
        </w:rPr>
        <w:t>There have been post-marketing reports of spontaneous abortions and infant congenital anomalies from women who have taken Glivec.</w:t>
      </w:r>
    </w:p>
    <w:p w:rsidR="00014579" w:rsidRPr="00057C4C" w:rsidRDefault="00014579" w:rsidP="003971C1">
      <w:pPr>
        <w:pStyle w:val="Text"/>
        <w:spacing w:after="120"/>
        <w:jc w:val="left"/>
        <w:rPr>
          <w:snapToGrid w:val="0"/>
          <w:lang w:val="en-GB"/>
        </w:rPr>
      </w:pPr>
      <w:r w:rsidRPr="00057C4C">
        <w:rPr>
          <w:snapToGrid w:val="0"/>
          <w:lang w:val="en-GB"/>
        </w:rPr>
        <w:t xml:space="preserve">Imatinib mesylate was teratogenic in rats when administered during organogenesis at oral doses </w:t>
      </w:r>
      <w:r w:rsidRPr="00057C4C">
        <w:sym w:font="Symbol" w:char="F0B3"/>
      </w:r>
      <w:r w:rsidRPr="00057C4C">
        <w:rPr>
          <w:snapToGrid w:val="0"/>
          <w:lang w:val="en-GB"/>
        </w:rPr>
        <w:t xml:space="preserve">30 mg/kg, approximately equal to one third the maximum clinical dose of 800 mg/day, based on body surface area.  Teratogenic effects included exencephaly or </w:t>
      </w:r>
      <w:r w:rsidRPr="00057C4C">
        <w:rPr>
          <w:snapToGrid w:val="0"/>
          <w:lang w:val="en-GB"/>
        </w:rPr>
        <w:lastRenderedPageBreak/>
        <w:t>encephalocele, protruded tongue, absent/reduced frontal and absent parietal bones.  Female rats also experienced significant post-implantation loss in the form of early fetal resorptions at doses &gt;30 mg/kg, with total fetal loss in all animals at doses &gt;100 mg/kg.</w:t>
      </w:r>
    </w:p>
    <w:p w:rsidR="002565FE" w:rsidRPr="00057C4C" w:rsidRDefault="00014579" w:rsidP="003971C1">
      <w:pPr>
        <w:pStyle w:val="Text"/>
        <w:spacing w:after="120"/>
        <w:jc w:val="left"/>
        <w:rPr>
          <w:snapToGrid w:val="0"/>
          <w:lang w:val="en-GB"/>
        </w:rPr>
      </w:pPr>
      <w:r w:rsidRPr="00057C4C">
        <w:rPr>
          <w:snapToGrid w:val="0"/>
          <w:lang w:val="en-GB"/>
        </w:rPr>
        <w:t>Administration of imatinib to rats from early gestation through weaning at an oral dose of 45 mg/kg/day (approximately half the maximal clinical dose of 800 mg/day based on body surface area) resulted in an increase in postimplantation loss. Additionally, F</w:t>
      </w:r>
      <w:r w:rsidRPr="00057C4C">
        <w:rPr>
          <w:snapToGrid w:val="0"/>
          <w:vertAlign w:val="subscript"/>
          <w:lang w:val="en-GB"/>
        </w:rPr>
        <w:t xml:space="preserve">1 </w:t>
      </w:r>
      <w:r w:rsidRPr="00057C4C">
        <w:rPr>
          <w:snapToGrid w:val="0"/>
          <w:lang w:val="en-GB"/>
        </w:rPr>
        <w:t xml:space="preserve">offspring showed reproductive effects (including decreased numbers of implantation sites, increased numbers of resorptions and decreased numbers of viable fetuses). Mild maternotoxicity was also observed at this dose. </w:t>
      </w:r>
    </w:p>
    <w:p w:rsidR="002565FE" w:rsidRPr="00057C4C" w:rsidRDefault="00014579" w:rsidP="002B14EF">
      <w:pPr>
        <w:pStyle w:val="Heading2"/>
      </w:pPr>
      <w:r w:rsidRPr="00057C4C">
        <w:t>Use in Lactation</w:t>
      </w:r>
    </w:p>
    <w:p w:rsidR="00014579" w:rsidRPr="00057C4C" w:rsidRDefault="006D2770" w:rsidP="003971C1">
      <w:pPr>
        <w:pStyle w:val="Text"/>
        <w:spacing w:after="120"/>
        <w:jc w:val="left"/>
        <w:rPr>
          <w:snapToGrid w:val="0"/>
          <w:lang w:val="en-GB"/>
        </w:rPr>
      </w:pPr>
      <w:r w:rsidRPr="00057C4C">
        <w:t xml:space="preserve">Both imatinib and its active metabolite can be distributed into human milk. The milk plasma ratio was determined to be 0.5 for imatinib and 0.9 for the metabolite, suggesting greater distribution of the metabolite into the milk. Considering the combined concentration of imatinib and of the metabolite and the maximum daily milk intake by infants the total exposure would be expected to be low (~10% of a therapeutic dose). However, since the effects of low-dose exposure of the infant to imatinib are unknown, women taking Glivec should not breast feed. </w:t>
      </w:r>
      <w:r w:rsidR="00014579" w:rsidRPr="00057C4C">
        <w:rPr>
          <w:snapToGrid w:val="0"/>
          <w:lang w:val="en-GB"/>
        </w:rPr>
        <w:t xml:space="preserve">Administration of imatinib to rats from early gestation through weaning at an oral dose of 45 mg/kg/day (approximately half the maximal clinical dose of 800 mg/day based on body surface area) resulted in delayed preputial separation and a decrease in pup viability (day 0-4 postpartum). </w:t>
      </w:r>
    </w:p>
    <w:p w:rsidR="00014579" w:rsidRPr="003C3ACE" w:rsidRDefault="003C3ACE" w:rsidP="002B14EF">
      <w:pPr>
        <w:pStyle w:val="Heading1"/>
      </w:pPr>
      <w:r>
        <w:t>INTERACTIONS WITH OTHER MEDICINES</w:t>
      </w:r>
    </w:p>
    <w:p w:rsidR="00014579" w:rsidRPr="00057C4C" w:rsidRDefault="00014579" w:rsidP="00D71D4F">
      <w:pPr>
        <w:pStyle w:val="Heading3"/>
      </w:pPr>
      <w:r w:rsidRPr="00057C4C">
        <w:t>Drugs that may alter imatinib plasma concentrations:</w:t>
      </w:r>
    </w:p>
    <w:p w:rsidR="00014579" w:rsidRPr="00057C4C" w:rsidRDefault="00014579" w:rsidP="00D71D4F">
      <w:pPr>
        <w:pStyle w:val="Heading4"/>
      </w:pPr>
      <w:r w:rsidRPr="00057C4C">
        <w:t xml:space="preserve">Drugs that may </w:t>
      </w:r>
      <w:r w:rsidRPr="00057C4C">
        <w:rPr>
          <w:b/>
        </w:rPr>
        <w:t>increase</w:t>
      </w:r>
      <w:r w:rsidRPr="00057C4C">
        <w:t xml:space="preserve"> imatinib plasma concentrations:</w:t>
      </w:r>
    </w:p>
    <w:p w:rsidR="00014579" w:rsidRPr="00057C4C" w:rsidRDefault="00014579" w:rsidP="003971C1">
      <w:pPr>
        <w:pStyle w:val="Text"/>
        <w:spacing w:after="120"/>
        <w:jc w:val="left"/>
      </w:pPr>
      <w:r w:rsidRPr="00057C4C">
        <w:t>Substances that inhibit the cytochrome P450 isoenzyme CYP3A4 activity could decrease metabolism and increase imatinib concentrations. There was a significant increase in exposure to imatinib (the mean C</w:t>
      </w:r>
      <w:r w:rsidRPr="00057C4C">
        <w:rPr>
          <w:vertAlign w:val="subscript"/>
        </w:rPr>
        <w:t>max</w:t>
      </w:r>
      <w:r w:rsidRPr="00057C4C">
        <w:t xml:space="preserve"> and AUC of imatinib rose by 26% and 40%, respectively) in healthy subjects when it was co-administered with a single dose of ketoconazole (a CYP3A4 inhibitor). Caution should be taken when administering Glivec with inhibitors of the CYP3A4 family (e.g. ketoconazole, erythromycin, clarithromycin, itraconazole, HIV antivirals, grapefruit juice).</w:t>
      </w:r>
    </w:p>
    <w:p w:rsidR="00014579" w:rsidRPr="00057C4C" w:rsidRDefault="00014579" w:rsidP="00D71D4F">
      <w:pPr>
        <w:pStyle w:val="Heading4"/>
      </w:pPr>
      <w:r w:rsidRPr="00057C4C">
        <w:t xml:space="preserve">Drugs that may </w:t>
      </w:r>
      <w:r w:rsidRPr="00057C4C">
        <w:rPr>
          <w:b/>
        </w:rPr>
        <w:t xml:space="preserve">decrease </w:t>
      </w:r>
      <w:r w:rsidRPr="00057C4C">
        <w:t>imatinib plasma concentrations:</w:t>
      </w:r>
    </w:p>
    <w:p w:rsidR="007F697A" w:rsidRPr="00057C4C" w:rsidRDefault="00014579" w:rsidP="003971C1">
      <w:pPr>
        <w:pStyle w:val="Text"/>
        <w:spacing w:after="120"/>
        <w:jc w:val="left"/>
      </w:pPr>
      <w:r w:rsidRPr="00A03D99">
        <w:t>Substances that are inducers of CYP3A4 activity (e.g. dexamethasone,</w:t>
      </w:r>
      <w:r w:rsidRPr="00057C4C">
        <w:t xml:space="preserve"> phenytoin, carbamazepine, rifampicin, phenobarbitone, or St. John’s wort [</w:t>
      </w:r>
      <w:r w:rsidRPr="00057C4C">
        <w:rPr>
          <w:i/>
        </w:rPr>
        <w:t>Hypericum perforatum</w:t>
      </w:r>
      <w:r w:rsidRPr="00057C4C">
        <w:t>] may significantly reduce exposure to Glivec. Pretreatment of 14 healthy volunteers with multiple doses of rifampicin, 600 mg daily for 8 days, followed by a single 400 mg dose of Glivec, increased the oral-dose clearance of imatinib by 3.8-fold (90</w:t>
      </w:r>
      <w:r w:rsidR="000D0E89" w:rsidRPr="00057C4C">
        <w:t xml:space="preserve">% </w:t>
      </w:r>
      <w:r w:rsidRPr="00057C4C">
        <w:t>confidence interval = 3.5- to 4.3-fold). This represents mean decreases in C</w:t>
      </w:r>
      <w:r w:rsidRPr="00057C4C">
        <w:rPr>
          <w:vertAlign w:val="subscript"/>
        </w:rPr>
        <w:t>max</w:t>
      </w:r>
      <w:r w:rsidRPr="00057C4C">
        <w:t>, AUC</w:t>
      </w:r>
      <w:r w:rsidRPr="00057C4C">
        <w:rPr>
          <w:vertAlign w:val="subscript"/>
        </w:rPr>
        <w:t>(0-24)</w:t>
      </w:r>
      <w:r w:rsidRPr="00057C4C">
        <w:t xml:space="preserve"> and AUC</w:t>
      </w:r>
      <w:r w:rsidRPr="00057C4C">
        <w:rPr>
          <w:vertAlign w:val="subscript"/>
        </w:rPr>
        <w:t>(0-</w:t>
      </w:r>
      <w:r w:rsidRPr="00057C4C">
        <w:rPr>
          <w:vertAlign w:val="subscript"/>
        </w:rPr>
        <w:sym w:font="Symbol" w:char="F0B5"/>
      </w:r>
      <w:r w:rsidRPr="00057C4C">
        <w:rPr>
          <w:vertAlign w:val="subscript"/>
        </w:rPr>
        <w:t>)</w:t>
      </w:r>
      <w:r w:rsidRPr="00057C4C">
        <w:t xml:space="preserve"> by 54%, 68% and 74% of the respective values without rifampicin treatment. </w:t>
      </w:r>
      <w:r w:rsidR="007F697A" w:rsidRPr="00057C4C">
        <w:t>Similar results were observed in patients with malignant gliomas treated with Glivec while taking enzyme-inducing anti-epileptic drugs (EIADEDs) such as carbamazepine, oxcarba</w:t>
      </w:r>
      <w:r w:rsidR="006D2770" w:rsidRPr="00057C4C">
        <w:t>ma</w:t>
      </w:r>
      <w:r w:rsidR="007F697A" w:rsidRPr="00057C4C">
        <w:t>zepine, phenytoin, fosphenytoin, Phenobarbital and primidone.</w:t>
      </w:r>
      <w:r w:rsidR="006D2770" w:rsidRPr="00057C4C">
        <w:t xml:space="preserve"> </w:t>
      </w:r>
      <w:r w:rsidR="006D2770" w:rsidRPr="00057C4C">
        <w:rPr>
          <w:lang w:val="en-GB"/>
        </w:rPr>
        <w:t>T</w:t>
      </w:r>
      <w:r w:rsidR="006D2770" w:rsidRPr="00057C4C">
        <w:t>he plasma AUC for imatinib decreased by 73% compared to patients not on EIAEDs.</w:t>
      </w:r>
      <w:r w:rsidR="006D2770" w:rsidRPr="00057C4C">
        <w:rPr>
          <w:lang w:val="en-GB"/>
        </w:rPr>
        <w:t xml:space="preserve"> </w:t>
      </w:r>
      <w:r w:rsidR="006D2770" w:rsidRPr="00057C4C">
        <w:t>In two published studies, concomitant administration of imatinib and a product containing St. John’s wort led to a 30-32% reduction in the AUC of Glivec.</w:t>
      </w:r>
    </w:p>
    <w:p w:rsidR="00014579" w:rsidRPr="00057C4C" w:rsidRDefault="00014579" w:rsidP="003971C1">
      <w:pPr>
        <w:pStyle w:val="Text"/>
        <w:spacing w:after="120"/>
        <w:jc w:val="left"/>
      </w:pPr>
      <w:r w:rsidRPr="00057C4C">
        <w:t xml:space="preserve">Co-administration of rifampicin or other CYP3A4 inducers should be avoided wherever possible. In patients where rifampicin or other CYP3A4 inducers are indicated, alternative therapeutic agents with less enzyme induction potential should be considered. </w:t>
      </w:r>
    </w:p>
    <w:p w:rsidR="00014579" w:rsidRPr="003F08F0" w:rsidRDefault="00014579" w:rsidP="00D71D4F">
      <w:pPr>
        <w:pStyle w:val="Heading4"/>
      </w:pPr>
      <w:r w:rsidRPr="003F08F0">
        <w:lastRenderedPageBreak/>
        <w:t>Drugs that may have their plasma concentration altered by Glivec:</w:t>
      </w:r>
    </w:p>
    <w:p w:rsidR="00014579" w:rsidRPr="00A03D99" w:rsidRDefault="00014579" w:rsidP="003971C1">
      <w:pPr>
        <w:pStyle w:val="Text"/>
        <w:spacing w:after="120"/>
        <w:jc w:val="left"/>
      </w:pPr>
      <w:r w:rsidRPr="00057C4C">
        <w:t>Imatinib increases the mean C</w:t>
      </w:r>
      <w:r w:rsidRPr="00057C4C">
        <w:rPr>
          <w:vertAlign w:val="subscript"/>
        </w:rPr>
        <w:t>max</w:t>
      </w:r>
      <w:r w:rsidRPr="00057C4C">
        <w:t xml:space="preserve"> and AUC of simvastatin (CYP3A4 substrate) 2- and 3.5- fold, respectively, indicating an inhibition of </w:t>
      </w:r>
      <w:r w:rsidRPr="00A03D99">
        <w:t xml:space="preserve">the CYP3A4 by </w:t>
      </w:r>
      <w:r w:rsidR="00633BD7" w:rsidRPr="00A03D99">
        <w:t>Glivec</w:t>
      </w:r>
      <w:r w:rsidRPr="00A03D99">
        <w:t xml:space="preserve">. Therefore, caution is recommended when administering Glivec with CYP3A4 substrates with a narrow therapeutic window (e.g. cyclosporin, pimozide). Glivec will increase plasma concentrations of other CYP3A4 metabolised drugs (e.g. triazole-benzodiazepines, dihydropyridine calcium channel blockers, certain HMG-CoA reductase inhibitors, </w:t>
      </w:r>
      <w:r w:rsidR="00633BD7" w:rsidRPr="00A03D99">
        <w:t xml:space="preserve">i.e. statins, </w:t>
      </w:r>
      <w:r w:rsidR="00D71D4F">
        <w:t>etc).</w:t>
      </w:r>
    </w:p>
    <w:p w:rsidR="00014579" w:rsidRPr="00A03D99" w:rsidRDefault="00014579" w:rsidP="003971C1">
      <w:pPr>
        <w:pStyle w:val="Text"/>
        <w:spacing w:after="120"/>
        <w:jc w:val="left"/>
      </w:pPr>
      <w:r w:rsidRPr="00A03D99">
        <w:rPr>
          <w:i/>
        </w:rPr>
        <w:t>In vitro,</w:t>
      </w:r>
      <w:r w:rsidRPr="00A03D99">
        <w:t xml:space="preserve"> Glivec inhibits the cytochrome P450 isoenzyme CYP2D6 activity at concentrations similar to those that affect CYP3A4 activity. </w:t>
      </w:r>
      <w:r w:rsidR="00633BD7" w:rsidRPr="00A03D99">
        <w:rPr>
          <w:lang w:val="en-GB"/>
        </w:rPr>
        <w:t>Glivec</w:t>
      </w:r>
      <w:r w:rsidR="00633BD7" w:rsidRPr="00A03D99">
        <w:t xml:space="preserve"> </w:t>
      </w:r>
      <w:r w:rsidR="006D2770" w:rsidRPr="00A03D99">
        <w:t>at 400 mg twice daily had a weak inhibitory effect on CYP2D6-mediated metoprolol metabolism, with metoprolol C</w:t>
      </w:r>
      <w:r w:rsidR="006D2770" w:rsidRPr="00A03D99">
        <w:rPr>
          <w:vertAlign w:val="subscript"/>
        </w:rPr>
        <w:t>max</w:t>
      </w:r>
      <w:r w:rsidR="006D2770" w:rsidRPr="00A03D99">
        <w:t xml:space="preserve"> and AUC being increased by approximately 23%. Co-administration of </w:t>
      </w:r>
      <w:r w:rsidR="00633BD7" w:rsidRPr="00A03D99">
        <w:t xml:space="preserve">Glivec </w:t>
      </w:r>
      <w:r w:rsidR="006D2770" w:rsidRPr="00A03D99">
        <w:t xml:space="preserve">with CYP2D6 substrates, such as metoprolol, does not seem to be a risk factor for drug-drug interactions and dose adjustment may not be necessary. </w:t>
      </w:r>
      <w:r w:rsidRPr="00A03D99">
        <w:t>Commonly used drugs metabolised by CYP2D6 include some antidepressants, neurolept</w:t>
      </w:r>
      <w:r w:rsidR="00D71D4F">
        <w:t>ics and anti-arrhythmic agents.</w:t>
      </w:r>
    </w:p>
    <w:p w:rsidR="000274D0" w:rsidRPr="00057C4C" w:rsidRDefault="00014579" w:rsidP="003971C1">
      <w:pPr>
        <w:pStyle w:val="Text"/>
        <w:spacing w:after="120"/>
        <w:jc w:val="left"/>
      </w:pPr>
      <w:r w:rsidRPr="00A03D99">
        <w:rPr>
          <w:i/>
        </w:rPr>
        <w:t>In-vitro</w:t>
      </w:r>
      <w:r w:rsidRPr="00A03D99">
        <w:t xml:space="preserve"> data suggest that imatinib has some capacity to act as an inhibitor of CYP2C9</w:t>
      </w:r>
      <w:r w:rsidR="00633BD7" w:rsidRPr="00A03D99">
        <w:t xml:space="preserve"> and CYP2C19</w:t>
      </w:r>
      <w:r w:rsidRPr="00A03D99">
        <w:t>, although at concentrations higher than would be expected in plasma with recommended doses.  However, caution should be exercised with the concomitant use of drugs metabolised by CYP2C9</w:t>
      </w:r>
      <w:r w:rsidR="00AB4BD5" w:rsidRPr="00A03D99">
        <w:t xml:space="preserve">, </w:t>
      </w:r>
      <w:r w:rsidR="00AB4BD5" w:rsidRPr="002F399B">
        <w:t>especially those with a narrow therapeutic window</w:t>
      </w:r>
      <w:r w:rsidRPr="00A03D99">
        <w:t xml:space="preserve"> (e.g. warfarin</w:t>
      </w:r>
      <w:r w:rsidR="00AB4BD5" w:rsidRPr="00A03D99">
        <w:t xml:space="preserve"> </w:t>
      </w:r>
      <w:r w:rsidR="00AB4BD5" w:rsidRPr="002F399B">
        <w:t>and other coumarin derivatives</w:t>
      </w:r>
      <w:r w:rsidRPr="00A03D99">
        <w:t xml:space="preserve">). </w:t>
      </w:r>
      <w:r w:rsidR="00633BD7" w:rsidRPr="00A03D99">
        <w:rPr>
          <w:snapToGrid w:val="0"/>
          <w:lang w:val="en-GB"/>
        </w:rPr>
        <w:t>PT prolongation was observed following co-administration with warfarin</w:t>
      </w:r>
      <w:r w:rsidR="00633BD7" w:rsidRPr="00A03D99">
        <w:t>.</w:t>
      </w:r>
      <w:r w:rsidR="003130AC">
        <w:t xml:space="preserve"> </w:t>
      </w:r>
      <w:r w:rsidRPr="00A03D99">
        <w:t>In view of the potential interaction between Glivec and warfarin, the international normalised ratio (INR) of patients who require anticoagulation with warfarin should be monitored closely, especially when Glivec dose adjustments</w:t>
      </w:r>
      <w:r w:rsidRPr="00057C4C">
        <w:t xml:space="preserve"> are necessary.  Consideration should be given to anticoagulation with low-molecular weight heparin or unfractionated heparin.</w:t>
      </w:r>
    </w:p>
    <w:p w:rsidR="00A000FB" w:rsidRPr="00FC1D74" w:rsidRDefault="000274D0" w:rsidP="00D71D4F">
      <w:r w:rsidRPr="00744F1D">
        <w:t xml:space="preserve">Glivec inhibits paracetamol O-glucuronidation </w:t>
      </w:r>
      <w:r w:rsidRPr="000A6535">
        <w:rPr>
          <w:i/>
        </w:rPr>
        <w:t>in vitro</w:t>
      </w:r>
      <w:r w:rsidRPr="00744F1D">
        <w:t xml:space="preserve"> </w:t>
      </w:r>
      <w:r w:rsidR="003D12CD">
        <w:t>with</w:t>
      </w:r>
      <w:r w:rsidRPr="00744F1D">
        <w:t xml:space="preserve"> Ki value </w:t>
      </w:r>
      <w:proofErr w:type="gramStart"/>
      <w:r w:rsidRPr="00744F1D">
        <w:t>of 58.5 micromol/L</w:t>
      </w:r>
      <w:r w:rsidR="003D12CD">
        <w:t>.</w:t>
      </w:r>
      <w:proofErr w:type="gramEnd"/>
      <w:r w:rsidR="003D12CD">
        <w:t xml:space="preserve"> </w:t>
      </w:r>
      <w:r w:rsidR="000A6535" w:rsidRPr="00E856D9">
        <w:t xml:space="preserve">The inhibition was not observed in vivo in Korean CML patients after </w:t>
      </w:r>
      <w:r w:rsidR="003D12CD" w:rsidRPr="00E856D9">
        <w:t xml:space="preserve">co-administration of Glivec (400 mg/day between days two and eight) </w:t>
      </w:r>
      <w:r w:rsidR="000A6535" w:rsidRPr="00E856D9">
        <w:t xml:space="preserve">and paracetamol </w:t>
      </w:r>
      <w:r w:rsidR="003D12CD" w:rsidRPr="00E856D9">
        <w:t>(1000 mg/day on day eight)</w:t>
      </w:r>
      <w:r w:rsidR="000A6535" w:rsidRPr="00E856D9">
        <w:t>.</w:t>
      </w:r>
      <w:r w:rsidR="003D12CD" w:rsidRPr="00E856D9">
        <w:t xml:space="preserve"> Glivec pharmacokinetics </w:t>
      </w:r>
      <w:proofErr w:type="gramStart"/>
      <w:r w:rsidR="000A6535" w:rsidRPr="00E856D9">
        <w:t>were</w:t>
      </w:r>
      <w:proofErr w:type="gramEnd"/>
      <w:r w:rsidR="000A6535" w:rsidRPr="00E856D9">
        <w:t xml:space="preserve"> </w:t>
      </w:r>
      <w:r w:rsidR="003D12CD" w:rsidRPr="00E856D9">
        <w:t>not altered</w:t>
      </w:r>
      <w:r w:rsidR="000A6535" w:rsidRPr="00E856D9">
        <w:t xml:space="preserve"> by paracetamol</w:t>
      </w:r>
      <w:r w:rsidR="003D12CD" w:rsidRPr="00E856D9">
        <w:t xml:space="preserve">. </w:t>
      </w:r>
      <w:r w:rsidR="000A6535" w:rsidRPr="00E856D9">
        <w:t xml:space="preserve">Exercise caution in non-Korean patients when co-administering Glivec and paracetamol. Also exercise caution with </w:t>
      </w:r>
      <w:r w:rsidR="003D12CD" w:rsidRPr="00E856D9">
        <w:t xml:space="preserve">concomitant use of Glivec at doses &gt; 400 mg/day or the chronic use of concomitant </w:t>
      </w:r>
      <w:r w:rsidR="007928A1" w:rsidRPr="00E856D9">
        <w:t xml:space="preserve">paracetamol </w:t>
      </w:r>
      <w:r w:rsidR="003D12CD" w:rsidRPr="00E856D9">
        <w:t xml:space="preserve">and Glivec </w:t>
      </w:r>
      <w:r w:rsidRPr="00E856D9">
        <w:t>(see “PRECAUTIONS”).</w:t>
      </w:r>
    </w:p>
    <w:p w:rsidR="00014579" w:rsidRPr="002F399B" w:rsidRDefault="00014579" w:rsidP="00D71D4F">
      <w:pPr>
        <w:pStyle w:val="Heading1"/>
      </w:pPr>
      <w:r w:rsidRPr="002F399B">
        <w:t xml:space="preserve">ADVERSE </w:t>
      </w:r>
      <w:r w:rsidR="00E32F95" w:rsidRPr="002F399B">
        <w:t>EFFECTS</w:t>
      </w:r>
    </w:p>
    <w:p w:rsidR="00AF7804" w:rsidRPr="00A03D99" w:rsidRDefault="00D71D4F" w:rsidP="00D71D4F">
      <w:pPr>
        <w:pStyle w:val="Heading3"/>
      </w:pPr>
      <w:bookmarkStart w:id="6" w:name="_Toc425574037"/>
      <w:r>
        <w:t>Summary of the safety profile</w:t>
      </w:r>
    </w:p>
    <w:p w:rsidR="00AF7804" w:rsidRDefault="00AF7804" w:rsidP="00AF7804">
      <w:pPr>
        <w:pStyle w:val="Text"/>
        <w:spacing w:after="120"/>
        <w:jc w:val="left"/>
        <w:rPr>
          <w:color w:val="0000FF"/>
          <w:lang w:val="en-GB"/>
        </w:rPr>
      </w:pPr>
      <w:r w:rsidRPr="00A03D99">
        <w:t>The overall safety profile of Glivec in human clinical use has been well-characterized through more than 12 years of Glivec experience. During clinical development, the majority of patients experienced adverse events at some point in time. The most frequently reported ADRs (&gt;10%) were neutropenia, thrombocytopenia, an</w:t>
      </w:r>
      <w:r w:rsidR="003473B8" w:rsidRPr="00A03D99">
        <w:t>a</w:t>
      </w:r>
      <w:r w:rsidRPr="00A03D99">
        <w:t xml:space="preserve">emia, headache, dyspepsia, </w:t>
      </w:r>
      <w:r w:rsidR="003473B8" w:rsidRPr="00A03D99">
        <w:t>o</w:t>
      </w:r>
      <w:r w:rsidRPr="00A03D99">
        <w:t>edema, weight increased, nausea, vomiting, muscle cramps, musculoskeletal pain, diarrhea, rash, fatigue, and abdominal pain. Events were of mild to moderate grade, and only 2 to 5 % of patients permanently discontinued therapy due to drug-related event.</w:t>
      </w:r>
      <w:r w:rsidR="00BE2591">
        <w:t xml:space="preserve"> </w:t>
      </w:r>
    </w:p>
    <w:p w:rsidR="0059401A" w:rsidRPr="00A03D99" w:rsidRDefault="0059401A" w:rsidP="00AF7804">
      <w:pPr>
        <w:pStyle w:val="Text"/>
        <w:spacing w:after="120"/>
        <w:jc w:val="left"/>
      </w:pPr>
      <w:r w:rsidRPr="006C6662">
        <w:rPr>
          <w:lang w:val="en-GB"/>
        </w:rPr>
        <w:t xml:space="preserve">In the GIST study B2222, </w:t>
      </w:r>
      <w:r w:rsidRPr="006C6662">
        <w:rPr>
          <w:snapToGrid w:val="0"/>
        </w:rPr>
        <w:t>the percentage of some adverse reactions was higher in the patients</w:t>
      </w:r>
      <w:r w:rsidRPr="0059401A">
        <w:rPr>
          <w:snapToGrid w:val="0"/>
        </w:rPr>
        <w:t xml:space="preserve"> with newly-diagnosed CML in whom the dose was increased to 800 mg daily compared to the population of patients before dose increase. These more frequent adverse reactions included gastrointestinal</w:t>
      </w:r>
      <w:r w:rsidRPr="0059401A">
        <w:rPr>
          <w:snapToGrid w:val="0"/>
          <w:lang w:val="en-GB"/>
        </w:rPr>
        <w:t xml:space="preserve"> haemorrhages</w:t>
      </w:r>
      <w:r w:rsidRPr="0059401A">
        <w:rPr>
          <w:snapToGrid w:val="0"/>
        </w:rPr>
        <w:t xml:space="preserve">, conjunctivitis and </w:t>
      </w:r>
      <w:r w:rsidRPr="0059401A">
        <w:rPr>
          <w:snapToGrid w:val="0"/>
          <w:lang w:val="en-GB"/>
        </w:rPr>
        <w:t>elevation of transaminases or bilirubin</w:t>
      </w:r>
      <w:r w:rsidRPr="0059401A">
        <w:rPr>
          <w:snapToGrid w:val="0"/>
        </w:rPr>
        <w:t>.</w:t>
      </w:r>
    </w:p>
    <w:p w:rsidR="00AD4753" w:rsidRDefault="00AF7804" w:rsidP="00AF7804">
      <w:pPr>
        <w:pStyle w:val="Text"/>
        <w:spacing w:after="120"/>
        <w:jc w:val="left"/>
      </w:pPr>
      <w:r w:rsidRPr="00A03D99">
        <w:t>The differences in the safety profile between Ph+ leuk</w:t>
      </w:r>
      <w:r w:rsidR="00626081" w:rsidRPr="00A03D99">
        <w:t>a</w:t>
      </w:r>
      <w:r w:rsidRPr="00A03D99">
        <w:t xml:space="preserve">emias and solid </w:t>
      </w:r>
      <w:r w:rsidR="00626081" w:rsidRPr="00A03D99">
        <w:t>tumour</w:t>
      </w:r>
      <w:r w:rsidRPr="00A03D99">
        <w:t>s are a higher incidence and severity of myelosuppression in Ph+ leuk</w:t>
      </w:r>
      <w:r w:rsidR="00626081" w:rsidRPr="00A03D99">
        <w:t>a</w:t>
      </w:r>
      <w:r w:rsidRPr="00A03D99">
        <w:t>emias, and GI and intra-</w:t>
      </w:r>
      <w:r w:rsidR="00626081" w:rsidRPr="00A03D99">
        <w:t>tumor</w:t>
      </w:r>
      <w:r w:rsidRPr="00A03D99">
        <w:t>al h</w:t>
      </w:r>
      <w:r w:rsidR="003473B8" w:rsidRPr="00A03D99">
        <w:t>a</w:t>
      </w:r>
      <w:r w:rsidRPr="00A03D99">
        <w:t xml:space="preserve">emorrhages in GIST patients and are probably due to disease-related factors.  </w:t>
      </w:r>
      <w:r w:rsidR="00AD4753" w:rsidRPr="00D707D2">
        <w:t xml:space="preserve">The most </w:t>
      </w:r>
      <w:r w:rsidR="00AD4753" w:rsidRPr="00D707D2">
        <w:lastRenderedPageBreak/>
        <w:t>frequent event by system organ class in CML and GIST treatment were GI disorders, skin and subcutaneous tissue disorders, general disorders and administration site</w:t>
      </w:r>
      <w:r w:rsidR="00787273">
        <w:t xml:space="preserve"> conditions, and musculoskelet</w:t>
      </w:r>
      <w:r w:rsidR="00AD4753" w:rsidRPr="00D707D2">
        <w:t>al and connective tissue disorders.</w:t>
      </w:r>
    </w:p>
    <w:p w:rsidR="00AF7804" w:rsidRPr="00A03D99" w:rsidRDefault="00AF7804" w:rsidP="00AF7804">
      <w:pPr>
        <w:pStyle w:val="Text"/>
        <w:spacing w:after="120"/>
        <w:jc w:val="left"/>
      </w:pPr>
      <w:r w:rsidRPr="00A03D99">
        <w:t>Other GI conditions, such as gastrointestinal obstruction, perforation and ulceration, appear to be more indication-specific. Other prominent adverse events that have been observed after exposure to Glivec, and which may be causally related, include hepatotoxicity, acute renal failure, hypophosphat</w:t>
      </w:r>
      <w:r w:rsidR="003473B8" w:rsidRPr="00A03D99">
        <w:t>a</w:t>
      </w:r>
      <w:r w:rsidRPr="00A03D99">
        <w:t xml:space="preserve">emia, severe respiratory adverse reactions, </w:t>
      </w:r>
      <w:r w:rsidR="00626081" w:rsidRPr="00A03D99">
        <w:t>tumour</w:t>
      </w:r>
      <w:r w:rsidRPr="00A03D99">
        <w:t xml:space="preserve"> lysis syndrome and growth retardation in children.</w:t>
      </w:r>
    </w:p>
    <w:p w:rsidR="00AF7804" w:rsidRDefault="00AF7804" w:rsidP="00AF7804">
      <w:pPr>
        <w:pStyle w:val="Text"/>
        <w:spacing w:after="120"/>
        <w:jc w:val="left"/>
      </w:pPr>
      <w:r w:rsidRPr="00A03D99">
        <w:t>Depending on severity of events, dose adjustment may be required. In very few cases will the medication have to be discontinued based on ADRs.</w:t>
      </w:r>
    </w:p>
    <w:p w:rsidR="00AF7804" w:rsidRPr="00057C4C" w:rsidRDefault="00D71D4F" w:rsidP="00D71D4F">
      <w:pPr>
        <w:pStyle w:val="Heading3"/>
      </w:pPr>
      <w:r>
        <w:t>Adverse reactions:</w:t>
      </w:r>
    </w:p>
    <w:p w:rsidR="00AF7804" w:rsidRPr="00057C4C" w:rsidRDefault="00AF7804" w:rsidP="00AF7804">
      <w:pPr>
        <w:pStyle w:val="Text"/>
        <w:spacing w:after="120"/>
        <w:jc w:val="left"/>
      </w:pPr>
      <w:r w:rsidRPr="00057C4C">
        <w:t>Adverse reactions with suspected relationship, reported as more than an isolated case, are listed below by system organ class and by frequency.  Frequencies are defined as: very common (</w:t>
      </w:r>
      <w:r w:rsidRPr="00057C4C">
        <w:rPr>
          <w:u w:val="single"/>
        </w:rPr>
        <w:t>&gt;</w:t>
      </w:r>
      <w:r w:rsidRPr="00057C4C">
        <w:t xml:space="preserve"> 1/10), common (</w:t>
      </w:r>
      <w:r w:rsidRPr="00057C4C">
        <w:rPr>
          <w:u w:val="single"/>
        </w:rPr>
        <w:t>&gt;</w:t>
      </w:r>
      <w:r w:rsidR="008D5497">
        <w:t>1/100 to</w:t>
      </w:r>
      <w:r w:rsidRPr="00057C4C">
        <w:t xml:space="preserve"> &lt; 1/10), uncommon (</w:t>
      </w:r>
      <w:r w:rsidRPr="00057C4C">
        <w:rPr>
          <w:u w:val="single"/>
        </w:rPr>
        <w:t>&gt;</w:t>
      </w:r>
      <w:r w:rsidRPr="00057C4C">
        <w:t>1/1000 to &lt; 1/100), rare (</w:t>
      </w:r>
      <w:r w:rsidRPr="00057C4C">
        <w:rPr>
          <w:u w:val="single"/>
        </w:rPr>
        <w:t>&lt;</w:t>
      </w:r>
      <w:r w:rsidRPr="00057C4C">
        <w:t xml:space="preserve"> 1/10,000 to &lt; 1/1000), very rare (&lt;1/10,000) including isolated reports. Adverse reactions and their frequencies reported in the table below are based on the registration studies for CML and GIST.</w:t>
      </w:r>
    </w:p>
    <w:p w:rsidR="00AF7804" w:rsidRPr="00057C4C" w:rsidRDefault="00AF7804" w:rsidP="00D71D4F">
      <w:pPr>
        <w:pStyle w:val="Heading3"/>
      </w:pPr>
      <w:r w:rsidRPr="00057C4C">
        <w:t>Adverse reactions in clinical studies for CML and GIST</w:t>
      </w:r>
    </w:p>
    <w:tbl>
      <w:tblPr>
        <w:tblW w:w="9167" w:type="dxa"/>
        <w:tblInd w:w="108" w:type="dxa"/>
        <w:tblLayout w:type="fixed"/>
        <w:tblLook w:val="0000"/>
      </w:tblPr>
      <w:tblGrid>
        <w:gridCol w:w="1927"/>
        <w:gridCol w:w="48"/>
        <w:gridCol w:w="7145"/>
        <w:gridCol w:w="47"/>
      </w:tblGrid>
      <w:tr w:rsidR="00AF7804" w:rsidRPr="00057C4C" w:rsidTr="00626081">
        <w:trPr>
          <w:cantSplit/>
        </w:trPr>
        <w:tc>
          <w:tcPr>
            <w:tcW w:w="9167" w:type="dxa"/>
            <w:gridSpan w:val="4"/>
          </w:tcPr>
          <w:p w:rsidR="00AF7804" w:rsidRPr="00CC0663" w:rsidRDefault="00AF7804" w:rsidP="00626081">
            <w:pPr>
              <w:pStyle w:val="Text"/>
              <w:spacing w:before="60" w:after="60"/>
              <w:jc w:val="left"/>
              <w:rPr>
                <w:b/>
                <w:lang w:val="en-AU"/>
              </w:rPr>
            </w:pPr>
            <w:r w:rsidRPr="00CC0663">
              <w:rPr>
                <w:lang w:val="en-AU"/>
              </w:rPr>
              <w:br w:type="page"/>
            </w:r>
            <w:r w:rsidRPr="00CC0663">
              <w:rPr>
                <w:b/>
                <w:lang w:val="en-AU"/>
              </w:rPr>
              <w:t>Blood and lymphatic system disorders:</w:t>
            </w:r>
          </w:p>
        </w:tc>
      </w:tr>
      <w:tr w:rsidR="00AF7804" w:rsidRPr="00057C4C" w:rsidTr="00626081">
        <w:tc>
          <w:tcPr>
            <w:tcW w:w="1985" w:type="dxa"/>
            <w:gridSpan w:val="2"/>
          </w:tcPr>
          <w:p w:rsidR="00AF7804" w:rsidRPr="00CC0663" w:rsidRDefault="00AF7804" w:rsidP="00626081">
            <w:pPr>
              <w:pStyle w:val="Text"/>
              <w:spacing w:before="60" w:after="60"/>
              <w:jc w:val="left"/>
              <w:rPr>
                <w:lang w:val="en-AU"/>
              </w:rPr>
            </w:pPr>
            <w:r w:rsidRPr="00CC0663">
              <w:rPr>
                <w:lang w:val="en-AU"/>
              </w:rPr>
              <w:t>Very common:</w:t>
            </w:r>
          </w:p>
        </w:tc>
        <w:tc>
          <w:tcPr>
            <w:tcW w:w="7182" w:type="dxa"/>
            <w:gridSpan w:val="2"/>
          </w:tcPr>
          <w:p w:rsidR="00AF7804" w:rsidRPr="00CC0663" w:rsidRDefault="00AF7804" w:rsidP="00626081">
            <w:pPr>
              <w:pStyle w:val="Text"/>
              <w:spacing w:before="60" w:after="60"/>
              <w:jc w:val="left"/>
              <w:rPr>
                <w:lang w:val="en-AU"/>
              </w:rPr>
            </w:pPr>
            <w:r w:rsidRPr="00CC0663">
              <w:rPr>
                <w:lang w:val="en-AU"/>
              </w:rPr>
              <w:t xml:space="preserve">neutropenia, thrombocytopenia, anaemia </w:t>
            </w:r>
          </w:p>
        </w:tc>
      </w:tr>
      <w:tr w:rsidR="00AF7804" w:rsidRPr="00057C4C" w:rsidTr="00626081">
        <w:tc>
          <w:tcPr>
            <w:tcW w:w="1985" w:type="dxa"/>
            <w:gridSpan w:val="2"/>
          </w:tcPr>
          <w:p w:rsidR="00AF7804" w:rsidRPr="00CC0663" w:rsidRDefault="00AF7804" w:rsidP="00626081">
            <w:pPr>
              <w:pStyle w:val="Text"/>
              <w:spacing w:before="60" w:after="60"/>
              <w:jc w:val="left"/>
              <w:rPr>
                <w:lang w:val="en-AU"/>
              </w:rPr>
            </w:pPr>
            <w:r w:rsidRPr="00CC0663">
              <w:rPr>
                <w:lang w:val="en-AU"/>
              </w:rPr>
              <w:t>Common:</w:t>
            </w:r>
          </w:p>
        </w:tc>
        <w:tc>
          <w:tcPr>
            <w:tcW w:w="7182" w:type="dxa"/>
            <w:gridSpan w:val="2"/>
          </w:tcPr>
          <w:p w:rsidR="00AF7804" w:rsidRPr="00CC0663" w:rsidRDefault="00AF7804" w:rsidP="00626081">
            <w:pPr>
              <w:pStyle w:val="Text"/>
              <w:spacing w:before="60" w:after="60"/>
              <w:jc w:val="left"/>
              <w:rPr>
                <w:lang w:val="en-AU"/>
              </w:rPr>
            </w:pPr>
            <w:r w:rsidRPr="00CC0663">
              <w:rPr>
                <w:lang w:val="en-AU"/>
              </w:rPr>
              <w:t xml:space="preserve">pancytopenia, febrile neutropenia </w:t>
            </w:r>
          </w:p>
        </w:tc>
      </w:tr>
      <w:tr w:rsidR="00AF7804" w:rsidRPr="00057C4C" w:rsidTr="00626081">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gridSpan w:val="2"/>
          </w:tcPr>
          <w:p w:rsidR="00AF7804" w:rsidRPr="00CC0663" w:rsidRDefault="00AF7804" w:rsidP="00626081">
            <w:pPr>
              <w:pStyle w:val="Text"/>
              <w:spacing w:before="60" w:after="60"/>
              <w:jc w:val="left"/>
              <w:rPr>
                <w:lang w:val="en-AU"/>
              </w:rPr>
            </w:pPr>
            <w:r w:rsidRPr="00CC0663">
              <w:rPr>
                <w:lang w:val="en-AU"/>
              </w:rPr>
              <w:t>thrombocythaemia, lymphopenia, bone marrow depression, eosinophilia, lymphadenopathy</w:t>
            </w:r>
          </w:p>
        </w:tc>
      </w:tr>
      <w:tr w:rsidR="00AF7804" w:rsidRPr="00057C4C" w:rsidTr="00626081">
        <w:tc>
          <w:tcPr>
            <w:tcW w:w="1985" w:type="dxa"/>
            <w:gridSpan w:val="2"/>
          </w:tcPr>
          <w:p w:rsidR="00AF7804" w:rsidRPr="00CC0663" w:rsidRDefault="00AF7804" w:rsidP="00626081">
            <w:pPr>
              <w:pStyle w:val="Text"/>
              <w:spacing w:before="60" w:after="60"/>
              <w:jc w:val="left"/>
              <w:rPr>
                <w:lang w:val="en-AU"/>
              </w:rPr>
            </w:pPr>
            <w:r w:rsidRPr="00CC0663">
              <w:rPr>
                <w:lang w:val="en-AU"/>
              </w:rPr>
              <w:t>Rare:</w:t>
            </w:r>
          </w:p>
        </w:tc>
        <w:tc>
          <w:tcPr>
            <w:tcW w:w="7182" w:type="dxa"/>
            <w:gridSpan w:val="2"/>
          </w:tcPr>
          <w:p w:rsidR="00AF7804" w:rsidRPr="00CC0663" w:rsidRDefault="00AF7804" w:rsidP="00626081">
            <w:pPr>
              <w:pStyle w:val="Text"/>
              <w:spacing w:before="60" w:after="60"/>
              <w:jc w:val="left"/>
              <w:rPr>
                <w:lang w:val="en-AU"/>
              </w:rPr>
            </w:pPr>
            <w:r w:rsidRPr="00CC0663">
              <w:rPr>
                <w:lang w:val="en-AU"/>
              </w:rPr>
              <w:t>haemolytic anaemia</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Body as a whole:</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Very common:</w:t>
            </w:r>
          </w:p>
        </w:tc>
        <w:tc>
          <w:tcPr>
            <w:tcW w:w="7182" w:type="dxa"/>
          </w:tcPr>
          <w:p w:rsidR="00AF7804" w:rsidRPr="00CC0663" w:rsidRDefault="00AF7804" w:rsidP="00626081">
            <w:pPr>
              <w:pStyle w:val="Text"/>
              <w:spacing w:before="60" w:after="60"/>
              <w:jc w:val="left"/>
              <w:rPr>
                <w:lang w:val="en-AU"/>
              </w:rPr>
            </w:pPr>
            <w:r w:rsidRPr="00CC0663">
              <w:rPr>
                <w:lang w:val="en-AU"/>
              </w:rPr>
              <w:t>fluid retention and oedema, fatigue, weight increased</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Common:</w:t>
            </w:r>
          </w:p>
        </w:tc>
        <w:tc>
          <w:tcPr>
            <w:tcW w:w="7182" w:type="dxa"/>
          </w:tcPr>
          <w:p w:rsidR="00AF7804" w:rsidRPr="00CC0663" w:rsidRDefault="00AF7804" w:rsidP="00626081">
            <w:pPr>
              <w:pStyle w:val="Text"/>
              <w:spacing w:before="60" w:after="60"/>
              <w:jc w:val="left"/>
              <w:rPr>
                <w:lang w:val="en-AU"/>
              </w:rPr>
            </w:pPr>
            <w:r w:rsidRPr="00CC0663">
              <w:rPr>
                <w:lang w:val="en-AU"/>
              </w:rPr>
              <w:t>pyrexia, weakness, rigors,</w:t>
            </w:r>
            <w:r w:rsidRPr="00057C4C">
              <w:t xml:space="preserve"> anasarca, chills</w:t>
            </w:r>
            <w:r w:rsidRPr="00CC0663">
              <w:rPr>
                <w:lang w:val="en-AU"/>
              </w:rPr>
              <w:t>, weight decreased</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tcPr>
          <w:p w:rsidR="00AF7804" w:rsidRPr="00CC0663" w:rsidRDefault="00AF7804" w:rsidP="00626081">
            <w:pPr>
              <w:pStyle w:val="Text"/>
              <w:spacing w:before="60" w:after="60"/>
              <w:jc w:val="left"/>
              <w:rPr>
                <w:lang w:val="en-AU"/>
              </w:rPr>
            </w:pPr>
            <w:r w:rsidRPr="00CC0663">
              <w:rPr>
                <w:lang w:val="en-AU"/>
              </w:rPr>
              <w:t xml:space="preserve">chest pain, malaise, blood creatine phosphokinase increased, blood lactate dehydrogenase increased </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Rare:</w:t>
            </w:r>
          </w:p>
        </w:tc>
        <w:tc>
          <w:tcPr>
            <w:tcW w:w="7182" w:type="dxa"/>
          </w:tcPr>
          <w:p w:rsidR="00AF7804" w:rsidRPr="00057C4C" w:rsidRDefault="00AF7804" w:rsidP="00626081">
            <w:pPr>
              <w:pStyle w:val="Text"/>
              <w:spacing w:before="60" w:after="60"/>
              <w:jc w:val="left"/>
              <w:rPr>
                <w:lang w:val="pt-BR"/>
              </w:rPr>
            </w:pPr>
            <w:r w:rsidRPr="00057C4C">
              <w:rPr>
                <w:lang w:val="pt-BR"/>
              </w:rPr>
              <w:t>blood amylase increased</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Cardiac disorders:</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Uncommon:</w:t>
            </w:r>
          </w:p>
        </w:tc>
        <w:tc>
          <w:tcPr>
            <w:tcW w:w="7230" w:type="dxa"/>
            <w:gridSpan w:val="2"/>
          </w:tcPr>
          <w:p w:rsidR="00AF7804" w:rsidRPr="00CC0663" w:rsidRDefault="00AF7804" w:rsidP="00626081">
            <w:pPr>
              <w:pStyle w:val="Text"/>
              <w:spacing w:before="60" w:after="60"/>
              <w:jc w:val="left"/>
              <w:rPr>
                <w:lang w:val="en-AU"/>
              </w:rPr>
            </w:pPr>
            <w:r w:rsidRPr="00CC0663">
              <w:rPr>
                <w:lang w:val="en-AU"/>
              </w:rPr>
              <w:t>cardiac failure congestive</w:t>
            </w:r>
            <w:r w:rsidRPr="00CC0663">
              <w:rPr>
                <w:rStyle w:val="FootnoteReference"/>
                <w:lang w:val="en-AU"/>
              </w:rPr>
              <w:t>1</w:t>
            </w:r>
            <w:r w:rsidRPr="00CC0663">
              <w:rPr>
                <w:lang w:val="en-AU"/>
              </w:rPr>
              <w:t>, pulmonary oedema, palpitations, tachycardia</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Rare:</w:t>
            </w:r>
          </w:p>
        </w:tc>
        <w:tc>
          <w:tcPr>
            <w:tcW w:w="7230" w:type="dxa"/>
            <w:gridSpan w:val="2"/>
          </w:tcPr>
          <w:p w:rsidR="00AF7804" w:rsidRPr="00CC0663" w:rsidRDefault="00AF7804" w:rsidP="00626081">
            <w:pPr>
              <w:pStyle w:val="Text"/>
              <w:spacing w:before="60" w:after="60"/>
              <w:jc w:val="left"/>
              <w:rPr>
                <w:lang w:val="en-AU"/>
              </w:rPr>
            </w:pPr>
            <w:r w:rsidRPr="00CC0663">
              <w:rPr>
                <w:lang w:val="en-AU"/>
              </w:rPr>
              <w:t>pericardial effusion, arrhythmia, atrial fibrillation, cardiac arrest, myocardial infarction, angina pectoris</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lang w:val="en-AU"/>
              </w:rPr>
            </w:pPr>
            <w:r w:rsidRPr="00CC0663">
              <w:rPr>
                <w:lang w:val="en-AU"/>
              </w:rPr>
              <w:br w:type="page"/>
            </w:r>
            <w:r w:rsidRPr="00CC0663">
              <w:rPr>
                <w:lang w:val="en-AU"/>
              </w:rPr>
              <w:br w:type="page"/>
            </w:r>
            <w:r w:rsidRPr="00CC0663">
              <w:rPr>
                <w:b/>
                <w:lang w:val="en-AU"/>
              </w:rPr>
              <w:t>Ear and labyrinth disorders:</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Uncommon:</w:t>
            </w:r>
          </w:p>
        </w:tc>
        <w:tc>
          <w:tcPr>
            <w:tcW w:w="7230" w:type="dxa"/>
            <w:gridSpan w:val="2"/>
          </w:tcPr>
          <w:p w:rsidR="00AF7804" w:rsidRPr="00CC0663" w:rsidRDefault="00AF7804" w:rsidP="00626081">
            <w:pPr>
              <w:pStyle w:val="Text"/>
              <w:spacing w:before="60" w:after="60"/>
              <w:jc w:val="left"/>
              <w:rPr>
                <w:lang w:val="en-AU"/>
              </w:rPr>
            </w:pPr>
            <w:r w:rsidRPr="00CC0663">
              <w:rPr>
                <w:lang w:val="en-AU"/>
              </w:rPr>
              <w:t>vertigo, tinnitus, hearing loss</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lang w:val="en-AU"/>
              </w:rPr>
            </w:pPr>
            <w:r w:rsidRPr="00CC0663">
              <w:rPr>
                <w:lang w:val="en-AU"/>
              </w:rPr>
              <w:br w:type="page"/>
            </w:r>
            <w:r w:rsidRPr="00CC0663">
              <w:rPr>
                <w:b/>
                <w:lang w:val="en-AU"/>
              </w:rPr>
              <w:t>Eye disorders:</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Common:</w:t>
            </w:r>
          </w:p>
        </w:tc>
        <w:tc>
          <w:tcPr>
            <w:tcW w:w="7230" w:type="dxa"/>
            <w:gridSpan w:val="2"/>
          </w:tcPr>
          <w:p w:rsidR="00AF7804" w:rsidRPr="00CC0663" w:rsidRDefault="00AF7804" w:rsidP="00626081">
            <w:pPr>
              <w:pStyle w:val="Text"/>
              <w:spacing w:before="60" w:after="60"/>
              <w:jc w:val="left"/>
              <w:rPr>
                <w:lang w:val="en-AU"/>
              </w:rPr>
            </w:pPr>
            <w:r w:rsidRPr="00CC0663">
              <w:rPr>
                <w:lang w:val="en-AU"/>
              </w:rPr>
              <w:t>eyelid oedema, conjunctivitis, lacrimation increased, conjunctival haemorrhage, dry eye, vision blurred</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Uncommon:</w:t>
            </w:r>
          </w:p>
        </w:tc>
        <w:tc>
          <w:tcPr>
            <w:tcW w:w="7230" w:type="dxa"/>
            <w:gridSpan w:val="2"/>
          </w:tcPr>
          <w:p w:rsidR="00AF7804" w:rsidRPr="00CC0663" w:rsidRDefault="00AF7804" w:rsidP="00626081">
            <w:pPr>
              <w:pStyle w:val="Text"/>
              <w:spacing w:before="60" w:after="60"/>
              <w:jc w:val="left"/>
              <w:rPr>
                <w:lang w:val="en-AU"/>
              </w:rPr>
            </w:pPr>
            <w:r w:rsidRPr="00CC0663">
              <w:rPr>
                <w:lang w:val="en-AU"/>
              </w:rPr>
              <w:t xml:space="preserve">eye irritation, eye pain, conjunctival haemorrhage, orbital oedema, scleral haemorrhage, retinal haemorrhage, blepharitis, macular oedema </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lastRenderedPageBreak/>
              <w:t>Rare:</w:t>
            </w:r>
          </w:p>
        </w:tc>
        <w:tc>
          <w:tcPr>
            <w:tcW w:w="7230" w:type="dxa"/>
            <w:gridSpan w:val="2"/>
          </w:tcPr>
          <w:p w:rsidR="00AF7804" w:rsidRPr="00CC0663" w:rsidRDefault="00AF7804" w:rsidP="00626081">
            <w:pPr>
              <w:pStyle w:val="Text"/>
              <w:spacing w:before="60" w:after="60"/>
              <w:jc w:val="left"/>
              <w:rPr>
                <w:lang w:val="en-AU"/>
              </w:rPr>
            </w:pPr>
            <w:r w:rsidRPr="00CC0663">
              <w:rPr>
                <w:lang w:val="en-AU"/>
              </w:rPr>
              <w:t xml:space="preserve">cataract, papilloedema, glaucoma </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Gastrointestinal disorders:</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Very common:</w:t>
            </w:r>
          </w:p>
        </w:tc>
        <w:tc>
          <w:tcPr>
            <w:tcW w:w="7230" w:type="dxa"/>
            <w:gridSpan w:val="2"/>
          </w:tcPr>
          <w:p w:rsidR="00AF7804" w:rsidRPr="00CC0663" w:rsidRDefault="00AF7804" w:rsidP="00626081">
            <w:pPr>
              <w:pStyle w:val="Text"/>
              <w:spacing w:before="60" w:after="60"/>
              <w:jc w:val="left"/>
              <w:rPr>
                <w:lang w:val="en-AU"/>
              </w:rPr>
            </w:pPr>
            <w:r w:rsidRPr="00CC0663">
              <w:rPr>
                <w:lang w:val="en-AU"/>
              </w:rPr>
              <w:t>nausea, vomiting, diarrhoea, dyspepsia, abdominal pain</w:t>
            </w:r>
            <w:r w:rsidRPr="00CC0663">
              <w:rPr>
                <w:rStyle w:val="FootnoteReference"/>
                <w:lang w:val="en-AU"/>
              </w:rPr>
              <w:t>3</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Common:</w:t>
            </w:r>
          </w:p>
        </w:tc>
        <w:tc>
          <w:tcPr>
            <w:tcW w:w="7230" w:type="dxa"/>
            <w:gridSpan w:val="2"/>
          </w:tcPr>
          <w:p w:rsidR="00AF7804" w:rsidRPr="00CC0663" w:rsidRDefault="00AF7804" w:rsidP="00626081">
            <w:pPr>
              <w:pStyle w:val="Text"/>
              <w:spacing w:before="60" w:after="60"/>
              <w:jc w:val="left"/>
              <w:rPr>
                <w:lang w:val="en-AU"/>
              </w:rPr>
            </w:pPr>
            <w:r w:rsidRPr="00CC0663">
              <w:rPr>
                <w:lang w:val="en-AU"/>
              </w:rPr>
              <w:t>abdominal distension, flatulence, constipation, gastro-oesophageal reflux, dry mouth, gastritis</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Uncommon:</w:t>
            </w:r>
          </w:p>
        </w:tc>
        <w:tc>
          <w:tcPr>
            <w:tcW w:w="7230" w:type="dxa"/>
            <w:gridSpan w:val="2"/>
          </w:tcPr>
          <w:p w:rsidR="00AF7804" w:rsidRPr="00CC0663" w:rsidRDefault="00AF7804" w:rsidP="00626081">
            <w:pPr>
              <w:pStyle w:val="Text"/>
              <w:spacing w:before="60" w:after="60"/>
              <w:jc w:val="left"/>
              <w:rPr>
                <w:lang w:val="en-AU"/>
              </w:rPr>
            </w:pPr>
            <w:r w:rsidRPr="00CC0663">
              <w:rPr>
                <w:lang w:val="en-AU"/>
              </w:rPr>
              <w:t>stomatitis, mouth ulceration, gastrointestinal haemorrhage</w:t>
            </w:r>
            <w:r w:rsidRPr="00CC0663">
              <w:rPr>
                <w:rStyle w:val="FootnoteReference"/>
                <w:lang w:val="en-AU"/>
              </w:rPr>
              <w:t>3</w:t>
            </w:r>
            <w:r w:rsidRPr="00CC0663">
              <w:rPr>
                <w:lang w:val="en-AU"/>
              </w:rPr>
              <w:t>, melaena, ascites, gastric ulcer, oesophagitis, haematemesis, cheilitis, dysphagia, pancreatitis</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Rare:</w:t>
            </w:r>
          </w:p>
        </w:tc>
        <w:tc>
          <w:tcPr>
            <w:tcW w:w="7230" w:type="dxa"/>
            <w:gridSpan w:val="2"/>
          </w:tcPr>
          <w:p w:rsidR="00AF7804" w:rsidRPr="00057C4C" w:rsidRDefault="00AF7804" w:rsidP="00626081">
            <w:pPr>
              <w:pStyle w:val="Text"/>
              <w:spacing w:before="60" w:after="60"/>
              <w:jc w:val="left"/>
            </w:pPr>
            <w:r w:rsidRPr="00057C4C">
              <w:t>colitis, ileus, inflammatory bowel disease</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Hepato-biliary disorders:</w:t>
            </w:r>
          </w:p>
        </w:tc>
      </w:tr>
      <w:tr w:rsidR="00AF7804" w:rsidRPr="00057C4C" w:rsidTr="00626081">
        <w:trPr>
          <w:gridAfter w:val="1"/>
          <w:wAfter w:w="47" w:type="dxa"/>
        </w:trPr>
        <w:tc>
          <w:tcPr>
            <w:tcW w:w="1937" w:type="dxa"/>
          </w:tcPr>
          <w:p w:rsidR="00AF7804" w:rsidRPr="00CC0663" w:rsidRDefault="00AD4753" w:rsidP="00626081">
            <w:pPr>
              <w:pStyle w:val="Text"/>
              <w:spacing w:before="60" w:after="60"/>
              <w:jc w:val="left"/>
              <w:rPr>
                <w:lang w:val="en-AU"/>
              </w:rPr>
            </w:pPr>
            <w:r w:rsidRPr="00CC0663">
              <w:rPr>
                <w:lang w:val="en-AU"/>
              </w:rPr>
              <w:t xml:space="preserve">Very </w:t>
            </w:r>
            <w:r w:rsidR="00AF7804" w:rsidRPr="00CC0663">
              <w:rPr>
                <w:lang w:val="en-AU"/>
              </w:rPr>
              <w:t>Common:</w:t>
            </w:r>
          </w:p>
        </w:tc>
        <w:tc>
          <w:tcPr>
            <w:tcW w:w="7230" w:type="dxa"/>
            <w:gridSpan w:val="2"/>
          </w:tcPr>
          <w:p w:rsidR="00AF7804" w:rsidRPr="00CC0663" w:rsidRDefault="00AF7804" w:rsidP="006C6662">
            <w:pPr>
              <w:pStyle w:val="Text"/>
              <w:spacing w:before="60" w:after="60"/>
              <w:jc w:val="left"/>
              <w:rPr>
                <w:lang w:val="en-AU"/>
              </w:rPr>
            </w:pPr>
            <w:r w:rsidRPr="00CC0663">
              <w:rPr>
                <w:lang w:val="en-AU"/>
              </w:rPr>
              <w:t xml:space="preserve">increased hepatic enzymes </w:t>
            </w:r>
          </w:p>
        </w:tc>
      </w:tr>
      <w:tr w:rsidR="00AD4753" w:rsidRPr="00057C4C" w:rsidTr="00626081">
        <w:trPr>
          <w:gridAfter w:val="1"/>
          <w:wAfter w:w="47" w:type="dxa"/>
        </w:trPr>
        <w:tc>
          <w:tcPr>
            <w:tcW w:w="1937" w:type="dxa"/>
          </w:tcPr>
          <w:p w:rsidR="00AD4753" w:rsidRPr="00CC0663" w:rsidRDefault="00AD4753" w:rsidP="00626081">
            <w:pPr>
              <w:pStyle w:val="Text"/>
              <w:spacing w:before="60" w:after="60"/>
              <w:jc w:val="left"/>
              <w:rPr>
                <w:lang w:val="en-AU"/>
              </w:rPr>
            </w:pPr>
            <w:r w:rsidRPr="00CC0663">
              <w:rPr>
                <w:lang w:val="en-AU"/>
              </w:rPr>
              <w:t>Common:</w:t>
            </w:r>
          </w:p>
        </w:tc>
        <w:tc>
          <w:tcPr>
            <w:tcW w:w="7230" w:type="dxa"/>
            <w:gridSpan w:val="2"/>
          </w:tcPr>
          <w:p w:rsidR="00AD4753" w:rsidRPr="00CC0663" w:rsidRDefault="00B712C8" w:rsidP="006C6662">
            <w:pPr>
              <w:pStyle w:val="Text"/>
              <w:spacing w:before="60" w:after="60"/>
              <w:jc w:val="left"/>
              <w:rPr>
                <w:lang w:val="en-AU"/>
              </w:rPr>
            </w:pPr>
            <w:r w:rsidRPr="00CC0663">
              <w:rPr>
                <w:lang w:val="en-AU"/>
              </w:rPr>
              <w:t>h</w:t>
            </w:r>
            <w:r w:rsidR="00AD4753" w:rsidRPr="00CC0663">
              <w:rPr>
                <w:lang w:val="en-AU"/>
              </w:rPr>
              <w:t>yeprbilirubinaemia</w:t>
            </w:r>
            <w:r w:rsidRPr="00CC0663">
              <w:rPr>
                <w:lang w:val="en-AU"/>
              </w:rPr>
              <w:t xml:space="preserve"> </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Uncommon:</w:t>
            </w:r>
          </w:p>
        </w:tc>
        <w:tc>
          <w:tcPr>
            <w:tcW w:w="7230" w:type="dxa"/>
            <w:gridSpan w:val="2"/>
          </w:tcPr>
          <w:p w:rsidR="00AF7804" w:rsidRPr="00CC0663" w:rsidRDefault="00AF7804" w:rsidP="006C6662">
            <w:pPr>
              <w:pStyle w:val="Text"/>
              <w:spacing w:before="60" w:after="60"/>
              <w:jc w:val="left"/>
              <w:rPr>
                <w:lang w:val="en-AU"/>
              </w:rPr>
            </w:pPr>
            <w:r w:rsidRPr="00CC0663">
              <w:rPr>
                <w:lang w:val="en-AU"/>
              </w:rPr>
              <w:t xml:space="preserve">jaundice, hepatitis, blood alkaline phosphatase increased, </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Rare:</w:t>
            </w:r>
          </w:p>
        </w:tc>
        <w:tc>
          <w:tcPr>
            <w:tcW w:w="7230" w:type="dxa"/>
            <w:gridSpan w:val="2"/>
          </w:tcPr>
          <w:p w:rsidR="00AF7804" w:rsidRPr="00CC0663" w:rsidRDefault="00AF7804" w:rsidP="00626081">
            <w:pPr>
              <w:pStyle w:val="Text"/>
              <w:spacing w:before="60" w:after="60"/>
              <w:jc w:val="left"/>
              <w:rPr>
                <w:lang w:val="en-AU"/>
              </w:rPr>
            </w:pPr>
            <w:r w:rsidRPr="00CC0663">
              <w:rPr>
                <w:lang w:val="en-AU"/>
              </w:rPr>
              <w:t>hepatic failure</w:t>
            </w:r>
            <w:r w:rsidRPr="00CC0663">
              <w:rPr>
                <w:vertAlign w:val="superscript"/>
                <w:lang w:val="en-AU"/>
              </w:rPr>
              <w:t>4</w:t>
            </w:r>
            <w:r w:rsidRPr="00CC0663">
              <w:rPr>
                <w:lang w:val="en-AU"/>
              </w:rPr>
              <w:t>, hepatic necrosis</w:t>
            </w:r>
            <w:r w:rsidRPr="00CC0663">
              <w:rPr>
                <w:vertAlign w:val="superscript"/>
                <w:lang w:val="en-AU"/>
              </w:rPr>
              <w:t>4</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Infections and infestations:</w:t>
            </w:r>
          </w:p>
        </w:tc>
      </w:tr>
      <w:tr w:rsidR="00AD4753" w:rsidRPr="00057C4C" w:rsidTr="00626081">
        <w:trPr>
          <w:gridAfter w:val="1"/>
          <w:wAfter w:w="47" w:type="dxa"/>
          <w:trHeight w:val="415"/>
        </w:trPr>
        <w:tc>
          <w:tcPr>
            <w:tcW w:w="1937" w:type="dxa"/>
          </w:tcPr>
          <w:p w:rsidR="00AD4753" w:rsidRPr="00CC0663" w:rsidRDefault="00AD4753" w:rsidP="00626081">
            <w:pPr>
              <w:pStyle w:val="Text"/>
              <w:spacing w:before="60" w:after="60"/>
              <w:jc w:val="left"/>
              <w:rPr>
                <w:lang w:val="en-AU"/>
              </w:rPr>
            </w:pPr>
            <w:r w:rsidRPr="00CC0663">
              <w:rPr>
                <w:lang w:val="en-AU"/>
              </w:rPr>
              <w:t>Very Common:</w:t>
            </w:r>
          </w:p>
        </w:tc>
        <w:tc>
          <w:tcPr>
            <w:tcW w:w="7230" w:type="dxa"/>
            <w:gridSpan w:val="2"/>
          </w:tcPr>
          <w:p w:rsidR="00AD4753" w:rsidRPr="00CC0663" w:rsidRDefault="00AD4753" w:rsidP="006C6662">
            <w:pPr>
              <w:pStyle w:val="Text"/>
              <w:spacing w:before="60" w:after="60"/>
              <w:jc w:val="left"/>
              <w:rPr>
                <w:lang w:val="en-AU"/>
              </w:rPr>
            </w:pPr>
            <w:r w:rsidRPr="00CC0663">
              <w:rPr>
                <w:lang w:val="en-AU"/>
              </w:rPr>
              <w:t>Upper respiratory tract infection</w:t>
            </w:r>
            <w:r w:rsidR="00B712C8" w:rsidRPr="00CC0663">
              <w:rPr>
                <w:lang w:val="en-AU"/>
              </w:rPr>
              <w:t xml:space="preserve"> </w:t>
            </w:r>
          </w:p>
        </w:tc>
      </w:tr>
      <w:tr w:rsidR="00AF7804" w:rsidRPr="00057C4C" w:rsidTr="00626081">
        <w:trPr>
          <w:gridAfter w:val="1"/>
          <w:wAfter w:w="47" w:type="dxa"/>
          <w:trHeight w:val="415"/>
        </w:trPr>
        <w:tc>
          <w:tcPr>
            <w:tcW w:w="1937" w:type="dxa"/>
          </w:tcPr>
          <w:p w:rsidR="00AF7804" w:rsidRPr="00CC0663" w:rsidRDefault="00AF7804" w:rsidP="00626081">
            <w:pPr>
              <w:pStyle w:val="Text"/>
              <w:spacing w:before="60" w:after="60"/>
              <w:jc w:val="left"/>
              <w:rPr>
                <w:lang w:val="en-AU"/>
              </w:rPr>
            </w:pPr>
            <w:r w:rsidRPr="00CC0663">
              <w:rPr>
                <w:lang w:val="en-AU"/>
              </w:rPr>
              <w:t>Uncommon:</w:t>
            </w:r>
          </w:p>
        </w:tc>
        <w:tc>
          <w:tcPr>
            <w:tcW w:w="7230" w:type="dxa"/>
            <w:gridSpan w:val="2"/>
          </w:tcPr>
          <w:p w:rsidR="00AF7804" w:rsidRPr="00CC0663" w:rsidRDefault="00AF7804" w:rsidP="006C6662">
            <w:pPr>
              <w:pStyle w:val="Text"/>
              <w:spacing w:before="60" w:after="60"/>
              <w:jc w:val="left"/>
              <w:rPr>
                <w:lang w:val="en-AU"/>
              </w:rPr>
            </w:pPr>
            <w:r w:rsidRPr="00CC0663">
              <w:rPr>
                <w:lang w:val="en-AU"/>
              </w:rPr>
              <w:t>sepsis, nasopharyngitis, pneumonia</w:t>
            </w:r>
            <w:r w:rsidRPr="00CC0663">
              <w:rPr>
                <w:rStyle w:val="FootnoteReference"/>
                <w:lang w:val="en-AU"/>
              </w:rPr>
              <w:t>5</w:t>
            </w:r>
            <w:r w:rsidRPr="00CC0663">
              <w:rPr>
                <w:lang w:val="en-AU"/>
              </w:rPr>
              <w:t>, sinusitis, cellulitis, herpes simplex, herpes zoster, influenza, urinary tract infection, gastroenteritis</w:t>
            </w:r>
            <w:r w:rsidR="00B712C8" w:rsidRPr="00CC0663">
              <w:rPr>
                <w:lang w:val="en-AU"/>
              </w:rPr>
              <w:t xml:space="preserve"> </w:t>
            </w:r>
          </w:p>
        </w:tc>
      </w:tr>
      <w:tr w:rsidR="00AF7804" w:rsidRPr="00057C4C" w:rsidTr="00626081">
        <w:trPr>
          <w:gridAfter w:val="1"/>
          <w:wAfter w:w="47" w:type="dxa"/>
          <w:trHeight w:val="415"/>
        </w:trPr>
        <w:tc>
          <w:tcPr>
            <w:tcW w:w="1937" w:type="dxa"/>
          </w:tcPr>
          <w:p w:rsidR="00AF7804" w:rsidRPr="00CC0663" w:rsidRDefault="00AF7804" w:rsidP="00626081">
            <w:pPr>
              <w:pStyle w:val="Text"/>
              <w:spacing w:before="60" w:after="60"/>
              <w:jc w:val="left"/>
              <w:rPr>
                <w:lang w:val="en-AU"/>
              </w:rPr>
            </w:pPr>
            <w:r w:rsidRPr="00CC0663">
              <w:rPr>
                <w:lang w:val="en-AU"/>
              </w:rPr>
              <w:t>Rare:</w:t>
            </w:r>
          </w:p>
        </w:tc>
        <w:tc>
          <w:tcPr>
            <w:tcW w:w="7230" w:type="dxa"/>
            <w:gridSpan w:val="2"/>
          </w:tcPr>
          <w:p w:rsidR="00AF7804" w:rsidRPr="00CC0663" w:rsidRDefault="00AF7804" w:rsidP="00626081">
            <w:pPr>
              <w:pStyle w:val="Text"/>
              <w:spacing w:before="60" w:after="60"/>
              <w:jc w:val="left"/>
              <w:rPr>
                <w:lang w:val="en-AU"/>
              </w:rPr>
            </w:pPr>
            <w:r w:rsidRPr="00CC0663">
              <w:rPr>
                <w:lang w:val="en-AU"/>
              </w:rPr>
              <w:t>fungal infection</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Metabolism and nutrition disorders:</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Common:</w:t>
            </w:r>
          </w:p>
        </w:tc>
        <w:tc>
          <w:tcPr>
            <w:tcW w:w="7230" w:type="dxa"/>
            <w:gridSpan w:val="2"/>
          </w:tcPr>
          <w:p w:rsidR="00AF7804" w:rsidRPr="00CC0663" w:rsidRDefault="00AF7804" w:rsidP="00626081">
            <w:pPr>
              <w:pStyle w:val="Text"/>
              <w:spacing w:before="60" w:after="60"/>
              <w:jc w:val="left"/>
              <w:rPr>
                <w:lang w:val="en-AU"/>
              </w:rPr>
            </w:pPr>
            <w:r w:rsidRPr="00CC0663">
              <w:rPr>
                <w:lang w:val="en-AU"/>
              </w:rPr>
              <w:t>anorexia</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Uncommon:</w:t>
            </w:r>
          </w:p>
        </w:tc>
        <w:tc>
          <w:tcPr>
            <w:tcW w:w="7230" w:type="dxa"/>
            <w:gridSpan w:val="2"/>
          </w:tcPr>
          <w:p w:rsidR="00AF7804" w:rsidRPr="00CC0663" w:rsidRDefault="00AF7804" w:rsidP="00626081">
            <w:pPr>
              <w:pStyle w:val="Text"/>
              <w:spacing w:before="60" w:after="60"/>
              <w:jc w:val="left"/>
              <w:rPr>
                <w:lang w:val="en-AU"/>
              </w:rPr>
            </w:pPr>
            <w:r w:rsidRPr="00CC0663">
              <w:rPr>
                <w:lang w:val="en-AU"/>
              </w:rPr>
              <w:t>dehydration, hyperuricaemia, hypokalaemia, appetite increased, appetite decreased, gout, hypophosphataemia, hypercalcaemia, hyperglycaemia, hyponatraemia</w:t>
            </w:r>
          </w:p>
        </w:tc>
      </w:tr>
      <w:tr w:rsidR="00AF7804" w:rsidRPr="00057C4C" w:rsidTr="00626081">
        <w:trPr>
          <w:gridAfter w:val="1"/>
          <w:wAfter w:w="47" w:type="dxa"/>
        </w:trPr>
        <w:tc>
          <w:tcPr>
            <w:tcW w:w="1937" w:type="dxa"/>
          </w:tcPr>
          <w:p w:rsidR="00AF7804" w:rsidRPr="00CC0663" w:rsidRDefault="00AF7804" w:rsidP="00626081">
            <w:pPr>
              <w:pStyle w:val="Text"/>
              <w:spacing w:before="60" w:after="60"/>
              <w:jc w:val="left"/>
              <w:rPr>
                <w:lang w:val="en-AU"/>
              </w:rPr>
            </w:pPr>
            <w:r w:rsidRPr="00CC0663">
              <w:rPr>
                <w:lang w:val="en-AU"/>
              </w:rPr>
              <w:t>Rare:</w:t>
            </w:r>
          </w:p>
        </w:tc>
        <w:tc>
          <w:tcPr>
            <w:tcW w:w="7230" w:type="dxa"/>
            <w:gridSpan w:val="2"/>
          </w:tcPr>
          <w:p w:rsidR="00AF7804" w:rsidRPr="00CC0663" w:rsidRDefault="00AF7804" w:rsidP="00626081">
            <w:pPr>
              <w:pStyle w:val="Text"/>
              <w:spacing w:before="60" w:after="60"/>
              <w:jc w:val="left"/>
              <w:rPr>
                <w:lang w:val="en-AU"/>
              </w:rPr>
            </w:pPr>
            <w:r w:rsidRPr="00CC0663">
              <w:rPr>
                <w:lang w:val="en-AU"/>
              </w:rPr>
              <w:t>hyperkalaemia, hypomagnesaemia</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Musculoskeletal, connective tissue and bone disorders:</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Very common:</w:t>
            </w:r>
          </w:p>
        </w:tc>
        <w:tc>
          <w:tcPr>
            <w:tcW w:w="7182" w:type="dxa"/>
          </w:tcPr>
          <w:p w:rsidR="00AF7804" w:rsidRPr="00CC0663" w:rsidRDefault="00AF7804" w:rsidP="00626081">
            <w:pPr>
              <w:pStyle w:val="Text"/>
              <w:spacing w:before="60" w:after="60"/>
              <w:jc w:val="left"/>
              <w:rPr>
                <w:lang w:val="en-AU"/>
              </w:rPr>
            </w:pPr>
            <w:r w:rsidRPr="00CC0663">
              <w:rPr>
                <w:lang w:val="en-AU"/>
              </w:rPr>
              <w:t>muscle spasm and cramps, musculoskeletal pain including myalgia, arthralgia, bone pain</w:t>
            </w:r>
            <w:r w:rsidRPr="00CC0663">
              <w:rPr>
                <w:rStyle w:val="FootnoteReference"/>
                <w:lang w:val="en-AU"/>
              </w:rPr>
              <w:t>6</w:t>
            </w:r>
            <w:r w:rsidRPr="00CC0663">
              <w:rPr>
                <w:lang w:val="en-AU"/>
              </w:rPr>
              <w:t xml:space="preserve"> </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Common:</w:t>
            </w:r>
          </w:p>
        </w:tc>
        <w:tc>
          <w:tcPr>
            <w:tcW w:w="7182" w:type="dxa"/>
          </w:tcPr>
          <w:p w:rsidR="00AF7804" w:rsidRPr="00CC0663" w:rsidRDefault="00AF7804" w:rsidP="00626081">
            <w:pPr>
              <w:pStyle w:val="Text"/>
              <w:spacing w:before="60" w:after="60"/>
              <w:jc w:val="left"/>
              <w:rPr>
                <w:lang w:val="en-AU"/>
              </w:rPr>
            </w:pPr>
            <w:r w:rsidRPr="00CC0663">
              <w:rPr>
                <w:lang w:val="en-AU"/>
              </w:rPr>
              <w:t>joint swelling</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tcPr>
          <w:p w:rsidR="00AF7804" w:rsidRPr="00CC0663" w:rsidRDefault="00AF7804" w:rsidP="00626081">
            <w:pPr>
              <w:pStyle w:val="Text"/>
              <w:spacing w:before="60" w:after="60"/>
              <w:jc w:val="left"/>
              <w:rPr>
                <w:lang w:val="en-AU"/>
              </w:rPr>
            </w:pPr>
            <w:r w:rsidRPr="00CC0663">
              <w:rPr>
                <w:lang w:val="en-AU"/>
              </w:rPr>
              <w:t>joint and muscle stiffness</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Rare:</w:t>
            </w:r>
          </w:p>
        </w:tc>
        <w:tc>
          <w:tcPr>
            <w:tcW w:w="7182" w:type="dxa"/>
          </w:tcPr>
          <w:p w:rsidR="00AF7804" w:rsidRPr="00CC0663" w:rsidRDefault="00AF7804" w:rsidP="00626081">
            <w:pPr>
              <w:pStyle w:val="Text"/>
              <w:spacing w:before="60" w:after="60"/>
              <w:jc w:val="left"/>
              <w:rPr>
                <w:lang w:val="en-AU"/>
              </w:rPr>
            </w:pPr>
            <w:r w:rsidRPr="00057C4C">
              <w:rPr>
                <w:lang w:val="en-GB"/>
              </w:rPr>
              <w:t>muscular weakness, arthritis</w:t>
            </w:r>
          </w:p>
        </w:tc>
      </w:tr>
      <w:tr w:rsidR="00AF7804" w:rsidRPr="00057C4C" w:rsidTr="00626081">
        <w:trPr>
          <w:cantSplit/>
        </w:trPr>
        <w:tc>
          <w:tcPr>
            <w:tcW w:w="9214" w:type="dxa"/>
            <w:gridSpan w:val="4"/>
          </w:tcPr>
          <w:p w:rsidR="00AF7804" w:rsidRPr="00CC0663" w:rsidRDefault="00AF7804" w:rsidP="00626081">
            <w:pPr>
              <w:pStyle w:val="Text"/>
              <w:spacing w:before="60" w:after="60"/>
              <w:jc w:val="left"/>
              <w:rPr>
                <w:lang w:val="en-AU"/>
              </w:rPr>
            </w:pPr>
            <w:r w:rsidRPr="00CC0663">
              <w:rPr>
                <w:lang w:val="en-AU"/>
              </w:rPr>
              <w:br w:type="page"/>
            </w:r>
            <w:r w:rsidRPr="00CC0663">
              <w:rPr>
                <w:b/>
                <w:lang w:val="en-AU"/>
              </w:rPr>
              <w:t>Nervous system disorders:</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Very common:</w:t>
            </w:r>
          </w:p>
        </w:tc>
        <w:tc>
          <w:tcPr>
            <w:tcW w:w="7182" w:type="dxa"/>
          </w:tcPr>
          <w:p w:rsidR="00AF7804" w:rsidRPr="00CC0663" w:rsidRDefault="00AF7804" w:rsidP="00626081">
            <w:pPr>
              <w:pStyle w:val="Text"/>
              <w:spacing w:before="60" w:after="60"/>
              <w:jc w:val="left"/>
              <w:rPr>
                <w:lang w:val="en-AU"/>
              </w:rPr>
            </w:pPr>
            <w:r w:rsidRPr="00CC0663">
              <w:rPr>
                <w:lang w:val="en-AU"/>
              </w:rPr>
              <w:t>headache</w:t>
            </w:r>
            <w:r w:rsidRPr="00CC0663">
              <w:rPr>
                <w:rStyle w:val="FootnoteReference"/>
                <w:lang w:val="en-AU"/>
              </w:rPr>
              <w:t>7</w:t>
            </w:r>
          </w:p>
        </w:tc>
      </w:tr>
      <w:tr w:rsidR="00AF7804" w:rsidRPr="008772C5"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Common:</w:t>
            </w:r>
          </w:p>
        </w:tc>
        <w:tc>
          <w:tcPr>
            <w:tcW w:w="7182" w:type="dxa"/>
          </w:tcPr>
          <w:p w:rsidR="00AF7804" w:rsidRPr="008772C5" w:rsidRDefault="00AF7804" w:rsidP="00626081">
            <w:pPr>
              <w:pStyle w:val="Text"/>
              <w:spacing w:before="60" w:after="60"/>
              <w:jc w:val="left"/>
              <w:rPr>
                <w:lang w:val="it-IT"/>
              </w:rPr>
            </w:pPr>
            <w:r w:rsidRPr="008772C5">
              <w:rPr>
                <w:lang w:val="it-IT"/>
              </w:rPr>
              <w:t>dizziness, taste disturbance, paraesthesia, hypoaesthesia</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tcPr>
          <w:p w:rsidR="00AF7804" w:rsidRPr="00CC0663" w:rsidRDefault="00AF7804" w:rsidP="00626081">
            <w:pPr>
              <w:pStyle w:val="Text"/>
              <w:spacing w:before="60" w:after="60"/>
              <w:jc w:val="left"/>
              <w:rPr>
                <w:lang w:val="en-AU"/>
              </w:rPr>
            </w:pPr>
            <w:r w:rsidRPr="00CC0663">
              <w:rPr>
                <w:lang w:val="en-AU"/>
              </w:rPr>
              <w:t>cerebral haemorrhage, syncope, peripheral neuropathy, somnolence, migraine, memory impairment, sciatica, restless leg syndrome, tremor</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Rare:</w:t>
            </w:r>
          </w:p>
        </w:tc>
        <w:tc>
          <w:tcPr>
            <w:tcW w:w="7182" w:type="dxa"/>
          </w:tcPr>
          <w:p w:rsidR="00AF7804" w:rsidRPr="00CC0663" w:rsidRDefault="00AF7804" w:rsidP="00626081">
            <w:pPr>
              <w:pStyle w:val="Text"/>
              <w:spacing w:before="60" w:after="60"/>
              <w:jc w:val="left"/>
              <w:rPr>
                <w:lang w:val="en-AU"/>
              </w:rPr>
            </w:pPr>
            <w:r w:rsidRPr="00CC0663">
              <w:rPr>
                <w:lang w:val="en-AU"/>
              </w:rPr>
              <w:t>optic neuritis, increased intracranial pressure, convulsions</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Psychiatric disorders:</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 xml:space="preserve">Common: </w:t>
            </w:r>
          </w:p>
        </w:tc>
        <w:tc>
          <w:tcPr>
            <w:tcW w:w="7182" w:type="dxa"/>
          </w:tcPr>
          <w:p w:rsidR="00AF7804" w:rsidRPr="00CC0663" w:rsidRDefault="00AF7804" w:rsidP="00626081">
            <w:pPr>
              <w:pStyle w:val="Text"/>
              <w:spacing w:before="60" w:after="60"/>
              <w:jc w:val="left"/>
              <w:rPr>
                <w:lang w:val="en-AU"/>
              </w:rPr>
            </w:pPr>
            <w:r w:rsidRPr="00CC0663">
              <w:rPr>
                <w:lang w:val="en-AU"/>
              </w:rPr>
              <w:t>insomnia</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lastRenderedPageBreak/>
              <w:t>Uncommon:</w:t>
            </w:r>
          </w:p>
        </w:tc>
        <w:tc>
          <w:tcPr>
            <w:tcW w:w="7182" w:type="dxa"/>
          </w:tcPr>
          <w:p w:rsidR="00AF7804" w:rsidRPr="00CC0663" w:rsidRDefault="00AF7804" w:rsidP="00626081">
            <w:pPr>
              <w:pStyle w:val="Text"/>
              <w:spacing w:before="60" w:after="60"/>
              <w:jc w:val="left"/>
              <w:rPr>
                <w:lang w:val="en-AU"/>
              </w:rPr>
            </w:pPr>
            <w:r w:rsidRPr="00CC0663">
              <w:rPr>
                <w:lang w:val="en-AU"/>
              </w:rPr>
              <w:t>depression, anxiety, libido decreased</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Rare:</w:t>
            </w:r>
          </w:p>
        </w:tc>
        <w:tc>
          <w:tcPr>
            <w:tcW w:w="7182" w:type="dxa"/>
          </w:tcPr>
          <w:p w:rsidR="00AF7804" w:rsidRPr="00CC0663" w:rsidRDefault="00AF7804" w:rsidP="00626081">
            <w:pPr>
              <w:pStyle w:val="Text"/>
              <w:spacing w:before="60" w:after="60"/>
              <w:jc w:val="left"/>
              <w:rPr>
                <w:lang w:val="en-AU"/>
              </w:rPr>
            </w:pPr>
            <w:r w:rsidRPr="00CC0663">
              <w:rPr>
                <w:lang w:val="en-AU"/>
              </w:rPr>
              <w:t>confusion</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Renal and urinary disorders:</w:t>
            </w:r>
          </w:p>
        </w:tc>
      </w:tr>
      <w:tr w:rsidR="00AD4753" w:rsidRPr="00057C4C" w:rsidTr="00626081">
        <w:trPr>
          <w:gridAfter w:val="1"/>
          <w:wAfter w:w="47" w:type="dxa"/>
        </w:trPr>
        <w:tc>
          <w:tcPr>
            <w:tcW w:w="1985" w:type="dxa"/>
            <w:gridSpan w:val="2"/>
          </w:tcPr>
          <w:p w:rsidR="00AD4753" w:rsidRPr="00CC0663" w:rsidRDefault="00AD4753" w:rsidP="00626081">
            <w:pPr>
              <w:pStyle w:val="Text"/>
              <w:spacing w:before="60" w:after="60"/>
              <w:jc w:val="left"/>
              <w:rPr>
                <w:lang w:val="en-AU"/>
              </w:rPr>
            </w:pPr>
            <w:r w:rsidRPr="00CC0663">
              <w:rPr>
                <w:lang w:val="en-AU"/>
              </w:rPr>
              <w:t>Very Common:</w:t>
            </w:r>
          </w:p>
        </w:tc>
        <w:tc>
          <w:tcPr>
            <w:tcW w:w="7182" w:type="dxa"/>
          </w:tcPr>
          <w:p w:rsidR="00AD4753" w:rsidRPr="00CC0663" w:rsidRDefault="00AD4753" w:rsidP="006C6662">
            <w:pPr>
              <w:pStyle w:val="Text"/>
              <w:spacing w:before="60" w:after="60"/>
              <w:jc w:val="left"/>
              <w:rPr>
                <w:lang w:val="en-AU"/>
              </w:rPr>
            </w:pPr>
            <w:r w:rsidRPr="00CC0663">
              <w:rPr>
                <w:lang w:val="en-AU"/>
              </w:rPr>
              <w:t>Blood creatinine increased</w:t>
            </w:r>
            <w:r w:rsidR="00D8717F" w:rsidRPr="00CC0663">
              <w:rPr>
                <w:vertAlign w:val="superscript"/>
                <w:lang w:val="en-AU"/>
              </w:rPr>
              <w:t>8</w:t>
            </w:r>
            <w:r w:rsidR="00B712C8" w:rsidRPr="00CC0663">
              <w:rPr>
                <w:lang w:val="en-AU"/>
              </w:rPr>
              <w:t xml:space="preserve"> </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tcPr>
          <w:p w:rsidR="00AF7804" w:rsidRPr="00CC0663" w:rsidRDefault="00AF7804" w:rsidP="00626081">
            <w:pPr>
              <w:pStyle w:val="Text"/>
              <w:spacing w:before="60" w:after="60"/>
              <w:jc w:val="left"/>
              <w:rPr>
                <w:lang w:val="en-AU"/>
              </w:rPr>
            </w:pPr>
            <w:r w:rsidRPr="00CC0663">
              <w:rPr>
                <w:lang w:val="en-AU"/>
              </w:rPr>
              <w:t>renal failure, renal pain, urinary frequency increased, haematuria</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Reproductive system and breast disorders:</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tcPr>
          <w:p w:rsidR="00AF7804" w:rsidRPr="00CC0663" w:rsidRDefault="00AF7804" w:rsidP="00626081">
            <w:pPr>
              <w:pStyle w:val="Text"/>
              <w:spacing w:before="60" w:after="60"/>
              <w:jc w:val="left"/>
              <w:rPr>
                <w:lang w:val="en-AU"/>
              </w:rPr>
            </w:pPr>
            <w:r w:rsidRPr="00CC0663">
              <w:rPr>
                <w:lang w:val="en-AU"/>
              </w:rPr>
              <w:t>gynaecomastia, erectile dysfunction, breast enlargement, scrotal oedema, menorrhagia, nipple pain, menstruation irregular, sexual dysfunction</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Respiratory, thoracic and mediastinal disorders:</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Common:</w:t>
            </w:r>
          </w:p>
        </w:tc>
        <w:tc>
          <w:tcPr>
            <w:tcW w:w="7182" w:type="dxa"/>
          </w:tcPr>
          <w:p w:rsidR="00AF7804" w:rsidRPr="00CC0663" w:rsidRDefault="00AF7804" w:rsidP="00626081">
            <w:pPr>
              <w:pStyle w:val="Text"/>
              <w:spacing w:before="60" w:after="60"/>
              <w:jc w:val="left"/>
              <w:rPr>
                <w:lang w:val="en-AU"/>
              </w:rPr>
            </w:pPr>
            <w:r w:rsidRPr="00CC0663">
              <w:rPr>
                <w:lang w:val="en-AU"/>
              </w:rPr>
              <w:t>epistaxis, dyspnoea, cough</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tcPr>
          <w:p w:rsidR="00AF7804" w:rsidRPr="00CC0663" w:rsidRDefault="00AF7804" w:rsidP="00D8717F">
            <w:pPr>
              <w:pStyle w:val="Text"/>
              <w:spacing w:before="60" w:after="60"/>
              <w:jc w:val="left"/>
              <w:rPr>
                <w:lang w:val="en-AU"/>
              </w:rPr>
            </w:pPr>
            <w:r w:rsidRPr="00CC0663">
              <w:rPr>
                <w:lang w:val="en-AU"/>
              </w:rPr>
              <w:t>pleural effusion</w:t>
            </w:r>
            <w:r w:rsidR="00D8717F" w:rsidRPr="00CC0663">
              <w:rPr>
                <w:rStyle w:val="FootnoteReference"/>
                <w:lang w:val="en-AU"/>
              </w:rPr>
              <w:t>9</w:t>
            </w:r>
            <w:r w:rsidRPr="00CC0663">
              <w:rPr>
                <w:lang w:val="en-AU"/>
              </w:rPr>
              <w:t>, pharyngolaryngeal pain, pharyngitis</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Rare:</w:t>
            </w:r>
          </w:p>
        </w:tc>
        <w:tc>
          <w:tcPr>
            <w:tcW w:w="7182" w:type="dxa"/>
          </w:tcPr>
          <w:p w:rsidR="00AF7804" w:rsidRPr="00CC0663" w:rsidRDefault="00AF7804" w:rsidP="00626081">
            <w:pPr>
              <w:pStyle w:val="Text"/>
              <w:spacing w:before="60" w:after="60"/>
              <w:jc w:val="left"/>
              <w:rPr>
                <w:lang w:val="en-AU"/>
              </w:rPr>
            </w:pPr>
            <w:r w:rsidRPr="00CC0663">
              <w:rPr>
                <w:lang w:val="en-AU"/>
              </w:rPr>
              <w:t>pulmonary fibrosis, pleuritic pain, pulmonary hypertension, pulmonary haemorrhage</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Skin and subcutaneous tissue disorders:</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Very common:</w:t>
            </w:r>
          </w:p>
        </w:tc>
        <w:tc>
          <w:tcPr>
            <w:tcW w:w="7182" w:type="dxa"/>
          </w:tcPr>
          <w:p w:rsidR="00AF7804" w:rsidRPr="00057C4C" w:rsidRDefault="00AF7804" w:rsidP="00626081">
            <w:pPr>
              <w:pStyle w:val="Text"/>
              <w:spacing w:before="60" w:after="60"/>
              <w:jc w:val="left"/>
              <w:rPr>
                <w:lang w:val="pt-BR"/>
              </w:rPr>
            </w:pPr>
            <w:r w:rsidRPr="00057C4C">
              <w:rPr>
                <w:lang w:val="pt-BR"/>
              </w:rPr>
              <w:t>periorbital oedema, dermatitis/eczema/rash</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Common:</w:t>
            </w:r>
          </w:p>
        </w:tc>
        <w:tc>
          <w:tcPr>
            <w:tcW w:w="7182" w:type="dxa"/>
          </w:tcPr>
          <w:p w:rsidR="00AF7804" w:rsidRPr="00CC0663" w:rsidRDefault="00AF7804" w:rsidP="00626081">
            <w:pPr>
              <w:pStyle w:val="Text"/>
              <w:spacing w:before="60" w:after="60"/>
              <w:jc w:val="left"/>
              <w:rPr>
                <w:lang w:val="en-AU"/>
              </w:rPr>
            </w:pPr>
            <w:r w:rsidRPr="00CC0663">
              <w:rPr>
                <w:lang w:val="en-AU"/>
              </w:rPr>
              <w:t>face oedema, pruritus, erythema, dry skin, alopecia, night sweats, photosensitivity reaction</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tcPr>
          <w:p w:rsidR="00AF7804" w:rsidRPr="00CC0663" w:rsidRDefault="00AF7804" w:rsidP="00626081">
            <w:pPr>
              <w:pStyle w:val="Text"/>
              <w:spacing w:before="60" w:after="60"/>
              <w:jc w:val="left"/>
              <w:rPr>
                <w:lang w:val="en-AU"/>
              </w:rPr>
            </w:pPr>
            <w:r w:rsidRPr="00CC0663">
              <w:rPr>
                <w:lang w:val="en-AU"/>
              </w:rPr>
              <w:t xml:space="preserve">petechiae, sweating increased, urticaria, ecchymosis, increased tendency to bruise, onychoclasis, folliculitis, purpura, contusion,  hypotrichosis, rash pustular, skin hypopigmentation, skin hyperpigmentation, psoriasis, exfoliative dermatitis, bullous eruptions </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Rare:</w:t>
            </w:r>
          </w:p>
        </w:tc>
        <w:tc>
          <w:tcPr>
            <w:tcW w:w="7182" w:type="dxa"/>
          </w:tcPr>
          <w:p w:rsidR="00AF7804" w:rsidRPr="00CC0663" w:rsidRDefault="00AF7804" w:rsidP="00626081">
            <w:pPr>
              <w:pStyle w:val="Text"/>
              <w:spacing w:before="60" w:after="60"/>
              <w:jc w:val="left"/>
              <w:rPr>
                <w:lang w:val="en-AU"/>
              </w:rPr>
            </w:pPr>
            <w:r w:rsidRPr="00CC0663">
              <w:rPr>
                <w:lang w:val="en-AU"/>
              </w:rPr>
              <w:t>erythema multiforme, leucocytoclastic vasculitis, vesicular rash, Stevens-Johnson syndrome, acute febrile neutrophilic dermatosis (Sweet’s syndrome), nail discolouration, angioneurotic oedema, acute generalised exanthematous pustulosis (AGEP)</w:t>
            </w:r>
          </w:p>
        </w:tc>
      </w:tr>
      <w:tr w:rsidR="00AF7804" w:rsidRPr="00057C4C" w:rsidTr="00626081">
        <w:trPr>
          <w:gridAfter w:val="1"/>
          <w:wAfter w:w="47" w:type="dxa"/>
          <w:cantSplit/>
        </w:trPr>
        <w:tc>
          <w:tcPr>
            <w:tcW w:w="9167" w:type="dxa"/>
            <w:gridSpan w:val="3"/>
          </w:tcPr>
          <w:p w:rsidR="00AF7804" w:rsidRPr="00CC0663" w:rsidRDefault="00AF7804" w:rsidP="00626081">
            <w:pPr>
              <w:pStyle w:val="Text"/>
              <w:spacing w:before="60" w:after="60"/>
              <w:jc w:val="left"/>
              <w:rPr>
                <w:b/>
                <w:lang w:val="en-AU"/>
              </w:rPr>
            </w:pPr>
            <w:r w:rsidRPr="00CC0663">
              <w:rPr>
                <w:b/>
                <w:lang w:val="en-AU"/>
              </w:rPr>
              <w:t>Vascular disorders:</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Common:</w:t>
            </w:r>
          </w:p>
        </w:tc>
        <w:tc>
          <w:tcPr>
            <w:tcW w:w="7182" w:type="dxa"/>
          </w:tcPr>
          <w:p w:rsidR="00AF7804" w:rsidRPr="00CC0663" w:rsidRDefault="00D8717F" w:rsidP="00D8717F">
            <w:pPr>
              <w:pStyle w:val="Text"/>
              <w:spacing w:before="60" w:after="60"/>
              <w:jc w:val="left"/>
              <w:rPr>
                <w:lang w:val="en-AU"/>
              </w:rPr>
            </w:pPr>
            <w:r w:rsidRPr="00CC0663">
              <w:rPr>
                <w:lang w:val="en-AU"/>
              </w:rPr>
              <w:t>F</w:t>
            </w:r>
            <w:r w:rsidR="00AF7804" w:rsidRPr="00CC0663">
              <w:rPr>
                <w:lang w:val="en-AU"/>
              </w:rPr>
              <w:t>lushing</w:t>
            </w:r>
            <w:r w:rsidRPr="00CC0663">
              <w:rPr>
                <w:rStyle w:val="FootnoteReference"/>
                <w:lang w:val="en-AU"/>
              </w:rPr>
              <w:t>10</w:t>
            </w:r>
            <w:r w:rsidR="00AF7804" w:rsidRPr="00CC0663">
              <w:rPr>
                <w:lang w:val="en-AU"/>
              </w:rPr>
              <w:t>, haemorrhage</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Uncommon:</w:t>
            </w:r>
          </w:p>
        </w:tc>
        <w:tc>
          <w:tcPr>
            <w:tcW w:w="7182" w:type="dxa"/>
          </w:tcPr>
          <w:p w:rsidR="00AF7804" w:rsidRPr="00CC0663" w:rsidRDefault="00AF7804" w:rsidP="00626081">
            <w:pPr>
              <w:pStyle w:val="Text"/>
              <w:spacing w:before="60" w:after="60"/>
              <w:jc w:val="left"/>
              <w:rPr>
                <w:lang w:val="en-AU"/>
              </w:rPr>
            </w:pPr>
            <w:r w:rsidRPr="00CC0663">
              <w:rPr>
                <w:lang w:val="en-AU"/>
              </w:rPr>
              <w:t xml:space="preserve">haematoma, </w:t>
            </w:r>
            <w:r w:rsidR="008A57F5" w:rsidRPr="00CC0663">
              <w:rPr>
                <w:lang w:val="en-AU"/>
              </w:rPr>
              <w:t xml:space="preserve">subdural haematoma, </w:t>
            </w:r>
            <w:r w:rsidRPr="00CC0663">
              <w:rPr>
                <w:lang w:val="en-AU"/>
              </w:rPr>
              <w:t>hypertension, hypotension, peripheral coldness, Raynaud’s phenomenon</w:t>
            </w:r>
          </w:p>
        </w:tc>
      </w:tr>
      <w:tr w:rsidR="00AF7804" w:rsidRPr="00057C4C" w:rsidTr="00626081">
        <w:trPr>
          <w:gridAfter w:val="1"/>
          <w:wAfter w:w="47" w:type="dxa"/>
        </w:trPr>
        <w:tc>
          <w:tcPr>
            <w:tcW w:w="1985" w:type="dxa"/>
            <w:gridSpan w:val="2"/>
          </w:tcPr>
          <w:p w:rsidR="00AF7804" w:rsidRPr="00CC0663" w:rsidRDefault="00AF7804" w:rsidP="00626081">
            <w:pPr>
              <w:pStyle w:val="Text"/>
              <w:spacing w:before="60" w:after="60"/>
              <w:jc w:val="left"/>
              <w:rPr>
                <w:lang w:val="en-AU"/>
              </w:rPr>
            </w:pPr>
            <w:r w:rsidRPr="00CC0663">
              <w:rPr>
                <w:lang w:val="en-AU"/>
              </w:rPr>
              <w:t>Rare:</w:t>
            </w:r>
          </w:p>
        </w:tc>
        <w:tc>
          <w:tcPr>
            <w:tcW w:w="7182" w:type="dxa"/>
          </w:tcPr>
          <w:p w:rsidR="00AF7804" w:rsidRPr="00CC0663" w:rsidRDefault="00AF7804" w:rsidP="00626081">
            <w:pPr>
              <w:pStyle w:val="Text"/>
              <w:spacing w:before="60" w:after="60"/>
              <w:jc w:val="left"/>
              <w:rPr>
                <w:lang w:val="en-AU"/>
              </w:rPr>
            </w:pPr>
            <w:r w:rsidRPr="00CC0663">
              <w:rPr>
                <w:lang w:val="en-AU"/>
              </w:rPr>
              <w:t xml:space="preserve">thrombosis/embolism </w:t>
            </w:r>
          </w:p>
        </w:tc>
      </w:tr>
    </w:tbl>
    <w:p w:rsidR="00AF7804" w:rsidRPr="00057C4C" w:rsidRDefault="00AF7804" w:rsidP="00AF7804">
      <w:pPr>
        <w:pStyle w:val="Text"/>
        <w:spacing w:before="0" w:line="0" w:lineRule="atLeast"/>
        <w:ind w:left="284" w:hanging="284"/>
        <w:jc w:val="left"/>
        <w:rPr>
          <w:sz w:val="20"/>
        </w:rPr>
      </w:pPr>
      <w:r w:rsidRPr="00057C4C">
        <w:rPr>
          <w:vertAlign w:val="superscript"/>
          <w:lang w:val="en-GB"/>
        </w:rPr>
        <w:t>1</w:t>
      </w:r>
      <w:r w:rsidRPr="00057C4C">
        <w:rPr>
          <w:lang w:val="en-GB"/>
        </w:rPr>
        <w:t xml:space="preserve"> </w:t>
      </w:r>
      <w:r w:rsidRPr="00057C4C">
        <w:rPr>
          <w:lang w:val="en-GB"/>
        </w:rPr>
        <w:tab/>
      </w:r>
      <w:r w:rsidRPr="00057C4C">
        <w:rPr>
          <w:sz w:val="20"/>
        </w:rPr>
        <w:t>On a patient-year basis, cardiac events including congestive heart failure were more commonly observed in patients with transformed CML than in patients with chronic CML</w:t>
      </w:r>
    </w:p>
    <w:p w:rsidR="00AF7804" w:rsidRPr="00057C4C" w:rsidRDefault="00AF7804" w:rsidP="00AF7804">
      <w:pPr>
        <w:pStyle w:val="Text"/>
        <w:spacing w:before="0" w:line="0" w:lineRule="atLeast"/>
        <w:ind w:left="284" w:hanging="284"/>
        <w:jc w:val="left"/>
        <w:rPr>
          <w:sz w:val="20"/>
        </w:rPr>
      </w:pPr>
      <w:r w:rsidRPr="00057C4C">
        <w:rPr>
          <w:sz w:val="20"/>
        </w:rPr>
        <w:t>2,3</w:t>
      </w:r>
      <w:r w:rsidRPr="00057C4C">
        <w:rPr>
          <w:sz w:val="20"/>
        </w:rPr>
        <w:tab/>
        <w:t>Abdominal pain and gastrointestinal haemorrhage were most commonly observed in patients with CML than in GIST patients</w:t>
      </w:r>
    </w:p>
    <w:p w:rsidR="00AF7804" w:rsidRPr="00057C4C" w:rsidRDefault="00AF7804" w:rsidP="00AF7804">
      <w:pPr>
        <w:pStyle w:val="Text"/>
        <w:spacing w:before="0" w:line="0" w:lineRule="atLeast"/>
        <w:ind w:left="284" w:hanging="284"/>
        <w:jc w:val="left"/>
        <w:rPr>
          <w:sz w:val="20"/>
        </w:rPr>
      </w:pPr>
      <w:r w:rsidRPr="00057C4C">
        <w:rPr>
          <w:sz w:val="20"/>
        </w:rPr>
        <w:t>4</w:t>
      </w:r>
      <w:r w:rsidRPr="00057C4C">
        <w:rPr>
          <w:sz w:val="20"/>
        </w:rPr>
        <w:tab/>
        <w:t>Some fatal cases of hepatic failure and hepatic necrosis have been reported</w:t>
      </w:r>
    </w:p>
    <w:p w:rsidR="00AF7804" w:rsidRPr="00057C4C" w:rsidRDefault="00AF7804" w:rsidP="00AF7804">
      <w:pPr>
        <w:pStyle w:val="Text"/>
        <w:spacing w:before="0" w:line="0" w:lineRule="atLeast"/>
        <w:ind w:left="284" w:hanging="284"/>
        <w:jc w:val="left"/>
        <w:rPr>
          <w:sz w:val="20"/>
        </w:rPr>
      </w:pPr>
      <w:r w:rsidRPr="00057C4C">
        <w:rPr>
          <w:sz w:val="20"/>
        </w:rPr>
        <w:t>5</w:t>
      </w:r>
      <w:r w:rsidRPr="00057C4C">
        <w:rPr>
          <w:sz w:val="20"/>
        </w:rPr>
        <w:tab/>
        <w:t>Pneumonia was reported most commonly in patients with transformed CML and in patients with GIST</w:t>
      </w:r>
    </w:p>
    <w:p w:rsidR="00AF7804" w:rsidRPr="00057C4C" w:rsidRDefault="00AF7804" w:rsidP="00AF7804">
      <w:pPr>
        <w:pStyle w:val="Text"/>
        <w:spacing w:before="0" w:line="0" w:lineRule="atLeast"/>
        <w:ind w:left="284" w:hanging="284"/>
        <w:jc w:val="left"/>
        <w:rPr>
          <w:sz w:val="20"/>
        </w:rPr>
      </w:pPr>
      <w:r w:rsidRPr="00057C4C">
        <w:rPr>
          <w:sz w:val="20"/>
        </w:rPr>
        <w:t>6</w:t>
      </w:r>
      <w:r w:rsidRPr="00057C4C">
        <w:rPr>
          <w:sz w:val="20"/>
        </w:rPr>
        <w:tab/>
        <w:t>Musculoskeletal pain and related events were more commonly observed in patients with CML than in GIST patients</w:t>
      </w:r>
    </w:p>
    <w:p w:rsidR="00AF7804" w:rsidRDefault="00AF7804" w:rsidP="00AF7804">
      <w:pPr>
        <w:pStyle w:val="Text"/>
        <w:spacing w:before="0" w:line="0" w:lineRule="atLeast"/>
        <w:ind w:left="284" w:hanging="284"/>
        <w:jc w:val="left"/>
        <w:rPr>
          <w:sz w:val="20"/>
        </w:rPr>
      </w:pPr>
      <w:r w:rsidRPr="00057C4C">
        <w:rPr>
          <w:sz w:val="20"/>
        </w:rPr>
        <w:t>7</w:t>
      </w:r>
      <w:r w:rsidRPr="00057C4C">
        <w:rPr>
          <w:sz w:val="20"/>
        </w:rPr>
        <w:tab/>
        <w:t>Headache was most common in GIST patients</w:t>
      </w:r>
    </w:p>
    <w:p w:rsidR="00D8717F" w:rsidRPr="00057C4C" w:rsidRDefault="00D8717F" w:rsidP="00AF7804">
      <w:pPr>
        <w:pStyle w:val="Text"/>
        <w:spacing w:before="0" w:line="0" w:lineRule="atLeast"/>
        <w:ind w:left="284" w:hanging="284"/>
        <w:jc w:val="left"/>
        <w:rPr>
          <w:sz w:val="20"/>
        </w:rPr>
      </w:pPr>
      <w:r>
        <w:rPr>
          <w:sz w:val="20"/>
        </w:rPr>
        <w:t>8</w:t>
      </w:r>
      <w:r>
        <w:rPr>
          <w:sz w:val="20"/>
        </w:rPr>
        <w:tab/>
        <w:t>Most of the blood creatinine increases were of mild severity (grade 1)</w:t>
      </w:r>
    </w:p>
    <w:p w:rsidR="00AF7804" w:rsidRPr="00057C4C" w:rsidRDefault="00D8717F" w:rsidP="00AF7804">
      <w:pPr>
        <w:pStyle w:val="Text"/>
        <w:spacing w:before="0" w:line="0" w:lineRule="atLeast"/>
        <w:ind w:left="284" w:hanging="284"/>
        <w:jc w:val="left"/>
        <w:rPr>
          <w:sz w:val="20"/>
        </w:rPr>
      </w:pPr>
      <w:r>
        <w:rPr>
          <w:sz w:val="20"/>
        </w:rPr>
        <w:t>9</w:t>
      </w:r>
      <w:r w:rsidR="00AF7804" w:rsidRPr="00057C4C">
        <w:rPr>
          <w:sz w:val="20"/>
        </w:rPr>
        <w:tab/>
        <w:t>Pleural effusion was reported more commonly in patients with GIST and in patients with transformed CML (CML-AP and CML-BC) than in patients with chronic CML</w:t>
      </w:r>
    </w:p>
    <w:p w:rsidR="00AF7804" w:rsidRPr="00AF7804" w:rsidRDefault="00D8717F" w:rsidP="00AF7804">
      <w:pPr>
        <w:pStyle w:val="Text"/>
        <w:spacing w:before="0" w:line="0" w:lineRule="atLeast"/>
        <w:ind w:left="284" w:hanging="284"/>
        <w:jc w:val="left"/>
        <w:rPr>
          <w:sz w:val="20"/>
        </w:rPr>
      </w:pPr>
      <w:r>
        <w:rPr>
          <w:sz w:val="20"/>
        </w:rPr>
        <w:t>10</w:t>
      </w:r>
      <w:r w:rsidR="00AF7804" w:rsidRPr="00057C4C">
        <w:rPr>
          <w:sz w:val="20"/>
        </w:rPr>
        <w:tab/>
        <w:t>Flushing was most common in GIST patients and bleeding (haematoma, haemorrhage) was most common in patients with GIST and with transformed CML (CML-AP and CML-BC)</w:t>
      </w:r>
    </w:p>
    <w:p w:rsidR="00014579" w:rsidRPr="00057C4C" w:rsidRDefault="00014579" w:rsidP="00D71D4F">
      <w:pPr>
        <w:pStyle w:val="Heading2"/>
      </w:pPr>
      <w:r w:rsidRPr="00057C4C">
        <w:lastRenderedPageBreak/>
        <w:t>Adverse events in CML clinical tri</w:t>
      </w:r>
      <w:r w:rsidR="00D71D4F">
        <w:t>als in adults:</w:t>
      </w:r>
    </w:p>
    <w:p w:rsidR="00014579" w:rsidRPr="00057C4C" w:rsidRDefault="00014579" w:rsidP="00202B37">
      <w:pPr>
        <w:pStyle w:val="Text"/>
        <w:spacing w:after="120"/>
        <w:jc w:val="left"/>
        <w:rPr>
          <w:b/>
        </w:rPr>
      </w:pPr>
      <w:r w:rsidRPr="00057C4C">
        <w:t xml:space="preserve">Adverse events, regardless of relationship to study drug, that were reported in at least 10% of the patients treated in the Phase </w:t>
      </w:r>
      <w:smartTag w:uri="urn:schemas-microsoft-com:office:smarttags" w:element="stockticker">
        <w:r w:rsidRPr="00057C4C">
          <w:t>III</w:t>
        </w:r>
      </w:smartTag>
      <w:r w:rsidRPr="00057C4C">
        <w:t xml:space="preserve"> study of Glivec versus IFN+Ara-C (Study 0106) and in the single-arm CML studies 0102, 0109 and 0110 are shown in Tables </w:t>
      </w:r>
      <w:r w:rsidR="006D2770" w:rsidRPr="00057C4C">
        <w:t>1</w:t>
      </w:r>
      <w:r w:rsidR="00B83415">
        <w:t>2</w:t>
      </w:r>
      <w:r w:rsidR="006D2770" w:rsidRPr="00057C4C">
        <w:t xml:space="preserve"> </w:t>
      </w:r>
      <w:r w:rsidRPr="00057C4C">
        <w:t xml:space="preserve">and </w:t>
      </w:r>
      <w:r w:rsidR="006D2770" w:rsidRPr="00057C4C">
        <w:t>1</w:t>
      </w:r>
      <w:r w:rsidR="00B83415">
        <w:t>3</w:t>
      </w:r>
      <w:r w:rsidRPr="00057C4C">
        <w:t>, respectively.</w:t>
      </w:r>
    </w:p>
    <w:p w:rsidR="00014579" w:rsidRPr="00057C4C" w:rsidRDefault="00014579" w:rsidP="00202B37">
      <w:pPr>
        <w:pStyle w:val="Text"/>
        <w:spacing w:before="0"/>
        <w:jc w:val="center"/>
        <w:rPr>
          <w:b/>
        </w:rPr>
      </w:pPr>
      <w:r w:rsidRPr="00057C4C">
        <w:rPr>
          <w:b/>
        </w:rPr>
        <w:t xml:space="preserve">Table </w:t>
      </w:r>
      <w:r w:rsidR="006D2770" w:rsidRPr="00057C4C">
        <w:rPr>
          <w:b/>
        </w:rPr>
        <w:t>1</w:t>
      </w:r>
      <w:r w:rsidR="007403C9">
        <w:rPr>
          <w:b/>
        </w:rPr>
        <w:t>2</w:t>
      </w:r>
      <w:r w:rsidR="006D2770" w:rsidRPr="00057C4C">
        <w:rPr>
          <w:b/>
        </w:rPr>
        <w:t xml:space="preserve"> </w:t>
      </w:r>
      <w:r w:rsidRPr="00057C4C">
        <w:rPr>
          <w:b/>
        </w:rPr>
        <w:t>Adverse events reported in CML patients in Study 0106</w:t>
      </w:r>
    </w:p>
    <w:p w:rsidR="00014579" w:rsidRPr="00057C4C" w:rsidRDefault="00014579" w:rsidP="00202B37">
      <w:pPr>
        <w:pStyle w:val="Text"/>
        <w:spacing w:before="0"/>
        <w:jc w:val="center"/>
        <w:rPr>
          <w:sz w:val="20"/>
          <w:vertAlign w:val="superscript"/>
        </w:rPr>
      </w:pPr>
      <w:r w:rsidRPr="00057C4C">
        <w:rPr>
          <w:b/>
          <w:sz w:val="20"/>
        </w:rPr>
        <w:t>(</w:t>
      </w:r>
      <w:r w:rsidRPr="00057C4C">
        <w:rPr>
          <w:sz w:val="20"/>
        </w:rPr>
        <w:sym w:font="Symbol" w:char="F0B3"/>
      </w:r>
      <w:r w:rsidRPr="00057C4C">
        <w:rPr>
          <w:sz w:val="20"/>
        </w:rPr>
        <w:t xml:space="preserve">10% of all patients in either arm) </w:t>
      </w:r>
      <w:r w:rsidRPr="00057C4C">
        <w:rPr>
          <w:sz w:val="20"/>
          <w:vertAlign w:val="superscript"/>
        </w:rPr>
        <w:t>(1)</w:t>
      </w:r>
    </w:p>
    <w:p w:rsidR="00AC0ACB" w:rsidRPr="00057C4C" w:rsidRDefault="00AC0ACB" w:rsidP="00B61E94">
      <w:pPr>
        <w:pStyle w:val="Text"/>
        <w:spacing w:before="0"/>
        <w:jc w:val="center"/>
        <w:rPr>
          <w:sz w:val="20"/>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8"/>
        <w:gridCol w:w="1217"/>
        <w:gridCol w:w="1222"/>
        <w:gridCol w:w="1219"/>
        <w:gridCol w:w="1223"/>
      </w:tblGrid>
      <w:tr w:rsidR="00AC0ACB" w:rsidRPr="00057C4C" w:rsidTr="00073C62">
        <w:trPr>
          <w:trHeight w:val="359"/>
        </w:trPr>
        <w:tc>
          <w:tcPr>
            <w:tcW w:w="4378" w:type="dxa"/>
            <w:tcBorders>
              <w:bottom w:val="single" w:sz="4" w:space="0" w:color="auto"/>
            </w:tcBorders>
            <w:shd w:val="clear" w:color="auto" w:fill="E0E0E0"/>
          </w:tcPr>
          <w:p w:rsidR="00AC0ACB" w:rsidRPr="00057C4C" w:rsidRDefault="00AC0ACB" w:rsidP="00073C62">
            <w:pPr>
              <w:pStyle w:val="Table0"/>
              <w:tabs>
                <w:tab w:val="clear" w:pos="284"/>
              </w:tabs>
              <w:spacing w:before="60" w:after="60"/>
              <w:rPr>
                <w:rFonts w:ascii="Times New Roman" w:hAnsi="Times New Roman"/>
                <w:b/>
                <w:lang w:val="sv-SE"/>
              </w:rPr>
            </w:pPr>
          </w:p>
        </w:tc>
        <w:tc>
          <w:tcPr>
            <w:tcW w:w="2439" w:type="dxa"/>
            <w:gridSpan w:val="2"/>
            <w:tcBorders>
              <w:bottom w:val="single" w:sz="4" w:space="0" w:color="auto"/>
            </w:tcBorders>
            <w:shd w:val="clear" w:color="auto" w:fill="E0E0E0"/>
          </w:tcPr>
          <w:p w:rsidR="00AC0ACB" w:rsidRPr="00057C4C" w:rsidRDefault="00AC0ACB" w:rsidP="00073C62">
            <w:pPr>
              <w:pStyle w:val="Table0"/>
              <w:tabs>
                <w:tab w:val="clear" w:pos="284"/>
              </w:tabs>
              <w:spacing w:before="60" w:after="60"/>
              <w:jc w:val="center"/>
              <w:rPr>
                <w:rFonts w:ascii="Times New Roman" w:hAnsi="Times New Roman"/>
                <w:b/>
                <w:lang w:val="pt-BR"/>
              </w:rPr>
            </w:pPr>
            <w:r w:rsidRPr="00057C4C">
              <w:rPr>
                <w:rFonts w:ascii="Times New Roman" w:hAnsi="Times New Roman"/>
                <w:b/>
                <w:lang w:val="pt-BR"/>
              </w:rPr>
              <w:t>All Grades</w:t>
            </w:r>
          </w:p>
        </w:tc>
        <w:tc>
          <w:tcPr>
            <w:tcW w:w="2442" w:type="dxa"/>
            <w:gridSpan w:val="2"/>
            <w:tcBorders>
              <w:bottom w:val="single" w:sz="4" w:space="0" w:color="auto"/>
            </w:tcBorders>
            <w:shd w:val="clear" w:color="auto" w:fill="E0E0E0"/>
          </w:tcPr>
          <w:p w:rsidR="00AC0ACB" w:rsidRPr="00057C4C" w:rsidRDefault="00AC0ACB" w:rsidP="00073C62">
            <w:pPr>
              <w:pStyle w:val="Table0"/>
              <w:tabs>
                <w:tab w:val="clear" w:pos="284"/>
              </w:tabs>
              <w:spacing w:before="60" w:after="60"/>
              <w:jc w:val="center"/>
              <w:rPr>
                <w:rFonts w:ascii="Times New Roman" w:hAnsi="Times New Roman"/>
                <w:b/>
                <w:lang w:val="pt-BR"/>
              </w:rPr>
            </w:pPr>
            <w:r w:rsidRPr="00057C4C">
              <w:rPr>
                <w:rFonts w:ascii="Times New Roman" w:hAnsi="Times New Roman"/>
                <w:b/>
                <w:lang w:val="pt-BR"/>
              </w:rPr>
              <w:t>CTC Grades 3/4</w:t>
            </w:r>
          </w:p>
        </w:tc>
      </w:tr>
      <w:tr w:rsidR="00DD6219" w:rsidRPr="00057C4C" w:rsidTr="00073C62">
        <w:trPr>
          <w:trHeight w:val="513"/>
        </w:trPr>
        <w:tc>
          <w:tcPr>
            <w:tcW w:w="4378" w:type="dxa"/>
            <w:tcBorders>
              <w:bottom w:val="single" w:sz="4" w:space="0" w:color="auto"/>
            </w:tcBorders>
            <w:shd w:val="clear" w:color="auto" w:fill="E0E0E0"/>
          </w:tcPr>
          <w:p w:rsidR="00DD6219" w:rsidRPr="00057C4C" w:rsidRDefault="00DD6219" w:rsidP="00073C62">
            <w:pPr>
              <w:pStyle w:val="Table0"/>
              <w:tabs>
                <w:tab w:val="clear" w:pos="284"/>
              </w:tabs>
              <w:spacing w:before="60" w:after="60"/>
              <w:rPr>
                <w:rFonts w:ascii="Times New Roman" w:hAnsi="Times New Roman"/>
                <w:b/>
                <w:lang w:val="sv-SE"/>
              </w:rPr>
            </w:pPr>
          </w:p>
        </w:tc>
        <w:tc>
          <w:tcPr>
            <w:tcW w:w="1217" w:type="dxa"/>
            <w:tcBorders>
              <w:bottom w:val="single" w:sz="4" w:space="0" w:color="auto"/>
            </w:tcBorders>
            <w:shd w:val="clear" w:color="auto" w:fill="E0E0E0"/>
          </w:tcPr>
          <w:p w:rsidR="00DD6219" w:rsidRPr="00057C4C" w:rsidRDefault="00DD6219" w:rsidP="00073C62">
            <w:pPr>
              <w:pStyle w:val="Table0"/>
              <w:tabs>
                <w:tab w:val="clear" w:pos="284"/>
              </w:tabs>
              <w:spacing w:before="60" w:after="60"/>
              <w:jc w:val="center"/>
              <w:rPr>
                <w:rFonts w:ascii="Times New Roman" w:hAnsi="Times New Roman"/>
                <w:b/>
                <w:lang w:val="sv-SE"/>
              </w:rPr>
            </w:pPr>
            <w:r w:rsidRPr="00057C4C">
              <w:rPr>
                <w:rFonts w:ascii="Times New Roman" w:hAnsi="Times New Roman"/>
                <w:b/>
                <w:lang w:val="sv-SE"/>
              </w:rPr>
              <w:t>Glivec</w:t>
            </w:r>
            <w:r w:rsidR="00156FDF" w:rsidRPr="00057C4C">
              <w:rPr>
                <w:rFonts w:ascii="Times New Roman" w:hAnsi="Times New Roman"/>
                <w:b/>
                <w:lang w:val="sv-SE"/>
              </w:rPr>
              <w:br/>
            </w:r>
            <w:r w:rsidRPr="00057C4C">
              <w:rPr>
                <w:rFonts w:ascii="Times New Roman" w:hAnsi="Times New Roman"/>
                <w:b/>
                <w:lang w:val="pt-BR"/>
              </w:rPr>
              <w:t>N=551 (%)</w:t>
            </w:r>
          </w:p>
        </w:tc>
        <w:tc>
          <w:tcPr>
            <w:tcW w:w="1222" w:type="dxa"/>
            <w:tcBorders>
              <w:bottom w:val="single" w:sz="4" w:space="0" w:color="auto"/>
            </w:tcBorders>
            <w:shd w:val="clear" w:color="auto" w:fill="E0E0E0"/>
          </w:tcPr>
          <w:p w:rsidR="00DD6219" w:rsidRPr="00057C4C" w:rsidRDefault="00DD6219" w:rsidP="00073C62">
            <w:pPr>
              <w:pStyle w:val="Table0"/>
              <w:tabs>
                <w:tab w:val="clear" w:pos="284"/>
              </w:tabs>
              <w:spacing w:before="60" w:after="60"/>
              <w:jc w:val="center"/>
              <w:rPr>
                <w:rFonts w:ascii="Times New Roman" w:hAnsi="Times New Roman"/>
                <w:b/>
                <w:lang w:val="sv-SE"/>
              </w:rPr>
            </w:pPr>
            <w:r w:rsidRPr="00057C4C">
              <w:rPr>
                <w:rFonts w:ascii="Times New Roman" w:hAnsi="Times New Roman"/>
                <w:b/>
                <w:lang w:val="sv-SE"/>
              </w:rPr>
              <w:t>IFN+Ara</w:t>
            </w:r>
            <w:r w:rsidRPr="00057C4C">
              <w:rPr>
                <w:rFonts w:ascii="Times New Roman" w:hAnsi="Times New Roman"/>
                <w:b/>
                <w:lang w:val="sv-SE"/>
              </w:rPr>
              <w:noBreakHyphen/>
              <w:t>C</w:t>
            </w:r>
            <w:r w:rsidR="00156FDF" w:rsidRPr="00057C4C">
              <w:rPr>
                <w:rFonts w:ascii="Times New Roman" w:hAnsi="Times New Roman"/>
                <w:b/>
                <w:lang w:val="sv-SE"/>
              </w:rPr>
              <w:br/>
            </w:r>
            <w:r w:rsidRPr="00057C4C">
              <w:rPr>
                <w:rFonts w:ascii="Times New Roman" w:hAnsi="Times New Roman"/>
                <w:b/>
                <w:lang w:val="pt-BR"/>
              </w:rPr>
              <w:t>N=533 (%)</w:t>
            </w:r>
          </w:p>
        </w:tc>
        <w:tc>
          <w:tcPr>
            <w:tcW w:w="1219" w:type="dxa"/>
            <w:tcBorders>
              <w:bottom w:val="single" w:sz="4" w:space="0" w:color="auto"/>
            </w:tcBorders>
            <w:shd w:val="clear" w:color="auto" w:fill="E0E0E0"/>
          </w:tcPr>
          <w:p w:rsidR="00DD6219" w:rsidRPr="00057C4C" w:rsidRDefault="00DD6219" w:rsidP="00073C62">
            <w:pPr>
              <w:pStyle w:val="Table0"/>
              <w:tabs>
                <w:tab w:val="clear" w:pos="284"/>
              </w:tabs>
              <w:spacing w:before="60" w:after="60"/>
              <w:jc w:val="center"/>
              <w:rPr>
                <w:rFonts w:ascii="Times New Roman" w:hAnsi="Times New Roman"/>
                <w:b/>
                <w:lang w:val="sv-SE"/>
              </w:rPr>
            </w:pPr>
            <w:r w:rsidRPr="00057C4C">
              <w:rPr>
                <w:rFonts w:ascii="Times New Roman" w:hAnsi="Times New Roman"/>
                <w:b/>
                <w:lang w:val="sv-SE"/>
              </w:rPr>
              <w:t>Glivec</w:t>
            </w:r>
            <w:r w:rsidR="00156FDF" w:rsidRPr="00057C4C">
              <w:rPr>
                <w:rFonts w:ascii="Times New Roman" w:hAnsi="Times New Roman"/>
                <w:b/>
                <w:lang w:val="sv-SE"/>
              </w:rPr>
              <w:br/>
            </w:r>
            <w:r w:rsidRPr="00057C4C">
              <w:rPr>
                <w:rFonts w:ascii="Times New Roman" w:hAnsi="Times New Roman"/>
                <w:b/>
                <w:lang w:val="pt-BR"/>
              </w:rPr>
              <w:t>N=551 (%)</w:t>
            </w:r>
          </w:p>
        </w:tc>
        <w:tc>
          <w:tcPr>
            <w:tcW w:w="1223" w:type="dxa"/>
            <w:tcBorders>
              <w:bottom w:val="single" w:sz="4" w:space="0" w:color="auto"/>
            </w:tcBorders>
            <w:shd w:val="clear" w:color="auto" w:fill="E0E0E0"/>
          </w:tcPr>
          <w:p w:rsidR="00DD6219" w:rsidRPr="00057C4C" w:rsidRDefault="00DD6219" w:rsidP="00073C62">
            <w:pPr>
              <w:pStyle w:val="Table0"/>
              <w:tabs>
                <w:tab w:val="clear" w:pos="284"/>
              </w:tabs>
              <w:spacing w:before="60" w:after="60"/>
              <w:jc w:val="center"/>
              <w:rPr>
                <w:rFonts w:ascii="Times New Roman" w:hAnsi="Times New Roman"/>
                <w:b/>
                <w:lang w:val="sv-SE"/>
              </w:rPr>
            </w:pPr>
            <w:r w:rsidRPr="00057C4C">
              <w:rPr>
                <w:rFonts w:ascii="Times New Roman" w:hAnsi="Times New Roman"/>
                <w:b/>
                <w:lang w:val="sv-SE"/>
              </w:rPr>
              <w:t>IFN+Ara</w:t>
            </w:r>
            <w:r w:rsidRPr="00057C4C">
              <w:rPr>
                <w:rFonts w:ascii="Times New Roman" w:hAnsi="Times New Roman"/>
                <w:b/>
                <w:lang w:val="sv-SE"/>
              </w:rPr>
              <w:noBreakHyphen/>
              <w:t>C</w:t>
            </w:r>
            <w:r w:rsidR="00156FDF" w:rsidRPr="00057C4C">
              <w:rPr>
                <w:rFonts w:ascii="Times New Roman" w:hAnsi="Times New Roman"/>
                <w:b/>
                <w:lang w:val="sv-SE"/>
              </w:rPr>
              <w:br/>
            </w:r>
            <w:r w:rsidRPr="00057C4C">
              <w:rPr>
                <w:rFonts w:ascii="Times New Roman" w:hAnsi="Times New Roman"/>
                <w:b/>
                <w:lang w:val="pt-BR"/>
              </w:rPr>
              <w:t>N=533 (%)</w:t>
            </w:r>
          </w:p>
        </w:tc>
      </w:tr>
      <w:tr w:rsidR="00DD6219" w:rsidRPr="00057C4C" w:rsidTr="00073C62">
        <w:tc>
          <w:tcPr>
            <w:tcW w:w="4378" w:type="dxa"/>
          </w:tcPr>
          <w:p w:rsidR="00DD6219" w:rsidRPr="00CC0663" w:rsidRDefault="00DD6219" w:rsidP="00073C62">
            <w:pPr>
              <w:pStyle w:val="Table0"/>
              <w:tabs>
                <w:tab w:val="clear" w:pos="284"/>
              </w:tabs>
              <w:spacing w:before="60" w:after="60"/>
              <w:rPr>
                <w:rFonts w:ascii="Times New Roman" w:hAnsi="Times New Roman"/>
                <w:sz w:val="19"/>
                <w:lang w:val="en-AU"/>
              </w:rPr>
            </w:pPr>
            <w:r w:rsidRPr="00057C4C">
              <w:rPr>
                <w:rFonts w:ascii="Times New Roman" w:hAnsi="Times New Roman"/>
                <w:b/>
                <w:lang w:val="pt-BR"/>
              </w:rPr>
              <w:t>Preferred Term</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p>
        </w:tc>
        <w:tc>
          <w:tcPr>
            <w:tcW w:w="1222" w:type="dxa"/>
          </w:tcPr>
          <w:p w:rsidR="00DD6219" w:rsidRPr="00CC0663" w:rsidRDefault="00DD6219" w:rsidP="00073C62">
            <w:pPr>
              <w:pStyle w:val="Table0"/>
              <w:tabs>
                <w:tab w:val="clear" w:pos="284"/>
                <w:tab w:val="decimal" w:pos="503"/>
              </w:tabs>
              <w:spacing w:before="60" w:after="60"/>
              <w:jc w:val="center"/>
              <w:rPr>
                <w:rFonts w:ascii="Times New Roman" w:hAnsi="Times New Roman"/>
                <w:sz w:val="19"/>
                <w:lang w:val="en-AU"/>
              </w:rPr>
            </w:pPr>
          </w:p>
        </w:tc>
        <w:tc>
          <w:tcPr>
            <w:tcW w:w="1219" w:type="dxa"/>
          </w:tcPr>
          <w:p w:rsidR="00DD6219" w:rsidRPr="00CC0663" w:rsidRDefault="00DD6219" w:rsidP="00073C62">
            <w:pPr>
              <w:pStyle w:val="Table0"/>
              <w:tabs>
                <w:tab w:val="clear" w:pos="284"/>
                <w:tab w:val="decimal" w:pos="503"/>
              </w:tabs>
              <w:spacing w:before="60" w:after="60"/>
              <w:jc w:val="center"/>
              <w:rPr>
                <w:rFonts w:ascii="Times New Roman" w:hAnsi="Times New Roman"/>
                <w:sz w:val="19"/>
                <w:lang w:val="en-AU"/>
              </w:rPr>
            </w:pPr>
          </w:p>
        </w:tc>
        <w:tc>
          <w:tcPr>
            <w:tcW w:w="1223" w:type="dxa"/>
          </w:tcPr>
          <w:p w:rsidR="00DD6219" w:rsidRPr="00CC0663" w:rsidRDefault="00DD6219" w:rsidP="00073C62">
            <w:pPr>
              <w:pStyle w:val="Table0"/>
              <w:tabs>
                <w:tab w:val="clear" w:pos="284"/>
                <w:tab w:val="decimal" w:pos="503"/>
              </w:tabs>
              <w:spacing w:before="60" w:after="60"/>
              <w:jc w:val="center"/>
              <w:rPr>
                <w:rFonts w:ascii="Times New Roman" w:hAnsi="Times New Roman"/>
                <w:sz w:val="19"/>
                <w:lang w:val="en-AU"/>
              </w:rPr>
            </w:pP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Fluid Retention</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59.2</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10.7</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1.8</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0.9</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 xml:space="preserve">  </w:t>
            </w:r>
            <w:r w:rsidRPr="00CC0663">
              <w:rPr>
                <w:rFonts w:ascii="Times New Roman" w:hAnsi="Times New Roman"/>
                <w:sz w:val="19"/>
                <w:lang w:val="en-AU"/>
              </w:rPr>
              <w:noBreakHyphen/>
              <w:t xml:space="preserve"> Superficial oedema</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57.5</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9.2</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1.1</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0.4</w:t>
            </w:r>
          </w:p>
        </w:tc>
      </w:tr>
      <w:tr w:rsidR="00DD6219" w:rsidRPr="00057C4C" w:rsidTr="00073C62">
        <w:trPr>
          <w:trHeight w:val="265"/>
        </w:trPr>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 xml:space="preserve">  </w:t>
            </w:r>
            <w:r w:rsidRPr="00CC0663">
              <w:rPr>
                <w:rFonts w:ascii="Times New Roman" w:hAnsi="Times New Roman"/>
                <w:sz w:val="19"/>
                <w:lang w:val="en-AU"/>
              </w:rPr>
              <w:noBreakHyphen/>
              <w:t xml:space="preserve"> Other Fluid </w:t>
            </w:r>
            <w:r w:rsidRPr="00057C4C">
              <w:rPr>
                <w:rFonts w:ascii="Times New Roman" w:hAnsi="Times New Roman"/>
                <w:sz w:val="19"/>
                <w:lang w:val="fr-FR"/>
              </w:rPr>
              <w:t>Retention Events</w:t>
            </w:r>
            <w:r w:rsidR="007F0916" w:rsidRPr="007F0916">
              <w:rPr>
                <w:rFonts w:ascii="Times New Roman" w:hAnsi="Times New Roman"/>
                <w:sz w:val="19"/>
                <w:vertAlign w:val="superscript"/>
                <w:lang w:val="fr-FR"/>
              </w:rPr>
              <w:t>2</w:t>
            </w:r>
          </w:p>
        </w:tc>
        <w:tc>
          <w:tcPr>
            <w:tcW w:w="1217" w:type="dxa"/>
          </w:tcPr>
          <w:p w:rsidR="00DD6219" w:rsidRPr="00CC0663" w:rsidRDefault="00DD6219" w:rsidP="00073C62">
            <w:pPr>
              <w:pStyle w:val="Table0"/>
              <w:spacing w:before="60" w:after="60"/>
              <w:jc w:val="center"/>
              <w:rPr>
                <w:rFonts w:ascii="Times New Roman" w:hAnsi="Times New Roman"/>
                <w:sz w:val="19"/>
                <w:lang w:val="en-AU"/>
              </w:rPr>
            </w:pPr>
            <w:r w:rsidRPr="00057C4C">
              <w:rPr>
                <w:rFonts w:ascii="Times New Roman" w:hAnsi="Times New Roman"/>
                <w:sz w:val="19"/>
                <w:lang w:val="fr-FR"/>
              </w:rPr>
              <w:t>6.9</w:t>
            </w:r>
          </w:p>
        </w:tc>
        <w:tc>
          <w:tcPr>
            <w:tcW w:w="1222" w:type="dxa"/>
          </w:tcPr>
          <w:p w:rsidR="00DD6219" w:rsidRPr="00CC0663" w:rsidRDefault="00DD6219" w:rsidP="00073C62">
            <w:pPr>
              <w:pStyle w:val="Table0"/>
              <w:tabs>
                <w:tab w:val="decimal" w:pos="503"/>
              </w:tabs>
              <w:spacing w:before="60" w:after="60"/>
              <w:jc w:val="center"/>
              <w:rPr>
                <w:rFonts w:ascii="Times New Roman" w:hAnsi="Times New Roman"/>
                <w:sz w:val="19"/>
                <w:lang w:val="en-AU"/>
              </w:rPr>
            </w:pPr>
            <w:r w:rsidRPr="00057C4C">
              <w:rPr>
                <w:rFonts w:ascii="Times New Roman" w:hAnsi="Times New Roman"/>
                <w:sz w:val="19"/>
                <w:lang w:val="fr-FR"/>
              </w:rPr>
              <w:t>1.9</w:t>
            </w:r>
          </w:p>
        </w:tc>
        <w:tc>
          <w:tcPr>
            <w:tcW w:w="1219" w:type="dxa"/>
          </w:tcPr>
          <w:p w:rsidR="00DD6219" w:rsidRPr="00CC0663" w:rsidRDefault="00DD6219" w:rsidP="00073C62">
            <w:pPr>
              <w:pStyle w:val="Table0"/>
              <w:tabs>
                <w:tab w:val="decimal" w:pos="503"/>
              </w:tabs>
              <w:spacing w:before="60" w:after="60"/>
              <w:jc w:val="center"/>
              <w:rPr>
                <w:rFonts w:ascii="Times New Roman" w:hAnsi="Times New Roman"/>
                <w:sz w:val="19"/>
                <w:lang w:val="en-AU"/>
              </w:rPr>
            </w:pPr>
            <w:r w:rsidRPr="00057C4C">
              <w:rPr>
                <w:rFonts w:ascii="Times New Roman" w:hAnsi="Times New Roman"/>
                <w:sz w:val="19"/>
                <w:lang w:val="fr-FR"/>
              </w:rPr>
              <w:t>0.7</w:t>
            </w:r>
          </w:p>
        </w:tc>
        <w:tc>
          <w:tcPr>
            <w:tcW w:w="1223" w:type="dxa"/>
          </w:tcPr>
          <w:p w:rsidR="00DD6219" w:rsidRPr="00CC0663" w:rsidRDefault="00DD6219" w:rsidP="00073C62">
            <w:pPr>
              <w:pStyle w:val="Table0"/>
              <w:tabs>
                <w:tab w:val="decimal" w:pos="503"/>
              </w:tabs>
              <w:spacing w:before="60" w:after="60"/>
              <w:jc w:val="center"/>
              <w:rPr>
                <w:rFonts w:ascii="Times New Roman" w:hAnsi="Times New Roman"/>
                <w:sz w:val="19"/>
                <w:lang w:val="en-AU"/>
              </w:rPr>
            </w:pPr>
            <w:r w:rsidRPr="00057C4C">
              <w:rPr>
                <w:rFonts w:ascii="Times New Roman" w:hAnsi="Times New Roman"/>
                <w:sz w:val="19"/>
                <w:lang w:val="fr-FR"/>
              </w:rPr>
              <w:t>0.6</w:t>
            </w:r>
          </w:p>
        </w:tc>
      </w:tr>
      <w:tr w:rsidR="00DD6219" w:rsidRPr="00057C4C" w:rsidTr="00073C62">
        <w:tc>
          <w:tcPr>
            <w:tcW w:w="4378" w:type="dxa"/>
          </w:tcPr>
          <w:p w:rsidR="00DD6219" w:rsidRPr="00057C4C" w:rsidRDefault="00DD6219" w:rsidP="00073C62">
            <w:pPr>
              <w:pStyle w:val="Table0"/>
              <w:tabs>
                <w:tab w:val="clear" w:pos="284"/>
              </w:tabs>
              <w:spacing w:before="60" w:after="60"/>
              <w:jc w:val="both"/>
              <w:rPr>
                <w:rFonts w:ascii="Times New Roman" w:hAnsi="Times New Roman"/>
                <w:sz w:val="19"/>
                <w:lang w:val="fr-FR"/>
              </w:rPr>
            </w:pPr>
            <w:r w:rsidRPr="00057C4C">
              <w:rPr>
                <w:rFonts w:ascii="Times New Roman" w:hAnsi="Times New Roman"/>
                <w:sz w:val="19"/>
                <w:lang w:val="fr-FR"/>
              </w:rPr>
              <w:t>Nausea</w:t>
            </w:r>
          </w:p>
        </w:tc>
        <w:tc>
          <w:tcPr>
            <w:tcW w:w="1217" w:type="dxa"/>
          </w:tcPr>
          <w:p w:rsidR="00DD6219" w:rsidRPr="00057C4C" w:rsidRDefault="00DD6219" w:rsidP="00073C62">
            <w:pPr>
              <w:pStyle w:val="Table0"/>
              <w:tabs>
                <w:tab w:val="clear" w:pos="284"/>
              </w:tabs>
              <w:spacing w:before="60" w:after="60"/>
              <w:jc w:val="center"/>
              <w:rPr>
                <w:rFonts w:ascii="Times New Roman" w:hAnsi="Times New Roman"/>
                <w:sz w:val="19"/>
                <w:lang w:val="fr-FR"/>
              </w:rPr>
            </w:pPr>
            <w:r w:rsidRPr="00057C4C">
              <w:rPr>
                <w:rFonts w:ascii="Times New Roman" w:hAnsi="Times New Roman"/>
                <w:sz w:val="19"/>
                <w:lang w:val="fr-FR"/>
              </w:rPr>
              <w:t>47.0</w:t>
            </w:r>
          </w:p>
        </w:tc>
        <w:tc>
          <w:tcPr>
            <w:tcW w:w="1222" w:type="dxa"/>
          </w:tcPr>
          <w:p w:rsidR="00DD6219" w:rsidRPr="00057C4C" w:rsidRDefault="00DD6219" w:rsidP="00073C62">
            <w:pPr>
              <w:pStyle w:val="Table0"/>
              <w:tabs>
                <w:tab w:val="clear" w:pos="284"/>
                <w:tab w:val="decimal" w:pos="503"/>
              </w:tabs>
              <w:spacing w:before="60" w:after="60"/>
              <w:rPr>
                <w:rFonts w:ascii="Times New Roman" w:hAnsi="Times New Roman"/>
                <w:sz w:val="19"/>
                <w:lang w:val="fr-FR"/>
              </w:rPr>
            </w:pPr>
            <w:r w:rsidRPr="00057C4C">
              <w:rPr>
                <w:rFonts w:ascii="Times New Roman" w:hAnsi="Times New Roman"/>
                <w:sz w:val="19"/>
                <w:lang w:val="fr-FR"/>
              </w:rPr>
              <w:t>61.5</w:t>
            </w:r>
          </w:p>
        </w:tc>
        <w:tc>
          <w:tcPr>
            <w:tcW w:w="1219" w:type="dxa"/>
          </w:tcPr>
          <w:p w:rsidR="00DD6219" w:rsidRPr="00057C4C" w:rsidRDefault="00DD6219" w:rsidP="00073C62">
            <w:pPr>
              <w:pStyle w:val="Table0"/>
              <w:tabs>
                <w:tab w:val="clear" w:pos="284"/>
                <w:tab w:val="decimal" w:pos="503"/>
              </w:tabs>
              <w:spacing w:before="60" w:after="60"/>
              <w:rPr>
                <w:rFonts w:ascii="Times New Roman" w:hAnsi="Times New Roman"/>
                <w:sz w:val="19"/>
                <w:lang w:val="fr-FR"/>
              </w:rPr>
            </w:pPr>
            <w:r w:rsidRPr="00057C4C">
              <w:rPr>
                <w:rFonts w:ascii="Times New Roman" w:hAnsi="Times New Roman"/>
                <w:sz w:val="19"/>
                <w:lang w:val="fr-FR"/>
              </w:rPr>
              <w:t>0.9</w:t>
            </w:r>
          </w:p>
        </w:tc>
        <w:tc>
          <w:tcPr>
            <w:tcW w:w="1223" w:type="dxa"/>
          </w:tcPr>
          <w:p w:rsidR="00DD6219" w:rsidRPr="00057C4C" w:rsidRDefault="00DD6219" w:rsidP="00073C62">
            <w:pPr>
              <w:pStyle w:val="Table0"/>
              <w:tabs>
                <w:tab w:val="clear" w:pos="284"/>
                <w:tab w:val="decimal" w:pos="503"/>
              </w:tabs>
              <w:spacing w:before="60" w:after="60"/>
              <w:rPr>
                <w:rFonts w:ascii="Times New Roman" w:hAnsi="Times New Roman"/>
                <w:sz w:val="19"/>
                <w:lang w:val="fr-FR"/>
              </w:rPr>
            </w:pPr>
            <w:r w:rsidRPr="00057C4C">
              <w:rPr>
                <w:rFonts w:ascii="Times New Roman" w:hAnsi="Times New Roman"/>
                <w:sz w:val="19"/>
                <w:lang w:val="fr-FR"/>
              </w:rPr>
              <w:t>5.1</w:t>
            </w:r>
          </w:p>
        </w:tc>
      </w:tr>
      <w:tr w:rsidR="00DD6219" w:rsidRPr="00057C4C" w:rsidTr="00073C62">
        <w:tc>
          <w:tcPr>
            <w:tcW w:w="4378" w:type="dxa"/>
          </w:tcPr>
          <w:p w:rsidR="00DD6219" w:rsidRPr="00057C4C" w:rsidRDefault="00DD6219" w:rsidP="00073C62">
            <w:pPr>
              <w:pStyle w:val="Table0"/>
              <w:tabs>
                <w:tab w:val="clear" w:pos="284"/>
              </w:tabs>
              <w:spacing w:before="60" w:after="60"/>
              <w:jc w:val="both"/>
              <w:rPr>
                <w:rFonts w:ascii="Times New Roman" w:hAnsi="Times New Roman"/>
                <w:sz w:val="19"/>
                <w:lang w:val="fr-FR"/>
              </w:rPr>
            </w:pPr>
            <w:r w:rsidRPr="00057C4C">
              <w:rPr>
                <w:rFonts w:ascii="Times New Roman" w:hAnsi="Times New Roman"/>
                <w:sz w:val="19"/>
                <w:lang w:val="fr-FR"/>
              </w:rPr>
              <w:t>Muscle Cramps</w:t>
            </w:r>
          </w:p>
        </w:tc>
        <w:tc>
          <w:tcPr>
            <w:tcW w:w="1217" w:type="dxa"/>
          </w:tcPr>
          <w:p w:rsidR="00DD6219" w:rsidRPr="00057C4C" w:rsidRDefault="00DD6219" w:rsidP="00073C62">
            <w:pPr>
              <w:pStyle w:val="Table0"/>
              <w:tabs>
                <w:tab w:val="clear" w:pos="284"/>
              </w:tabs>
              <w:spacing w:before="60" w:after="60"/>
              <w:jc w:val="center"/>
              <w:rPr>
                <w:rFonts w:ascii="Times New Roman" w:hAnsi="Times New Roman"/>
                <w:sz w:val="19"/>
                <w:lang w:val="fr-FR"/>
              </w:rPr>
            </w:pPr>
            <w:r w:rsidRPr="00057C4C">
              <w:rPr>
                <w:rFonts w:ascii="Times New Roman" w:hAnsi="Times New Roman"/>
                <w:sz w:val="19"/>
                <w:lang w:val="fr-FR"/>
              </w:rPr>
              <w:t>43.2</w:t>
            </w:r>
          </w:p>
        </w:tc>
        <w:tc>
          <w:tcPr>
            <w:tcW w:w="1222" w:type="dxa"/>
          </w:tcPr>
          <w:p w:rsidR="00DD6219" w:rsidRPr="00057C4C" w:rsidRDefault="00DD6219" w:rsidP="00073C62">
            <w:pPr>
              <w:pStyle w:val="Table0"/>
              <w:tabs>
                <w:tab w:val="clear" w:pos="284"/>
                <w:tab w:val="decimal" w:pos="503"/>
              </w:tabs>
              <w:spacing w:before="60" w:after="60"/>
              <w:rPr>
                <w:rFonts w:ascii="Times New Roman" w:hAnsi="Times New Roman"/>
                <w:sz w:val="19"/>
                <w:lang w:val="fr-FR"/>
              </w:rPr>
            </w:pPr>
            <w:r w:rsidRPr="00057C4C">
              <w:rPr>
                <w:rFonts w:ascii="Times New Roman" w:hAnsi="Times New Roman"/>
                <w:sz w:val="19"/>
                <w:lang w:val="fr-FR"/>
              </w:rPr>
              <w:t>11.4</w:t>
            </w:r>
          </w:p>
        </w:tc>
        <w:tc>
          <w:tcPr>
            <w:tcW w:w="1219" w:type="dxa"/>
          </w:tcPr>
          <w:p w:rsidR="00DD6219" w:rsidRPr="00057C4C" w:rsidRDefault="00DD6219" w:rsidP="00073C62">
            <w:pPr>
              <w:pStyle w:val="Table0"/>
              <w:tabs>
                <w:tab w:val="clear" w:pos="284"/>
                <w:tab w:val="decimal" w:pos="503"/>
              </w:tabs>
              <w:spacing w:before="60" w:after="60"/>
              <w:rPr>
                <w:rFonts w:ascii="Times New Roman" w:hAnsi="Times New Roman"/>
                <w:sz w:val="19"/>
                <w:lang w:val="fr-FR"/>
              </w:rPr>
            </w:pPr>
            <w:r w:rsidRPr="00057C4C">
              <w:rPr>
                <w:rFonts w:ascii="Times New Roman" w:hAnsi="Times New Roman"/>
                <w:sz w:val="19"/>
                <w:lang w:val="fr-FR"/>
              </w:rPr>
              <w:t>1.6</w:t>
            </w:r>
          </w:p>
        </w:tc>
        <w:tc>
          <w:tcPr>
            <w:tcW w:w="1223" w:type="dxa"/>
          </w:tcPr>
          <w:p w:rsidR="00DD6219" w:rsidRPr="00057C4C" w:rsidRDefault="00DD6219" w:rsidP="00073C62">
            <w:pPr>
              <w:pStyle w:val="Table0"/>
              <w:tabs>
                <w:tab w:val="clear" w:pos="284"/>
                <w:tab w:val="decimal" w:pos="503"/>
              </w:tabs>
              <w:spacing w:before="60" w:after="60"/>
              <w:rPr>
                <w:rFonts w:ascii="Times New Roman" w:hAnsi="Times New Roman"/>
                <w:sz w:val="19"/>
                <w:lang w:val="fr-FR"/>
              </w:rPr>
            </w:pPr>
            <w:r w:rsidRPr="00057C4C">
              <w:rPr>
                <w:rFonts w:ascii="Times New Roman" w:hAnsi="Times New Roman"/>
                <w:sz w:val="19"/>
                <w:lang w:val="fr-FR"/>
              </w:rPr>
              <w:t>0.2</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Musculoskeletal Pain</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39.2</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44.1</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3.4</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8.1</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Diarrhoea</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38.5</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42.0</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2.0</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3.2</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Rash and Related Terms</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37.2</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25.7</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2.4</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2.4</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Fatigue</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37.0</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66.8</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1.6</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25.0</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Headache</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33.6</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43.3</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0.5</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3.6</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Joint Pain</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30.3</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39.4</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2.5</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7.3</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Abdominal Pain</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29.9</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25.0</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2.5</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3.9</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Nasopharyngitis</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26.9</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8.4</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0.2</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Haemorrhage</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24.1</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20.8</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1.1</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1.5</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 GI Haemorrhage</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1.3</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1.1</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0.5</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0.2</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 CNS Haemorrhage</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0.2</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0.2</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0.2</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Myalgia</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22.5</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38.8</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1.5</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8.1</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Vomiting</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20.5</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27.4</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1.5</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3.4</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Dyspepsia</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17.8</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9.2</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0.8</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Cough</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17.4</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23.1</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0.2</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0.6</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Pharyngolaryngeal Pain</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16.9</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11.3</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0.25</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Upper Respiratory Tract Infection</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16.5</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8.4</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0.2</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0.4</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Dizziness</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15.8</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24.2</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0.9</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3.6</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Pyrexia</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15.4</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42.4</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0.9</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3.0</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Weight Increased</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15.2</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2.1</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1.6</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0.4</w:t>
            </w:r>
          </w:p>
        </w:tc>
      </w:tr>
      <w:tr w:rsidR="00DD6219" w:rsidRPr="00057C4C" w:rsidTr="00073C62">
        <w:tc>
          <w:tcPr>
            <w:tcW w:w="4378" w:type="dxa"/>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Insomnia</w:t>
            </w:r>
          </w:p>
        </w:tc>
        <w:tc>
          <w:tcPr>
            <w:tcW w:w="1217" w:type="dxa"/>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13.2</w:t>
            </w:r>
          </w:p>
        </w:tc>
        <w:tc>
          <w:tcPr>
            <w:tcW w:w="1222"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18.8</w:t>
            </w:r>
          </w:p>
        </w:tc>
        <w:tc>
          <w:tcPr>
            <w:tcW w:w="1219"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w:t>
            </w:r>
          </w:p>
        </w:tc>
        <w:tc>
          <w:tcPr>
            <w:tcW w:w="1223" w:type="dxa"/>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2.3</w:t>
            </w:r>
          </w:p>
        </w:tc>
      </w:tr>
      <w:tr w:rsidR="00DD6219" w:rsidRPr="00057C4C" w:rsidTr="00073C62">
        <w:tc>
          <w:tcPr>
            <w:tcW w:w="4378" w:type="dxa"/>
            <w:tcBorders>
              <w:bottom w:val="single" w:sz="4" w:space="0" w:color="auto"/>
            </w:tcBorders>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Depression</w:t>
            </w:r>
          </w:p>
        </w:tc>
        <w:tc>
          <w:tcPr>
            <w:tcW w:w="1217" w:type="dxa"/>
            <w:tcBorders>
              <w:bottom w:val="single" w:sz="4" w:space="0" w:color="auto"/>
            </w:tcBorders>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12.7</w:t>
            </w:r>
          </w:p>
        </w:tc>
        <w:tc>
          <w:tcPr>
            <w:tcW w:w="1222" w:type="dxa"/>
            <w:tcBorders>
              <w:bottom w:val="single" w:sz="4" w:space="0" w:color="auto"/>
            </w:tcBorders>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35.8</w:t>
            </w:r>
          </w:p>
        </w:tc>
        <w:tc>
          <w:tcPr>
            <w:tcW w:w="1219" w:type="dxa"/>
            <w:tcBorders>
              <w:bottom w:val="single" w:sz="4" w:space="0" w:color="auto"/>
            </w:tcBorders>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0.5</w:t>
            </w:r>
          </w:p>
        </w:tc>
        <w:tc>
          <w:tcPr>
            <w:tcW w:w="1223" w:type="dxa"/>
            <w:tcBorders>
              <w:bottom w:val="single" w:sz="4" w:space="0" w:color="auto"/>
            </w:tcBorders>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13.1</w:t>
            </w:r>
          </w:p>
        </w:tc>
      </w:tr>
      <w:tr w:rsidR="00DD6219" w:rsidRPr="00057C4C" w:rsidTr="00073C62">
        <w:tc>
          <w:tcPr>
            <w:tcW w:w="4378" w:type="dxa"/>
            <w:tcBorders>
              <w:bottom w:val="single" w:sz="4" w:space="0" w:color="auto"/>
            </w:tcBorders>
          </w:tcPr>
          <w:p w:rsidR="00DD6219" w:rsidRPr="00CC0663" w:rsidRDefault="00DD6219" w:rsidP="00073C62">
            <w:pPr>
              <w:pStyle w:val="Table0"/>
              <w:tabs>
                <w:tab w:val="clear" w:pos="284"/>
              </w:tabs>
              <w:spacing w:before="60" w:after="60"/>
              <w:jc w:val="both"/>
              <w:rPr>
                <w:rFonts w:ascii="Times New Roman" w:hAnsi="Times New Roman"/>
                <w:sz w:val="19"/>
                <w:lang w:val="en-AU"/>
              </w:rPr>
            </w:pPr>
            <w:r w:rsidRPr="00CC0663">
              <w:rPr>
                <w:rFonts w:ascii="Times New Roman" w:hAnsi="Times New Roman"/>
                <w:sz w:val="19"/>
                <w:lang w:val="en-AU"/>
              </w:rPr>
              <w:t>Influenza</w:t>
            </w:r>
          </w:p>
        </w:tc>
        <w:tc>
          <w:tcPr>
            <w:tcW w:w="1217" w:type="dxa"/>
            <w:tcBorders>
              <w:bottom w:val="single" w:sz="4" w:space="0" w:color="auto"/>
            </w:tcBorders>
          </w:tcPr>
          <w:p w:rsidR="00DD6219" w:rsidRPr="00CC0663" w:rsidRDefault="00DD6219" w:rsidP="00073C62">
            <w:pPr>
              <w:pStyle w:val="Table0"/>
              <w:tabs>
                <w:tab w:val="clear" w:pos="284"/>
              </w:tabs>
              <w:spacing w:before="60" w:after="60"/>
              <w:jc w:val="center"/>
              <w:rPr>
                <w:rFonts w:ascii="Times New Roman" w:hAnsi="Times New Roman"/>
                <w:sz w:val="19"/>
                <w:lang w:val="en-AU"/>
              </w:rPr>
            </w:pPr>
            <w:r w:rsidRPr="00CC0663">
              <w:rPr>
                <w:rFonts w:ascii="Times New Roman" w:hAnsi="Times New Roman"/>
                <w:sz w:val="19"/>
                <w:lang w:val="en-AU"/>
              </w:rPr>
              <w:t>11.1</w:t>
            </w:r>
          </w:p>
        </w:tc>
        <w:tc>
          <w:tcPr>
            <w:tcW w:w="1222" w:type="dxa"/>
            <w:tcBorders>
              <w:bottom w:val="single" w:sz="4" w:space="0" w:color="auto"/>
            </w:tcBorders>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6.0</w:t>
            </w:r>
          </w:p>
        </w:tc>
        <w:tc>
          <w:tcPr>
            <w:tcW w:w="1219" w:type="dxa"/>
            <w:tcBorders>
              <w:bottom w:val="single" w:sz="4" w:space="0" w:color="auto"/>
            </w:tcBorders>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0.2</w:t>
            </w:r>
          </w:p>
        </w:tc>
        <w:tc>
          <w:tcPr>
            <w:tcW w:w="1223" w:type="dxa"/>
            <w:tcBorders>
              <w:bottom w:val="single" w:sz="4" w:space="0" w:color="auto"/>
            </w:tcBorders>
          </w:tcPr>
          <w:p w:rsidR="00DD6219" w:rsidRPr="00CC0663" w:rsidRDefault="00DD6219" w:rsidP="00073C62">
            <w:pPr>
              <w:pStyle w:val="Table0"/>
              <w:tabs>
                <w:tab w:val="clear" w:pos="284"/>
                <w:tab w:val="decimal" w:pos="503"/>
              </w:tabs>
              <w:spacing w:before="60" w:after="60"/>
              <w:rPr>
                <w:rFonts w:ascii="Times New Roman" w:hAnsi="Times New Roman"/>
                <w:sz w:val="19"/>
                <w:lang w:val="en-AU"/>
              </w:rPr>
            </w:pPr>
            <w:r w:rsidRPr="00CC0663">
              <w:rPr>
                <w:rFonts w:ascii="Times New Roman" w:hAnsi="Times New Roman"/>
                <w:sz w:val="19"/>
                <w:lang w:val="en-AU"/>
              </w:rPr>
              <w:t>0.2</w:t>
            </w:r>
          </w:p>
        </w:tc>
      </w:tr>
    </w:tbl>
    <w:p w:rsidR="00014579" w:rsidRPr="00057C4C" w:rsidRDefault="00014579">
      <w:pPr>
        <w:pStyle w:val="Text"/>
        <w:spacing w:before="0"/>
        <w:jc w:val="left"/>
        <w:rPr>
          <w:sz w:val="20"/>
        </w:rPr>
      </w:pPr>
      <w:r w:rsidRPr="00057C4C">
        <w:rPr>
          <w:sz w:val="20"/>
          <w:vertAlign w:val="superscript"/>
        </w:rPr>
        <w:t xml:space="preserve">(1) </w:t>
      </w:r>
      <w:r w:rsidRPr="00057C4C">
        <w:rPr>
          <w:sz w:val="20"/>
        </w:rPr>
        <w:t xml:space="preserve">All adverse events occurring in </w:t>
      </w:r>
      <w:r w:rsidRPr="00057C4C">
        <w:rPr>
          <w:sz w:val="20"/>
        </w:rPr>
        <w:sym w:font="Symbol" w:char="F0B3"/>
      </w:r>
      <w:r w:rsidRPr="00057C4C">
        <w:rPr>
          <w:sz w:val="20"/>
        </w:rPr>
        <w:t>10% of patients are listed regardless of suspected relationship to treatment.</w:t>
      </w:r>
    </w:p>
    <w:p w:rsidR="00783F21" w:rsidRPr="00057C4C" w:rsidRDefault="00014579" w:rsidP="00241BF9">
      <w:pPr>
        <w:pStyle w:val="Text"/>
        <w:spacing w:before="0"/>
        <w:jc w:val="left"/>
        <w:rPr>
          <w:b/>
        </w:rPr>
      </w:pPr>
      <w:r w:rsidRPr="00057C4C">
        <w:rPr>
          <w:sz w:val="20"/>
          <w:vertAlign w:val="superscript"/>
        </w:rPr>
        <w:t xml:space="preserve">(2) </w:t>
      </w:r>
      <w:r w:rsidRPr="00057C4C">
        <w:rPr>
          <w:sz w:val="20"/>
        </w:rPr>
        <w:t>Other fluid retention events include pleural effusion, ascites, pulmonary oedema, pericardial effusion, anasarca, oedema aggravated and fluid retention not otherwise specified.</w:t>
      </w:r>
    </w:p>
    <w:p w:rsidR="00B62773" w:rsidRPr="00057C4C" w:rsidRDefault="009D4E28" w:rsidP="00273382">
      <w:pPr>
        <w:pStyle w:val="Text"/>
        <w:spacing w:after="120"/>
        <w:jc w:val="center"/>
        <w:rPr>
          <w:b/>
        </w:rPr>
      </w:pPr>
      <w:r>
        <w:rPr>
          <w:b/>
        </w:rPr>
        <w:br w:type="page"/>
      </w:r>
      <w:r w:rsidR="00014579" w:rsidRPr="00057C4C">
        <w:rPr>
          <w:b/>
        </w:rPr>
        <w:lastRenderedPageBreak/>
        <w:t xml:space="preserve">Table </w:t>
      </w:r>
      <w:r w:rsidR="006D2770" w:rsidRPr="00057C4C">
        <w:rPr>
          <w:b/>
        </w:rPr>
        <w:t>1</w:t>
      </w:r>
      <w:r w:rsidR="007403C9">
        <w:rPr>
          <w:b/>
        </w:rPr>
        <w:t>3</w:t>
      </w:r>
      <w:r w:rsidR="006D2770" w:rsidRPr="00057C4C">
        <w:rPr>
          <w:b/>
        </w:rPr>
        <w:t xml:space="preserve"> </w:t>
      </w:r>
      <w:r w:rsidR="00014579" w:rsidRPr="00057C4C">
        <w:rPr>
          <w:b/>
        </w:rPr>
        <w:t>Adverse events reported in CML patients in Studies  0102, 0109 and 0110</w:t>
      </w:r>
      <w:r w:rsidR="00273382" w:rsidRPr="00057C4C">
        <w:rPr>
          <w:b/>
        </w:rPr>
        <w:br/>
      </w:r>
      <w:r w:rsidR="00014579" w:rsidRPr="00057C4C">
        <w:rPr>
          <w:sz w:val="20"/>
        </w:rPr>
        <w:t>(</w:t>
      </w:r>
      <w:r w:rsidR="00014579" w:rsidRPr="00057C4C">
        <w:rPr>
          <w:sz w:val="20"/>
        </w:rPr>
        <w:sym w:font="Symbol" w:char="F0B3"/>
      </w:r>
      <w:r w:rsidR="00014579" w:rsidRPr="00057C4C">
        <w:rPr>
          <w:sz w:val="20"/>
        </w:rPr>
        <w:t>10% of all patients in any trial)</w:t>
      </w:r>
      <w:r w:rsidR="00014579" w:rsidRPr="00057C4C">
        <w:rPr>
          <w:sz w:val="20"/>
          <w:vertAlign w:val="superscript"/>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6"/>
        <w:gridCol w:w="1045"/>
        <w:gridCol w:w="994"/>
        <w:gridCol w:w="1179"/>
        <w:gridCol w:w="1239"/>
        <w:gridCol w:w="1179"/>
        <w:gridCol w:w="1184"/>
      </w:tblGrid>
      <w:tr w:rsidR="00DD6219" w:rsidRPr="00057C4C" w:rsidTr="00073C62">
        <w:trPr>
          <w:trHeight w:val="985"/>
        </w:trPr>
        <w:tc>
          <w:tcPr>
            <w:tcW w:w="2056" w:type="dxa"/>
            <w:shd w:val="clear" w:color="auto" w:fill="E0E0E0"/>
          </w:tcPr>
          <w:p w:rsidR="00DD6219" w:rsidRPr="00CC0663" w:rsidRDefault="00DD6219" w:rsidP="00073C62">
            <w:pPr>
              <w:pStyle w:val="Table0"/>
              <w:tabs>
                <w:tab w:val="clear" w:pos="284"/>
              </w:tabs>
              <w:rPr>
                <w:rFonts w:ascii="Times New Roman" w:hAnsi="Times New Roman"/>
                <w:b/>
                <w:sz w:val="19"/>
                <w:lang w:val="en-AU"/>
              </w:rPr>
            </w:pPr>
          </w:p>
        </w:tc>
        <w:tc>
          <w:tcPr>
            <w:tcW w:w="2039" w:type="dxa"/>
            <w:gridSpan w:val="2"/>
            <w:shd w:val="clear" w:color="auto" w:fill="E0E0E0"/>
          </w:tcPr>
          <w:p w:rsidR="00DD6219" w:rsidRPr="00CC0663" w:rsidRDefault="00DD6219" w:rsidP="00073C62">
            <w:pPr>
              <w:pStyle w:val="Table0"/>
              <w:tabs>
                <w:tab w:val="clear" w:pos="284"/>
              </w:tabs>
              <w:jc w:val="center"/>
              <w:rPr>
                <w:rFonts w:ascii="Times New Roman" w:hAnsi="Times New Roman"/>
                <w:b/>
                <w:sz w:val="19"/>
                <w:lang w:val="en-AU"/>
              </w:rPr>
            </w:pPr>
            <w:r w:rsidRPr="00CC0663">
              <w:rPr>
                <w:rFonts w:ascii="Times New Roman" w:hAnsi="Times New Roman"/>
                <w:b/>
                <w:sz w:val="19"/>
                <w:lang w:val="en-AU"/>
              </w:rPr>
              <w:t>Myeloid Blast</w:t>
            </w:r>
          </w:p>
          <w:p w:rsidR="00DD6219" w:rsidRPr="00057C4C" w:rsidRDefault="00DD6219" w:rsidP="00073C62">
            <w:pPr>
              <w:pStyle w:val="Table0"/>
              <w:tabs>
                <w:tab w:val="clear" w:pos="284"/>
              </w:tabs>
              <w:spacing w:before="0" w:after="0"/>
              <w:jc w:val="center"/>
              <w:rPr>
                <w:rFonts w:ascii="Times New Roman" w:hAnsi="Times New Roman"/>
                <w:b/>
                <w:sz w:val="19"/>
                <w:lang w:val="pt-BR"/>
              </w:rPr>
            </w:pPr>
            <w:r w:rsidRPr="00057C4C">
              <w:rPr>
                <w:rFonts w:ascii="Times New Roman" w:hAnsi="Times New Roman"/>
                <w:b/>
                <w:sz w:val="19"/>
                <w:lang w:val="pt-BR"/>
              </w:rPr>
              <w:t>Crisis</w:t>
            </w:r>
          </w:p>
          <w:p w:rsidR="00DD6219" w:rsidRPr="00057C4C" w:rsidRDefault="00DD6219" w:rsidP="00073C62">
            <w:pPr>
              <w:pStyle w:val="Table0"/>
              <w:tabs>
                <w:tab w:val="clear" w:pos="284"/>
              </w:tabs>
              <w:spacing w:before="0" w:after="0"/>
              <w:jc w:val="center"/>
              <w:rPr>
                <w:rFonts w:ascii="Times New Roman" w:hAnsi="Times New Roman"/>
                <w:b/>
                <w:sz w:val="19"/>
                <w:lang w:val="pt-BR"/>
              </w:rPr>
            </w:pPr>
            <w:r w:rsidRPr="00057C4C">
              <w:rPr>
                <w:rFonts w:ascii="Times New Roman" w:hAnsi="Times New Roman"/>
                <w:b/>
                <w:sz w:val="19"/>
                <w:lang w:val="pt-BR"/>
              </w:rPr>
              <w:t>(</w:t>
            </w:r>
            <w:r w:rsidR="00DD2067" w:rsidRPr="00057C4C">
              <w:rPr>
                <w:rFonts w:ascii="Times New Roman" w:hAnsi="Times New Roman"/>
                <w:b/>
                <w:sz w:val="19"/>
                <w:lang w:val="pt-BR"/>
              </w:rPr>
              <w:t>N</w:t>
            </w:r>
            <w:r w:rsidRPr="00057C4C">
              <w:rPr>
                <w:rFonts w:ascii="Times New Roman" w:hAnsi="Times New Roman"/>
                <w:b/>
                <w:sz w:val="19"/>
                <w:lang w:val="pt-BR"/>
              </w:rPr>
              <w:t>= 260)</w:t>
            </w:r>
          </w:p>
          <w:p w:rsidR="00DD6219" w:rsidRPr="00CC0663" w:rsidRDefault="00DD6219" w:rsidP="00073C62">
            <w:pPr>
              <w:pStyle w:val="Table0"/>
              <w:jc w:val="center"/>
              <w:rPr>
                <w:rFonts w:ascii="Times New Roman" w:hAnsi="Times New Roman"/>
                <w:b/>
                <w:sz w:val="19"/>
                <w:lang w:val="en-AU"/>
              </w:rPr>
            </w:pPr>
            <w:r w:rsidRPr="00057C4C">
              <w:rPr>
                <w:rFonts w:ascii="Times New Roman" w:hAnsi="Times New Roman"/>
                <w:b/>
                <w:sz w:val="19"/>
                <w:lang w:val="sv-SE"/>
              </w:rPr>
              <w:t>%</w:t>
            </w:r>
          </w:p>
        </w:tc>
        <w:tc>
          <w:tcPr>
            <w:tcW w:w="2418" w:type="dxa"/>
            <w:gridSpan w:val="2"/>
            <w:shd w:val="clear" w:color="auto" w:fill="E0E0E0"/>
          </w:tcPr>
          <w:p w:rsidR="00DD6219" w:rsidRPr="00CC0663" w:rsidRDefault="00DD6219" w:rsidP="00073C62">
            <w:pPr>
              <w:pStyle w:val="Table0"/>
              <w:tabs>
                <w:tab w:val="clear" w:pos="284"/>
              </w:tabs>
              <w:jc w:val="center"/>
              <w:rPr>
                <w:rFonts w:ascii="Times New Roman" w:hAnsi="Times New Roman"/>
                <w:b/>
                <w:sz w:val="19"/>
                <w:lang w:val="en-AU"/>
              </w:rPr>
            </w:pPr>
            <w:r w:rsidRPr="00CC0663">
              <w:rPr>
                <w:rFonts w:ascii="Times New Roman" w:hAnsi="Times New Roman"/>
                <w:b/>
                <w:sz w:val="19"/>
                <w:lang w:val="en-AU"/>
              </w:rPr>
              <w:t>Accelerated</w:t>
            </w:r>
          </w:p>
          <w:p w:rsidR="00DD6219" w:rsidRPr="00057C4C" w:rsidRDefault="00DD6219" w:rsidP="00073C62">
            <w:pPr>
              <w:pStyle w:val="Table0"/>
              <w:tabs>
                <w:tab w:val="clear" w:pos="284"/>
              </w:tabs>
              <w:spacing w:before="0" w:after="0"/>
              <w:jc w:val="center"/>
              <w:rPr>
                <w:rFonts w:ascii="Times New Roman" w:hAnsi="Times New Roman"/>
                <w:b/>
                <w:sz w:val="19"/>
                <w:lang w:val="pt-BR"/>
              </w:rPr>
            </w:pPr>
            <w:r w:rsidRPr="00057C4C">
              <w:rPr>
                <w:rFonts w:ascii="Times New Roman" w:hAnsi="Times New Roman"/>
                <w:b/>
                <w:sz w:val="19"/>
                <w:lang w:val="pt-BR"/>
              </w:rPr>
              <w:t>Phase</w:t>
            </w:r>
          </w:p>
          <w:p w:rsidR="00DD6219" w:rsidRPr="00057C4C" w:rsidRDefault="00DD6219" w:rsidP="00073C62">
            <w:pPr>
              <w:pStyle w:val="Table0"/>
              <w:tabs>
                <w:tab w:val="clear" w:pos="284"/>
              </w:tabs>
              <w:spacing w:before="0" w:after="0"/>
              <w:jc w:val="center"/>
              <w:rPr>
                <w:rFonts w:ascii="Times New Roman" w:hAnsi="Times New Roman"/>
                <w:b/>
                <w:sz w:val="19"/>
                <w:lang w:val="pt-BR"/>
              </w:rPr>
            </w:pPr>
            <w:r w:rsidRPr="00057C4C">
              <w:rPr>
                <w:rFonts w:ascii="Times New Roman" w:hAnsi="Times New Roman"/>
                <w:b/>
                <w:sz w:val="19"/>
                <w:lang w:val="pt-BR"/>
              </w:rPr>
              <w:t>(</w:t>
            </w:r>
            <w:r w:rsidR="00DD2067" w:rsidRPr="00057C4C">
              <w:rPr>
                <w:rFonts w:ascii="Times New Roman" w:hAnsi="Times New Roman"/>
                <w:b/>
                <w:sz w:val="19"/>
                <w:lang w:val="pt-BR"/>
              </w:rPr>
              <w:t>N</w:t>
            </w:r>
            <w:r w:rsidRPr="00057C4C">
              <w:rPr>
                <w:rFonts w:ascii="Times New Roman" w:hAnsi="Times New Roman"/>
                <w:b/>
                <w:sz w:val="19"/>
                <w:lang w:val="pt-BR"/>
              </w:rPr>
              <w:t>=235)</w:t>
            </w:r>
          </w:p>
          <w:p w:rsidR="00DD6219" w:rsidRPr="00CC0663" w:rsidRDefault="00DD6219" w:rsidP="00073C62">
            <w:pPr>
              <w:pStyle w:val="Table0"/>
              <w:jc w:val="center"/>
              <w:rPr>
                <w:rFonts w:ascii="Times New Roman" w:hAnsi="Times New Roman"/>
                <w:b/>
                <w:sz w:val="19"/>
                <w:lang w:val="en-AU"/>
              </w:rPr>
            </w:pPr>
            <w:r w:rsidRPr="00057C4C">
              <w:rPr>
                <w:rFonts w:ascii="Times New Roman" w:hAnsi="Times New Roman"/>
                <w:b/>
                <w:sz w:val="19"/>
                <w:lang w:val="sv-SE"/>
              </w:rPr>
              <w:t>%</w:t>
            </w:r>
          </w:p>
        </w:tc>
        <w:tc>
          <w:tcPr>
            <w:tcW w:w="2363" w:type="dxa"/>
            <w:gridSpan w:val="2"/>
            <w:shd w:val="clear" w:color="auto" w:fill="E0E0E0"/>
          </w:tcPr>
          <w:p w:rsidR="00DD6219" w:rsidRPr="00CC0663" w:rsidRDefault="00DD6219" w:rsidP="00073C62">
            <w:pPr>
              <w:pStyle w:val="Table0"/>
              <w:tabs>
                <w:tab w:val="clear" w:pos="284"/>
              </w:tabs>
              <w:jc w:val="center"/>
              <w:rPr>
                <w:rFonts w:ascii="Times New Roman" w:hAnsi="Times New Roman"/>
                <w:b/>
                <w:sz w:val="19"/>
                <w:lang w:val="en-AU"/>
              </w:rPr>
            </w:pPr>
            <w:r w:rsidRPr="00CC0663">
              <w:rPr>
                <w:rFonts w:ascii="Times New Roman" w:hAnsi="Times New Roman"/>
                <w:b/>
                <w:sz w:val="19"/>
                <w:lang w:val="en-AU"/>
              </w:rPr>
              <w:t>Chronic Phase,</w:t>
            </w:r>
          </w:p>
          <w:p w:rsidR="00DD6219" w:rsidRPr="00CC0663" w:rsidRDefault="00DD6219" w:rsidP="00073C62">
            <w:pPr>
              <w:pStyle w:val="Table0"/>
              <w:tabs>
                <w:tab w:val="clear" w:pos="284"/>
              </w:tabs>
              <w:spacing w:before="0" w:after="0"/>
              <w:jc w:val="center"/>
              <w:rPr>
                <w:rFonts w:ascii="Times New Roman" w:hAnsi="Times New Roman"/>
                <w:b/>
                <w:sz w:val="19"/>
                <w:lang w:val="en-AU"/>
              </w:rPr>
            </w:pPr>
            <w:r w:rsidRPr="00CC0663">
              <w:rPr>
                <w:rFonts w:ascii="Times New Roman" w:hAnsi="Times New Roman"/>
                <w:b/>
                <w:sz w:val="19"/>
                <w:lang w:val="en-AU"/>
              </w:rPr>
              <w:t>IFN Failure</w:t>
            </w:r>
          </w:p>
          <w:p w:rsidR="00DD6219" w:rsidRPr="00CC0663" w:rsidRDefault="00DD6219" w:rsidP="00073C62">
            <w:pPr>
              <w:pStyle w:val="Table0"/>
              <w:tabs>
                <w:tab w:val="clear" w:pos="284"/>
              </w:tabs>
              <w:spacing w:before="0" w:after="0"/>
              <w:jc w:val="center"/>
              <w:rPr>
                <w:rFonts w:ascii="Times New Roman" w:hAnsi="Times New Roman"/>
                <w:b/>
                <w:sz w:val="19"/>
                <w:lang w:val="en-AU"/>
              </w:rPr>
            </w:pPr>
            <w:r w:rsidRPr="00CC0663">
              <w:rPr>
                <w:rFonts w:ascii="Times New Roman" w:hAnsi="Times New Roman"/>
                <w:b/>
                <w:sz w:val="19"/>
                <w:lang w:val="en-AU"/>
              </w:rPr>
              <w:t>(</w:t>
            </w:r>
            <w:r w:rsidR="00DD2067" w:rsidRPr="00CC0663">
              <w:rPr>
                <w:rFonts w:ascii="Times New Roman" w:hAnsi="Times New Roman"/>
                <w:b/>
                <w:sz w:val="19"/>
                <w:lang w:val="en-AU"/>
              </w:rPr>
              <w:t>N</w:t>
            </w:r>
            <w:r w:rsidRPr="00CC0663">
              <w:rPr>
                <w:rFonts w:ascii="Times New Roman" w:hAnsi="Times New Roman"/>
                <w:b/>
                <w:sz w:val="19"/>
                <w:lang w:val="en-AU"/>
              </w:rPr>
              <w:t>=532)</w:t>
            </w:r>
          </w:p>
          <w:p w:rsidR="00DD6219" w:rsidRPr="00CC0663" w:rsidRDefault="00DD6219" w:rsidP="00073C62">
            <w:pPr>
              <w:pStyle w:val="Table0"/>
              <w:jc w:val="center"/>
              <w:rPr>
                <w:rFonts w:ascii="Times New Roman" w:hAnsi="Times New Roman"/>
                <w:b/>
                <w:sz w:val="19"/>
                <w:lang w:val="en-AU"/>
              </w:rPr>
            </w:pPr>
            <w:r w:rsidRPr="00057C4C">
              <w:rPr>
                <w:rFonts w:ascii="Times New Roman" w:hAnsi="Times New Roman"/>
                <w:b/>
                <w:sz w:val="19"/>
                <w:lang w:val="sv-SE"/>
              </w:rPr>
              <w:t>%</w:t>
            </w:r>
          </w:p>
        </w:tc>
      </w:tr>
      <w:tr w:rsidR="00DD6219" w:rsidRPr="00057C4C" w:rsidTr="00073C62">
        <w:trPr>
          <w:trHeight w:val="719"/>
        </w:trPr>
        <w:tc>
          <w:tcPr>
            <w:tcW w:w="2056" w:type="dxa"/>
          </w:tcPr>
          <w:p w:rsidR="00DD6219" w:rsidRPr="00057C4C" w:rsidRDefault="00DD6219" w:rsidP="00073C62">
            <w:pPr>
              <w:pStyle w:val="Table0"/>
              <w:spacing w:before="60" w:after="60"/>
              <w:rPr>
                <w:rFonts w:ascii="Times New Roman" w:hAnsi="Times New Roman"/>
                <w:b/>
                <w:sz w:val="19"/>
                <w:lang w:val="sv-SE"/>
              </w:rPr>
            </w:pPr>
            <w:r w:rsidRPr="00CC0663">
              <w:rPr>
                <w:rFonts w:ascii="Times New Roman" w:hAnsi="Times New Roman"/>
                <w:b/>
                <w:sz w:val="19"/>
                <w:lang w:val="en-AU"/>
              </w:rPr>
              <w:t>Preferred Term</w:t>
            </w:r>
          </w:p>
        </w:tc>
        <w:tc>
          <w:tcPr>
            <w:tcW w:w="1045" w:type="dxa"/>
          </w:tcPr>
          <w:p w:rsidR="00DD6219" w:rsidRPr="00057C4C" w:rsidRDefault="00DD6219" w:rsidP="00073C62">
            <w:pPr>
              <w:pStyle w:val="Table0"/>
              <w:tabs>
                <w:tab w:val="clear" w:pos="284"/>
              </w:tabs>
              <w:spacing w:before="60" w:after="60"/>
              <w:jc w:val="center"/>
              <w:rPr>
                <w:rFonts w:ascii="Times New Roman" w:hAnsi="Times New Roman"/>
                <w:b/>
                <w:sz w:val="19"/>
                <w:lang w:val="sv-SE"/>
              </w:rPr>
            </w:pPr>
            <w:r w:rsidRPr="00057C4C">
              <w:rPr>
                <w:rFonts w:ascii="Times New Roman" w:hAnsi="Times New Roman"/>
                <w:b/>
                <w:sz w:val="19"/>
                <w:lang w:val="sv-SE"/>
              </w:rPr>
              <w:t>All</w:t>
            </w:r>
            <w:r w:rsidR="00893B31" w:rsidRPr="00057C4C">
              <w:rPr>
                <w:rFonts w:ascii="Times New Roman" w:hAnsi="Times New Roman"/>
                <w:b/>
                <w:sz w:val="19"/>
                <w:lang w:val="sv-SE"/>
              </w:rPr>
              <w:br/>
            </w:r>
            <w:r w:rsidRPr="00CC0663">
              <w:rPr>
                <w:rFonts w:ascii="Times New Roman" w:hAnsi="Times New Roman"/>
                <w:b/>
                <w:sz w:val="19"/>
                <w:lang w:val="en-AU"/>
              </w:rPr>
              <w:t>Grades</w:t>
            </w:r>
          </w:p>
        </w:tc>
        <w:tc>
          <w:tcPr>
            <w:tcW w:w="994" w:type="dxa"/>
          </w:tcPr>
          <w:p w:rsidR="00DD6219" w:rsidRPr="00057C4C" w:rsidRDefault="00DD6219" w:rsidP="00073C62">
            <w:pPr>
              <w:pStyle w:val="Table0"/>
              <w:tabs>
                <w:tab w:val="clear" w:pos="284"/>
              </w:tabs>
              <w:spacing w:before="60" w:after="60"/>
              <w:jc w:val="center"/>
              <w:rPr>
                <w:rFonts w:ascii="Times New Roman" w:hAnsi="Times New Roman"/>
                <w:b/>
                <w:sz w:val="19"/>
                <w:lang w:val="sv-SE"/>
              </w:rPr>
            </w:pPr>
            <w:r w:rsidRPr="00057C4C">
              <w:rPr>
                <w:rFonts w:ascii="Times New Roman" w:hAnsi="Times New Roman"/>
                <w:b/>
                <w:sz w:val="19"/>
                <w:lang w:val="sv-SE"/>
              </w:rPr>
              <w:t>Grade</w:t>
            </w:r>
            <w:r w:rsidR="00893B31" w:rsidRPr="00057C4C">
              <w:rPr>
                <w:rFonts w:ascii="Times New Roman" w:hAnsi="Times New Roman"/>
                <w:b/>
                <w:sz w:val="19"/>
                <w:lang w:val="sv-SE"/>
              </w:rPr>
              <w:br/>
            </w:r>
            <w:r w:rsidRPr="00CC0663">
              <w:rPr>
                <w:rFonts w:ascii="Times New Roman" w:hAnsi="Times New Roman"/>
                <w:b/>
                <w:sz w:val="19"/>
                <w:lang w:val="en-AU"/>
              </w:rPr>
              <w:t>3/4</w:t>
            </w:r>
          </w:p>
        </w:tc>
        <w:tc>
          <w:tcPr>
            <w:tcW w:w="1179" w:type="dxa"/>
          </w:tcPr>
          <w:p w:rsidR="00DD6219" w:rsidRPr="00057C4C" w:rsidRDefault="00DD6219" w:rsidP="00073C62">
            <w:pPr>
              <w:pStyle w:val="Table0"/>
              <w:tabs>
                <w:tab w:val="clear" w:pos="284"/>
              </w:tabs>
              <w:spacing w:before="60" w:after="60"/>
              <w:jc w:val="center"/>
              <w:rPr>
                <w:rFonts w:ascii="Times New Roman" w:hAnsi="Times New Roman"/>
                <w:b/>
                <w:sz w:val="19"/>
                <w:lang w:val="sv-SE"/>
              </w:rPr>
            </w:pPr>
            <w:r w:rsidRPr="00057C4C">
              <w:rPr>
                <w:rFonts w:ascii="Times New Roman" w:hAnsi="Times New Roman"/>
                <w:b/>
                <w:sz w:val="19"/>
                <w:lang w:val="sv-SE"/>
              </w:rPr>
              <w:t>All</w:t>
            </w:r>
            <w:r w:rsidR="00893B31" w:rsidRPr="00057C4C">
              <w:rPr>
                <w:rFonts w:ascii="Times New Roman" w:hAnsi="Times New Roman"/>
                <w:b/>
                <w:sz w:val="19"/>
                <w:lang w:val="sv-SE"/>
              </w:rPr>
              <w:br/>
            </w:r>
            <w:r w:rsidRPr="00CC0663">
              <w:rPr>
                <w:rFonts w:ascii="Times New Roman" w:hAnsi="Times New Roman"/>
                <w:b/>
                <w:sz w:val="19"/>
                <w:lang w:val="en-AU"/>
              </w:rPr>
              <w:t>Grades</w:t>
            </w:r>
          </w:p>
        </w:tc>
        <w:tc>
          <w:tcPr>
            <w:tcW w:w="1239" w:type="dxa"/>
          </w:tcPr>
          <w:p w:rsidR="00DD6219" w:rsidRPr="00057C4C" w:rsidRDefault="00DD6219" w:rsidP="00073C62">
            <w:pPr>
              <w:pStyle w:val="Table0"/>
              <w:tabs>
                <w:tab w:val="clear" w:pos="284"/>
              </w:tabs>
              <w:spacing w:before="60" w:after="60"/>
              <w:jc w:val="center"/>
              <w:rPr>
                <w:rFonts w:ascii="Times New Roman" w:hAnsi="Times New Roman"/>
                <w:b/>
                <w:sz w:val="19"/>
                <w:lang w:val="sv-SE"/>
              </w:rPr>
            </w:pPr>
            <w:r w:rsidRPr="00057C4C">
              <w:rPr>
                <w:rFonts w:ascii="Times New Roman" w:hAnsi="Times New Roman"/>
                <w:b/>
                <w:sz w:val="19"/>
                <w:lang w:val="sv-SE"/>
              </w:rPr>
              <w:t>Grade</w:t>
            </w:r>
            <w:r w:rsidR="00893B31" w:rsidRPr="00057C4C">
              <w:rPr>
                <w:rFonts w:ascii="Times New Roman" w:hAnsi="Times New Roman"/>
                <w:b/>
                <w:sz w:val="19"/>
                <w:lang w:val="sv-SE"/>
              </w:rPr>
              <w:br/>
            </w:r>
            <w:r w:rsidRPr="00CC0663">
              <w:rPr>
                <w:rFonts w:ascii="Times New Roman" w:hAnsi="Times New Roman"/>
                <w:b/>
                <w:sz w:val="19"/>
                <w:lang w:val="en-AU"/>
              </w:rPr>
              <w:t>3/4</w:t>
            </w:r>
          </w:p>
        </w:tc>
        <w:tc>
          <w:tcPr>
            <w:tcW w:w="1179" w:type="dxa"/>
          </w:tcPr>
          <w:p w:rsidR="00DD6219" w:rsidRPr="00057C4C" w:rsidRDefault="00DD6219" w:rsidP="00073C62">
            <w:pPr>
              <w:pStyle w:val="Table0"/>
              <w:tabs>
                <w:tab w:val="clear" w:pos="284"/>
              </w:tabs>
              <w:spacing w:before="60" w:after="60"/>
              <w:jc w:val="center"/>
              <w:rPr>
                <w:rFonts w:ascii="Times New Roman" w:hAnsi="Times New Roman"/>
                <w:b/>
                <w:sz w:val="19"/>
                <w:lang w:val="sv-SE"/>
              </w:rPr>
            </w:pPr>
            <w:r w:rsidRPr="00057C4C">
              <w:rPr>
                <w:rFonts w:ascii="Times New Roman" w:hAnsi="Times New Roman"/>
                <w:b/>
                <w:sz w:val="19"/>
                <w:lang w:val="sv-SE"/>
              </w:rPr>
              <w:t>All</w:t>
            </w:r>
            <w:r w:rsidR="00893B31" w:rsidRPr="00057C4C">
              <w:rPr>
                <w:rFonts w:ascii="Times New Roman" w:hAnsi="Times New Roman"/>
                <w:b/>
                <w:sz w:val="19"/>
                <w:lang w:val="sv-SE"/>
              </w:rPr>
              <w:br/>
            </w:r>
            <w:r w:rsidRPr="00CC0663">
              <w:rPr>
                <w:rFonts w:ascii="Times New Roman" w:hAnsi="Times New Roman"/>
                <w:b/>
                <w:sz w:val="19"/>
                <w:lang w:val="en-AU"/>
              </w:rPr>
              <w:t>Grades</w:t>
            </w:r>
          </w:p>
        </w:tc>
        <w:tc>
          <w:tcPr>
            <w:tcW w:w="1184" w:type="dxa"/>
          </w:tcPr>
          <w:p w:rsidR="00DD6219" w:rsidRPr="00057C4C" w:rsidRDefault="00DD6219" w:rsidP="00073C62">
            <w:pPr>
              <w:pStyle w:val="Table0"/>
              <w:tabs>
                <w:tab w:val="clear" w:pos="284"/>
              </w:tabs>
              <w:spacing w:before="60" w:after="60"/>
              <w:jc w:val="center"/>
              <w:rPr>
                <w:rFonts w:ascii="Times New Roman" w:hAnsi="Times New Roman"/>
                <w:b/>
                <w:sz w:val="19"/>
                <w:lang w:val="sv-SE"/>
              </w:rPr>
            </w:pPr>
            <w:r w:rsidRPr="00057C4C">
              <w:rPr>
                <w:rFonts w:ascii="Times New Roman" w:hAnsi="Times New Roman"/>
                <w:b/>
                <w:sz w:val="19"/>
                <w:lang w:val="sv-SE"/>
              </w:rPr>
              <w:t>Grade</w:t>
            </w:r>
            <w:r w:rsidR="00893B31" w:rsidRPr="00057C4C">
              <w:rPr>
                <w:rFonts w:ascii="Times New Roman" w:hAnsi="Times New Roman"/>
                <w:b/>
                <w:sz w:val="19"/>
                <w:lang w:val="sv-SE"/>
              </w:rPr>
              <w:br/>
            </w:r>
            <w:r w:rsidRPr="00CC0663">
              <w:rPr>
                <w:rFonts w:ascii="Times New Roman" w:hAnsi="Times New Roman"/>
                <w:b/>
                <w:sz w:val="19"/>
                <w:lang w:val="en-AU"/>
              </w:rPr>
              <w:t>3/4</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Fluid Retention</w:t>
            </w:r>
          </w:p>
        </w:tc>
        <w:tc>
          <w:tcPr>
            <w:tcW w:w="1045" w:type="dxa"/>
          </w:tcPr>
          <w:p w:rsidR="00DD6219" w:rsidRPr="00057C4C" w:rsidRDefault="00DD6219" w:rsidP="00073C62">
            <w:pPr>
              <w:spacing w:before="60" w:after="60"/>
              <w:jc w:val="center"/>
              <w:rPr>
                <w:sz w:val="19"/>
              </w:rPr>
            </w:pPr>
            <w:r w:rsidRPr="00057C4C">
              <w:rPr>
                <w:sz w:val="19"/>
              </w:rPr>
              <w:t>72</w:t>
            </w:r>
          </w:p>
        </w:tc>
        <w:tc>
          <w:tcPr>
            <w:tcW w:w="994" w:type="dxa"/>
          </w:tcPr>
          <w:p w:rsidR="00DD6219" w:rsidRPr="00057C4C" w:rsidRDefault="00DD6219" w:rsidP="00073C62">
            <w:pPr>
              <w:spacing w:before="60" w:after="60"/>
              <w:jc w:val="center"/>
              <w:rPr>
                <w:sz w:val="19"/>
              </w:rPr>
            </w:pPr>
            <w:r w:rsidRPr="00057C4C">
              <w:rPr>
                <w:sz w:val="19"/>
              </w:rPr>
              <w:t>11</w:t>
            </w:r>
          </w:p>
        </w:tc>
        <w:tc>
          <w:tcPr>
            <w:tcW w:w="1179" w:type="dxa"/>
          </w:tcPr>
          <w:p w:rsidR="00DD6219" w:rsidRPr="00057C4C" w:rsidRDefault="00DD6219" w:rsidP="00073C62">
            <w:pPr>
              <w:spacing w:before="60" w:after="60"/>
              <w:jc w:val="center"/>
              <w:rPr>
                <w:sz w:val="19"/>
              </w:rPr>
            </w:pPr>
            <w:r w:rsidRPr="00057C4C">
              <w:rPr>
                <w:sz w:val="19"/>
              </w:rPr>
              <w:t>76</w:t>
            </w:r>
          </w:p>
        </w:tc>
        <w:tc>
          <w:tcPr>
            <w:tcW w:w="1239" w:type="dxa"/>
          </w:tcPr>
          <w:p w:rsidR="00DD6219" w:rsidRPr="00057C4C" w:rsidRDefault="00DD6219" w:rsidP="00073C62">
            <w:pPr>
              <w:spacing w:before="60" w:after="60"/>
              <w:jc w:val="center"/>
              <w:rPr>
                <w:sz w:val="19"/>
              </w:rPr>
            </w:pPr>
            <w:r w:rsidRPr="00057C4C">
              <w:rPr>
                <w:sz w:val="19"/>
              </w:rPr>
              <w:t>6</w:t>
            </w:r>
          </w:p>
        </w:tc>
        <w:tc>
          <w:tcPr>
            <w:tcW w:w="1179" w:type="dxa"/>
          </w:tcPr>
          <w:p w:rsidR="00DD6219" w:rsidRPr="00057C4C" w:rsidRDefault="00DD6219" w:rsidP="00073C62">
            <w:pPr>
              <w:spacing w:before="60" w:after="60"/>
              <w:jc w:val="center"/>
              <w:rPr>
                <w:sz w:val="19"/>
              </w:rPr>
            </w:pPr>
            <w:r w:rsidRPr="00057C4C">
              <w:rPr>
                <w:sz w:val="19"/>
              </w:rPr>
              <w:t>69</w:t>
            </w:r>
          </w:p>
        </w:tc>
        <w:tc>
          <w:tcPr>
            <w:tcW w:w="1184" w:type="dxa"/>
          </w:tcPr>
          <w:p w:rsidR="00DD6219" w:rsidRPr="00057C4C" w:rsidRDefault="00DD6219" w:rsidP="00073C62">
            <w:pPr>
              <w:spacing w:before="60" w:after="60"/>
              <w:jc w:val="center"/>
              <w:rPr>
                <w:sz w:val="19"/>
              </w:rPr>
            </w:pPr>
            <w:r w:rsidRPr="00057C4C">
              <w:rPr>
                <w:sz w:val="19"/>
              </w:rPr>
              <w:t>4</w:t>
            </w:r>
          </w:p>
        </w:tc>
      </w:tr>
      <w:tr w:rsidR="00DD6219" w:rsidRPr="00057C4C" w:rsidTr="00073C62">
        <w:trPr>
          <w:trHeight w:val="226"/>
        </w:trPr>
        <w:tc>
          <w:tcPr>
            <w:tcW w:w="2056" w:type="dxa"/>
          </w:tcPr>
          <w:p w:rsidR="00DD6219" w:rsidRPr="00057C4C" w:rsidRDefault="00DD6219" w:rsidP="00073C62">
            <w:pPr>
              <w:spacing w:before="60" w:after="60"/>
              <w:rPr>
                <w:sz w:val="19"/>
              </w:rPr>
            </w:pPr>
            <w:r w:rsidRPr="00057C4C">
              <w:rPr>
                <w:sz w:val="19"/>
              </w:rPr>
              <w:t xml:space="preserve">  - Superficial oedema</w:t>
            </w:r>
          </w:p>
        </w:tc>
        <w:tc>
          <w:tcPr>
            <w:tcW w:w="1045" w:type="dxa"/>
          </w:tcPr>
          <w:p w:rsidR="00DD6219" w:rsidRPr="00057C4C" w:rsidRDefault="00DD6219" w:rsidP="00073C62">
            <w:pPr>
              <w:spacing w:before="60" w:after="60"/>
              <w:jc w:val="center"/>
              <w:rPr>
                <w:sz w:val="19"/>
              </w:rPr>
            </w:pPr>
            <w:r w:rsidRPr="00057C4C">
              <w:rPr>
                <w:sz w:val="19"/>
              </w:rPr>
              <w:t>66</w:t>
            </w:r>
          </w:p>
        </w:tc>
        <w:tc>
          <w:tcPr>
            <w:tcW w:w="994" w:type="dxa"/>
          </w:tcPr>
          <w:p w:rsidR="00DD6219" w:rsidRPr="00057C4C" w:rsidRDefault="00DD6219" w:rsidP="00073C62">
            <w:pPr>
              <w:spacing w:before="60" w:after="60"/>
              <w:jc w:val="center"/>
              <w:rPr>
                <w:sz w:val="19"/>
              </w:rPr>
            </w:pPr>
            <w:r w:rsidRPr="00057C4C">
              <w:rPr>
                <w:sz w:val="19"/>
              </w:rPr>
              <w:t>6</w:t>
            </w:r>
          </w:p>
        </w:tc>
        <w:tc>
          <w:tcPr>
            <w:tcW w:w="1179" w:type="dxa"/>
          </w:tcPr>
          <w:p w:rsidR="00DD6219" w:rsidRPr="00057C4C" w:rsidRDefault="00DD6219" w:rsidP="00073C62">
            <w:pPr>
              <w:spacing w:before="60" w:after="60"/>
              <w:jc w:val="center"/>
              <w:rPr>
                <w:sz w:val="19"/>
              </w:rPr>
            </w:pPr>
            <w:r w:rsidRPr="00057C4C">
              <w:rPr>
                <w:sz w:val="19"/>
              </w:rPr>
              <w:t>74</w:t>
            </w:r>
          </w:p>
        </w:tc>
        <w:tc>
          <w:tcPr>
            <w:tcW w:w="1239" w:type="dxa"/>
          </w:tcPr>
          <w:p w:rsidR="00DD6219" w:rsidRPr="00057C4C" w:rsidRDefault="00DD6219" w:rsidP="00073C62">
            <w:pPr>
              <w:spacing w:before="60" w:after="60"/>
              <w:jc w:val="center"/>
              <w:rPr>
                <w:sz w:val="19"/>
              </w:rPr>
            </w:pPr>
            <w:r w:rsidRPr="00057C4C">
              <w:rPr>
                <w:sz w:val="19"/>
              </w:rPr>
              <w:t>3</w:t>
            </w:r>
          </w:p>
        </w:tc>
        <w:tc>
          <w:tcPr>
            <w:tcW w:w="1179" w:type="dxa"/>
          </w:tcPr>
          <w:p w:rsidR="00DD6219" w:rsidRPr="00057C4C" w:rsidRDefault="00DD6219" w:rsidP="00073C62">
            <w:pPr>
              <w:spacing w:before="60" w:after="60"/>
              <w:jc w:val="center"/>
              <w:rPr>
                <w:sz w:val="19"/>
              </w:rPr>
            </w:pPr>
            <w:r w:rsidRPr="00057C4C">
              <w:rPr>
                <w:sz w:val="19"/>
              </w:rPr>
              <w:t>67</w:t>
            </w:r>
          </w:p>
        </w:tc>
        <w:tc>
          <w:tcPr>
            <w:tcW w:w="1184" w:type="dxa"/>
          </w:tcPr>
          <w:p w:rsidR="00DD6219" w:rsidRPr="00057C4C" w:rsidRDefault="00DD6219" w:rsidP="00073C62">
            <w:pPr>
              <w:spacing w:before="60" w:after="60"/>
              <w:jc w:val="center"/>
              <w:rPr>
                <w:sz w:val="19"/>
              </w:rPr>
            </w:pPr>
            <w:r w:rsidRPr="00057C4C">
              <w:rPr>
                <w:sz w:val="19"/>
              </w:rPr>
              <w:t>2</w:t>
            </w:r>
          </w:p>
        </w:tc>
      </w:tr>
      <w:tr w:rsidR="00DD6219" w:rsidRPr="00057C4C" w:rsidTr="00073C62">
        <w:trPr>
          <w:trHeight w:val="467"/>
        </w:trPr>
        <w:tc>
          <w:tcPr>
            <w:tcW w:w="2056" w:type="dxa"/>
          </w:tcPr>
          <w:p w:rsidR="00DD6219" w:rsidRPr="00057C4C" w:rsidRDefault="00DD6219" w:rsidP="00073C62">
            <w:pPr>
              <w:spacing w:before="60" w:after="60"/>
              <w:rPr>
                <w:sz w:val="19"/>
              </w:rPr>
            </w:pPr>
            <w:r w:rsidRPr="00057C4C">
              <w:rPr>
                <w:sz w:val="19"/>
              </w:rPr>
              <w:t xml:space="preserve">  - Other Fluid Retention Events</w:t>
            </w:r>
            <w:r w:rsidRPr="00057C4C">
              <w:rPr>
                <w:sz w:val="19"/>
                <w:vertAlign w:val="superscript"/>
              </w:rPr>
              <w:t>(2)</w:t>
            </w:r>
          </w:p>
        </w:tc>
        <w:tc>
          <w:tcPr>
            <w:tcW w:w="1045" w:type="dxa"/>
          </w:tcPr>
          <w:p w:rsidR="00DD6219" w:rsidRPr="00057C4C" w:rsidRDefault="00DD6219" w:rsidP="00073C62">
            <w:pPr>
              <w:spacing w:before="60" w:after="60"/>
              <w:jc w:val="center"/>
              <w:rPr>
                <w:sz w:val="19"/>
              </w:rPr>
            </w:pPr>
            <w:r w:rsidRPr="00057C4C">
              <w:rPr>
                <w:sz w:val="19"/>
              </w:rPr>
              <w:t>22</w:t>
            </w:r>
          </w:p>
        </w:tc>
        <w:tc>
          <w:tcPr>
            <w:tcW w:w="994" w:type="dxa"/>
          </w:tcPr>
          <w:p w:rsidR="00DD6219" w:rsidRPr="00057C4C" w:rsidRDefault="00DD6219" w:rsidP="00073C62">
            <w:pPr>
              <w:spacing w:before="60" w:after="60"/>
              <w:jc w:val="center"/>
              <w:rPr>
                <w:sz w:val="19"/>
              </w:rPr>
            </w:pPr>
            <w:r w:rsidRPr="00057C4C">
              <w:rPr>
                <w:sz w:val="19"/>
              </w:rPr>
              <w:t>6</w:t>
            </w:r>
          </w:p>
        </w:tc>
        <w:tc>
          <w:tcPr>
            <w:tcW w:w="1179" w:type="dxa"/>
          </w:tcPr>
          <w:p w:rsidR="00DD6219" w:rsidRPr="00057C4C" w:rsidRDefault="00DD6219" w:rsidP="00073C62">
            <w:pPr>
              <w:spacing w:before="60" w:after="60"/>
              <w:jc w:val="center"/>
              <w:rPr>
                <w:sz w:val="19"/>
              </w:rPr>
            </w:pPr>
            <w:r w:rsidRPr="00057C4C">
              <w:rPr>
                <w:sz w:val="19"/>
              </w:rPr>
              <w:t>15</w:t>
            </w:r>
          </w:p>
        </w:tc>
        <w:tc>
          <w:tcPr>
            <w:tcW w:w="1239" w:type="dxa"/>
          </w:tcPr>
          <w:p w:rsidR="00DD6219" w:rsidRPr="00057C4C" w:rsidRDefault="00DD6219" w:rsidP="00073C62">
            <w:pPr>
              <w:spacing w:before="60" w:after="60"/>
              <w:jc w:val="center"/>
              <w:rPr>
                <w:sz w:val="19"/>
              </w:rPr>
            </w:pPr>
            <w:r w:rsidRPr="00057C4C">
              <w:rPr>
                <w:sz w:val="19"/>
              </w:rPr>
              <w:t>4</w:t>
            </w:r>
          </w:p>
        </w:tc>
        <w:tc>
          <w:tcPr>
            <w:tcW w:w="1179" w:type="dxa"/>
          </w:tcPr>
          <w:p w:rsidR="00DD6219" w:rsidRPr="00057C4C" w:rsidRDefault="00DD6219" w:rsidP="00073C62">
            <w:pPr>
              <w:spacing w:before="60" w:after="60"/>
              <w:jc w:val="center"/>
              <w:rPr>
                <w:sz w:val="19"/>
              </w:rPr>
            </w:pPr>
            <w:r w:rsidRPr="00057C4C">
              <w:rPr>
                <w:sz w:val="19"/>
              </w:rPr>
              <w:t>7</w:t>
            </w:r>
          </w:p>
        </w:tc>
        <w:tc>
          <w:tcPr>
            <w:tcW w:w="1184" w:type="dxa"/>
          </w:tcPr>
          <w:p w:rsidR="00DD6219" w:rsidRPr="00057C4C" w:rsidRDefault="00DD6219" w:rsidP="00073C62">
            <w:pPr>
              <w:spacing w:before="60" w:after="60"/>
              <w:jc w:val="center"/>
              <w:rPr>
                <w:sz w:val="19"/>
              </w:rPr>
            </w:pPr>
            <w:r w:rsidRPr="00057C4C">
              <w:rPr>
                <w:sz w:val="19"/>
              </w:rPr>
              <w:t>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Nausea</w:t>
            </w:r>
          </w:p>
        </w:tc>
        <w:tc>
          <w:tcPr>
            <w:tcW w:w="1045" w:type="dxa"/>
          </w:tcPr>
          <w:p w:rsidR="00DD6219" w:rsidRPr="00057C4C" w:rsidRDefault="00DD6219" w:rsidP="00073C62">
            <w:pPr>
              <w:spacing w:before="60" w:after="60"/>
              <w:jc w:val="center"/>
              <w:rPr>
                <w:sz w:val="19"/>
              </w:rPr>
            </w:pPr>
            <w:r w:rsidRPr="00057C4C">
              <w:rPr>
                <w:sz w:val="19"/>
              </w:rPr>
              <w:t>71</w:t>
            </w:r>
          </w:p>
        </w:tc>
        <w:tc>
          <w:tcPr>
            <w:tcW w:w="994"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73</w:t>
            </w:r>
          </w:p>
        </w:tc>
        <w:tc>
          <w:tcPr>
            <w:tcW w:w="1239"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63</w:t>
            </w:r>
          </w:p>
        </w:tc>
        <w:tc>
          <w:tcPr>
            <w:tcW w:w="1184" w:type="dxa"/>
          </w:tcPr>
          <w:p w:rsidR="00DD6219" w:rsidRPr="00057C4C" w:rsidRDefault="00DD6219" w:rsidP="00073C62">
            <w:pPr>
              <w:spacing w:before="60" w:after="60"/>
              <w:jc w:val="center"/>
              <w:rPr>
                <w:sz w:val="19"/>
              </w:rPr>
            </w:pPr>
            <w:r w:rsidRPr="00057C4C">
              <w:rPr>
                <w:sz w:val="19"/>
              </w:rPr>
              <w:t>3</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Muscle Cramps</w:t>
            </w:r>
          </w:p>
        </w:tc>
        <w:tc>
          <w:tcPr>
            <w:tcW w:w="1045" w:type="dxa"/>
          </w:tcPr>
          <w:p w:rsidR="00DD6219" w:rsidRPr="00057C4C" w:rsidRDefault="00DD6219" w:rsidP="00073C62">
            <w:pPr>
              <w:spacing w:before="60" w:after="60"/>
              <w:jc w:val="center"/>
              <w:rPr>
                <w:sz w:val="19"/>
              </w:rPr>
            </w:pPr>
            <w:r w:rsidRPr="00057C4C">
              <w:rPr>
                <w:sz w:val="19"/>
              </w:rPr>
              <w:t>28</w:t>
            </w:r>
          </w:p>
        </w:tc>
        <w:tc>
          <w:tcPr>
            <w:tcW w:w="994" w:type="dxa"/>
          </w:tcPr>
          <w:p w:rsidR="00DD6219" w:rsidRPr="00057C4C" w:rsidRDefault="00DD6219" w:rsidP="00073C62">
            <w:pPr>
              <w:spacing w:before="60" w:after="60"/>
              <w:jc w:val="center"/>
              <w:rPr>
                <w:sz w:val="19"/>
              </w:rPr>
            </w:pPr>
            <w:r w:rsidRPr="00057C4C">
              <w:rPr>
                <w:sz w:val="19"/>
              </w:rPr>
              <w:t>1</w:t>
            </w:r>
          </w:p>
        </w:tc>
        <w:tc>
          <w:tcPr>
            <w:tcW w:w="1179" w:type="dxa"/>
          </w:tcPr>
          <w:p w:rsidR="00DD6219" w:rsidRPr="00057C4C" w:rsidRDefault="00DD6219" w:rsidP="00073C62">
            <w:pPr>
              <w:spacing w:before="60" w:after="60"/>
              <w:jc w:val="center"/>
              <w:rPr>
                <w:sz w:val="19"/>
              </w:rPr>
            </w:pPr>
            <w:r w:rsidRPr="00057C4C">
              <w:rPr>
                <w:sz w:val="19"/>
              </w:rPr>
              <w:t>47</w:t>
            </w:r>
          </w:p>
        </w:tc>
        <w:tc>
          <w:tcPr>
            <w:tcW w:w="1239" w:type="dxa"/>
          </w:tcPr>
          <w:p w:rsidR="00DD6219" w:rsidRPr="00057C4C" w:rsidRDefault="00DD6219" w:rsidP="00073C62">
            <w:pPr>
              <w:spacing w:before="60" w:after="60"/>
              <w:jc w:val="center"/>
              <w:rPr>
                <w:sz w:val="19"/>
              </w:rPr>
            </w:pPr>
            <w:r w:rsidRPr="00057C4C">
              <w:rPr>
                <w:sz w:val="19"/>
              </w:rPr>
              <w:t>0.4</w:t>
            </w:r>
          </w:p>
        </w:tc>
        <w:tc>
          <w:tcPr>
            <w:tcW w:w="1179" w:type="dxa"/>
          </w:tcPr>
          <w:p w:rsidR="00DD6219" w:rsidRPr="00057C4C" w:rsidRDefault="00DD6219" w:rsidP="00073C62">
            <w:pPr>
              <w:spacing w:before="60" w:after="60"/>
              <w:jc w:val="center"/>
              <w:rPr>
                <w:sz w:val="19"/>
              </w:rPr>
            </w:pPr>
            <w:r w:rsidRPr="00057C4C">
              <w:rPr>
                <w:sz w:val="19"/>
              </w:rPr>
              <w:t>62</w:t>
            </w:r>
          </w:p>
        </w:tc>
        <w:tc>
          <w:tcPr>
            <w:tcW w:w="1184" w:type="dxa"/>
          </w:tcPr>
          <w:p w:rsidR="00DD6219" w:rsidRPr="00057C4C" w:rsidRDefault="00DD6219" w:rsidP="00073C62">
            <w:pPr>
              <w:spacing w:before="60" w:after="60"/>
              <w:jc w:val="center"/>
              <w:rPr>
                <w:sz w:val="19"/>
              </w:rPr>
            </w:pPr>
            <w:r w:rsidRPr="00057C4C">
              <w:rPr>
                <w:sz w:val="19"/>
              </w:rPr>
              <w:t>2</w:t>
            </w:r>
          </w:p>
        </w:tc>
      </w:tr>
      <w:tr w:rsidR="00DD6219" w:rsidRPr="00057C4C" w:rsidTr="00073C62">
        <w:trPr>
          <w:trHeight w:val="226"/>
        </w:trPr>
        <w:tc>
          <w:tcPr>
            <w:tcW w:w="2056" w:type="dxa"/>
          </w:tcPr>
          <w:p w:rsidR="00DD6219" w:rsidRPr="00057C4C" w:rsidRDefault="00DD6219" w:rsidP="00073C62">
            <w:pPr>
              <w:spacing w:before="60" w:after="60"/>
              <w:rPr>
                <w:sz w:val="19"/>
              </w:rPr>
            </w:pPr>
            <w:r w:rsidRPr="00057C4C">
              <w:rPr>
                <w:sz w:val="19"/>
              </w:rPr>
              <w:t>Vomiting</w:t>
            </w:r>
          </w:p>
        </w:tc>
        <w:tc>
          <w:tcPr>
            <w:tcW w:w="1045" w:type="dxa"/>
          </w:tcPr>
          <w:p w:rsidR="00DD6219" w:rsidRPr="00057C4C" w:rsidRDefault="00DD6219" w:rsidP="00073C62">
            <w:pPr>
              <w:spacing w:before="60" w:after="60"/>
              <w:jc w:val="center"/>
              <w:rPr>
                <w:sz w:val="19"/>
              </w:rPr>
            </w:pPr>
            <w:r w:rsidRPr="00057C4C">
              <w:rPr>
                <w:sz w:val="19"/>
              </w:rPr>
              <w:t>54</w:t>
            </w:r>
          </w:p>
        </w:tc>
        <w:tc>
          <w:tcPr>
            <w:tcW w:w="994" w:type="dxa"/>
          </w:tcPr>
          <w:p w:rsidR="00DD6219" w:rsidRPr="00057C4C" w:rsidRDefault="00DD6219" w:rsidP="00073C62">
            <w:pPr>
              <w:spacing w:before="60" w:after="60"/>
              <w:jc w:val="center"/>
              <w:rPr>
                <w:sz w:val="19"/>
              </w:rPr>
            </w:pPr>
            <w:r w:rsidRPr="00057C4C">
              <w:rPr>
                <w:sz w:val="19"/>
              </w:rPr>
              <w:t>4</w:t>
            </w:r>
          </w:p>
        </w:tc>
        <w:tc>
          <w:tcPr>
            <w:tcW w:w="1179" w:type="dxa"/>
          </w:tcPr>
          <w:p w:rsidR="00DD6219" w:rsidRPr="00057C4C" w:rsidRDefault="00DD6219" w:rsidP="00073C62">
            <w:pPr>
              <w:spacing w:before="60" w:after="60"/>
              <w:jc w:val="center"/>
              <w:rPr>
                <w:sz w:val="19"/>
              </w:rPr>
            </w:pPr>
            <w:r w:rsidRPr="00057C4C">
              <w:rPr>
                <w:sz w:val="19"/>
              </w:rPr>
              <w:t>58</w:t>
            </w:r>
          </w:p>
        </w:tc>
        <w:tc>
          <w:tcPr>
            <w:tcW w:w="1239" w:type="dxa"/>
          </w:tcPr>
          <w:p w:rsidR="00DD6219" w:rsidRPr="00057C4C" w:rsidRDefault="00DD6219" w:rsidP="00073C62">
            <w:pPr>
              <w:spacing w:before="60" w:after="60"/>
              <w:jc w:val="center"/>
              <w:rPr>
                <w:sz w:val="19"/>
              </w:rPr>
            </w:pPr>
            <w:r w:rsidRPr="00057C4C">
              <w:rPr>
                <w:sz w:val="19"/>
              </w:rPr>
              <w:t>3</w:t>
            </w:r>
          </w:p>
        </w:tc>
        <w:tc>
          <w:tcPr>
            <w:tcW w:w="1179" w:type="dxa"/>
          </w:tcPr>
          <w:p w:rsidR="00DD6219" w:rsidRPr="00057C4C" w:rsidRDefault="00DD6219" w:rsidP="00073C62">
            <w:pPr>
              <w:spacing w:before="60" w:after="60"/>
              <w:jc w:val="center"/>
              <w:rPr>
                <w:sz w:val="19"/>
              </w:rPr>
            </w:pPr>
            <w:r w:rsidRPr="00057C4C">
              <w:rPr>
                <w:sz w:val="19"/>
              </w:rPr>
              <w:t>36</w:t>
            </w:r>
          </w:p>
        </w:tc>
        <w:tc>
          <w:tcPr>
            <w:tcW w:w="1184" w:type="dxa"/>
          </w:tcPr>
          <w:p w:rsidR="00DD6219" w:rsidRPr="00057C4C" w:rsidRDefault="00DD6219" w:rsidP="00073C62">
            <w:pPr>
              <w:spacing w:before="60" w:after="60"/>
              <w:jc w:val="center"/>
              <w:rPr>
                <w:sz w:val="19"/>
              </w:rPr>
            </w:pPr>
            <w:r w:rsidRPr="00057C4C">
              <w:rPr>
                <w:sz w:val="19"/>
              </w:rPr>
              <w:t>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Diarrhoea</w:t>
            </w:r>
          </w:p>
        </w:tc>
        <w:tc>
          <w:tcPr>
            <w:tcW w:w="1045" w:type="dxa"/>
          </w:tcPr>
          <w:p w:rsidR="00DD6219" w:rsidRPr="00057C4C" w:rsidRDefault="00DD6219" w:rsidP="00073C62">
            <w:pPr>
              <w:spacing w:before="60" w:after="60"/>
              <w:jc w:val="center"/>
              <w:rPr>
                <w:sz w:val="19"/>
              </w:rPr>
            </w:pPr>
            <w:r w:rsidRPr="00057C4C">
              <w:rPr>
                <w:sz w:val="19"/>
              </w:rPr>
              <w:t>43</w:t>
            </w:r>
          </w:p>
        </w:tc>
        <w:tc>
          <w:tcPr>
            <w:tcW w:w="994" w:type="dxa"/>
          </w:tcPr>
          <w:p w:rsidR="00DD6219" w:rsidRPr="00057C4C" w:rsidRDefault="00DD6219" w:rsidP="00073C62">
            <w:pPr>
              <w:spacing w:before="60" w:after="60"/>
              <w:jc w:val="center"/>
              <w:rPr>
                <w:sz w:val="19"/>
              </w:rPr>
            </w:pPr>
            <w:r w:rsidRPr="00057C4C">
              <w:rPr>
                <w:sz w:val="19"/>
              </w:rPr>
              <w:t>4</w:t>
            </w:r>
          </w:p>
        </w:tc>
        <w:tc>
          <w:tcPr>
            <w:tcW w:w="1179" w:type="dxa"/>
          </w:tcPr>
          <w:p w:rsidR="00DD6219" w:rsidRPr="00057C4C" w:rsidRDefault="00DD6219" w:rsidP="00073C62">
            <w:pPr>
              <w:spacing w:before="60" w:after="60"/>
              <w:jc w:val="center"/>
              <w:rPr>
                <w:sz w:val="19"/>
              </w:rPr>
            </w:pPr>
            <w:r w:rsidRPr="00057C4C">
              <w:rPr>
                <w:sz w:val="19"/>
              </w:rPr>
              <w:t>57</w:t>
            </w:r>
          </w:p>
        </w:tc>
        <w:tc>
          <w:tcPr>
            <w:tcW w:w="1239"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48</w:t>
            </w:r>
          </w:p>
        </w:tc>
        <w:tc>
          <w:tcPr>
            <w:tcW w:w="1184" w:type="dxa"/>
          </w:tcPr>
          <w:p w:rsidR="00DD6219" w:rsidRPr="00057C4C" w:rsidRDefault="00DD6219" w:rsidP="00073C62">
            <w:pPr>
              <w:spacing w:before="60" w:after="60"/>
              <w:jc w:val="center"/>
              <w:rPr>
                <w:sz w:val="19"/>
              </w:rPr>
            </w:pPr>
            <w:r w:rsidRPr="00057C4C">
              <w:rPr>
                <w:sz w:val="19"/>
              </w:rPr>
              <w:t>3</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Haemorrhage</w:t>
            </w:r>
          </w:p>
        </w:tc>
        <w:tc>
          <w:tcPr>
            <w:tcW w:w="1045" w:type="dxa"/>
          </w:tcPr>
          <w:p w:rsidR="00DD6219" w:rsidRPr="00057C4C" w:rsidRDefault="00DD6219" w:rsidP="00073C62">
            <w:pPr>
              <w:spacing w:before="60" w:after="60"/>
              <w:jc w:val="center"/>
              <w:rPr>
                <w:sz w:val="19"/>
              </w:rPr>
            </w:pPr>
            <w:r w:rsidRPr="00057C4C">
              <w:rPr>
                <w:sz w:val="19"/>
              </w:rPr>
              <w:t>53</w:t>
            </w:r>
          </w:p>
        </w:tc>
        <w:tc>
          <w:tcPr>
            <w:tcW w:w="994" w:type="dxa"/>
          </w:tcPr>
          <w:p w:rsidR="00DD6219" w:rsidRPr="00057C4C" w:rsidRDefault="00DD6219" w:rsidP="00073C62">
            <w:pPr>
              <w:spacing w:before="60" w:after="60"/>
              <w:jc w:val="center"/>
              <w:rPr>
                <w:sz w:val="19"/>
              </w:rPr>
            </w:pPr>
            <w:r w:rsidRPr="00057C4C">
              <w:rPr>
                <w:sz w:val="19"/>
              </w:rPr>
              <w:t>19</w:t>
            </w:r>
          </w:p>
        </w:tc>
        <w:tc>
          <w:tcPr>
            <w:tcW w:w="1179" w:type="dxa"/>
          </w:tcPr>
          <w:p w:rsidR="00DD6219" w:rsidRPr="00057C4C" w:rsidRDefault="00DD6219" w:rsidP="00073C62">
            <w:pPr>
              <w:spacing w:before="60" w:after="60"/>
              <w:jc w:val="center"/>
              <w:rPr>
                <w:sz w:val="19"/>
              </w:rPr>
            </w:pPr>
            <w:r w:rsidRPr="00057C4C">
              <w:rPr>
                <w:sz w:val="19"/>
              </w:rPr>
              <w:t>49</w:t>
            </w:r>
          </w:p>
        </w:tc>
        <w:tc>
          <w:tcPr>
            <w:tcW w:w="1239" w:type="dxa"/>
          </w:tcPr>
          <w:p w:rsidR="00DD6219" w:rsidRPr="00057C4C" w:rsidRDefault="00DD6219" w:rsidP="00073C62">
            <w:pPr>
              <w:spacing w:before="60" w:after="60"/>
              <w:jc w:val="center"/>
              <w:rPr>
                <w:sz w:val="19"/>
              </w:rPr>
            </w:pPr>
            <w:r w:rsidRPr="00057C4C">
              <w:rPr>
                <w:sz w:val="19"/>
              </w:rPr>
              <w:t>11</w:t>
            </w:r>
          </w:p>
        </w:tc>
        <w:tc>
          <w:tcPr>
            <w:tcW w:w="1179" w:type="dxa"/>
          </w:tcPr>
          <w:p w:rsidR="00DD6219" w:rsidRPr="00057C4C" w:rsidRDefault="00DD6219" w:rsidP="00073C62">
            <w:pPr>
              <w:spacing w:before="60" w:after="60"/>
              <w:jc w:val="center"/>
              <w:rPr>
                <w:sz w:val="19"/>
              </w:rPr>
            </w:pPr>
            <w:r w:rsidRPr="00057C4C">
              <w:rPr>
                <w:sz w:val="19"/>
              </w:rPr>
              <w:t>30</w:t>
            </w:r>
          </w:p>
        </w:tc>
        <w:tc>
          <w:tcPr>
            <w:tcW w:w="1184" w:type="dxa"/>
          </w:tcPr>
          <w:p w:rsidR="00DD6219" w:rsidRPr="00057C4C" w:rsidRDefault="00DD6219" w:rsidP="00073C62">
            <w:pPr>
              <w:spacing w:before="60" w:after="60"/>
              <w:jc w:val="center"/>
              <w:rPr>
                <w:sz w:val="19"/>
              </w:rPr>
            </w:pPr>
            <w:r w:rsidRPr="00057C4C">
              <w:rPr>
                <w:sz w:val="19"/>
              </w:rPr>
              <w:t>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 xml:space="preserve">  - CNS Haemorrhage</w:t>
            </w:r>
          </w:p>
        </w:tc>
        <w:tc>
          <w:tcPr>
            <w:tcW w:w="1045" w:type="dxa"/>
          </w:tcPr>
          <w:p w:rsidR="00DD6219" w:rsidRPr="00057C4C" w:rsidRDefault="00DD6219" w:rsidP="00073C62">
            <w:pPr>
              <w:spacing w:before="60" w:after="60"/>
              <w:jc w:val="center"/>
              <w:rPr>
                <w:sz w:val="19"/>
              </w:rPr>
            </w:pPr>
            <w:r w:rsidRPr="00057C4C">
              <w:rPr>
                <w:sz w:val="19"/>
              </w:rPr>
              <w:t>9</w:t>
            </w:r>
          </w:p>
        </w:tc>
        <w:tc>
          <w:tcPr>
            <w:tcW w:w="994" w:type="dxa"/>
          </w:tcPr>
          <w:p w:rsidR="00DD6219" w:rsidRPr="00057C4C" w:rsidRDefault="00DD6219" w:rsidP="00073C62">
            <w:pPr>
              <w:spacing w:before="60" w:after="60"/>
              <w:jc w:val="center"/>
              <w:rPr>
                <w:sz w:val="19"/>
              </w:rPr>
            </w:pPr>
            <w:r w:rsidRPr="00057C4C">
              <w:rPr>
                <w:sz w:val="19"/>
              </w:rPr>
              <w:t>7</w:t>
            </w:r>
          </w:p>
        </w:tc>
        <w:tc>
          <w:tcPr>
            <w:tcW w:w="1179" w:type="dxa"/>
          </w:tcPr>
          <w:p w:rsidR="00DD6219" w:rsidRPr="00057C4C" w:rsidRDefault="00DD6219" w:rsidP="00073C62">
            <w:pPr>
              <w:spacing w:before="60" w:after="60"/>
              <w:jc w:val="center"/>
              <w:rPr>
                <w:sz w:val="19"/>
              </w:rPr>
            </w:pPr>
            <w:r w:rsidRPr="00057C4C">
              <w:rPr>
                <w:sz w:val="19"/>
              </w:rPr>
              <w:t>3</w:t>
            </w:r>
          </w:p>
        </w:tc>
        <w:tc>
          <w:tcPr>
            <w:tcW w:w="1239" w:type="dxa"/>
          </w:tcPr>
          <w:p w:rsidR="00DD6219" w:rsidRPr="00057C4C" w:rsidRDefault="00DD6219" w:rsidP="00073C62">
            <w:pPr>
              <w:spacing w:before="60" w:after="60"/>
              <w:jc w:val="center"/>
              <w:rPr>
                <w:sz w:val="19"/>
              </w:rPr>
            </w:pPr>
            <w:r w:rsidRPr="00057C4C">
              <w:rPr>
                <w:sz w:val="19"/>
              </w:rPr>
              <w:t>3</w:t>
            </w:r>
          </w:p>
        </w:tc>
        <w:tc>
          <w:tcPr>
            <w:tcW w:w="1179" w:type="dxa"/>
          </w:tcPr>
          <w:p w:rsidR="00DD6219" w:rsidRPr="00057C4C" w:rsidRDefault="00DD6219" w:rsidP="00073C62">
            <w:pPr>
              <w:spacing w:before="60" w:after="60"/>
              <w:jc w:val="center"/>
              <w:rPr>
                <w:sz w:val="19"/>
              </w:rPr>
            </w:pPr>
            <w:r w:rsidRPr="00057C4C">
              <w:rPr>
                <w:sz w:val="19"/>
              </w:rPr>
              <w:t>2</w:t>
            </w:r>
          </w:p>
        </w:tc>
        <w:tc>
          <w:tcPr>
            <w:tcW w:w="1184" w:type="dxa"/>
          </w:tcPr>
          <w:p w:rsidR="00DD6219" w:rsidRPr="00057C4C" w:rsidRDefault="00DD6219" w:rsidP="00073C62">
            <w:pPr>
              <w:spacing w:before="60" w:after="60"/>
              <w:jc w:val="center"/>
              <w:rPr>
                <w:sz w:val="19"/>
              </w:rPr>
            </w:pPr>
            <w:r w:rsidRPr="00057C4C">
              <w:rPr>
                <w:sz w:val="19"/>
              </w:rPr>
              <w:t>1</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 xml:space="preserve">  - GI Haemorrhage</w:t>
            </w:r>
          </w:p>
        </w:tc>
        <w:tc>
          <w:tcPr>
            <w:tcW w:w="1045" w:type="dxa"/>
          </w:tcPr>
          <w:p w:rsidR="00DD6219" w:rsidRPr="00057C4C" w:rsidRDefault="00DD6219" w:rsidP="00073C62">
            <w:pPr>
              <w:spacing w:before="60" w:after="60"/>
              <w:jc w:val="center"/>
              <w:rPr>
                <w:sz w:val="19"/>
              </w:rPr>
            </w:pPr>
            <w:r w:rsidRPr="00057C4C">
              <w:rPr>
                <w:sz w:val="19"/>
              </w:rPr>
              <w:t>8</w:t>
            </w:r>
          </w:p>
        </w:tc>
        <w:tc>
          <w:tcPr>
            <w:tcW w:w="994" w:type="dxa"/>
          </w:tcPr>
          <w:p w:rsidR="00DD6219" w:rsidRPr="00057C4C" w:rsidRDefault="00DD6219" w:rsidP="00073C62">
            <w:pPr>
              <w:spacing w:before="60" w:after="60"/>
              <w:jc w:val="center"/>
              <w:rPr>
                <w:sz w:val="19"/>
              </w:rPr>
            </w:pPr>
            <w:r w:rsidRPr="00057C4C">
              <w:rPr>
                <w:sz w:val="19"/>
              </w:rPr>
              <w:t>4</w:t>
            </w:r>
          </w:p>
        </w:tc>
        <w:tc>
          <w:tcPr>
            <w:tcW w:w="1179" w:type="dxa"/>
          </w:tcPr>
          <w:p w:rsidR="00DD6219" w:rsidRPr="00057C4C" w:rsidRDefault="00DD6219" w:rsidP="00073C62">
            <w:pPr>
              <w:spacing w:before="60" w:after="60"/>
              <w:jc w:val="center"/>
              <w:rPr>
                <w:sz w:val="19"/>
              </w:rPr>
            </w:pPr>
            <w:r w:rsidRPr="00057C4C">
              <w:rPr>
                <w:sz w:val="19"/>
              </w:rPr>
              <w:t>6</w:t>
            </w:r>
          </w:p>
        </w:tc>
        <w:tc>
          <w:tcPr>
            <w:tcW w:w="1239"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2</w:t>
            </w:r>
          </w:p>
        </w:tc>
        <w:tc>
          <w:tcPr>
            <w:tcW w:w="1184" w:type="dxa"/>
          </w:tcPr>
          <w:p w:rsidR="00DD6219" w:rsidRPr="00057C4C" w:rsidRDefault="00DD6219" w:rsidP="00073C62">
            <w:pPr>
              <w:spacing w:before="60" w:after="60"/>
              <w:jc w:val="center"/>
              <w:rPr>
                <w:sz w:val="19"/>
              </w:rPr>
            </w:pPr>
            <w:r w:rsidRPr="00057C4C">
              <w:rPr>
                <w:sz w:val="19"/>
              </w:rPr>
              <w:t>0.4</w:t>
            </w:r>
          </w:p>
        </w:tc>
      </w:tr>
      <w:tr w:rsidR="00DD6219" w:rsidRPr="00057C4C" w:rsidTr="00073C62">
        <w:trPr>
          <w:trHeight w:val="226"/>
        </w:trPr>
        <w:tc>
          <w:tcPr>
            <w:tcW w:w="2056" w:type="dxa"/>
          </w:tcPr>
          <w:p w:rsidR="00DD6219" w:rsidRPr="00057C4C" w:rsidRDefault="00DD6219" w:rsidP="00073C62">
            <w:pPr>
              <w:spacing w:before="60" w:after="60"/>
              <w:rPr>
                <w:sz w:val="19"/>
              </w:rPr>
            </w:pPr>
            <w:r w:rsidRPr="00057C4C">
              <w:rPr>
                <w:sz w:val="19"/>
              </w:rPr>
              <w:t>Musculoskeletal Pain</w:t>
            </w:r>
          </w:p>
        </w:tc>
        <w:tc>
          <w:tcPr>
            <w:tcW w:w="1045" w:type="dxa"/>
          </w:tcPr>
          <w:p w:rsidR="00DD6219" w:rsidRPr="00057C4C" w:rsidRDefault="00DD6219" w:rsidP="00073C62">
            <w:pPr>
              <w:spacing w:before="60" w:after="60"/>
              <w:jc w:val="center"/>
              <w:rPr>
                <w:sz w:val="19"/>
              </w:rPr>
            </w:pPr>
            <w:r w:rsidRPr="00057C4C">
              <w:rPr>
                <w:sz w:val="19"/>
              </w:rPr>
              <w:t>42</w:t>
            </w:r>
          </w:p>
        </w:tc>
        <w:tc>
          <w:tcPr>
            <w:tcW w:w="994" w:type="dxa"/>
          </w:tcPr>
          <w:p w:rsidR="00DD6219" w:rsidRPr="00057C4C" w:rsidRDefault="00DD6219" w:rsidP="00073C62">
            <w:pPr>
              <w:spacing w:before="60" w:after="60"/>
              <w:jc w:val="center"/>
              <w:rPr>
                <w:sz w:val="19"/>
              </w:rPr>
            </w:pPr>
            <w:r w:rsidRPr="00057C4C">
              <w:rPr>
                <w:sz w:val="19"/>
              </w:rPr>
              <w:t>9</w:t>
            </w:r>
          </w:p>
        </w:tc>
        <w:tc>
          <w:tcPr>
            <w:tcW w:w="1179" w:type="dxa"/>
          </w:tcPr>
          <w:p w:rsidR="00DD6219" w:rsidRPr="00057C4C" w:rsidRDefault="00DD6219" w:rsidP="00073C62">
            <w:pPr>
              <w:spacing w:before="60" w:after="60"/>
              <w:jc w:val="center"/>
              <w:rPr>
                <w:sz w:val="19"/>
              </w:rPr>
            </w:pPr>
            <w:r w:rsidRPr="00057C4C">
              <w:rPr>
                <w:sz w:val="19"/>
              </w:rPr>
              <w:t>49</w:t>
            </w:r>
          </w:p>
        </w:tc>
        <w:tc>
          <w:tcPr>
            <w:tcW w:w="1239" w:type="dxa"/>
          </w:tcPr>
          <w:p w:rsidR="00DD6219" w:rsidRPr="00057C4C" w:rsidRDefault="00DD6219" w:rsidP="00073C62">
            <w:pPr>
              <w:spacing w:before="60" w:after="60"/>
              <w:jc w:val="center"/>
              <w:rPr>
                <w:sz w:val="19"/>
              </w:rPr>
            </w:pPr>
            <w:r w:rsidRPr="00057C4C">
              <w:rPr>
                <w:sz w:val="19"/>
              </w:rPr>
              <w:t>9</w:t>
            </w:r>
          </w:p>
        </w:tc>
        <w:tc>
          <w:tcPr>
            <w:tcW w:w="1179" w:type="dxa"/>
          </w:tcPr>
          <w:p w:rsidR="00DD6219" w:rsidRPr="00057C4C" w:rsidRDefault="00DD6219" w:rsidP="00073C62">
            <w:pPr>
              <w:spacing w:before="60" w:after="60"/>
              <w:jc w:val="center"/>
              <w:rPr>
                <w:sz w:val="19"/>
              </w:rPr>
            </w:pPr>
            <w:r w:rsidRPr="00057C4C">
              <w:rPr>
                <w:sz w:val="19"/>
              </w:rPr>
              <w:t>38</w:t>
            </w:r>
          </w:p>
        </w:tc>
        <w:tc>
          <w:tcPr>
            <w:tcW w:w="1184" w:type="dxa"/>
          </w:tcPr>
          <w:p w:rsidR="00DD6219" w:rsidRPr="00057C4C" w:rsidRDefault="00DD6219" w:rsidP="00073C62">
            <w:pPr>
              <w:spacing w:before="60" w:after="60"/>
              <w:jc w:val="center"/>
              <w:rPr>
                <w:sz w:val="19"/>
              </w:rPr>
            </w:pPr>
            <w:r w:rsidRPr="00057C4C">
              <w:rPr>
                <w:sz w:val="19"/>
              </w:rPr>
              <w:t>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Fatigue</w:t>
            </w:r>
          </w:p>
        </w:tc>
        <w:tc>
          <w:tcPr>
            <w:tcW w:w="1045" w:type="dxa"/>
          </w:tcPr>
          <w:p w:rsidR="00DD6219" w:rsidRPr="00057C4C" w:rsidRDefault="00DD6219" w:rsidP="00073C62">
            <w:pPr>
              <w:spacing w:before="60" w:after="60"/>
              <w:jc w:val="center"/>
              <w:rPr>
                <w:sz w:val="19"/>
              </w:rPr>
            </w:pPr>
            <w:r w:rsidRPr="00057C4C">
              <w:rPr>
                <w:sz w:val="19"/>
              </w:rPr>
              <w:t>30</w:t>
            </w:r>
          </w:p>
        </w:tc>
        <w:tc>
          <w:tcPr>
            <w:tcW w:w="994" w:type="dxa"/>
          </w:tcPr>
          <w:p w:rsidR="00DD6219" w:rsidRPr="00057C4C" w:rsidRDefault="00DD6219" w:rsidP="00073C62">
            <w:pPr>
              <w:spacing w:before="60" w:after="60"/>
              <w:jc w:val="center"/>
              <w:rPr>
                <w:sz w:val="19"/>
              </w:rPr>
            </w:pPr>
            <w:r w:rsidRPr="00057C4C">
              <w:rPr>
                <w:sz w:val="19"/>
              </w:rPr>
              <w:t>4</w:t>
            </w:r>
          </w:p>
        </w:tc>
        <w:tc>
          <w:tcPr>
            <w:tcW w:w="1179" w:type="dxa"/>
          </w:tcPr>
          <w:p w:rsidR="00DD6219" w:rsidRPr="00057C4C" w:rsidRDefault="00DD6219" w:rsidP="00073C62">
            <w:pPr>
              <w:spacing w:before="60" w:after="60"/>
              <w:jc w:val="center"/>
              <w:rPr>
                <w:sz w:val="19"/>
              </w:rPr>
            </w:pPr>
            <w:r w:rsidRPr="00057C4C">
              <w:rPr>
                <w:sz w:val="19"/>
              </w:rPr>
              <w:t>46</w:t>
            </w:r>
          </w:p>
        </w:tc>
        <w:tc>
          <w:tcPr>
            <w:tcW w:w="1239" w:type="dxa"/>
          </w:tcPr>
          <w:p w:rsidR="00DD6219" w:rsidRPr="00057C4C" w:rsidRDefault="00DD6219" w:rsidP="00073C62">
            <w:pPr>
              <w:spacing w:before="60" w:after="60"/>
              <w:jc w:val="center"/>
              <w:rPr>
                <w:sz w:val="19"/>
              </w:rPr>
            </w:pPr>
            <w:r w:rsidRPr="00057C4C">
              <w:rPr>
                <w:sz w:val="19"/>
              </w:rPr>
              <w:t>4</w:t>
            </w:r>
          </w:p>
        </w:tc>
        <w:tc>
          <w:tcPr>
            <w:tcW w:w="1179" w:type="dxa"/>
          </w:tcPr>
          <w:p w:rsidR="00DD6219" w:rsidRPr="00057C4C" w:rsidRDefault="00DD6219" w:rsidP="00073C62">
            <w:pPr>
              <w:spacing w:before="60" w:after="60"/>
              <w:jc w:val="center"/>
              <w:rPr>
                <w:sz w:val="19"/>
              </w:rPr>
            </w:pPr>
            <w:r w:rsidRPr="00057C4C">
              <w:rPr>
                <w:sz w:val="19"/>
              </w:rPr>
              <w:t>48</w:t>
            </w:r>
          </w:p>
        </w:tc>
        <w:tc>
          <w:tcPr>
            <w:tcW w:w="1184" w:type="dxa"/>
          </w:tcPr>
          <w:p w:rsidR="00DD6219" w:rsidRPr="00057C4C" w:rsidRDefault="00DD6219" w:rsidP="00073C62">
            <w:pPr>
              <w:spacing w:before="60" w:after="60"/>
              <w:jc w:val="center"/>
              <w:rPr>
                <w:sz w:val="19"/>
              </w:rPr>
            </w:pPr>
            <w:r w:rsidRPr="00057C4C">
              <w:rPr>
                <w:sz w:val="19"/>
              </w:rPr>
              <w:t>1</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Skin Rash</w:t>
            </w:r>
          </w:p>
        </w:tc>
        <w:tc>
          <w:tcPr>
            <w:tcW w:w="1045" w:type="dxa"/>
          </w:tcPr>
          <w:p w:rsidR="00DD6219" w:rsidRPr="00057C4C" w:rsidRDefault="00DD6219" w:rsidP="00073C62">
            <w:pPr>
              <w:spacing w:before="60" w:after="60"/>
              <w:jc w:val="center"/>
              <w:rPr>
                <w:sz w:val="19"/>
              </w:rPr>
            </w:pPr>
            <w:r w:rsidRPr="00057C4C">
              <w:rPr>
                <w:sz w:val="19"/>
              </w:rPr>
              <w:t>36</w:t>
            </w:r>
          </w:p>
        </w:tc>
        <w:tc>
          <w:tcPr>
            <w:tcW w:w="994"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47</w:t>
            </w:r>
          </w:p>
        </w:tc>
        <w:tc>
          <w:tcPr>
            <w:tcW w:w="1239"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47</w:t>
            </w:r>
          </w:p>
        </w:tc>
        <w:tc>
          <w:tcPr>
            <w:tcW w:w="1184" w:type="dxa"/>
          </w:tcPr>
          <w:p w:rsidR="00DD6219" w:rsidRPr="00057C4C" w:rsidRDefault="00DD6219" w:rsidP="00073C62">
            <w:pPr>
              <w:spacing w:before="60" w:after="60"/>
              <w:jc w:val="center"/>
              <w:rPr>
                <w:sz w:val="19"/>
              </w:rPr>
            </w:pPr>
            <w:r w:rsidRPr="00057C4C">
              <w:rPr>
                <w:sz w:val="19"/>
              </w:rPr>
              <w:t>3</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Pyrexia</w:t>
            </w:r>
          </w:p>
        </w:tc>
        <w:tc>
          <w:tcPr>
            <w:tcW w:w="1045" w:type="dxa"/>
          </w:tcPr>
          <w:p w:rsidR="00DD6219" w:rsidRPr="00057C4C" w:rsidRDefault="00DD6219" w:rsidP="00073C62">
            <w:pPr>
              <w:spacing w:before="60" w:after="60"/>
              <w:jc w:val="center"/>
              <w:rPr>
                <w:sz w:val="19"/>
              </w:rPr>
            </w:pPr>
            <w:r w:rsidRPr="00057C4C">
              <w:rPr>
                <w:sz w:val="19"/>
              </w:rPr>
              <w:t>41</w:t>
            </w:r>
          </w:p>
        </w:tc>
        <w:tc>
          <w:tcPr>
            <w:tcW w:w="994" w:type="dxa"/>
          </w:tcPr>
          <w:p w:rsidR="00DD6219" w:rsidRPr="00057C4C" w:rsidRDefault="00DD6219" w:rsidP="00073C62">
            <w:pPr>
              <w:spacing w:before="60" w:after="60"/>
              <w:jc w:val="center"/>
              <w:rPr>
                <w:sz w:val="19"/>
              </w:rPr>
            </w:pPr>
            <w:r w:rsidRPr="00057C4C">
              <w:rPr>
                <w:sz w:val="19"/>
              </w:rPr>
              <w:t>7</w:t>
            </w:r>
          </w:p>
        </w:tc>
        <w:tc>
          <w:tcPr>
            <w:tcW w:w="1179" w:type="dxa"/>
          </w:tcPr>
          <w:p w:rsidR="00DD6219" w:rsidRPr="00057C4C" w:rsidRDefault="00DD6219" w:rsidP="00073C62">
            <w:pPr>
              <w:spacing w:before="60" w:after="60"/>
              <w:jc w:val="center"/>
              <w:rPr>
                <w:sz w:val="19"/>
              </w:rPr>
            </w:pPr>
            <w:r w:rsidRPr="00057C4C">
              <w:rPr>
                <w:sz w:val="19"/>
              </w:rPr>
              <w:t>41</w:t>
            </w:r>
          </w:p>
        </w:tc>
        <w:tc>
          <w:tcPr>
            <w:tcW w:w="1239" w:type="dxa"/>
          </w:tcPr>
          <w:p w:rsidR="00DD6219" w:rsidRPr="00057C4C" w:rsidRDefault="00DD6219" w:rsidP="00073C62">
            <w:pPr>
              <w:spacing w:before="60" w:after="60"/>
              <w:jc w:val="center"/>
              <w:rPr>
                <w:sz w:val="19"/>
              </w:rPr>
            </w:pPr>
            <w:r w:rsidRPr="00057C4C">
              <w:rPr>
                <w:sz w:val="19"/>
              </w:rPr>
              <w:t>8</w:t>
            </w:r>
          </w:p>
        </w:tc>
        <w:tc>
          <w:tcPr>
            <w:tcW w:w="1179" w:type="dxa"/>
          </w:tcPr>
          <w:p w:rsidR="00DD6219" w:rsidRPr="00057C4C" w:rsidRDefault="00DD6219" w:rsidP="00073C62">
            <w:pPr>
              <w:spacing w:before="60" w:after="60"/>
              <w:jc w:val="center"/>
              <w:rPr>
                <w:sz w:val="19"/>
              </w:rPr>
            </w:pPr>
            <w:r w:rsidRPr="00057C4C">
              <w:rPr>
                <w:sz w:val="19"/>
              </w:rPr>
              <w:t>21</w:t>
            </w:r>
          </w:p>
        </w:tc>
        <w:tc>
          <w:tcPr>
            <w:tcW w:w="1184" w:type="dxa"/>
          </w:tcPr>
          <w:p w:rsidR="00DD6219" w:rsidRPr="00057C4C" w:rsidRDefault="00DD6219" w:rsidP="00073C62">
            <w:pPr>
              <w:spacing w:before="60" w:after="60"/>
              <w:jc w:val="center"/>
              <w:rPr>
                <w:sz w:val="19"/>
              </w:rPr>
            </w:pPr>
            <w:r w:rsidRPr="00057C4C">
              <w:rPr>
                <w:sz w:val="19"/>
              </w:rPr>
              <w:t>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Arthralgia</w:t>
            </w:r>
          </w:p>
        </w:tc>
        <w:tc>
          <w:tcPr>
            <w:tcW w:w="1045" w:type="dxa"/>
          </w:tcPr>
          <w:p w:rsidR="00DD6219" w:rsidRPr="00057C4C" w:rsidRDefault="00DD6219" w:rsidP="00073C62">
            <w:pPr>
              <w:spacing w:before="60" w:after="60"/>
              <w:jc w:val="center"/>
              <w:rPr>
                <w:sz w:val="19"/>
              </w:rPr>
            </w:pPr>
            <w:r w:rsidRPr="00057C4C">
              <w:rPr>
                <w:sz w:val="19"/>
              </w:rPr>
              <w:t>25</w:t>
            </w:r>
          </w:p>
        </w:tc>
        <w:tc>
          <w:tcPr>
            <w:tcW w:w="994"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34</w:t>
            </w:r>
          </w:p>
        </w:tc>
        <w:tc>
          <w:tcPr>
            <w:tcW w:w="1239" w:type="dxa"/>
          </w:tcPr>
          <w:p w:rsidR="00DD6219" w:rsidRPr="00057C4C" w:rsidRDefault="00DD6219" w:rsidP="00073C62">
            <w:pPr>
              <w:spacing w:before="60" w:after="60"/>
              <w:jc w:val="center"/>
              <w:rPr>
                <w:sz w:val="19"/>
              </w:rPr>
            </w:pPr>
            <w:r w:rsidRPr="00057C4C">
              <w:rPr>
                <w:sz w:val="19"/>
              </w:rPr>
              <w:t>6</w:t>
            </w:r>
          </w:p>
        </w:tc>
        <w:tc>
          <w:tcPr>
            <w:tcW w:w="1179" w:type="dxa"/>
          </w:tcPr>
          <w:p w:rsidR="00DD6219" w:rsidRPr="00057C4C" w:rsidRDefault="00DD6219" w:rsidP="00073C62">
            <w:pPr>
              <w:spacing w:before="60" w:after="60"/>
              <w:jc w:val="center"/>
              <w:rPr>
                <w:sz w:val="19"/>
              </w:rPr>
            </w:pPr>
            <w:r w:rsidRPr="00057C4C">
              <w:rPr>
                <w:sz w:val="19"/>
              </w:rPr>
              <w:t>40</w:t>
            </w:r>
          </w:p>
        </w:tc>
        <w:tc>
          <w:tcPr>
            <w:tcW w:w="1184" w:type="dxa"/>
          </w:tcPr>
          <w:p w:rsidR="00DD6219" w:rsidRPr="00057C4C" w:rsidRDefault="00DD6219" w:rsidP="00073C62">
            <w:pPr>
              <w:spacing w:before="60" w:after="60"/>
              <w:jc w:val="center"/>
              <w:rPr>
                <w:sz w:val="19"/>
              </w:rPr>
            </w:pPr>
            <w:r w:rsidRPr="00057C4C">
              <w:rPr>
                <w:sz w:val="19"/>
              </w:rPr>
              <w:t>1</w:t>
            </w:r>
          </w:p>
        </w:tc>
      </w:tr>
      <w:tr w:rsidR="00DD6219" w:rsidRPr="00057C4C" w:rsidTr="00073C62">
        <w:trPr>
          <w:trHeight w:val="226"/>
        </w:trPr>
        <w:tc>
          <w:tcPr>
            <w:tcW w:w="2056" w:type="dxa"/>
          </w:tcPr>
          <w:p w:rsidR="00DD6219" w:rsidRPr="00057C4C" w:rsidRDefault="00DD6219" w:rsidP="00073C62">
            <w:pPr>
              <w:spacing w:before="60" w:after="60"/>
              <w:rPr>
                <w:sz w:val="19"/>
              </w:rPr>
            </w:pPr>
            <w:r w:rsidRPr="00057C4C">
              <w:rPr>
                <w:sz w:val="19"/>
              </w:rPr>
              <w:t>Headache</w:t>
            </w:r>
          </w:p>
        </w:tc>
        <w:tc>
          <w:tcPr>
            <w:tcW w:w="1045" w:type="dxa"/>
          </w:tcPr>
          <w:p w:rsidR="00DD6219" w:rsidRPr="00057C4C" w:rsidRDefault="00DD6219" w:rsidP="00073C62">
            <w:pPr>
              <w:spacing w:before="60" w:after="60"/>
              <w:jc w:val="center"/>
              <w:rPr>
                <w:sz w:val="19"/>
              </w:rPr>
            </w:pPr>
            <w:r w:rsidRPr="00057C4C">
              <w:rPr>
                <w:sz w:val="19"/>
              </w:rPr>
              <w:t>27</w:t>
            </w:r>
          </w:p>
        </w:tc>
        <w:tc>
          <w:tcPr>
            <w:tcW w:w="994"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32</w:t>
            </w:r>
          </w:p>
        </w:tc>
        <w:tc>
          <w:tcPr>
            <w:tcW w:w="1239" w:type="dxa"/>
          </w:tcPr>
          <w:p w:rsidR="00DD6219" w:rsidRPr="00057C4C" w:rsidRDefault="00DD6219" w:rsidP="00073C62">
            <w:pPr>
              <w:spacing w:before="60" w:after="60"/>
              <w:jc w:val="center"/>
              <w:rPr>
                <w:sz w:val="19"/>
              </w:rPr>
            </w:pPr>
            <w:r w:rsidRPr="00057C4C">
              <w:rPr>
                <w:sz w:val="19"/>
              </w:rPr>
              <w:t>2</w:t>
            </w:r>
          </w:p>
        </w:tc>
        <w:tc>
          <w:tcPr>
            <w:tcW w:w="1179" w:type="dxa"/>
          </w:tcPr>
          <w:p w:rsidR="00DD6219" w:rsidRPr="00057C4C" w:rsidRDefault="00DD6219" w:rsidP="00073C62">
            <w:pPr>
              <w:spacing w:before="60" w:after="60"/>
              <w:jc w:val="center"/>
              <w:rPr>
                <w:sz w:val="19"/>
              </w:rPr>
            </w:pPr>
            <w:r w:rsidRPr="00057C4C">
              <w:rPr>
                <w:sz w:val="19"/>
              </w:rPr>
              <w:t>36</w:t>
            </w:r>
          </w:p>
        </w:tc>
        <w:tc>
          <w:tcPr>
            <w:tcW w:w="1184" w:type="dxa"/>
          </w:tcPr>
          <w:p w:rsidR="00DD6219" w:rsidRPr="00057C4C" w:rsidRDefault="00DD6219" w:rsidP="00073C62">
            <w:pPr>
              <w:spacing w:before="60" w:after="60"/>
              <w:jc w:val="center"/>
              <w:rPr>
                <w:sz w:val="19"/>
              </w:rPr>
            </w:pPr>
            <w:r w:rsidRPr="00057C4C">
              <w:rPr>
                <w:sz w:val="19"/>
              </w:rPr>
              <w:t>0.6</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Abdominal Pain</w:t>
            </w:r>
          </w:p>
        </w:tc>
        <w:tc>
          <w:tcPr>
            <w:tcW w:w="1045" w:type="dxa"/>
          </w:tcPr>
          <w:p w:rsidR="00DD6219" w:rsidRPr="00057C4C" w:rsidRDefault="00DD6219" w:rsidP="00073C62">
            <w:pPr>
              <w:spacing w:before="60" w:after="60"/>
              <w:jc w:val="center"/>
              <w:rPr>
                <w:sz w:val="19"/>
              </w:rPr>
            </w:pPr>
            <w:r w:rsidRPr="00057C4C">
              <w:rPr>
                <w:sz w:val="19"/>
              </w:rPr>
              <w:t>30</w:t>
            </w:r>
          </w:p>
        </w:tc>
        <w:tc>
          <w:tcPr>
            <w:tcW w:w="994" w:type="dxa"/>
          </w:tcPr>
          <w:p w:rsidR="00DD6219" w:rsidRPr="00057C4C" w:rsidRDefault="00DD6219" w:rsidP="00073C62">
            <w:pPr>
              <w:spacing w:before="60" w:after="60"/>
              <w:jc w:val="center"/>
              <w:rPr>
                <w:sz w:val="19"/>
              </w:rPr>
            </w:pPr>
            <w:r w:rsidRPr="00057C4C">
              <w:rPr>
                <w:sz w:val="19"/>
              </w:rPr>
              <w:t>6</w:t>
            </w:r>
          </w:p>
        </w:tc>
        <w:tc>
          <w:tcPr>
            <w:tcW w:w="1179" w:type="dxa"/>
          </w:tcPr>
          <w:p w:rsidR="00DD6219" w:rsidRPr="00057C4C" w:rsidRDefault="00DD6219" w:rsidP="00073C62">
            <w:pPr>
              <w:spacing w:before="60" w:after="60"/>
              <w:jc w:val="center"/>
              <w:rPr>
                <w:sz w:val="19"/>
              </w:rPr>
            </w:pPr>
            <w:r w:rsidRPr="00057C4C">
              <w:rPr>
                <w:sz w:val="19"/>
              </w:rPr>
              <w:t>33</w:t>
            </w:r>
          </w:p>
        </w:tc>
        <w:tc>
          <w:tcPr>
            <w:tcW w:w="1239" w:type="dxa"/>
          </w:tcPr>
          <w:p w:rsidR="00DD6219" w:rsidRPr="00057C4C" w:rsidRDefault="00DD6219" w:rsidP="00073C62">
            <w:pPr>
              <w:spacing w:before="60" w:after="60"/>
              <w:jc w:val="center"/>
              <w:rPr>
                <w:sz w:val="19"/>
              </w:rPr>
            </w:pPr>
            <w:r w:rsidRPr="00057C4C">
              <w:rPr>
                <w:sz w:val="19"/>
              </w:rPr>
              <w:t>4</w:t>
            </w:r>
          </w:p>
        </w:tc>
        <w:tc>
          <w:tcPr>
            <w:tcW w:w="1179" w:type="dxa"/>
          </w:tcPr>
          <w:p w:rsidR="00DD6219" w:rsidRPr="00057C4C" w:rsidRDefault="00DD6219" w:rsidP="00073C62">
            <w:pPr>
              <w:spacing w:before="60" w:after="60"/>
              <w:jc w:val="center"/>
              <w:rPr>
                <w:sz w:val="19"/>
              </w:rPr>
            </w:pPr>
            <w:r w:rsidRPr="00057C4C">
              <w:rPr>
                <w:sz w:val="19"/>
              </w:rPr>
              <w:t>32</w:t>
            </w:r>
          </w:p>
        </w:tc>
        <w:tc>
          <w:tcPr>
            <w:tcW w:w="1184" w:type="dxa"/>
          </w:tcPr>
          <w:p w:rsidR="00DD6219" w:rsidRPr="00057C4C" w:rsidRDefault="00DD6219" w:rsidP="00073C62">
            <w:pPr>
              <w:spacing w:before="60" w:after="60"/>
              <w:jc w:val="center"/>
              <w:rPr>
                <w:sz w:val="19"/>
              </w:rPr>
            </w:pPr>
            <w:r w:rsidRPr="00057C4C">
              <w:rPr>
                <w:sz w:val="19"/>
              </w:rPr>
              <w:t>1</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Weight Increased</w:t>
            </w:r>
          </w:p>
        </w:tc>
        <w:tc>
          <w:tcPr>
            <w:tcW w:w="1045" w:type="dxa"/>
          </w:tcPr>
          <w:p w:rsidR="00DD6219" w:rsidRPr="00057C4C" w:rsidRDefault="00DD6219" w:rsidP="00073C62">
            <w:pPr>
              <w:spacing w:before="60" w:after="60"/>
              <w:jc w:val="center"/>
              <w:rPr>
                <w:sz w:val="19"/>
              </w:rPr>
            </w:pPr>
            <w:r w:rsidRPr="00057C4C">
              <w:rPr>
                <w:sz w:val="19"/>
              </w:rPr>
              <w:t>5</w:t>
            </w:r>
          </w:p>
        </w:tc>
        <w:tc>
          <w:tcPr>
            <w:tcW w:w="994" w:type="dxa"/>
          </w:tcPr>
          <w:p w:rsidR="00DD6219" w:rsidRPr="00057C4C" w:rsidRDefault="00DD6219" w:rsidP="00073C62">
            <w:pPr>
              <w:spacing w:before="60" w:after="60"/>
              <w:jc w:val="center"/>
              <w:rPr>
                <w:sz w:val="19"/>
              </w:rPr>
            </w:pPr>
            <w:r w:rsidRPr="00057C4C">
              <w:rPr>
                <w:sz w:val="19"/>
              </w:rPr>
              <w:t>1</w:t>
            </w:r>
          </w:p>
        </w:tc>
        <w:tc>
          <w:tcPr>
            <w:tcW w:w="1179" w:type="dxa"/>
          </w:tcPr>
          <w:p w:rsidR="00DD6219" w:rsidRPr="00057C4C" w:rsidRDefault="00DD6219" w:rsidP="00073C62">
            <w:pPr>
              <w:spacing w:before="60" w:after="60"/>
              <w:jc w:val="center"/>
              <w:rPr>
                <w:sz w:val="19"/>
              </w:rPr>
            </w:pPr>
            <w:r w:rsidRPr="00057C4C">
              <w:rPr>
                <w:sz w:val="19"/>
              </w:rPr>
              <w:t>17</w:t>
            </w:r>
          </w:p>
        </w:tc>
        <w:tc>
          <w:tcPr>
            <w:tcW w:w="1239"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32</w:t>
            </w:r>
          </w:p>
        </w:tc>
        <w:tc>
          <w:tcPr>
            <w:tcW w:w="1184" w:type="dxa"/>
          </w:tcPr>
          <w:p w:rsidR="00DD6219" w:rsidRPr="00057C4C" w:rsidRDefault="00DD6219" w:rsidP="00073C62">
            <w:pPr>
              <w:spacing w:before="60" w:after="60"/>
              <w:jc w:val="center"/>
              <w:rPr>
                <w:sz w:val="19"/>
              </w:rPr>
            </w:pPr>
            <w:r w:rsidRPr="00057C4C">
              <w:rPr>
                <w:sz w:val="19"/>
              </w:rPr>
              <w:t>7</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Cough</w:t>
            </w:r>
          </w:p>
        </w:tc>
        <w:tc>
          <w:tcPr>
            <w:tcW w:w="1045" w:type="dxa"/>
          </w:tcPr>
          <w:p w:rsidR="00DD6219" w:rsidRPr="00057C4C" w:rsidRDefault="00DD6219" w:rsidP="00073C62">
            <w:pPr>
              <w:spacing w:before="60" w:after="60"/>
              <w:jc w:val="center"/>
              <w:rPr>
                <w:sz w:val="19"/>
              </w:rPr>
            </w:pPr>
            <w:r w:rsidRPr="00057C4C">
              <w:rPr>
                <w:sz w:val="19"/>
              </w:rPr>
              <w:t>14</w:t>
            </w:r>
          </w:p>
        </w:tc>
        <w:tc>
          <w:tcPr>
            <w:tcW w:w="994" w:type="dxa"/>
          </w:tcPr>
          <w:p w:rsidR="00DD6219" w:rsidRPr="00057C4C" w:rsidRDefault="00DD6219" w:rsidP="00073C62">
            <w:pPr>
              <w:spacing w:before="60" w:after="60"/>
              <w:jc w:val="center"/>
              <w:rPr>
                <w:sz w:val="19"/>
              </w:rPr>
            </w:pPr>
            <w:r w:rsidRPr="00057C4C">
              <w:rPr>
                <w:sz w:val="19"/>
              </w:rPr>
              <w:t>0.8</w:t>
            </w:r>
          </w:p>
        </w:tc>
        <w:tc>
          <w:tcPr>
            <w:tcW w:w="1179" w:type="dxa"/>
          </w:tcPr>
          <w:p w:rsidR="00DD6219" w:rsidRPr="00057C4C" w:rsidRDefault="00DD6219" w:rsidP="00073C62">
            <w:pPr>
              <w:spacing w:before="60" w:after="60"/>
              <w:jc w:val="center"/>
              <w:rPr>
                <w:sz w:val="19"/>
              </w:rPr>
            </w:pPr>
            <w:r w:rsidRPr="00057C4C">
              <w:rPr>
                <w:sz w:val="19"/>
              </w:rPr>
              <w:t>27</w:t>
            </w:r>
          </w:p>
        </w:tc>
        <w:tc>
          <w:tcPr>
            <w:tcW w:w="1239" w:type="dxa"/>
          </w:tcPr>
          <w:p w:rsidR="00DD6219" w:rsidRPr="00057C4C" w:rsidRDefault="00DD6219" w:rsidP="00073C62">
            <w:pPr>
              <w:spacing w:before="60" w:after="60"/>
              <w:jc w:val="center"/>
              <w:rPr>
                <w:sz w:val="19"/>
              </w:rPr>
            </w:pPr>
            <w:r w:rsidRPr="00057C4C">
              <w:rPr>
                <w:sz w:val="19"/>
              </w:rPr>
              <w:t>0.9</w:t>
            </w:r>
          </w:p>
        </w:tc>
        <w:tc>
          <w:tcPr>
            <w:tcW w:w="1179" w:type="dxa"/>
          </w:tcPr>
          <w:p w:rsidR="00DD6219" w:rsidRPr="00057C4C" w:rsidRDefault="00DD6219" w:rsidP="00073C62">
            <w:pPr>
              <w:spacing w:before="60" w:after="60"/>
              <w:jc w:val="center"/>
              <w:rPr>
                <w:sz w:val="19"/>
              </w:rPr>
            </w:pPr>
            <w:r w:rsidRPr="00057C4C">
              <w:rPr>
                <w:sz w:val="19"/>
              </w:rPr>
              <w:t>20</w:t>
            </w:r>
          </w:p>
        </w:tc>
        <w:tc>
          <w:tcPr>
            <w:tcW w:w="1184" w:type="dxa"/>
          </w:tcPr>
          <w:p w:rsidR="00DD6219" w:rsidRPr="00057C4C" w:rsidRDefault="00DD6219" w:rsidP="00073C62">
            <w:pPr>
              <w:spacing w:before="60" w:after="60"/>
              <w:jc w:val="center"/>
              <w:rPr>
                <w:sz w:val="19"/>
              </w:rPr>
            </w:pPr>
            <w:r w:rsidRPr="00057C4C">
              <w:rPr>
                <w:sz w:val="19"/>
              </w:rPr>
              <w:t>0</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Dyspepsia</w:t>
            </w:r>
          </w:p>
        </w:tc>
        <w:tc>
          <w:tcPr>
            <w:tcW w:w="1045" w:type="dxa"/>
          </w:tcPr>
          <w:p w:rsidR="00DD6219" w:rsidRPr="00057C4C" w:rsidRDefault="00DD6219" w:rsidP="00073C62">
            <w:pPr>
              <w:spacing w:before="60" w:after="60"/>
              <w:jc w:val="center"/>
              <w:rPr>
                <w:sz w:val="19"/>
              </w:rPr>
            </w:pPr>
            <w:r w:rsidRPr="00057C4C">
              <w:rPr>
                <w:sz w:val="19"/>
              </w:rPr>
              <w:t>12</w:t>
            </w:r>
          </w:p>
        </w:tc>
        <w:tc>
          <w:tcPr>
            <w:tcW w:w="994"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22</w:t>
            </w:r>
          </w:p>
        </w:tc>
        <w:tc>
          <w:tcPr>
            <w:tcW w:w="1239"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27</w:t>
            </w:r>
          </w:p>
        </w:tc>
        <w:tc>
          <w:tcPr>
            <w:tcW w:w="1184" w:type="dxa"/>
          </w:tcPr>
          <w:p w:rsidR="00DD6219" w:rsidRPr="00057C4C" w:rsidRDefault="00DD6219" w:rsidP="00073C62">
            <w:pPr>
              <w:spacing w:before="60" w:after="60"/>
              <w:jc w:val="center"/>
              <w:rPr>
                <w:sz w:val="19"/>
              </w:rPr>
            </w:pPr>
            <w:r w:rsidRPr="00057C4C">
              <w:rPr>
                <w:sz w:val="19"/>
              </w:rPr>
              <w:t>0</w:t>
            </w:r>
          </w:p>
        </w:tc>
      </w:tr>
      <w:tr w:rsidR="00DD6219" w:rsidRPr="00057C4C" w:rsidTr="00073C62">
        <w:trPr>
          <w:trHeight w:val="226"/>
        </w:trPr>
        <w:tc>
          <w:tcPr>
            <w:tcW w:w="2056" w:type="dxa"/>
          </w:tcPr>
          <w:p w:rsidR="00DD6219" w:rsidRPr="00057C4C" w:rsidRDefault="00DD6219" w:rsidP="00073C62">
            <w:pPr>
              <w:spacing w:before="60" w:after="60"/>
              <w:rPr>
                <w:sz w:val="19"/>
              </w:rPr>
            </w:pPr>
            <w:r w:rsidRPr="00057C4C">
              <w:rPr>
                <w:sz w:val="19"/>
              </w:rPr>
              <w:t>Myalgia</w:t>
            </w:r>
          </w:p>
        </w:tc>
        <w:tc>
          <w:tcPr>
            <w:tcW w:w="1045" w:type="dxa"/>
          </w:tcPr>
          <w:p w:rsidR="00DD6219" w:rsidRPr="00057C4C" w:rsidRDefault="00DD6219" w:rsidP="00073C62">
            <w:pPr>
              <w:spacing w:before="60" w:after="60"/>
              <w:jc w:val="center"/>
              <w:rPr>
                <w:sz w:val="19"/>
              </w:rPr>
            </w:pPr>
            <w:r w:rsidRPr="00057C4C">
              <w:rPr>
                <w:sz w:val="19"/>
              </w:rPr>
              <w:t>9</w:t>
            </w:r>
          </w:p>
        </w:tc>
        <w:tc>
          <w:tcPr>
            <w:tcW w:w="994"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24</w:t>
            </w:r>
          </w:p>
        </w:tc>
        <w:tc>
          <w:tcPr>
            <w:tcW w:w="1239" w:type="dxa"/>
          </w:tcPr>
          <w:p w:rsidR="00DD6219" w:rsidRPr="00057C4C" w:rsidRDefault="00DD6219" w:rsidP="00073C62">
            <w:pPr>
              <w:spacing w:before="60" w:after="60"/>
              <w:jc w:val="center"/>
              <w:rPr>
                <w:sz w:val="19"/>
              </w:rPr>
            </w:pPr>
            <w:r w:rsidRPr="00057C4C">
              <w:rPr>
                <w:sz w:val="19"/>
              </w:rPr>
              <w:t>2</w:t>
            </w:r>
          </w:p>
        </w:tc>
        <w:tc>
          <w:tcPr>
            <w:tcW w:w="1179" w:type="dxa"/>
          </w:tcPr>
          <w:p w:rsidR="00DD6219" w:rsidRPr="00057C4C" w:rsidRDefault="00DD6219" w:rsidP="00073C62">
            <w:pPr>
              <w:spacing w:before="60" w:after="60"/>
              <w:jc w:val="center"/>
              <w:rPr>
                <w:sz w:val="19"/>
              </w:rPr>
            </w:pPr>
            <w:r w:rsidRPr="00057C4C">
              <w:rPr>
                <w:sz w:val="19"/>
              </w:rPr>
              <w:t>27</w:t>
            </w:r>
          </w:p>
        </w:tc>
        <w:tc>
          <w:tcPr>
            <w:tcW w:w="1184" w:type="dxa"/>
          </w:tcPr>
          <w:p w:rsidR="00DD6219" w:rsidRPr="00057C4C" w:rsidRDefault="00DD6219" w:rsidP="00073C62">
            <w:pPr>
              <w:spacing w:before="60" w:after="60"/>
              <w:jc w:val="center"/>
              <w:rPr>
                <w:sz w:val="19"/>
              </w:rPr>
            </w:pPr>
            <w:r w:rsidRPr="00057C4C">
              <w:rPr>
                <w:sz w:val="19"/>
              </w:rPr>
              <w:t>0.2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Nasopharyngitis</w:t>
            </w:r>
          </w:p>
        </w:tc>
        <w:tc>
          <w:tcPr>
            <w:tcW w:w="1045" w:type="dxa"/>
          </w:tcPr>
          <w:p w:rsidR="00DD6219" w:rsidRPr="00057C4C" w:rsidRDefault="00DD6219" w:rsidP="00073C62">
            <w:pPr>
              <w:spacing w:before="60" w:after="60"/>
              <w:jc w:val="center"/>
              <w:rPr>
                <w:sz w:val="19"/>
              </w:rPr>
            </w:pPr>
            <w:r w:rsidRPr="00057C4C">
              <w:rPr>
                <w:sz w:val="19"/>
              </w:rPr>
              <w:t>10</w:t>
            </w:r>
          </w:p>
        </w:tc>
        <w:tc>
          <w:tcPr>
            <w:tcW w:w="994"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17</w:t>
            </w:r>
          </w:p>
        </w:tc>
        <w:tc>
          <w:tcPr>
            <w:tcW w:w="1239"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22</w:t>
            </w:r>
          </w:p>
        </w:tc>
        <w:tc>
          <w:tcPr>
            <w:tcW w:w="1184" w:type="dxa"/>
          </w:tcPr>
          <w:p w:rsidR="00DD6219" w:rsidRPr="00057C4C" w:rsidRDefault="00DD6219" w:rsidP="00073C62">
            <w:pPr>
              <w:spacing w:before="60" w:after="60"/>
              <w:jc w:val="center"/>
              <w:rPr>
                <w:sz w:val="19"/>
              </w:rPr>
            </w:pPr>
            <w:r w:rsidRPr="00057C4C">
              <w:rPr>
                <w:sz w:val="19"/>
              </w:rPr>
              <w:t>0.2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Asthenia</w:t>
            </w:r>
          </w:p>
        </w:tc>
        <w:tc>
          <w:tcPr>
            <w:tcW w:w="1045" w:type="dxa"/>
          </w:tcPr>
          <w:p w:rsidR="00DD6219" w:rsidRPr="00057C4C" w:rsidRDefault="00DD6219" w:rsidP="00073C62">
            <w:pPr>
              <w:spacing w:before="60" w:after="60"/>
              <w:jc w:val="center"/>
              <w:rPr>
                <w:sz w:val="19"/>
              </w:rPr>
            </w:pPr>
            <w:r w:rsidRPr="00057C4C">
              <w:rPr>
                <w:sz w:val="19"/>
              </w:rPr>
              <w:t>18</w:t>
            </w:r>
          </w:p>
        </w:tc>
        <w:tc>
          <w:tcPr>
            <w:tcW w:w="994"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21</w:t>
            </w:r>
          </w:p>
        </w:tc>
        <w:tc>
          <w:tcPr>
            <w:tcW w:w="1239"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15</w:t>
            </w:r>
          </w:p>
        </w:tc>
        <w:tc>
          <w:tcPr>
            <w:tcW w:w="1184" w:type="dxa"/>
          </w:tcPr>
          <w:p w:rsidR="00DD6219" w:rsidRPr="00057C4C" w:rsidRDefault="00DD6219" w:rsidP="00073C62">
            <w:pPr>
              <w:spacing w:before="60" w:after="60"/>
              <w:jc w:val="center"/>
              <w:rPr>
                <w:sz w:val="19"/>
              </w:rPr>
            </w:pPr>
            <w:r w:rsidRPr="00057C4C">
              <w:rPr>
                <w:sz w:val="19"/>
              </w:rPr>
              <w:t>0.2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Dyspnoea</w:t>
            </w:r>
          </w:p>
        </w:tc>
        <w:tc>
          <w:tcPr>
            <w:tcW w:w="1045" w:type="dxa"/>
          </w:tcPr>
          <w:p w:rsidR="00DD6219" w:rsidRPr="00057C4C" w:rsidRDefault="00DD6219" w:rsidP="00073C62">
            <w:pPr>
              <w:spacing w:before="60" w:after="60"/>
              <w:jc w:val="center"/>
              <w:rPr>
                <w:sz w:val="19"/>
              </w:rPr>
            </w:pPr>
            <w:r w:rsidRPr="00057C4C">
              <w:rPr>
                <w:sz w:val="19"/>
              </w:rPr>
              <w:t>15</w:t>
            </w:r>
          </w:p>
        </w:tc>
        <w:tc>
          <w:tcPr>
            <w:tcW w:w="994" w:type="dxa"/>
          </w:tcPr>
          <w:p w:rsidR="00DD6219" w:rsidRPr="00057C4C" w:rsidRDefault="00DD6219" w:rsidP="00073C62">
            <w:pPr>
              <w:spacing w:before="60" w:after="60"/>
              <w:jc w:val="center"/>
              <w:rPr>
                <w:sz w:val="19"/>
              </w:rPr>
            </w:pPr>
            <w:r w:rsidRPr="00057C4C">
              <w:rPr>
                <w:sz w:val="19"/>
              </w:rPr>
              <w:t>4</w:t>
            </w:r>
          </w:p>
        </w:tc>
        <w:tc>
          <w:tcPr>
            <w:tcW w:w="1179" w:type="dxa"/>
          </w:tcPr>
          <w:p w:rsidR="00DD6219" w:rsidRPr="00057C4C" w:rsidRDefault="00DD6219" w:rsidP="00073C62">
            <w:pPr>
              <w:spacing w:before="60" w:after="60"/>
              <w:jc w:val="center"/>
              <w:rPr>
                <w:sz w:val="19"/>
              </w:rPr>
            </w:pPr>
            <w:r w:rsidRPr="00057C4C">
              <w:rPr>
                <w:sz w:val="19"/>
              </w:rPr>
              <w:t>21</w:t>
            </w:r>
          </w:p>
        </w:tc>
        <w:tc>
          <w:tcPr>
            <w:tcW w:w="1239" w:type="dxa"/>
          </w:tcPr>
          <w:p w:rsidR="00DD6219" w:rsidRPr="00057C4C" w:rsidRDefault="00DD6219" w:rsidP="00073C62">
            <w:pPr>
              <w:spacing w:before="60" w:after="60"/>
              <w:jc w:val="center"/>
              <w:rPr>
                <w:sz w:val="19"/>
              </w:rPr>
            </w:pPr>
            <w:r w:rsidRPr="00057C4C">
              <w:rPr>
                <w:sz w:val="19"/>
              </w:rPr>
              <w:t>7</w:t>
            </w:r>
          </w:p>
        </w:tc>
        <w:tc>
          <w:tcPr>
            <w:tcW w:w="1179" w:type="dxa"/>
          </w:tcPr>
          <w:p w:rsidR="00DD6219" w:rsidRPr="00057C4C" w:rsidRDefault="00DD6219" w:rsidP="00073C62">
            <w:pPr>
              <w:spacing w:before="60" w:after="60"/>
              <w:jc w:val="center"/>
              <w:rPr>
                <w:sz w:val="19"/>
              </w:rPr>
            </w:pPr>
            <w:r w:rsidRPr="00057C4C">
              <w:rPr>
                <w:sz w:val="19"/>
              </w:rPr>
              <w:t>12</w:t>
            </w:r>
          </w:p>
        </w:tc>
        <w:tc>
          <w:tcPr>
            <w:tcW w:w="1184" w:type="dxa"/>
          </w:tcPr>
          <w:p w:rsidR="00DD6219" w:rsidRPr="00057C4C" w:rsidRDefault="00DD6219" w:rsidP="00073C62">
            <w:pPr>
              <w:spacing w:before="60" w:after="60"/>
              <w:jc w:val="center"/>
              <w:rPr>
                <w:sz w:val="19"/>
              </w:rPr>
            </w:pPr>
            <w:r w:rsidRPr="00057C4C">
              <w:rPr>
                <w:sz w:val="19"/>
              </w:rPr>
              <w:t>0.9</w:t>
            </w:r>
          </w:p>
        </w:tc>
      </w:tr>
      <w:tr w:rsidR="00DD6219" w:rsidRPr="00057C4C" w:rsidTr="00073C62">
        <w:trPr>
          <w:trHeight w:val="467"/>
        </w:trPr>
        <w:tc>
          <w:tcPr>
            <w:tcW w:w="2056" w:type="dxa"/>
          </w:tcPr>
          <w:p w:rsidR="00DD6219" w:rsidRPr="00057C4C" w:rsidRDefault="00DD6219" w:rsidP="00073C62">
            <w:pPr>
              <w:spacing w:before="60" w:after="60"/>
              <w:rPr>
                <w:sz w:val="19"/>
              </w:rPr>
            </w:pPr>
            <w:r w:rsidRPr="00057C4C">
              <w:rPr>
                <w:sz w:val="19"/>
              </w:rPr>
              <w:t>Upper Respiratory Tract Infection</w:t>
            </w:r>
          </w:p>
        </w:tc>
        <w:tc>
          <w:tcPr>
            <w:tcW w:w="1045" w:type="dxa"/>
          </w:tcPr>
          <w:p w:rsidR="00DD6219" w:rsidRPr="00057C4C" w:rsidRDefault="00DD6219" w:rsidP="00073C62">
            <w:pPr>
              <w:spacing w:before="60" w:after="60"/>
              <w:jc w:val="center"/>
              <w:rPr>
                <w:sz w:val="19"/>
              </w:rPr>
            </w:pPr>
            <w:r w:rsidRPr="00057C4C">
              <w:rPr>
                <w:sz w:val="19"/>
              </w:rPr>
              <w:t>3</w:t>
            </w:r>
          </w:p>
        </w:tc>
        <w:tc>
          <w:tcPr>
            <w:tcW w:w="994"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12</w:t>
            </w:r>
          </w:p>
        </w:tc>
        <w:tc>
          <w:tcPr>
            <w:tcW w:w="1239" w:type="dxa"/>
          </w:tcPr>
          <w:p w:rsidR="00DD6219" w:rsidRPr="00057C4C" w:rsidRDefault="00DD6219" w:rsidP="00073C62">
            <w:pPr>
              <w:spacing w:before="60" w:after="60"/>
              <w:jc w:val="center"/>
              <w:rPr>
                <w:sz w:val="19"/>
              </w:rPr>
            </w:pPr>
            <w:r w:rsidRPr="00057C4C">
              <w:rPr>
                <w:sz w:val="19"/>
              </w:rPr>
              <w:t>0.4</w:t>
            </w:r>
          </w:p>
        </w:tc>
        <w:tc>
          <w:tcPr>
            <w:tcW w:w="1179" w:type="dxa"/>
          </w:tcPr>
          <w:p w:rsidR="00DD6219" w:rsidRPr="00057C4C" w:rsidRDefault="00DD6219" w:rsidP="00073C62">
            <w:pPr>
              <w:spacing w:before="60" w:after="60"/>
              <w:jc w:val="center"/>
              <w:rPr>
                <w:sz w:val="19"/>
              </w:rPr>
            </w:pPr>
            <w:r w:rsidRPr="00057C4C">
              <w:rPr>
                <w:sz w:val="19"/>
              </w:rPr>
              <w:t>19</w:t>
            </w:r>
          </w:p>
        </w:tc>
        <w:tc>
          <w:tcPr>
            <w:tcW w:w="1184" w:type="dxa"/>
          </w:tcPr>
          <w:p w:rsidR="00DD6219" w:rsidRPr="00057C4C" w:rsidRDefault="00DD6219" w:rsidP="00073C62">
            <w:pPr>
              <w:spacing w:before="60" w:after="60"/>
              <w:jc w:val="center"/>
              <w:rPr>
                <w:sz w:val="19"/>
              </w:rPr>
            </w:pPr>
            <w:r w:rsidRPr="00057C4C">
              <w:rPr>
                <w:sz w:val="19"/>
              </w:rPr>
              <w:t>0</w:t>
            </w:r>
          </w:p>
        </w:tc>
      </w:tr>
      <w:tr w:rsidR="00DD6219" w:rsidRPr="00057C4C" w:rsidTr="00073C62">
        <w:trPr>
          <w:trHeight w:val="226"/>
        </w:trPr>
        <w:tc>
          <w:tcPr>
            <w:tcW w:w="2056" w:type="dxa"/>
          </w:tcPr>
          <w:p w:rsidR="00DD6219" w:rsidRPr="00057C4C" w:rsidRDefault="00DD6219" w:rsidP="00073C62">
            <w:pPr>
              <w:spacing w:before="60" w:after="60"/>
              <w:rPr>
                <w:sz w:val="19"/>
              </w:rPr>
            </w:pPr>
            <w:r w:rsidRPr="00057C4C">
              <w:rPr>
                <w:sz w:val="19"/>
              </w:rPr>
              <w:t>Anorexia</w:t>
            </w:r>
          </w:p>
        </w:tc>
        <w:tc>
          <w:tcPr>
            <w:tcW w:w="1045" w:type="dxa"/>
          </w:tcPr>
          <w:p w:rsidR="00DD6219" w:rsidRPr="00057C4C" w:rsidRDefault="00DD6219" w:rsidP="00073C62">
            <w:pPr>
              <w:spacing w:before="60" w:after="60"/>
              <w:jc w:val="center"/>
              <w:rPr>
                <w:sz w:val="19"/>
              </w:rPr>
            </w:pPr>
            <w:r w:rsidRPr="00057C4C">
              <w:rPr>
                <w:sz w:val="19"/>
              </w:rPr>
              <w:t>14</w:t>
            </w:r>
          </w:p>
        </w:tc>
        <w:tc>
          <w:tcPr>
            <w:tcW w:w="994" w:type="dxa"/>
          </w:tcPr>
          <w:p w:rsidR="00DD6219" w:rsidRPr="00057C4C" w:rsidRDefault="00DD6219" w:rsidP="00073C62">
            <w:pPr>
              <w:spacing w:before="60" w:after="60"/>
              <w:jc w:val="center"/>
              <w:rPr>
                <w:sz w:val="19"/>
              </w:rPr>
            </w:pPr>
            <w:r w:rsidRPr="00057C4C">
              <w:rPr>
                <w:sz w:val="19"/>
              </w:rPr>
              <w:t>2</w:t>
            </w:r>
          </w:p>
        </w:tc>
        <w:tc>
          <w:tcPr>
            <w:tcW w:w="1179" w:type="dxa"/>
          </w:tcPr>
          <w:p w:rsidR="00DD6219" w:rsidRPr="00057C4C" w:rsidRDefault="00DD6219" w:rsidP="00073C62">
            <w:pPr>
              <w:spacing w:before="60" w:after="60"/>
              <w:jc w:val="center"/>
              <w:rPr>
                <w:sz w:val="19"/>
              </w:rPr>
            </w:pPr>
            <w:r w:rsidRPr="00057C4C">
              <w:rPr>
                <w:sz w:val="19"/>
              </w:rPr>
              <w:t>17</w:t>
            </w:r>
          </w:p>
        </w:tc>
        <w:tc>
          <w:tcPr>
            <w:tcW w:w="1239" w:type="dxa"/>
          </w:tcPr>
          <w:p w:rsidR="00DD6219" w:rsidRPr="00057C4C" w:rsidRDefault="00DD6219" w:rsidP="00073C62">
            <w:pPr>
              <w:spacing w:before="60" w:after="60"/>
              <w:jc w:val="center"/>
              <w:rPr>
                <w:sz w:val="19"/>
              </w:rPr>
            </w:pPr>
            <w:r w:rsidRPr="00057C4C">
              <w:rPr>
                <w:sz w:val="19"/>
              </w:rPr>
              <w:t>2</w:t>
            </w:r>
          </w:p>
        </w:tc>
        <w:tc>
          <w:tcPr>
            <w:tcW w:w="1179" w:type="dxa"/>
          </w:tcPr>
          <w:p w:rsidR="00DD6219" w:rsidRPr="00057C4C" w:rsidRDefault="00DD6219" w:rsidP="00073C62">
            <w:pPr>
              <w:spacing w:before="60" w:after="60"/>
              <w:jc w:val="center"/>
              <w:rPr>
                <w:sz w:val="19"/>
              </w:rPr>
            </w:pPr>
            <w:r w:rsidRPr="00057C4C">
              <w:rPr>
                <w:sz w:val="19"/>
              </w:rPr>
              <w:t>7</w:t>
            </w:r>
          </w:p>
        </w:tc>
        <w:tc>
          <w:tcPr>
            <w:tcW w:w="1184" w:type="dxa"/>
          </w:tcPr>
          <w:p w:rsidR="00DD6219" w:rsidRPr="00057C4C" w:rsidRDefault="00DD6219" w:rsidP="00073C62">
            <w:pPr>
              <w:spacing w:before="60" w:after="60"/>
              <w:jc w:val="center"/>
              <w:rPr>
                <w:sz w:val="19"/>
              </w:rPr>
            </w:pPr>
            <w:r w:rsidRPr="00057C4C">
              <w:rPr>
                <w:sz w:val="19"/>
              </w:rPr>
              <w:t>0</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Night Sweats</w:t>
            </w:r>
          </w:p>
        </w:tc>
        <w:tc>
          <w:tcPr>
            <w:tcW w:w="1045" w:type="dxa"/>
          </w:tcPr>
          <w:p w:rsidR="00DD6219" w:rsidRPr="00057C4C" w:rsidRDefault="00DD6219" w:rsidP="00073C62">
            <w:pPr>
              <w:spacing w:before="60" w:after="60"/>
              <w:jc w:val="center"/>
              <w:rPr>
                <w:sz w:val="19"/>
              </w:rPr>
            </w:pPr>
            <w:r w:rsidRPr="00057C4C">
              <w:rPr>
                <w:sz w:val="19"/>
              </w:rPr>
              <w:t>13</w:t>
            </w:r>
          </w:p>
        </w:tc>
        <w:tc>
          <w:tcPr>
            <w:tcW w:w="994" w:type="dxa"/>
          </w:tcPr>
          <w:p w:rsidR="00DD6219" w:rsidRPr="00057C4C" w:rsidRDefault="00DD6219" w:rsidP="00073C62">
            <w:pPr>
              <w:spacing w:before="60" w:after="60"/>
              <w:jc w:val="center"/>
              <w:rPr>
                <w:sz w:val="19"/>
              </w:rPr>
            </w:pPr>
            <w:r w:rsidRPr="00057C4C">
              <w:rPr>
                <w:sz w:val="19"/>
              </w:rPr>
              <w:t>0.8</w:t>
            </w:r>
          </w:p>
        </w:tc>
        <w:tc>
          <w:tcPr>
            <w:tcW w:w="1179" w:type="dxa"/>
          </w:tcPr>
          <w:p w:rsidR="00DD6219" w:rsidRPr="00057C4C" w:rsidRDefault="00DD6219" w:rsidP="00073C62">
            <w:pPr>
              <w:spacing w:before="60" w:after="60"/>
              <w:jc w:val="center"/>
              <w:rPr>
                <w:sz w:val="19"/>
              </w:rPr>
            </w:pPr>
            <w:r w:rsidRPr="00057C4C">
              <w:rPr>
                <w:sz w:val="19"/>
              </w:rPr>
              <w:t>17</w:t>
            </w:r>
          </w:p>
        </w:tc>
        <w:tc>
          <w:tcPr>
            <w:tcW w:w="1239" w:type="dxa"/>
          </w:tcPr>
          <w:p w:rsidR="00DD6219" w:rsidRPr="00057C4C" w:rsidRDefault="00DD6219" w:rsidP="00073C62">
            <w:pPr>
              <w:spacing w:before="60" w:after="60"/>
              <w:jc w:val="center"/>
              <w:rPr>
                <w:sz w:val="19"/>
              </w:rPr>
            </w:pPr>
            <w:r w:rsidRPr="00057C4C">
              <w:rPr>
                <w:sz w:val="19"/>
              </w:rPr>
              <w:t>1</w:t>
            </w:r>
          </w:p>
        </w:tc>
        <w:tc>
          <w:tcPr>
            <w:tcW w:w="1179" w:type="dxa"/>
          </w:tcPr>
          <w:p w:rsidR="00DD6219" w:rsidRPr="00057C4C" w:rsidRDefault="00DD6219" w:rsidP="00073C62">
            <w:pPr>
              <w:spacing w:before="60" w:after="60"/>
              <w:jc w:val="center"/>
              <w:rPr>
                <w:sz w:val="19"/>
              </w:rPr>
            </w:pPr>
            <w:r w:rsidRPr="00057C4C">
              <w:rPr>
                <w:sz w:val="19"/>
              </w:rPr>
              <w:t>14</w:t>
            </w:r>
          </w:p>
        </w:tc>
        <w:tc>
          <w:tcPr>
            <w:tcW w:w="1184" w:type="dxa"/>
          </w:tcPr>
          <w:p w:rsidR="00DD6219" w:rsidRPr="00057C4C" w:rsidRDefault="00DD6219" w:rsidP="00073C62">
            <w:pPr>
              <w:spacing w:before="60" w:after="60"/>
              <w:jc w:val="center"/>
              <w:rPr>
                <w:sz w:val="19"/>
              </w:rPr>
            </w:pPr>
            <w:r w:rsidRPr="00057C4C">
              <w:rPr>
                <w:sz w:val="19"/>
              </w:rPr>
              <w:t>0.2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Constipation</w:t>
            </w:r>
          </w:p>
        </w:tc>
        <w:tc>
          <w:tcPr>
            <w:tcW w:w="1045" w:type="dxa"/>
          </w:tcPr>
          <w:p w:rsidR="00DD6219" w:rsidRPr="00057C4C" w:rsidRDefault="00DD6219" w:rsidP="00073C62">
            <w:pPr>
              <w:spacing w:before="60" w:after="60"/>
              <w:jc w:val="center"/>
              <w:rPr>
                <w:sz w:val="19"/>
              </w:rPr>
            </w:pPr>
            <w:r w:rsidRPr="00057C4C">
              <w:rPr>
                <w:sz w:val="19"/>
              </w:rPr>
              <w:t>16</w:t>
            </w:r>
          </w:p>
        </w:tc>
        <w:tc>
          <w:tcPr>
            <w:tcW w:w="994" w:type="dxa"/>
          </w:tcPr>
          <w:p w:rsidR="00DD6219" w:rsidRPr="00057C4C" w:rsidRDefault="00DD6219" w:rsidP="00073C62">
            <w:pPr>
              <w:spacing w:before="60" w:after="60"/>
              <w:jc w:val="center"/>
              <w:rPr>
                <w:sz w:val="19"/>
              </w:rPr>
            </w:pPr>
            <w:r w:rsidRPr="00057C4C">
              <w:rPr>
                <w:sz w:val="19"/>
              </w:rPr>
              <w:t>2</w:t>
            </w:r>
          </w:p>
        </w:tc>
        <w:tc>
          <w:tcPr>
            <w:tcW w:w="1179" w:type="dxa"/>
          </w:tcPr>
          <w:p w:rsidR="00DD6219" w:rsidRPr="00057C4C" w:rsidRDefault="00DD6219" w:rsidP="00073C62">
            <w:pPr>
              <w:spacing w:before="60" w:after="60"/>
              <w:jc w:val="center"/>
              <w:rPr>
                <w:sz w:val="19"/>
              </w:rPr>
            </w:pPr>
            <w:r w:rsidRPr="00057C4C">
              <w:rPr>
                <w:sz w:val="19"/>
              </w:rPr>
              <w:t>16</w:t>
            </w:r>
          </w:p>
        </w:tc>
        <w:tc>
          <w:tcPr>
            <w:tcW w:w="1239" w:type="dxa"/>
          </w:tcPr>
          <w:p w:rsidR="00DD6219" w:rsidRPr="00057C4C" w:rsidRDefault="00DD6219" w:rsidP="00073C62">
            <w:pPr>
              <w:spacing w:before="60" w:after="60"/>
              <w:jc w:val="center"/>
              <w:rPr>
                <w:sz w:val="19"/>
              </w:rPr>
            </w:pPr>
            <w:r w:rsidRPr="00057C4C">
              <w:rPr>
                <w:sz w:val="19"/>
              </w:rPr>
              <w:t>0.9</w:t>
            </w:r>
          </w:p>
        </w:tc>
        <w:tc>
          <w:tcPr>
            <w:tcW w:w="1179" w:type="dxa"/>
          </w:tcPr>
          <w:p w:rsidR="00DD6219" w:rsidRPr="00057C4C" w:rsidRDefault="00DD6219" w:rsidP="00073C62">
            <w:pPr>
              <w:spacing w:before="60" w:after="60"/>
              <w:jc w:val="center"/>
              <w:rPr>
                <w:sz w:val="19"/>
              </w:rPr>
            </w:pPr>
            <w:r w:rsidRPr="00057C4C">
              <w:rPr>
                <w:sz w:val="19"/>
              </w:rPr>
              <w:t>9</w:t>
            </w:r>
          </w:p>
        </w:tc>
        <w:tc>
          <w:tcPr>
            <w:tcW w:w="1184" w:type="dxa"/>
          </w:tcPr>
          <w:p w:rsidR="00DD6219" w:rsidRPr="00057C4C" w:rsidRDefault="00DD6219" w:rsidP="00073C62">
            <w:pPr>
              <w:spacing w:before="60" w:after="60"/>
              <w:jc w:val="center"/>
              <w:rPr>
                <w:sz w:val="19"/>
              </w:rPr>
            </w:pPr>
            <w:r w:rsidRPr="00057C4C">
              <w:rPr>
                <w:sz w:val="19"/>
              </w:rPr>
              <w:t>0.4</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Dizziness</w:t>
            </w:r>
          </w:p>
        </w:tc>
        <w:tc>
          <w:tcPr>
            <w:tcW w:w="1045" w:type="dxa"/>
          </w:tcPr>
          <w:p w:rsidR="00DD6219" w:rsidRPr="00057C4C" w:rsidRDefault="00DD6219" w:rsidP="00073C62">
            <w:pPr>
              <w:spacing w:before="60" w:after="60"/>
              <w:jc w:val="center"/>
              <w:rPr>
                <w:sz w:val="19"/>
              </w:rPr>
            </w:pPr>
            <w:r w:rsidRPr="00057C4C">
              <w:rPr>
                <w:sz w:val="19"/>
              </w:rPr>
              <w:t>12</w:t>
            </w:r>
          </w:p>
        </w:tc>
        <w:tc>
          <w:tcPr>
            <w:tcW w:w="994" w:type="dxa"/>
          </w:tcPr>
          <w:p w:rsidR="00DD6219" w:rsidRPr="00057C4C" w:rsidRDefault="00DD6219" w:rsidP="00073C62">
            <w:pPr>
              <w:spacing w:before="60" w:after="60"/>
              <w:jc w:val="center"/>
              <w:rPr>
                <w:sz w:val="19"/>
              </w:rPr>
            </w:pPr>
            <w:r w:rsidRPr="00057C4C">
              <w:rPr>
                <w:sz w:val="19"/>
              </w:rPr>
              <w:t>0.4</w:t>
            </w:r>
          </w:p>
        </w:tc>
        <w:tc>
          <w:tcPr>
            <w:tcW w:w="1179" w:type="dxa"/>
          </w:tcPr>
          <w:p w:rsidR="00DD6219" w:rsidRPr="00057C4C" w:rsidRDefault="00DD6219" w:rsidP="00073C62">
            <w:pPr>
              <w:spacing w:before="60" w:after="60"/>
              <w:jc w:val="center"/>
              <w:rPr>
                <w:sz w:val="19"/>
              </w:rPr>
            </w:pPr>
            <w:r w:rsidRPr="00057C4C">
              <w:rPr>
                <w:sz w:val="19"/>
              </w:rPr>
              <w:t>13</w:t>
            </w:r>
          </w:p>
        </w:tc>
        <w:tc>
          <w:tcPr>
            <w:tcW w:w="1239"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16</w:t>
            </w:r>
          </w:p>
        </w:tc>
        <w:tc>
          <w:tcPr>
            <w:tcW w:w="1184" w:type="dxa"/>
          </w:tcPr>
          <w:p w:rsidR="00DD6219" w:rsidRPr="00057C4C" w:rsidRDefault="00DD6219" w:rsidP="00073C62">
            <w:pPr>
              <w:spacing w:before="60" w:after="60"/>
              <w:jc w:val="center"/>
              <w:rPr>
                <w:sz w:val="19"/>
              </w:rPr>
            </w:pPr>
            <w:r w:rsidRPr="00057C4C">
              <w:rPr>
                <w:sz w:val="19"/>
              </w:rPr>
              <w:t>0.2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Pharyngitis</w:t>
            </w:r>
          </w:p>
        </w:tc>
        <w:tc>
          <w:tcPr>
            <w:tcW w:w="1045" w:type="dxa"/>
          </w:tcPr>
          <w:p w:rsidR="00DD6219" w:rsidRPr="00057C4C" w:rsidRDefault="00DD6219" w:rsidP="00073C62">
            <w:pPr>
              <w:spacing w:before="60" w:after="60"/>
              <w:jc w:val="center"/>
              <w:rPr>
                <w:sz w:val="19"/>
              </w:rPr>
            </w:pPr>
            <w:r w:rsidRPr="00057C4C">
              <w:rPr>
                <w:sz w:val="19"/>
              </w:rPr>
              <w:t>10</w:t>
            </w:r>
          </w:p>
        </w:tc>
        <w:tc>
          <w:tcPr>
            <w:tcW w:w="994"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12</w:t>
            </w:r>
          </w:p>
        </w:tc>
        <w:tc>
          <w:tcPr>
            <w:tcW w:w="1239"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15</w:t>
            </w:r>
          </w:p>
        </w:tc>
        <w:tc>
          <w:tcPr>
            <w:tcW w:w="1184" w:type="dxa"/>
          </w:tcPr>
          <w:p w:rsidR="00DD6219" w:rsidRPr="00057C4C" w:rsidRDefault="00DD6219" w:rsidP="00073C62">
            <w:pPr>
              <w:spacing w:before="60" w:after="60"/>
              <w:jc w:val="center"/>
              <w:rPr>
                <w:sz w:val="19"/>
              </w:rPr>
            </w:pPr>
            <w:r w:rsidRPr="00057C4C">
              <w:rPr>
                <w:sz w:val="19"/>
              </w:rPr>
              <w:t>0</w:t>
            </w:r>
          </w:p>
        </w:tc>
      </w:tr>
      <w:tr w:rsidR="00DD6219" w:rsidRPr="00057C4C" w:rsidTr="00073C62">
        <w:trPr>
          <w:trHeight w:val="226"/>
        </w:trPr>
        <w:tc>
          <w:tcPr>
            <w:tcW w:w="2056" w:type="dxa"/>
          </w:tcPr>
          <w:p w:rsidR="00DD6219" w:rsidRPr="00057C4C" w:rsidRDefault="00DD6219" w:rsidP="00073C62">
            <w:pPr>
              <w:spacing w:before="60" w:after="60"/>
              <w:rPr>
                <w:sz w:val="19"/>
              </w:rPr>
            </w:pPr>
            <w:r w:rsidRPr="00057C4C">
              <w:rPr>
                <w:sz w:val="19"/>
              </w:rPr>
              <w:t>Insomnia</w:t>
            </w:r>
          </w:p>
        </w:tc>
        <w:tc>
          <w:tcPr>
            <w:tcW w:w="1045" w:type="dxa"/>
          </w:tcPr>
          <w:p w:rsidR="00DD6219" w:rsidRPr="00057C4C" w:rsidRDefault="00DD6219" w:rsidP="00073C62">
            <w:pPr>
              <w:spacing w:before="60" w:after="60"/>
              <w:jc w:val="center"/>
              <w:rPr>
                <w:sz w:val="19"/>
              </w:rPr>
            </w:pPr>
            <w:r w:rsidRPr="00057C4C">
              <w:rPr>
                <w:sz w:val="19"/>
              </w:rPr>
              <w:t>10</w:t>
            </w:r>
          </w:p>
        </w:tc>
        <w:tc>
          <w:tcPr>
            <w:tcW w:w="994"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14</w:t>
            </w:r>
          </w:p>
        </w:tc>
        <w:tc>
          <w:tcPr>
            <w:tcW w:w="1239"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14</w:t>
            </w:r>
          </w:p>
        </w:tc>
        <w:tc>
          <w:tcPr>
            <w:tcW w:w="1184" w:type="dxa"/>
          </w:tcPr>
          <w:p w:rsidR="00DD6219" w:rsidRPr="00057C4C" w:rsidRDefault="00DD6219" w:rsidP="00073C62">
            <w:pPr>
              <w:spacing w:before="60" w:after="60"/>
              <w:jc w:val="center"/>
              <w:rPr>
                <w:sz w:val="19"/>
              </w:rPr>
            </w:pPr>
            <w:r w:rsidRPr="00057C4C">
              <w:rPr>
                <w:sz w:val="19"/>
              </w:rPr>
              <w:t>0.2</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Pruritus</w:t>
            </w:r>
          </w:p>
        </w:tc>
        <w:tc>
          <w:tcPr>
            <w:tcW w:w="1045" w:type="dxa"/>
          </w:tcPr>
          <w:p w:rsidR="00DD6219" w:rsidRPr="00057C4C" w:rsidRDefault="00DD6219" w:rsidP="00073C62">
            <w:pPr>
              <w:spacing w:before="60" w:after="60"/>
              <w:jc w:val="center"/>
              <w:rPr>
                <w:sz w:val="19"/>
              </w:rPr>
            </w:pPr>
            <w:r w:rsidRPr="00057C4C">
              <w:rPr>
                <w:sz w:val="19"/>
              </w:rPr>
              <w:t>8</w:t>
            </w:r>
          </w:p>
        </w:tc>
        <w:tc>
          <w:tcPr>
            <w:tcW w:w="994" w:type="dxa"/>
          </w:tcPr>
          <w:p w:rsidR="00DD6219" w:rsidRPr="00057C4C" w:rsidRDefault="00DD6219" w:rsidP="00073C62">
            <w:pPr>
              <w:spacing w:before="60" w:after="60"/>
              <w:jc w:val="center"/>
              <w:rPr>
                <w:sz w:val="19"/>
              </w:rPr>
            </w:pPr>
            <w:r w:rsidRPr="00057C4C">
              <w:rPr>
                <w:sz w:val="19"/>
              </w:rPr>
              <w:t>1</w:t>
            </w:r>
          </w:p>
        </w:tc>
        <w:tc>
          <w:tcPr>
            <w:tcW w:w="1179" w:type="dxa"/>
          </w:tcPr>
          <w:p w:rsidR="00DD6219" w:rsidRPr="00057C4C" w:rsidRDefault="00DD6219" w:rsidP="00073C62">
            <w:pPr>
              <w:spacing w:before="60" w:after="60"/>
              <w:jc w:val="center"/>
              <w:rPr>
                <w:sz w:val="19"/>
              </w:rPr>
            </w:pPr>
            <w:r w:rsidRPr="00057C4C">
              <w:rPr>
                <w:sz w:val="19"/>
              </w:rPr>
              <w:t>14</w:t>
            </w:r>
          </w:p>
        </w:tc>
        <w:tc>
          <w:tcPr>
            <w:tcW w:w="1239" w:type="dxa"/>
          </w:tcPr>
          <w:p w:rsidR="00DD6219" w:rsidRPr="00057C4C" w:rsidRDefault="00DD6219" w:rsidP="00073C62">
            <w:pPr>
              <w:spacing w:before="60" w:after="60"/>
              <w:jc w:val="center"/>
              <w:rPr>
                <w:sz w:val="19"/>
              </w:rPr>
            </w:pPr>
            <w:r w:rsidRPr="00057C4C">
              <w:rPr>
                <w:sz w:val="19"/>
              </w:rPr>
              <w:t>0.9</w:t>
            </w:r>
          </w:p>
        </w:tc>
        <w:tc>
          <w:tcPr>
            <w:tcW w:w="1179" w:type="dxa"/>
          </w:tcPr>
          <w:p w:rsidR="00DD6219" w:rsidRPr="00057C4C" w:rsidRDefault="00DD6219" w:rsidP="00073C62">
            <w:pPr>
              <w:spacing w:before="60" w:after="60"/>
              <w:jc w:val="center"/>
              <w:rPr>
                <w:sz w:val="19"/>
              </w:rPr>
            </w:pPr>
            <w:r w:rsidRPr="00057C4C">
              <w:rPr>
                <w:sz w:val="19"/>
              </w:rPr>
              <w:t>14</w:t>
            </w:r>
          </w:p>
        </w:tc>
        <w:tc>
          <w:tcPr>
            <w:tcW w:w="1184" w:type="dxa"/>
          </w:tcPr>
          <w:p w:rsidR="00DD6219" w:rsidRPr="00057C4C" w:rsidRDefault="00DD6219" w:rsidP="00073C62">
            <w:pPr>
              <w:spacing w:before="60" w:after="60"/>
              <w:jc w:val="center"/>
              <w:rPr>
                <w:sz w:val="19"/>
              </w:rPr>
            </w:pPr>
            <w:r w:rsidRPr="00057C4C">
              <w:rPr>
                <w:sz w:val="19"/>
              </w:rPr>
              <w:t>0.8</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Hypokalaemia</w:t>
            </w:r>
          </w:p>
        </w:tc>
        <w:tc>
          <w:tcPr>
            <w:tcW w:w="1045" w:type="dxa"/>
          </w:tcPr>
          <w:p w:rsidR="00DD6219" w:rsidRPr="00057C4C" w:rsidRDefault="00DD6219" w:rsidP="00073C62">
            <w:pPr>
              <w:spacing w:before="60" w:after="60"/>
              <w:jc w:val="center"/>
              <w:rPr>
                <w:sz w:val="19"/>
              </w:rPr>
            </w:pPr>
            <w:r w:rsidRPr="00057C4C">
              <w:rPr>
                <w:sz w:val="19"/>
              </w:rPr>
              <w:t>13</w:t>
            </w:r>
          </w:p>
        </w:tc>
        <w:tc>
          <w:tcPr>
            <w:tcW w:w="994" w:type="dxa"/>
          </w:tcPr>
          <w:p w:rsidR="00DD6219" w:rsidRPr="00057C4C" w:rsidRDefault="00DD6219" w:rsidP="00073C62">
            <w:pPr>
              <w:spacing w:before="60" w:after="60"/>
              <w:jc w:val="center"/>
              <w:rPr>
                <w:sz w:val="19"/>
              </w:rPr>
            </w:pPr>
            <w:r w:rsidRPr="00057C4C">
              <w:rPr>
                <w:sz w:val="19"/>
              </w:rPr>
              <w:t>4</w:t>
            </w:r>
          </w:p>
        </w:tc>
        <w:tc>
          <w:tcPr>
            <w:tcW w:w="1179" w:type="dxa"/>
          </w:tcPr>
          <w:p w:rsidR="00DD6219" w:rsidRPr="00057C4C" w:rsidRDefault="00DD6219" w:rsidP="00073C62">
            <w:pPr>
              <w:spacing w:before="60" w:after="60"/>
              <w:jc w:val="center"/>
              <w:rPr>
                <w:sz w:val="19"/>
              </w:rPr>
            </w:pPr>
            <w:r w:rsidRPr="00057C4C">
              <w:rPr>
                <w:sz w:val="19"/>
              </w:rPr>
              <w:t>9</w:t>
            </w:r>
          </w:p>
        </w:tc>
        <w:tc>
          <w:tcPr>
            <w:tcW w:w="1239" w:type="dxa"/>
          </w:tcPr>
          <w:p w:rsidR="00DD6219" w:rsidRPr="00057C4C" w:rsidRDefault="00DD6219" w:rsidP="00073C62">
            <w:pPr>
              <w:spacing w:before="60" w:after="60"/>
              <w:jc w:val="center"/>
              <w:rPr>
                <w:sz w:val="19"/>
              </w:rPr>
            </w:pPr>
            <w:r w:rsidRPr="00057C4C">
              <w:rPr>
                <w:sz w:val="19"/>
              </w:rPr>
              <w:t>2</w:t>
            </w:r>
          </w:p>
        </w:tc>
        <w:tc>
          <w:tcPr>
            <w:tcW w:w="1179" w:type="dxa"/>
          </w:tcPr>
          <w:p w:rsidR="00DD6219" w:rsidRPr="00057C4C" w:rsidRDefault="00DD6219" w:rsidP="00073C62">
            <w:pPr>
              <w:spacing w:before="60" w:after="60"/>
              <w:jc w:val="center"/>
              <w:rPr>
                <w:sz w:val="19"/>
              </w:rPr>
            </w:pPr>
            <w:r w:rsidRPr="00057C4C">
              <w:rPr>
                <w:sz w:val="19"/>
              </w:rPr>
              <w:t>6</w:t>
            </w:r>
          </w:p>
        </w:tc>
        <w:tc>
          <w:tcPr>
            <w:tcW w:w="1184" w:type="dxa"/>
          </w:tcPr>
          <w:p w:rsidR="00DD6219" w:rsidRPr="00057C4C" w:rsidRDefault="00DD6219" w:rsidP="00073C62">
            <w:pPr>
              <w:spacing w:before="60" w:after="60"/>
              <w:jc w:val="center"/>
              <w:rPr>
                <w:sz w:val="19"/>
              </w:rPr>
            </w:pPr>
            <w:r w:rsidRPr="00057C4C">
              <w:rPr>
                <w:sz w:val="19"/>
              </w:rPr>
              <w:t>0.8</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lastRenderedPageBreak/>
              <w:t>Pneumonia</w:t>
            </w:r>
          </w:p>
        </w:tc>
        <w:tc>
          <w:tcPr>
            <w:tcW w:w="1045" w:type="dxa"/>
          </w:tcPr>
          <w:p w:rsidR="00DD6219" w:rsidRPr="00057C4C" w:rsidRDefault="00DD6219" w:rsidP="00073C62">
            <w:pPr>
              <w:spacing w:before="60" w:after="60"/>
              <w:jc w:val="center"/>
              <w:rPr>
                <w:sz w:val="19"/>
              </w:rPr>
            </w:pPr>
            <w:r w:rsidRPr="00057C4C">
              <w:rPr>
                <w:sz w:val="19"/>
              </w:rPr>
              <w:t>13</w:t>
            </w:r>
          </w:p>
        </w:tc>
        <w:tc>
          <w:tcPr>
            <w:tcW w:w="994" w:type="dxa"/>
          </w:tcPr>
          <w:p w:rsidR="00DD6219" w:rsidRPr="00057C4C" w:rsidRDefault="00DD6219" w:rsidP="00073C62">
            <w:pPr>
              <w:spacing w:before="60" w:after="60"/>
              <w:jc w:val="center"/>
              <w:rPr>
                <w:sz w:val="19"/>
              </w:rPr>
            </w:pPr>
            <w:r w:rsidRPr="00057C4C">
              <w:rPr>
                <w:sz w:val="19"/>
              </w:rPr>
              <w:t>7</w:t>
            </w:r>
          </w:p>
        </w:tc>
        <w:tc>
          <w:tcPr>
            <w:tcW w:w="1179" w:type="dxa"/>
          </w:tcPr>
          <w:p w:rsidR="00DD6219" w:rsidRPr="00057C4C" w:rsidRDefault="00DD6219" w:rsidP="00073C62">
            <w:pPr>
              <w:spacing w:before="60" w:after="60"/>
              <w:jc w:val="center"/>
              <w:rPr>
                <w:sz w:val="19"/>
              </w:rPr>
            </w:pPr>
            <w:r w:rsidRPr="00057C4C">
              <w:rPr>
                <w:sz w:val="19"/>
              </w:rPr>
              <w:t>10</w:t>
            </w:r>
          </w:p>
        </w:tc>
        <w:tc>
          <w:tcPr>
            <w:tcW w:w="1239" w:type="dxa"/>
          </w:tcPr>
          <w:p w:rsidR="00DD6219" w:rsidRPr="00057C4C" w:rsidRDefault="00DD6219" w:rsidP="00073C62">
            <w:pPr>
              <w:spacing w:before="60" w:after="60"/>
              <w:jc w:val="center"/>
              <w:rPr>
                <w:sz w:val="19"/>
              </w:rPr>
            </w:pPr>
            <w:r w:rsidRPr="00057C4C">
              <w:rPr>
                <w:sz w:val="19"/>
              </w:rPr>
              <w:t>7</w:t>
            </w:r>
          </w:p>
        </w:tc>
        <w:tc>
          <w:tcPr>
            <w:tcW w:w="1179" w:type="dxa"/>
          </w:tcPr>
          <w:p w:rsidR="00DD6219" w:rsidRPr="00057C4C" w:rsidRDefault="00DD6219" w:rsidP="00073C62">
            <w:pPr>
              <w:spacing w:before="60" w:after="60"/>
              <w:jc w:val="center"/>
              <w:rPr>
                <w:sz w:val="19"/>
              </w:rPr>
            </w:pPr>
            <w:r w:rsidRPr="00057C4C">
              <w:rPr>
                <w:sz w:val="19"/>
              </w:rPr>
              <w:t>4</w:t>
            </w:r>
          </w:p>
        </w:tc>
        <w:tc>
          <w:tcPr>
            <w:tcW w:w="1184" w:type="dxa"/>
          </w:tcPr>
          <w:p w:rsidR="00DD6219" w:rsidRPr="00057C4C" w:rsidRDefault="00DD6219" w:rsidP="00073C62">
            <w:pPr>
              <w:spacing w:before="60" w:after="60"/>
              <w:jc w:val="center"/>
              <w:rPr>
                <w:sz w:val="19"/>
              </w:rPr>
            </w:pPr>
            <w:r w:rsidRPr="00057C4C">
              <w:rPr>
                <w:sz w:val="19"/>
              </w:rPr>
              <w:t>1</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Anxiety</w:t>
            </w:r>
          </w:p>
        </w:tc>
        <w:tc>
          <w:tcPr>
            <w:tcW w:w="1045" w:type="dxa"/>
          </w:tcPr>
          <w:p w:rsidR="00DD6219" w:rsidRPr="00057C4C" w:rsidRDefault="00DD6219" w:rsidP="00073C62">
            <w:pPr>
              <w:spacing w:before="60" w:after="60"/>
              <w:jc w:val="center"/>
              <w:rPr>
                <w:sz w:val="19"/>
              </w:rPr>
            </w:pPr>
            <w:r w:rsidRPr="00057C4C">
              <w:rPr>
                <w:sz w:val="19"/>
              </w:rPr>
              <w:t>8</w:t>
            </w:r>
          </w:p>
        </w:tc>
        <w:tc>
          <w:tcPr>
            <w:tcW w:w="994" w:type="dxa"/>
          </w:tcPr>
          <w:p w:rsidR="00DD6219" w:rsidRPr="00057C4C" w:rsidRDefault="00DD6219" w:rsidP="00073C62">
            <w:pPr>
              <w:spacing w:before="60" w:after="60"/>
              <w:jc w:val="center"/>
              <w:rPr>
                <w:sz w:val="19"/>
              </w:rPr>
            </w:pPr>
            <w:r w:rsidRPr="00057C4C">
              <w:rPr>
                <w:sz w:val="19"/>
              </w:rPr>
              <w:t>0.8</w:t>
            </w:r>
          </w:p>
        </w:tc>
        <w:tc>
          <w:tcPr>
            <w:tcW w:w="1179" w:type="dxa"/>
          </w:tcPr>
          <w:p w:rsidR="00DD6219" w:rsidRPr="00057C4C" w:rsidRDefault="00DD6219" w:rsidP="00073C62">
            <w:pPr>
              <w:spacing w:before="60" w:after="60"/>
              <w:jc w:val="center"/>
              <w:rPr>
                <w:sz w:val="19"/>
              </w:rPr>
            </w:pPr>
            <w:r w:rsidRPr="00057C4C">
              <w:rPr>
                <w:sz w:val="19"/>
              </w:rPr>
              <w:t>12</w:t>
            </w:r>
          </w:p>
        </w:tc>
        <w:tc>
          <w:tcPr>
            <w:tcW w:w="1239"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8</w:t>
            </w:r>
          </w:p>
        </w:tc>
        <w:tc>
          <w:tcPr>
            <w:tcW w:w="1184" w:type="dxa"/>
          </w:tcPr>
          <w:p w:rsidR="00DD6219" w:rsidRPr="00057C4C" w:rsidRDefault="00DD6219" w:rsidP="00073C62">
            <w:pPr>
              <w:spacing w:before="60" w:after="60"/>
              <w:jc w:val="center"/>
              <w:rPr>
                <w:sz w:val="19"/>
              </w:rPr>
            </w:pPr>
            <w:r w:rsidRPr="00057C4C">
              <w:rPr>
                <w:sz w:val="19"/>
              </w:rPr>
              <w:t>0.4</w:t>
            </w:r>
          </w:p>
        </w:tc>
      </w:tr>
      <w:tr w:rsidR="00DD6219" w:rsidRPr="00057C4C" w:rsidTr="00073C62">
        <w:trPr>
          <w:trHeight w:val="226"/>
        </w:trPr>
        <w:tc>
          <w:tcPr>
            <w:tcW w:w="2056" w:type="dxa"/>
          </w:tcPr>
          <w:p w:rsidR="00DD6219" w:rsidRPr="00057C4C" w:rsidRDefault="00DD6219" w:rsidP="00073C62">
            <w:pPr>
              <w:spacing w:before="60" w:after="60"/>
              <w:rPr>
                <w:sz w:val="19"/>
              </w:rPr>
            </w:pPr>
            <w:r w:rsidRPr="00057C4C">
              <w:rPr>
                <w:sz w:val="19"/>
              </w:rPr>
              <w:t>Liver Toxicity</w:t>
            </w:r>
          </w:p>
        </w:tc>
        <w:tc>
          <w:tcPr>
            <w:tcW w:w="1045" w:type="dxa"/>
          </w:tcPr>
          <w:p w:rsidR="00DD6219" w:rsidRPr="00057C4C" w:rsidRDefault="00DD6219" w:rsidP="00073C62">
            <w:pPr>
              <w:spacing w:before="60" w:after="60"/>
              <w:jc w:val="center"/>
              <w:rPr>
                <w:sz w:val="19"/>
              </w:rPr>
            </w:pPr>
            <w:r w:rsidRPr="00057C4C">
              <w:rPr>
                <w:sz w:val="19"/>
              </w:rPr>
              <w:t>10</w:t>
            </w:r>
          </w:p>
        </w:tc>
        <w:tc>
          <w:tcPr>
            <w:tcW w:w="994" w:type="dxa"/>
          </w:tcPr>
          <w:p w:rsidR="00DD6219" w:rsidRPr="00057C4C" w:rsidRDefault="00DD6219" w:rsidP="00073C62">
            <w:pPr>
              <w:spacing w:before="60" w:after="60"/>
              <w:jc w:val="center"/>
              <w:rPr>
                <w:sz w:val="19"/>
              </w:rPr>
            </w:pPr>
            <w:r w:rsidRPr="00057C4C">
              <w:rPr>
                <w:sz w:val="19"/>
              </w:rPr>
              <w:t>5</w:t>
            </w:r>
          </w:p>
        </w:tc>
        <w:tc>
          <w:tcPr>
            <w:tcW w:w="1179" w:type="dxa"/>
          </w:tcPr>
          <w:p w:rsidR="00DD6219" w:rsidRPr="00057C4C" w:rsidRDefault="00DD6219" w:rsidP="00073C62">
            <w:pPr>
              <w:spacing w:before="60" w:after="60"/>
              <w:jc w:val="center"/>
              <w:rPr>
                <w:sz w:val="19"/>
              </w:rPr>
            </w:pPr>
            <w:r w:rsidRPr="00057C4C">
              <w:rPr>
                <w:sz w:val="19"/>
              </w:rPr>
              <w:t>12</w:t>
            </w:r>
          </w:p>
        </w:tc>
        <w:tc>
          <w:tcPr>
            <w:tcW w:w="1239" w:type="dxa"/>
          </w:tcPr>
          <w:p w:rsidR="00DD6219" w:rsidRPr="00057C4C" w:rsidRDefault="00DD6219" w:rsidP="00073C62">
            <w:pPr>
              <w:spacing w:before="60" w:after="60"/>
              <w:jc w:val="center"/>
              <w:rPr>
                <w:sz w:val="19"/>
              </w:rPr>
            </w:pPr>
            <w:r w:rsidRPr="00057C4C">
              <w:rPr>
                <w:sz w:val="19"/>
              </w:rPr>
              <w:t>6</w:t>
            </w:r>
          </w:p>
        </w:tc>
        <w:tc>
          <w:tcPr>
            <w:tcW w:w="1179" w:type="dxa"/>
          </w:tcPr>
          <w:p w:rsidR="00DD6219" w:rsidRPr="00057C4C" w:rsidRDefault="00DD6219" w:rsidP="00073C62">
            <w:pPr>
              <w:spacing w:before="60" w:after="60"/>
              <w:jc w:val="center"/>
              <w:rPr>
                <w:sz w:val="19"/>
              </w:rPr>
            </w:pPr>
            <w:r w:rsidRPr="00057C4C">
              <w:rPr>
                <w:sz w:val="19"/>
              </w:rPr>
              <w:t>6</w:t>
            </w:r>
          </w:p>
        </w:tc>
        <w:tc>
          <w:tcPr>
            <w:tcW w:w="1184" w:type="dxa"/>
          </w:tcPr>
          <w:p w:rsidR="00DD6219" w:rsidRPr="00057C4C" w:rsidRDefault="00DD6219" w:rsidP="00073C62">
            <w:pPr>
              <w:spacing w:before="60" w:after="60"/>
              <w:jc w:val="center"/>
              <w:rPr>
                <w:sz w:val="19"/>
              </w:rPr>
            </w:pPr>
            <w:r w:rsidRPr="00057C4C">
              <w:rPr>
                <w:sz w:val="19"/>
              </w:rPr>
              <w:t>3</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Rigors</w:t>
            </w:r>
          </w:p>
        </w:tc>
        <w:tc>
          <w:tcPr>
            <w:tcW w:w="1045" w:type="dxa"/>
          </w:tcPr>
          <w:p w:rsidR="00DD6219" w:rsidRPr="00057C4C" w:rsidRDefault="00DD6219" w:rsidP="00073C62">
            <w:pPr>
              <w:spacing w:before="60" w:after="60"/>
              <w:jc w:val="center"/>
              <w:rPr>
                <w:sz w:val="19"/>
              </w:rPr>
            </w:pPr>
            <w:r w:rsidRPr="00057C4C">
              <w:rPr>
                <w:sz w:val="19"/>
              </w:rPr>
              <w:t>10</w:t>
            </w:r>
          </w:p>
        </w:tc>
        <w:tc>
          <w:tcPr>
            <w:tcW w:w="994" w:type="dxa"/>
          </w:tcPr>
          <w:p w:rsidR="00DD6219" w:rsidRPr="00057C4C" w:rsidRDefault="00DD6219" w:rsidP="00073C62">
            <w:pPr>
              <w:spacing w:before="60" w:after="60"/>
              <w:jc w:val="center"/>
              <w:rPr>
                <w:sz w:val="19"/>
              </w:rPr>
            </w:pPr>
            <w:r w:rsidRPr="00057C4C">
              <w:rPr>
                <w:sz w:val="19"/>
              </w:rPr>
              <w:t>0</w:t>
            </w:r>
          </w:p>
        </w:tc>
        <w:tc>
          <w:tcPr>
            <w:tcW w:w="1179" w:type="dxa"/>
          </w:tcPr>
          <w:p w:rsidR="00DD6219" w:rsidRPr="00057C4C" w:rsidRDefault="00DD6219" w:rsidP="00073C62">
            <w:pPr>
              <w:spacing w:before="60" w:after="60"/>
              <w:jc w:val="center"/>
              <w:rPr>
                <w:sz w:val="19"/>
              </w:rPr>
            </w:pPr>
            <w:r w:rsidRPr="00057C4C">
              <w:rPr>
                <w:sz w:val="19"/>
              </w:rPr>
              <w:t>12</w:t>
            </w:r>
          </w:p>
        </w:tc>
        <w:tc>
          <w:tcPr>
            <w:tcW w:w="1239" w:type="dxa"/>
          </w:tcPr>
          <w:p w:rsidR="00DD6219" w:rsidRPr="00057C4C" w:rsidRDefault="00DD6219" w:rsidP="00073C62">
            <w:pPr>
              <w:spacing w:before="60" w:after="60"/>
              <w:jc w:val="center"/>
              <w:rPr>
                <w:sz w:val="19"/>
              </w:rPr>
            </w:pPr>
            <w:r w:rsidRPr="00057C4C">
              <w:rPr>
                <w:sz w:val="19"/>
              </w:rPr>
              <w:t>0.4</w:t>
            </w:r>
          </w:p>
        </w:tc>
        <w:tc>
          <w:tcPr>
            <w:tcW w:w="1179" w:type="dxa"/>
          </w:tcPr>
          <w:p w:rsidR="00DD6219" w:rsidRPr="00057C4C" w:rsidRDefault="00DD6219" w:rsidP="00073C62">
            <w:pPr>
              <w:spacing w:before="60" w:after="60"/>
              <w:jc w:val="center"/>
              <w:rPr>
                <w:sz w:val="19"/>
              </w:rPr>
            </w:pPr>
            <w:r w:rsidRPr="00057C4C">
              <w:rPr>
                <w:sz w:val="19"/>
              </w:rPr>
              <w:t>10</w:t>
            </w:r>
          </w:p>
        </w:tc>
        <w:tc>
          <w:tcPr>
            <w:tcW w:w="1184" w:type="dxa"/>
          </w:tcPr>
          <w:p w:rsidR="00DD6219" w:rsidRPr="00057C4C" w:rsidRDefault="00DD6219" w:rsidP="00073C62">
            <w:pPr>
              <w:spacing w:before="60" w:after="60"/>
              <w:jc w:val="center"/>
              <w:rPr>
                <w:sz w:val="19"/>
              </w:rPr>
            </w:pPr>
            <w:r w:rsidRPr="00057C4C">
              <w:rPr>
                <w:sz w:val="19"/>
              </w:rPr>
              <w:t>0</w:t>
            </w:r>
          </w:p>
        </w:tc>
      </w:tr>
      <w:tr w:rsidR="00DD6219" w:rsidRPr="00057C4C" w:rsidTr="00073C62">
        <w:trPr>
          <w:trHeight w:val="241"/>
        </w:trPr>
        <w:tc>
          <w:tcPr>
            <w:tcW w:w="2056" w:type="dxa"/>
          </w:tcPr>
          <w:p w:rsidR="00DD6219" w:rsidRPr="00057C4C" w:rsidRDefault="00DD6219" w:rsidP="00073C62">
            <w:pPr>
              <w:spacing w:before="60" w:after="60"/>
              <w:rPr>
                <w:sz w:val="19"/>
              </w:rPr>
            </w:pPr>
            <w:r w:rsidRPr="00057C4C">
              <w:rPr>
                <w:sz w:val="19"/>
              </w:rPr>
              <w:t>Chest Pain</w:t>
            </w:r>
          </w:p>
        </w:tc>
        <w:tc>
          <w:tcPr>
            <w:tcW w:w="1045" w:type="dxa"/>
          </w:tcPr>
          <w:p w:rsidR="00DD6219" w:rsidRPr="00057C4C" w:rsidRDefault="00DD6219" w:rsidP="00073C62">
            <w:pPr>
              <w:spacing w:before="60" w:after="60"/>
              <w:jc w:val="center"/>
              <w:rPr>
                <w:sz w:val="19"/>
              </w:rPr>
            </w:pPr>
            <w:r w:rsidRPr="00057C4C">
              <w:rPr>
                <w:sz w:val="19"/>
              </w:rPr>
              <w:t>7</w:t>
            </w:r>
          </w:p>
        </w:tc>
        <w:tc>
          <w:tcPr>
            <w:tcW w:w="994" w:type="dxa"/>
          </w:tcPr>
          <w:p w:rsidR="00DD6219" w:rsidRPr="00057C4C" w:rsidRDefault="00DD6219" w:rsidP="00073C62">
            <w:pPr>
              <w:spacing w:before="60" w:after="60"/>
              <w:jc w:val="center"/>
              <w:rPr>
                <w:sz w:val="19"/>
              </w:rPr>
            </w:pPr>
            <w:r w:rsidRPr="00057C4C">
              <w:rPr>
                <w:sz w:val="19"/>
              </w:rPr>
              <w:t>2</w:t>
            </w:r>
          </w:p>
        </w:tc>
        <w:tc>
          <w:tcPr>
            <w:tcW w:w="1179" w:type="dxa"/>
          </w:tcPr>
          <w:p w:rsidR="00DD6219" w:rsidRPr="00057C4C" w:rsidRDefault="00DD6219" w:rsidP="00073C62">
            <w:pPr>
              <w:spacing w:before="60" w:after="60"/>
              <w:jc w:val="center"/>
              <w:rPr>
                <w:sz w:val="19"/>
              </w:rPr>
            </w:pPr>
            <w:r w:rsidRPr="00057C4C">
              <w:rPr>
                <w:sz w:val="19"/>
              </w:rPr>
              <w:t>10</w:t>
            </w:r>
          </w:p>
        </w:tc>
        <w:tc>
          <w:tcPr>
            <w:tcW w:w="1239" w:type="dxa"/>
          </w:tcPr>
          <w:p w:rsidR="00DD6219" w:rsidRPr="00057C4C" w:rsidRDefault="00DD6219" w:rsidP="00073C62">
            <w:pPr>
              <w:spacing w:before="60" w:after="60"/>
              <w:jc w:val="center"/>
              <w:rPr>
                <w:sz w:val="19"/>
              </w:rPr>
            </w:pPr>
            <w:r w:rsidRPr="00057C4C">
              <w:rPr>
                <w:sz w:val="19"/>
              </w:rPr>
              <w:t>0.4</w:t>
            </w:r>
          </w:p>
        </w:tc>
        <w:tc>
          <w:tcPr>
            <w:tcW w:w="1179" w:type="dxa"/>
          </w:tcPr>
          <w:p w:rsidR="00DD6219" w:rsidRPr="00057C4C" w:rsidRDefault="00DD6219" w:rsidP="00073C62">
            <w:pPr>
              <w:spacing w:before="60" w:after="60"/>
              <w:jc w:val="center"/>
              <w:rPr>
                <w:sz w:val="19"/>
              </w:rPr>
            </w:pPr>
            <w:r w:rsidRPr="00057C4C">
              <w:rPr>
                <w:sz w:val="19"/>
              </w:rPr>
              <w:t>11</w:t>
            </w:r>
          </w:p>
        </w:tc>
        <w:tc>
          <w:tcPr>
            <w:tcW w:w="1184" w:type="dxa"/>
          </w:tcPr>
          <w:p w:rsidR="00DD6219" w:rsidRPr="00057C4C" w:rsidRDefault="00DD6219" w:rsidP="00073C62">
            <w:pPr>
              <w:spacing w:before="60" w:after="60"/>
              <w:jc w:val="center"/>
              <w:rPr>
                <w:sz w:val="19"/>
              </w:rPr>
            </w:pPr>
            <w:r w:rsidRPr="00057C4C">
              <w:rPr>
                <w:sz w:val="19"/>
              </w:rPr>
              <w:t>0.8</w:t>
            </w:r>
          </w:p>
        </w:tc>
      </w:tr>
      <w:tr w:rsidR="00DD6219" w:rsidRPr="00057C4C" w:rsidTr="00073C62">
        <w:trPr>
          <w:trHeight w:val="241"/>
        </w:trPr>
        <w:tc>
          <w:tcPr>
            <w:tcW w:w="2056" w:type="dxa"/>
            <w:tcBorders>
              <w:bottom w:val="single" w:sz="4" w:space="0" w:color="auto"/>
            </w:tcBorders>
          </w:tcPr>
          <w:p w:rsidR="00DD6219" w:rsidRPr="00057C4C" w:rsidRDefault="00DD6219" w:rsidP="00073C62">
            <w:pPr>
              <w:spacing w:before="60" w:after="60"/>
              <w:rPr>
                <w:sz w:val="19"/>
              </w:rPr>
            </w:pPr>
            <w:r w:rsidRPr="00057C4C">
              <w:rPr>
                <w:sz w:val="19"/>
              </w:rPr>
              <w:t>Influenza</w:t>
            </w:r>
          </w:p>
        </w:tc>
        <w:tc>
          <w:tcPr>
            <w:tcW w:w="1045" w:type="dxa"/>
            <w:tcBorders>
              <w:bottom w:val="single" w:sz="4" w:space="0" w:color="auto"/>
            </w:tcBorders>
          </w:tcPr>
          <w:p w:rsidR="00DD6219" w:rsidRPr="00057C4C" w:rsidRDefault="00DD6219" w:rsidP="00073C62">
            <w:pPr>
              <w:spacing w:before="60" w:after="60"/>
              <w:jc w:val="center"/>
              <w:rPr>
                <w:sz w:val="19"/>
              </w:rPr>
            </w:pPr>
            <w:r w:rsidRPr="00057C4C">
              <w:rPr>
                <w:sz w:val="19"/>
              </w:rPr>
              <w:t>0.8</w:t>
            </w:r>
          </w:p>
        </w:tc>
        <w:tc>
          <w:tcPr>
            <w:tcW w:w="994" w:type="dxa"/>
            <w:tcBorders>
              <w:bottom w:val="single" w:sz="4" w:space="0" w:color="auto"/>
            </w:tcBorders>
          </w:tcPr>
          <w:p w:rsidR="00DD6219" w:rsidRPr="00057C4C" w:rsidRDefault="00DD6219" w:rsidP="00073C62">
            <w:pPr>
              <w:spacing w:before="60" w:after="60"/>
              <w:jc w:val="center"/>
              <w:rPr>
                <w:sz w:val="19"/>
              </w:rPr>
            </w:pPr>
            <w:r w:rsidRPr="00057C4C">
              <w:rPr>
                <w:sz w:val="19"/>
              </w:rPr>
              <w:t>0.4</w:t>
            </w:r>
          </w:p>
        </w:tc>
        <w:tc>
          <w:tcPr>
            <w:tcW w:w="1179" w:type="dxa"/>
            <w:tcBorders>
              <w:bottom w:val="single" w:sz="4" w:space="0" w:color="auto"/>
            </w:tcBorders>
          </w:tcPr>
          <w:p w:rsidR="00DD6219" w:rsidRPr="00057C4C" w:rsidRDefault="00DD6219" w:rsidP="00073C62">
            <w:pPr>
              <w:spacing w:before="60" w:after="60"/>
              <w:jc w:val="center"/>
              <w:rPr>
                <w:sz w:val="19"/>
              </w:rPr>
            </w:pPr>
            <w:r w:rsidRPr="00057C4C">
              <w:rPr>
                <w:sz w:val="19"/>
              </w:rPr>
              <w:t>6</w:t>
            </w:r>
          </w:p>
        </w:tc>
        <w:tc>
          <w:tcPr>
            <w:tcW w:w="1239" w:type="dxa"/>
            <w:tcBorders>
              <w:bottom w:val="single" w:sz="4" w:space="0" w:color="auto"/>
            </w:tcBorders>
          </w:tcPr>
          <w:p w:rsidR="00DD6219" w:rsidRPr="00057C4C" w:rsidRDefault="00DD6219" w:rsidP="00073C62">
            <w:pPr>
              <w:spacing w:before="60" w:after="60"/>
              <w:jc w:val="center"/>
              <w:rPr>
                <w:sz w:val="19"/>
              </w:rPr>
            </w:pPr>
            <w:r w:rsidRPr="00057C4C">
              <w:rPr>
                <w:sz w:val="19"/>
              </w:rPr>
              <w:t>0</w:t>
            </w:r>
          </w:p>
        </w:tc>
        <w:tc>
          <w:tcPr>
            <w:tcW w:w="1179" w:type="dxa"/>
            <w:tcBorders>
              <w:bottom w:val="single" w:sz="4" w:space="0" w:color="auto"/>
            </w:tcBorders>
          </w:tcPr>
          <w:p w:rsidR="00DD6219" w:rsidRPr="00057C4C" w:rsidRDefault="00DD6219" w:rsidP="00073C62">
            <w:pPr>
              <w:spacing w:before="60" w:after="60"/>
              <w:jc w:val="center"/>
              <w:rPr>
                <w:sz w:val="19"/>
              </w:rPr>
            </w:pPr>
            <w:r w:rsidRPr="00057C4C">
              <w:rPr>
                <w:sz w:val="19"/>
              </w:rPr>
              <w:t>11</w:t>
            </w:r>
          </w:p>
        </w:tc>
        <w:tc>
          <w:tcPr>
            <w:tcW w:w="1184" w:type="dxa"/>
            <w:tcBorders>
              <w:bottom w:val="single" w:sz="4" w:space="0" w:color="auto"/>
            </w:tcBorders>
          </w:tcPr>
          <w:p w:rsidR="00DD6219" w:rsidRPr="00057C4C" w:rsidRDefault="00DD6219" w:rsidP="00073C62">
            <w:pPr>
              <w:spacing w:before="60" w:after="60"/>
              <w:jc w:val="center"/>
              <w:rPr>
                <w:sz w:val="19"/>
              </w:rPr>
            </w:pPr>
            <w:r w:rsidRPr="00057C4C">
              <w:rPr>
                <w:sz w:val="19"/>
              </w:rPr>
              <w:t>0.2</w:t>
            </w:r>
          </w:p>
        </w:tc>
      </w:tr>
      <w:tr w:rsidR="00DD6219" w:rsidRPr="00057C4C" w:rsidTr="00073C62">
        <w:trPr>
          <w:trHeight w:val="241"/>
        </w:trPr>
        <w:tc>
          <w:tcPr>
            <w:tcW w:w="2056" w:type="dxa"/>
            <w:tcBorders>
              <w:bottom w:val="single" w:sz="4" w:space="0" w:color="auto"/>
            </w:tcBorders>
          </w:tcPr>
          <w:p w:rsidR="00DD6219" w:rsidRPr="00057C4C" w:rsidRDefault="00DD6219" w:rsidP="00073C62">
            <w:pPr>
              <w:spacing w:before="60" w:after="60"/>
              <w:rPr>
                <w:sz w:val="19"/>
              </w:rPr>
            </w:pPr>
            <w:r w:rsidRPr="00057C4C">
              <w:rPr>
                <w:sz w:val="19"/>
              </w:rPr>
              <w:t>Sinusitis</w:t>
            </w:r>
          </w:p>
        </w:tc>
        <w:tc>
          <w:tcPr>
            <w:tcW w:w="1045" w:type="dxa"/>
            <w:tcBorders>
              <w:bottom w:val="single" w:sz="4" w:space="0" w:color="auto"/>
            </w:tcBorders>
          </w:tcPr>
          <w:p w:rsidR="00DD6219" w:rsidRPr="00057C4C" w:rsidRDefault="00DD6219" w:rsidP="00073C62">
            <w:pPr>
              <w:spacing w:before="60" w:after="60"/>
              <w:jc w:val="center"/>
              <w:rPr>
                <w:sz w:val="19"/>
              </w:rPr>
            </w:pPr>
            <w:r w:rsidRPr="00057C4C">
              <w:rPr>
                <w:sz w:val="19"/>
              </w:rPr>
              <w:t>4</w:t>
            </w:r>
          </w:p>
        </w:tc>
        <w:tc>
          <w:tcPr>
            <w:tcW w:w="994" w:type="dxa"/>
            <w:tcBorders>
              <w:bottom w:val="single" w:sz="4" w:space="0" w:color="auto"/>
            </w:tcBorders>
          </w:tcPr>
          <w:p w:rsidR="00DD6219" w:rsidRPr="00057C4C" w:rsidRDefault="00DD6219" w:rsidP="00073C62">
            <w:pPr>
              <w:spacing w:before="60" w:after="60"/>
              <w:jc w:val="center"/>
              <w:rPr>
                <w:sz w:val="19"/>
              </w:rPr>
            </w:pPr>
            <w:r w:rsidRPr="00057C4C">
              <w:rPr>
                <w:sz w:val="19"/>
              </w:rPr>
              <w:t>0.4</w:t>
            </w:r>
          </w:p>
        </w:tc>
        <w:tc>
          <w:tcPr>
            <w:tcW w:w="1179" w:type="dxa"/>
            <w:tcBorders>
              <w:bottom w:val="single" w:sz="4" w:space="0" w:color="auto"/>
            </w:tcBorders>
          </w:tcPr>
          <w:p w:rsidR="00DD6219" w:rsidRPr="00057C4C" w:rsidRDefault="00DD6219" w:rsidP="00073C62">
            <w:pPr>
              <w:spacing w:before="60" w:after="60"/>
              <w:jc w:val="center"/>
              <w:rPr>
                <w:sz w:val="19"/>
              </w:rPr>
            </w:pPr>
            <w:r w:rsidRPr="00057C4C">
              <w:rPr>
                <w:sz w:val="19"/>
              </w:rPr>
              <w:t>11</w:t>
            </w:r>
          </w:p>
        </w:tc>
        <w:tc>
          <w:tcPr>
            <w:tcW w:w="1239" w:type="dxa"/>
            <w:tcBorders>
              <w:bottom w:val="single" w:sz="4" w:space="0" w:color="auto"/>
            </w:tcBorders>
          </w:tcPr>
          <w:p w:rsidR="00DD6219" w:rsidRPr="00057C4C" w:rsidRDefault="00DD6219" w:rsidP="00073C62">
            <w:pPr>
              <w:spacing w:before="60" w:after="60"/>
              <w:jc w:val="center"/>
              <w:rPr>
                <w:sz w:val="19"/>
              </w:rPr>
            </w:pPr>
            <w:r w:rsidRPr="00057C4C">
              <w:rPr>
                <w:sz w:val="19"/>
              </w:rPr>
              <w:t>0.4</w:t>
            </w:r>
          </w:p>
        </w:tc>
        <w:tc>
          <w:tcPr>
            <w:tcW w:w="1179" w:type="dxa"/>
            <w:tcBorders>
              <w:bottom w:val="single" w:sz="4" w:space="0" w:color="auto"/>
            </w:tcBorders>
          </w:tcPr>
          <w:p w:rsidR="00DD6219" w:rsidRPr="00057C4C" w:rsidRDefault="00DD6219" w:rsidP="00073C62">
            <w:pPr>
              <w:spacing w:before="60" w:after="60"/>
              <w:jc w:val="center"/>
              <w:rPr>
                <w:sz w:val="19"/>
              </w:rPr>
            </w:pPr>
            <w:r w:rsidRPr="00057C4C">
              <w:rPr>
                <w:sz w:val="19"/>
              </w:rPr>
              <w:t>9</w:t>
            </w:r>
          </w:p>
        </w:tc>
        <w:tc>
          <w:tcPr>
            <w:tcW w:w="1184" w:type="dxa"/>
            <w:tcBorders>
              <w:bottom w:val="single" w:sz="4" w:space="0" w:color="auto"/>
            </w:tcBorders>
          </w:tcPr>
          <w:p w:rsidR="00DD6219" w:rsidRPr="00057C4C" w:rsidRDefault="00DD6219" w:rsidP="00073C62">
            <w:pPr>
              <w:spacing w:before="60" w:after="60"/>
              <w:jc w:val="center"/>
              <w:rPr>
                <w:sz w:val="19"/>
              </w:rPr>
            </w:pPr>
            <w:r w:rsidRPr="00057C4C">
              <w:rPr>
                <w:sz w:val="19"/>
              </w:rPr>
              <w:t>0.4</w:t>
            </w:r>
          </w:p>
        </w:tc>
      </w:tr>
    </w:tbl>
    <w:p w:rsidR="00014579" w:rsidRPr="00057C4C" w:rsidRDefault="00DD6219" w:rsidP="00273382">
      <w:pPr>
        <w:pStyle w:val="Text"/>
        <w:spacing w:before="60" w:after="60"/>
        <w:jc w:val="left"/>
        <w:rPr>
          <w:sz w:val="20"/>
        </w:rPr>
      </w:pPr>
      <w:r w:rsidRPr="00057C4C">
        <w:rPr>
          <w:sz w:val="20"/>
          <w:vertAlign w:val="superscript"/>
        </w:rPr>
        <w:t>(</w:t>
      </w:r>
      <w:r w:rsidR="00014579" w:rsidRPr="00057C4C">
        <w:rPr>
          <w:sz w:val="20"/>
          <w:vertAlign w:val="superscript"/>
        </w:rPr>
        <w:t xml:space="preserve">1) </w:t>
      </w:r>
      <w:r w:rsidR="00014579" w:rsidRPr="00057C4C">
        <w:rPr>
          <w:sz w:val="20"/>
        </w:rPr>
        <w:t xml:space="preserve">All adverse events occurring in </w:t>
      </w:r>
      <w:r w:rsidR="00014579" w:rsidRPr="00057C4C">
        <w:rPr>
          <w:sz w:val="20"/>
        </w:rPr>
        <w:sym w:font="Symbol" w:char="F0B3"/>
      </w:r>
      <w:r w:rsidR="00014579" w:rsidRPr="00057C4C">
        <w:rPr>
          <w:sz w:val="20"/>
        </w:rPr>
        <w:t>10% of patients are listed regardless of suspected relationship to treatment.</w:t>
      </w:r>
      <w:r w:rsidR="00AA0CFA" w:rsidRPr="00057C4C">
        <w:rPr>
          <w:sz w:val="20"/>
        </w:rPr>
        <w:t xml:space="preserve"> </w:t>
      </w:r>
      <w:r w:rsidR="00014579" w:rsidRPr="00057C4C">
        <w:rPr>
          <w:sz w:val="20"/>
          <w:vertAlign w:val="superscript"/>
        </w:rPr>
        <w:t xml:space="preserve">(2) </w:t>
      </w:r>
      <w:r w:rsidR="00014579" w:rsidRPr="00057C4C">
        <w:rPr>
          <w:sz w:val="20"/>
        </w:rPr>
        <w:t>Other fluid retention events include pleural effusion, ascites, pulmonary oedema, pericardial effusion, anasarca, oedema aggravated and fluid retention not otherwise specified.</w:t>
      </w:r>
    </w:p>
    <w:p w:rsidR="00014579" w:rsidRPr="00057C4C" w:rsidRDefault="00014579" w:rsidP="00D71D4F">
      <w:pPr>
        <w:pStyle w:val="Heading3"/>
      </w:pPr>
      <w:r w:rsidRPr="00057C4C">
        <w:t>Adverse events in paediatric CML clinical trials:</w:t>
      </w:r>
    </w:p>
    <w:p w:rsidR="00014579" w:rsidRPr="00057C4C" w:rsidRDefault="00014579" w:rsidP="00D71D4F">
      <w:r w:rsidRPr="00057C4C">
        <w:t xml:space="preserve">Experience is limited </w:t>
      </w:r>
      <w:r w:rsidR="0033238D" w:rsidRPr="00057C4C">
        <w:t>in</w:t>
      </w:r>
      <w:r w:rsidRPr="00057C4C">
        <w:t xml:space="preserve"> patients aged </w:t>
      </w:r>
      <w:r w:rsidRPr="00057C4C">
        <w:sym w:font="Symbol" w:char="F0A3"/>
      </w:r>
      <w:r w:rsidRPr="00057C4C">
        <w:t xml:space="preserve"> 18 years treated with imatinib in clinical trials. In these trials, </w:t>
      </w:r>
      <w:r w:rsidR="00E06398" w:rsidRPr="00057C4C">
        <w:t>the toxicity of imatinib appeared comparable to that seen in adults. Toxicities included g</w:t>
      </w:r>
      <w:r w:rsidRPr="00057C4C">
        <w:t>rade 3</w:t>
      </w:r>
      <w:r w:rsidR="0033238D" w:rsidRPr="00057C4C">
        <w:t xml:space="preserve"> or </w:t>
      </w:r>
      <w:r w:rsidRPr="00057C4C">
        <w:t xml:space="preserve">4 </w:t>
      </w:r>
      <w:r w:rsidR="0033238D" w:rsidRPr="00057C4C">
        <w:t xml:space="preserve">cytopenias involving </w:t>
      </w:r>
      <w:r w:rsidRPr="00057C4C">
        <w:t xml:space="preserve">neutropenia and thrombocytopenia </w:t>
      </w:r>
      <w:r w:rsidR="0033238D" w:rsidRPr="00057C4C">
        <w:t xml:space="preserve">and anaemia. These </w:t>
      </w:r>
      <w:r w:rsidR="005B66E0" w:rsidRPr="00057C4C">
        <w:t>generally occur within the first several months of therapy.</w:t>
      </w:r>
    </w:p>
    <w:p w:rsidR="00014579" w:rsidRPr="00057C4C" w:rsidRDefault="00014579" w:rsidP="00D71D4F">
      <w:pPr>
        <w:pStyle w:val="Heading3"/>
      </w:pPr>
      <w:r w:rsidRPr="00057C4C">
        <w:t xml:space="preserve">Adverse events in the </w:t>
      </w:r>
      <w:r w:rsidR="0032577E" w:rsidRPr="00057C4C">
        <w:t xml:space="preserve">unresectable and/or malignant metastatic </w:t>
      </w:r>
      <w:r w:rsidRPr="00057C4C">
        <w:t>GIST clinical trial:</w:t>
      </w:r>
    </w:p>
    <w:p w:rsidR="00014579" w:rsidRPr="00057C4C" w:rsidRDefault="00014579" w:rsidP="00273382">
      <w:pPr>
        <w:pStyle w:val="Text"/>
        <w:spacing w:after="120"/>
        <w:jc w:val="left"/>
      </w:pPr>
      <w:r w:rsidRPr="00057C4C">
        <w:t xml:space="preserve">Adverse events, regardless of relationship to study drug, that were reported in at least 10% of patients treated in the GIST study are shown in </w:t>
      </w:r>
      <w:r w:rsidR="0033238D" w:rsidRPr="00057C4C">
        <w:t>Table</w:t>
      </w:r>
      <w:r w:rsidR="00A54123" w:rsidRPr="00057C4C">
        <w:t xml:space="preserve"> </w:t>
      </w:r>
      <w:r w:rsidR="0033238D" w:rsidRPr="00057C4C">
        <w:t>1</w:t>
      </w:r>
      <w:r w:rsidR="00B83415">
        <w:t>4</w:t>
      </w:r>
      <w:r w:rsidRPr="00057C4C">
        <w:t>.</w:t>
      </w:r>
    </w:p>
    <w:p w:rsidR="00B62773" w:rsidRPr="00057C4C" w:rsidRDefault="00014579" w:rsidP="00273382">
      <w:pPr>
        <w:pStyle w:val="Text"/>
        <w:spacing w:after="120"/>
        <w:jc w:val="center"/>
        <w:rPr>
          <w:b/>
        </w:rPr>
      </w:pPr>
      <w:r w:rsidRPr="00057C4C">
        <w:rPr>
          <w:b/>
        </w:rPr>
        <w:t xml:space="preserve">Table </w:t>
      </w:r>
      <w:r w:rsidR="0033238D" w:rsidRPr="00057C4C">
        <w:rPr>
          <w:b/>
        </w:rPr>
        <w:t>1</w:t>
      </w:r>
      <w:r w:rsidR="007403C9">
        <w:rPr>
          <w:b/>
        </w:rPr>
        <w:t>4</w:t>
      </w:r>
      <w:r w:rsidR="0033238D" w:rsidRPr="00057C4C">
        <w:rPr>
          <w:b/>
        </w:rPr>
        <w:t xml:space="preserve"> </w:t>
      </w:r>
      <w:r w:rsidRPr="00057C4C">
        <w:rPr>
          <w:b/>
        </w:rPr>
        <w:t>Adverse experiences reported in GIST clinical trial</w:t>
      </w:r>
      <w:r w:rsidR="00273382" w:rsidRPr="00057C4C">
        <w:rPr>
          <w:b/>
        </w:rPr>
        <w:br/>
      </w:r>
      <w:r w:rsidRPr="00057C4C">
        <w:rPr>
          <w:sz w:val="20"/>
        </w:rPr>
        <w:t>(</w:t>
      </w:r>
      <w:r w:rsidRPr="00057C4C">
        <w:rPr>
          <w:sz w:val="20"/>
        </w:rPr>
        <w:sym w:font="Symbol" w:char="F0B3"/>
      </w:r>
      <w:r w:rsidRPr="00057C4C">
        <w:rPr>
          <w:sz w:val="20"/>
        </w:rPr>
        <w:t>10% of all patients)</w:t>
      </w:r>
      <w:r w:rsidRPr="00057C4C">
        <w:rPr>
          <w:sz w:val="20"/>
          <w:vertAlign w:val="superscript"/>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1559"/>
        <w:gridCol w:w="1418"/>
        <w:gridCol w:w="1417"/>
        <w:gridCol w:w="1773"/>
      </w:tblGrid>
      <w:tr w:rsidR="00DD6219" w:rsidRPr="00057C4C" w:rsidTr="00073C62">
        <w:tc>
          <w:tcPr>
            <w:tcW w:w="2977" w:type="dxa"/>
            <w:vMerge w:val="restart"/>
            <w:shd w:val="clear" w:color="auto" w:fill="D9D9D9"/>
          </w:tcPr>
          <w:p w:rsidR="00DD6219" w:rsidRPr="00057C4C" w:rsidRDefault="00DD6219" w:rsidP="00073C62">
            <w:pPr>
              <w:spacing w:before="60" w:after="60"/>
              <w:rPr>
                <w:b/>
                <w:sz w:val="20"/>
              </w:rPr>
            </w:pPr>
          </w:p>
        </w:tc>
        <w:tc>
          <w:tcPr>
            <w:tcW w:w="2977" w:type="dxa"/>
            <w:gridSpan w:val="2"/>
            <w:shd w:val="clear" w:color="auto" w:fill="D9D9D9"/>
          </w:tcPr>
          <w:p w:rsidR="00DD6219" w:rsidRPr="00057C4C" w:rsidRDefault="00DD6219" w:rsidP="00073C62">
            <w:pPr>
              <w:spacing w:before="60" w:after="60"/>
              <w:jc w:val="center"/>
              <w:rPr>
                <w:b/>
                <w:sz w:val="20"/>
              </w:rPr>
            </w:pPr>
            <w:r w:rsidRPr="00057C4C">
              <w:rPr>
                <w:b/>
                <w:sz w:val="20"/>
              </w:rPr>
              <w:t>All CTC Grades</w:t>
            </w:r>
            <w:r w:rsidR="00273382" w:rsidRPr="00057C4C">
              <w:rPr>
                <w:b/>
                <w:sz w:val="20"/>
              </w:rPr>
              <w:br/>
            </w:r>
            <w:r w:rsidRPr="00057C4C">
              <w:rPr>
                <w:b/>
                <w:sz w:val="20"/>
              </w:rPr>
              <w:t>Initial dose (mg/day)</w:t>
            </w:r>
          </w:p>
        </w:tc>
        <w:tc>
          <w:tcPr>
            <w:tcW w:w="3190" w:type="dxa"/>
            <w:gridSpan w:val="2"/>
            <w:shd w:val="clear" w:color="auto" w:fill="D9D9D9"/>
          </w:tcPr>
          <w:p w:rsidR="00DD6219" w:rsidRPr="00057C4C" w:rsidRDefault="00DD6219" w:rsidP="00073C62">
            <w:pPr>
              <w:spacing w:before="60" w:after="60"/>
              <w:jc w:val="center"/>
              <w:rPr>
                <w:b/>
                <w:sz w:val="20"/>
              </w:rPr>
            </w:pPr>
            <w:r w:rsidRPr="00057C4C">
              <w:rPr>
                <w:b/>
                <w:sz w:val="20"/>
              </w:rPr>
              <w:t xml:space="preserve">CTC Grade </w:t>
            </w:r>
            <w:r w:rsidR="00273382" w:rsidRPr="00057C4C">
              <w:rPr>
                <w:b/>
                <w:sz w:val="20"/>
              </w:rPr>
              <w:t>¾</w:t>
            </w:r>
            <w:r w:rsidR="00273382" w:rsidRPr="00057C4C">
              <w:rPr>
                <w:b/>
                <w:sz w:val="20"/>
              </w:rPr>
              <w:br/>
            </w:r>
            <w:r w:rsidRPr="00057C4C">
              <w:rPr>
                <w:b/>
                <w:sz w:val="20"/>
              </w:rPr>
              <w:t>Initial dose (mg/day)</w:t>
            </w:r>
          </w:p>
        </w:tc>
      </w:tr>
      <w:tr w:rsidR="00DD6219" w:rsidRPr="00057C4C" w:rsidTr="00073C62">
        <w:tc>
          <w:tcPr>
            <w:tcW w:w="2977" w:type="dxa"/>
            <w:vMerge/>
            <w:shd w:val="clear" w:color="auto" w:fill="D9D9D9"/>
          </w:tcPr>
          <w:p w:rsidR="00DD6219" w:rsidRPr="00057C4C" w:rsidRDefault="00DD6219" w:rsidP="00073C62">
            <w:pPr>
              <w:spacing w:before="60" w:after="60"/>
              <w:rPr>
                <w:b/>
                <w:sz w:val="20"/>
              </w:rPr>
            </w:pPr>
          </w:p>
        </w:tc>
        <w:tc>
          <w:tcPr>
            <w:tcW w:w="1559" w:type="dxa"/>
            <w:shd w:val="clear" w:color="auto" w:fill="D9D9D9"/>
          </w:tcPr>
          <w:p w:rsidR="00DD6219" w:rsidRPr="00057C4C" w:rsidRDefault="00DD6219" w:rsidP="00073C62">
            <w:pPr>
              <w:spacing w:before="60" w:after="60"/>
              <w:jc w:val="center"/>
              <w:rPr>
                <w:b/>
                <w:sz w:val="20"/>
              </w:rPr>
            </w:pPr>
            <w:r w:rsidRPr="00057C4C">
              <w:rPr>
                <w:b/>
                <w:sz w:val="20"/>
              </w:rPr>
              <w:t>400 mg</w:t>
            </w:r>
            <w:r w:rsidR="00416290" w:rsidRPr="00057C4C">
              <w:rPr>
                <w:b/>
                <w:sz w:val="20"/>
              </w:rPr>
              <w:br/>
            </w:r>
            <w:r w:rsidRPr="00057C4C">
              <w:rPr>
                <w:b/>
                <w:sz w:val="20"/>
              </w:rPr>
              <w:t>(</w:t>
            </w:r>
            <w:r w:rsidR="00DD2067" w:rsidRPr="00057C4C">
              <w:rPr>
                <w:b/>
                <w:sz w:val="20"/>
              </w:rPr>
              <w:t>N</w:t>
            </w:r>
            <w:r w:rsidRPr="00057C4C">
              <w:rPr>
                <w:b/>
                <w:sz w:val="20"/>
              </w:rPr>
              <w:t>=73)</w:t>
            </w:r>
          </w:p>
        </w:tc>
        <w:tc>
          <w:tcPr>
            <w:tcW w:w="1418" w:type="dxa"/>
            <w:shd w:val="clear" w:color="auto" w:fill="D9D9D9"/>
          </w:tcPr>
          <w:p w:rsidR="00DD6219" w:rsidRPr="00057C4C" w:rsidRDefault="00DD6219" w:rsidP="00073C62">
            <w:pPr>
              <w:spacing w:before="60" w:after="60"/>
              <w:jc w:val="center"/>
              <w:rPr>
                <w:b/>
                <w:sz w:val="20"/>
              </w:rPr>
            </w:pPr>
            <w:r w:rsidRPr="00057C4C">
              <w:rPr>
                <w:b/>
                <w:sz w:val="20"/>
              </w:rPr>
              <w:t>600 mg</w:t>
            </w:r>
            <w:r w:rsidR="00416290" w:rsidRPr="00057C4C">
              <w:rPr>
                <w:b/>
                <w:sz w:val="20"/>
              </w:rPr>
              <w:br/>
            </w:r>
            <w:r w:rsidRPr="00057C4C">
              <w:rPr>
                <w:b/>
                <w:sz w:val="20"/>
              </w:rPr>
              <w:t>(</w:t>
            </w:r>
            <w:r w:rsidR="00DD2067" w:rsidRPr="00057C4C">
              <w:rPr>
                <w:b/>
                <w:sz w:val="20"/>
              </w:rPr>
              <w:t>N</w:t>
            </w:r>
            <w:r w:rsidRPr="00057C4C">
              <w:rPr>
                <w:b/>
                <w:sz w:val="20"/>
              </w:rPr>
              <w:t>=74)</w:t>
            </w:r>
          </w:p>
        </w:tc>
        <w:tc>
          <w:tcPr>
            <w:tcW w:w="1417" w:type="dxa"/>
            <w:shd w:val="clear" w:color="auto" w:fill="D9D9D9"/>
          </w:tcPr>
          <w:p w:rsidR="00DD6219" w:rsidRPr="00057C4C" w:rsidRDefault="00DD6219" w:rsidP="00073C62">
            <w:pPr>
              <w:spacing w:before="60" w:after="60"/>
              <w:jc w:val="center"/>
              <w:rPr>
                <w:b/>
                <w:sz w:val="20"/>
              </w:rPr>
            </w:pPr>
            <w:r w:rsidRPr="00057C4C">
              <w:rPr>
                <w:b/>
                <w:sz w:val="20"/>
              </w:rPr>
              <w:t>400 mg</w:t>
            </w:r>
            <w:r w:rsidR="00416290" w:rsidRPr="00057C4C">
              <w:rPr>
                <w:b/>
                <w:sz w:val="20"/>
              </w:rPr>
              <w:br/>
            </w:r>
            <w:r w:rsidRPr="00057C4C">
              <w:rPr>
                <w:b/>
                <w:sz w:val="20"/>
              </w:rPr>
              <w:t>(</w:t>
            </w:r>
            <w:r w:rsidR="00DD2067" w:rsidRPr="00057C4C">
              <w:rPr>
                <w:b/>
                <w:sz w:val="20"/>
              </w:rPr>
              <w:t>N</w:t>
            </w:r>
            <w:r w:rsidRPr="00057C4C">
              <w:rPr>
                <w:b/>
                <w:sz w:val="20"/>
              </w:rPr>
              <w:t>=73)</w:t>
            </w:r>
          </w:p>
        </w:tc>
        <w:tc>
          <w:tcPr>
            <w:tcW w:w="1773" w:type="dxa"/>
            <w:shd w:val="clear" w:color="auto" w:fill="D9D9D9"/>
          </w:tcPr>
          <w:p w:rsidR="00DD6219" w:rsidRPr="00057C4C" w:rsidRDefault="00DD6219" w:rsidP="00073C62">
            <w:pPr>
              <w:spacing w:before="60" w:after="60"/>
              <w:jc w:val="center"/>
              <w:rPr>
                <w:b/>
                <w:sz w:val="20"/>
              </w:rPr>
            </w:pPr>
            <w:r w:rsidRPr="00057C4C">
              <w:rPr>
                <w:b/>
                <w:sz w:val="20"/>
              </w:rPr>
              <w:t>600 mg</w:t>
            </w:r>
            <w:r w:rsidR="00416290" w:rsidRPr="00057C4C">
              <w:rPr>
                <w:b/>
                <w:sz w:val="20"/>
              </w:rPr>
              <w:br/>
            </w:r>
            <w:r w:rsidRPr="00057C4C">
              <w:rPr>
                <w:b/>
                <w:sz w:val="20"/>
              </w:rPr>
              <w:t>(</w:t>
            </w:r>
            <w:r w:rsidR="00DD2067" w:rsidRPr="00057C4C">
              <w:rPr>
                <w:b/>
                <w:sz w:val="20"/>
              </w:rPr>
              <w:t>N</w:t>
            </w:r>
            <w:r w:rsidRPr="00057C4C">
              <w:rPr>
                <w:b/>
                <w:sz w:val="20"/>
              </w:rPr>
              <w:t>=74)</w:t>
            </w:r>
          </w:p>
        </w:tc>
      </w:tr>
      <w:tr w:rsidR="00DD6219" w:rsidRPr="00057C4C" w:rsidTr="00073C62">
        <w:tc>
          <w:tcPr>
            <w:tcW w:w="2977" w:type="dxa"/>
            <w:shd w:val="clear" w:color="auto" w:fill="D9D9D9"/>
          </w:tcPr>
          <w:p w:rsidR="00DD6219" w:rsidRPr="00057C4C" w:rsidRDefault="00DD6219" w:rsidP="00073C62">
            <w:pPr>
              <w:spacing w:before="60" w:after="60"/>
              <w:rPr>
                <w:b/>
                <w:sz w:val="20"/>
              </w:rPr>
            </w:pPr>
            <w:r w:rsidRPr="00057C4C">
              <w:rPr>
                <w:b/>
                <w:sz w:val="20"/>
              </w:rPr>
              <w:t>Preferred Term</w:t>
            </w:r>
          </w:p>
        </w:tc>
        <w:tc>
          <w:tcPr>
            <w:tcW w:w="1559" w:type="dxa"/>
            <w:shd w:val="clear" w:color="auto" w:fill="D9D9D9"/>
          </w:tcPr>
          <w:p w:rsidR="00DD6219" w:rsidRPr="00057C4C" w:rsidRDefault="00DD6219" w:rsidP="00073C62">
            <w:pPr>
              <w:spacing w:before="60" w:after="60"/>
              <w:jc w:val="center"/>
              <w:rPr>
                <w:b/>
                <w:sz w:val="20"/>
              </w:rPr>
            </w:pPr>
            <w:r w:rsidRPr="00057C4C">
              <w:rPr>
                <w:b/>
                <w:sz w:val="20"/>
              </w:rPr>
              <w:t>%</w:t>
            </w:r>
          </w:p>
        </w:tc>
        <w:tc>
          <w:tcPr>
            <w:tcW w:w="1418" w:type="dxa"/>
            <w:shd w:val="clear" w:color="auto" w:fill="D9D9D9"/>
          </w:tcPr>
          <w:p w:rsidR="00DD6219" w:rsidRPr="00057C4C" w:rsidRDefault="00DD6219" w:rsidP="00073C62">
            <w:pPr>
              <w:spacing w:before="60" w:after="60"/>
              <w:jc w:val="center"/>
              <w:rPr>
                <w:b/>
                <w:sz w:val="20"/>
              </w:rPr>
            </w:pPr>
            <w:r w:rsidRPr="00057C4C">
              <w:rPr>
                <w:b/>
                <w:sz w:val="20"/>
              </w:rPr>
              <w:t>%</w:t>
            </w:r>
          </w:p>
        </w:tc>
        <w:tc>
          <w:tcPr>
            <w:tcW w:w="1417" w:type="dxa"/>
            <w:shd w:val="clear" w:color="auto" w:fill="D9D9D9"/>
          </w:tcPr>
          <w:p w:rsidR="00DD6219" w:rsidRPr="00057C4C" w:rsidRDefault="00DD6219" w:rsidP="00073C62">
            <w:pPr>
              <w:spacing w:before="60" w:after="60"/>
              <w:jc w:val="center"/>
              <w:rPr>
                <w:b/>
                <w:sz w:val="20"/>
              </w:rPr>
            </w:pPr>
            <w:r w:rsidRPr="00057C4C">
              <w:rPr>
                <w:b/>
                <w:sz w:val="20"/>
              </w:rPr>
              <w:t>%</w:t>
            </w:r>
          </w:p>
        </w:tc>
        <w:tc>
          <w:tcPr>
            <w:tcW w:w="1773" w:type="dxa"/>
            <w:shd w:val="clear" w:color="auto" w:fill="D9D9D9"/>
          </w:tcPr>
          <w:p w:rsidR="00DD6219" w:rsidRPr="00057C4C" w:rsidRDefault="00DD6219" w:rsidP="00073C62">
            <w:pPr>
              <w:spacing w:before="60" w:after="60"/>
              <w:jc w:val="center"/>
              <w:rPr>
                <w:b/>
                <w:sz w:val="20"/>
              </w:rPr>
            </w:pPr>
            <w:r w:rsidRPr="00057C4C">
              <w:rPr>
                <w:b/>
                <w:sz w:val="20"/>
              </w:rPr>
              <w:t>%</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Fluid Retention</w:t>
            </w:r>
          </w:p>
        </w:tc>
        <w:tc>
          <w:tcPr>
            <w:tcW w:w="1559" w:type="dxa"/>
          </w:tcPr>
          <w:p w:rsidR="00DD6219" w:rsidRPr="00057C4C" w:rsidRDefault="00DD6219" w:rsidP="00073C62">
            <w:pPr>
              <w:spacing w:before="60" w:after="60"/>
              <w:jc w:val="center"/>
              <w:rPr>
                <w:sz w:val="20"/>
              </w:rPr>
            </w:pPr>
            <w:r w:rsidRPr="00057C4C">
              <w:rPr>
                <w:sz w:val="20"/>
              </w:rPr>
              <w:t>81</w:t>
            </w:r>
          </w:p>
        </w:tc>
        <w:tc>
          <w:tcPr>
            <w:tcW w:w="1418" w:type="dxa"/>
          </w:tcPr>
          <w:p w:rsidR="00DD6219" w:rsidRPr="00057C4C" w:rsidRDefault="00DD6219" w:rsidP="00073C62">
            <w:pPr>
              <w:spacing w:before="60" w:after="60"/>
              <w:jc w:val="center"/>
              <w:rPr>
                <w:sz w:val="20"/>
              </w:rPr>
            </w:pPr>
            <w:r w:rsidRPr="00057C4C">
              <w:rPr>
                <w:sz w:val="20"/>
              </w:rPr>
              <w:t>80</w:t>
            </w:r>
          </w:p>
        </w:tc>
        <w:tc>
          <w:tcPr>
            <w:tcW w:w="1417" w:type="dxa"/>
          </w:tcPr>
          <w:p w:rsidR="00DD6219" w:rsidRPr="00057C4C" w:rsidRDefault="00DD6219" w:rsidP="00073C62">
            <w:pPr>
              <w:spacing w:before="60" w:after="60"/>
              <w:jc w:val="center"/>
              <w:rPr>
                <w:sz w:val="20"/>
              </w:rPr>
            </w:pPr>
            <w:r w:rsidRPr="00057C4C">
              <w:rPr>
                <w:sz w:val="20"/>
              </w:rPr>
              <w:t>7</w:t>
            </w:r>
          </w:p>
        </w:tc>
        <w:tc>
          <w:tcPr>
            <w:tcW w:w="1773" w:type="dxa"/>
          </w:tcPr>
          <w:p w:rsidR="00DD6219" w:rsidRPr="00057C4C" w:rsidRDefault="00DD6219" w:rsidP="00073C62">
            <w:pPr>
              <w:spacing w:before="60" w:after="60"/>
              <w:jc w:val="center"/>
              <w:rPr>
                <w:sz w:val="20"/>
              </w:rPr>
            </w:pPr>
            <w:r w:rsidRPr="00057C4C">
              <w:rPr>
                <w:sz w:val="20"/>
              </w:rPr>
              <w:t>12</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 Superficial oedema</w:t>
            </w:r>
          </w:p>
        </w:tc>
        <w:tc>
          <w:tcPr>
            <w:tcW w:w="1559" w:type="dxa"/>
          </w:tcPr>
          <w:p w:rsidR="00DD6219" w:rsidRPr="00057C4C" w:rsidRDefault="00DD6219" w:rsidP="00073C62">
            <w:pPr>
              <w:spacing w:before="60" w:after="60"/>
              <w:jc w:val="center"/>
              <w:rPr>
                <w:sz w:val="20"/>
              </w:rPr>
            </w:pPr>
            <w:r w:rsidRPr="00057C4C">
              <w:rPr>
                <w:sz w:val="20"/>
              </w:rPr>
              <w:t>81</w:t>
            </w:r>
          </w:p>
        </w:tc>
        <w:tc>
          <w:tcPr>
            <w:tcW w:w="1418" w:type="dxa"/>
          </w:tcPr>
          <w:p w:rsidR="00DD6219" w:rsidRPr="00057C4C" w:rsidRDefault="00DD6219" w:rsidP="00073C62">
            <w:pPr>
              <w:spacing w:before="60" w:after="60"/>
              <w:jc w:val="center"/>
              <w:rPr>
                <w:sz w:val="20"/>
              </w:rPr>
            </w:pPr>
            <w:r w:rsidRPr="00057C4C">
              <w:rPr>
                <w:sz w:val="20"/>
              </w:rPr>
              <w:t>77</w:t>
            </w:r>
          </w:p>
        </w:tc>
        <w:tc>
          <w:tcPr>
            <w:tcW w:w="1417" w:type="dxa"/>
          </w:tcPr>
          <w:p w:rsidR="00DD6219" w:rsidRPr="00057C4C" w:rsidRDefault="00DD6219" w:rsidP="00073C62">
            <w:pPr>
              <w:spacing w:before="60" w:after="60"/>
              <w:jc w:val="center"/>
              <w:rPr>
                <w:sz w:val="20"/>
              </w:rPr>
            </w:pPr>
            <w:r w:rsidRPr="00057C4C">
              <w:rPr>
                <w:sz w:val="20"/>
              </w:rPr>
              <w:t>6</w:t>
            </w:r>
          </w:p>
        </w:tc>
        <w:tc>
          <w:tcPr>
            <w:tcW w:w="1773" w:type="dxa"/>
          </w:tcPr>
          <w:p w:rsidR="00DD6219" w:rsidRPr="00057C4C" w:rsidRDefault="00DD6219" w:rsidP="00073C62">
            <w:pPr>
              <w:spacing w:before="60" w:after="60"/>
              <w:jc w:val="center"/>
              <w:rPr>
                <w:sz w:val="20"/>
              </w:rPr>
            </w:pPr>
            <w:r w:rsidRPr="00057C4C">
              <w:rPr>
                <w:sz w:val="20"/>
              </w:rPr>
              <w:t>5</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 Pleural Effusion or Ascites</w:t>
            </w:r>
          </w:p>
        </w:tc>
        <w:tc>
          <w:tcPr>
            <w:tcW w:w="1559" w:type="dxa"/>
          </w:tcPr>
          <w:p w:rsidR="00DD6219" w:rsidRPr="00057C4C" w:rsidRDefault="00DD6219" w:rsidP="00073C62">
            <w:pPr>
              <w:spacing w:before="60" w:after="60"/>
              <w:jc w:val="center"/>
              <w:rPr>
                <w:sz w:val="20"/>
              </w:rPr>
            </w:pPr>
            <w:r w:rsidRPr="00057C4C">
              <w:rPr>
                <w:sz w:val="20"/>
              </w:rPr>
              <w:t>15</w:t>
            </w:r>
          </w:p>
        </w:tc>
        <w:tc>
          <w:tcPr>
            <w:tcW w:w="1418" w:type="dxa"/>
          </w:tcPr>
          <w:p w:rsidR="00DD6219" w:rsidRPr="00057C4C" w:rsidRDefault="00DD6219" w:rsidP="00073C62">
            <w:pPr>
              <w:spacing w:before="60" w:after="60"/>
              <w:jc w:val="center"/>
              <w:rPr>
                <w:sz w:val="20"/>
              </w:rPr>
            </w:pPr>
            <w:r w:rsidRPr="00057C4C">
              <w:rPr>
                <w:sz w:val="20"/>
              </w:rPr>
              <w:t>12</w:t>
            </w:r>
          </w:p>
        </w:tc>
        <w:tc>
          <w:tcPr>
            <w:tcW w:w="1417" w:type="dxa"/>
          </w:tcPr>
          <w:p w:rsidR="00DD6219" w:rsidRPr="00057C4C" w:rsidRDefault="00DD6219" w:rsidP="00073C62">
            <w:pPr>
              <w:spacing w:before="60" w:after="60"/>
              <w:jc w:val="center"/>
              <w:rPr>
                <w:sz w:val="20"/>
              </w:rPr>
            </w:pPr>
            <w:r w:rsidRPr="00057C4C">
              <w:rPr>
                <w:sz w:val="20"/>
              </w:rPr>
              <w:t>3</w:t>
            </w:r>
          </w:p>
        </w:tc>
        <w:tc>
          <w:tcPr>
            <w:tcW w:w="1773" w:type="dxa"/>
          </w:tcPr>
          <w:p w:rsidR="00DD6219" w:rsidRPr="00057C4C" w:rsidRDefault="00DD6219" w:rsidP="00073C62">
            <w:pPr>
              <w:spacing w:before="60" w:after="60"/>
              <w:jc w:val="center"/>
              <w:rPr>
                <w:sz w:val="20"/>
              </w:rPr>
            </w:pPr>
            <w:r w:rsidRPr="00057C4C">
              <w:rPr>
                <w:sz w:val="20"/>
              </w:rPr>
              <w:t>8</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Diarrhoea</w:t>
            </w:r>
          </w:p>
        </w:tc>
        <w:tc>
          <w:tcPr>
            <w:tcW w:w="1559" w:type="dxa"/>
          </w:tcPr>
          <w:p w:rsidR="00DD6219" w:rsidRPr="00057C4C" w:rsidRDefault="00DD6219" w:rsidP="00073C62">
            <w:pPr>
              <w:spacing w:before="60" w:after="60"/>
              <w:jc w:val="center"/>
              <w:rPr>
                <w:sz w:val="20"/>
              </w:rPr>
            </w:pPr>
            <w:r w:rsidRPr="00057C4C">
              <w:rPr>
                <w:sz w:val="20"/>
              </w:rPr>
              <w:t>59</w:t>
            </w:r>
          </w:p>
        </w:tc>
        <w:tc>
          <w:tcPr>
            <w:tcW w:w="1418" w:type="dxa"/>
          </w:tcPr>
          <w:p w:rsidR="00DD6219" w:rsidRPr="00057C4C" w:rsidRDefault="00DD6219" w:rsidP="00073C62">
            <w:pPr>
              <w:spacing w:before="60" w:after="60"/>
              <w:jc w:val="center"/>
              <w:rPr>
                <w:sz w:val="20"/>
              </w:rPr>
            </w:pPr>
            <w:r w:rsidRPr="00057C4C">
              <w:rPr>
                <w:sz w:val="20"/>
              </w:rPr>
              <w:t>70</w:t>
            </w:r>
          </w:p>
        </w:tc>
        <w:tc>
          <w:tcPr>
            <w:tcW w:w="1417" w:type="dxa"/>
          </w:tcPr>
          <w:p w:rsidR="00DD6219" w:rsidRPr="00057C4C" w:rsidRDefault="00DD6219" w:rsidP="00073C62">
            <w:pPr>
              <w:spacing w:before="60" w:after="60"/>
              <w:jc w:val="center"/>
              <w:rPr>
                <w:sz w:val="20"/>
              </w:rPr>
            </w:pPr>
            <w:r w:rsidRPr="00057C4C">
              <w:rPr>
                <w:sz w:val="20"/>
              </w:rPr>
              <w:t>3</w:t>
            </w:r>
          </w:p>
        </w:tc>
        <w:tc>
          <w:tcPr>
            <w:tcW w:w="1773" w:type="dxa"/>
          </w:tcPr>
          <w:p w:rsidR="00DD6219" w:rsidRPr="00057C4C" w:rsidRDefault="00DD6219" w:rsidP="00073C62">
            <w:pPr>
              <w:spacing w:before="60" w:after="60"/>
              <w:jc w:val="center"/>
              <w:rPr>
                <w:sz w:val="20"/>
              </w:rPr>
            </w:pPr>
            <w:r w:rsidRPr="00057C4C">
              <w:rPr>
                <w:sz w:val="20"/>
              </w:rPr>
              <w:t>7</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Nausea</w:t>
            </w:r>
          </w:p>
        </w:tc>
        <w:tc>
          <w:tcPr>
            <w:tcW w:w="1559" w:type="dxa"/>
          </w:tcPr>
          <w:p w:rsidR="00DD6219" w:rsidRPr="00057C4C" w:rsidRDefault="00DD6219" w:rsidP="00073C62">
            <w:pPr>
              <w:spacing w:before="60" w:after="60"/>
              <w:jc w:val="center"/>
              <w:rPr>
                <w:sz w:val="20"/>
              </w:rPr>
            </w:pPr>
            <w:r w:rsidRPr="00057C4C">
              <w:rPr>
                <w:sz w:val="20"/>
              </w:rPr>
              <w:t>63</w:t>
            </w:r>
          </w:p>
        </w:tc>
        <w:tc>
          <w:tcPr>
            <w:tcW w:w="1418" w:type="dxa"/>
          </w:tcPr>
          <w:p w:rsidR="00DD6219" w:rsidRPr="00057C4C" w:rsidRDefault="00DD6219" w:rsidP="00073C62">
            <w:pPr>
              <w:spacing w:before="60" w:after="60"/>
              <w:jc w:val="center"/>
              <w:rPr>
                <w:sz w:val="20"/>
              </w:rPr>
            </w:pPr>
            <w:r w:rsidRPr="00057C4C">
              <w:rPr>
                <w:sz w:val="20"/>
              </w:rPr>
              <w:t>74</w:t>
            </w:r>
          </w:p>
        </w:tc>
        <w:tc>
          <w:tcPr>
            <w:tcW w:w="1417" w:type="dxa"/>
          </w:tcPr>
          <w:p w:rsidR="00DD6219" w:rsidRPr="00057C4C" w:rsidRDefault="00DD6219" w:rsidP="00073C62">
            <w:pPr>
              <w:spacing w:before="60" w:after="60"/>
              <w:jc w:val="center"/>
              <w:rPr>
                <w:sz w:val="20"/>
              </w:rPr>
            </w:pPr>
            <w:r w:rsidRPr="00057C4C">
              <w:rPr>
                <w:sz w:val="20"/>
              </w:rPr>
              <w:t>6</w:t>
            </w:r>
          </w:p>
        </w:tc>
        <w:tc>
          <w:tcPr>
            <w:tcW w:w="1773" w:type="dxa"/>
          </w:tcPr>
          <w:p w:rsidR="00DD6219" w:rsidRPr="00057C4C" w:rsidRDefault="00DD6219" w:rsidP="00073C62">
            <w:pPr>
              <w:spacing w:before="60" w:after="60"/>
              <w:jc w:val="center"/>
              <w:rPr>
                <w:sz w:val="20"/>
              </w:rPr>
            </w:pPr>
            <w:r w:rsidRPr="00057C4C">
              <w:rPr>
                <w:sz w:val="20"/>
              </w:rPr>
              <w:t>4</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Fatigue</w:t>
            </w:r>
          </w:p>
        </w:tc>
        <w:tc>
          <w:tcPr>
            <w:tcW w:w="1559" w:type="dxa"/>
          </w:tcPr>
          <w:p w:rsidR="00DD6219" w:rsidRPr="00057C4C" w:rsidRDefault="00DD6219" w:rsidP="00073C62">
            <w:pPr>
              <w:spacing w:before="60" w:after="60"/>
              <w:jc w:val="center"/>
              <w:rPr>
                <w:sz w:val="20"/>
              </w:rPr>
            </w:pPr>
            <w:r w:rsidRPr="00057C4C">
              <w:rPr>
                <w:sz w:val="20"/>
              </w:rPr>
              <w:t>48</w:t>
            </w:r>
          </w:p>
        </w:tc>
        <w:tc>
          <w:tcPr>
            <w:tcW w:w="1418" w:type="dxa"/>
          </w:tcPr>
          <w:p w:rsidR="00DD6219" w:rsidRPr="00057C4C" w:rsidRDefault="00DD6219" w:rsidP="00073C62">
            <w:pPr>
              <w:spacing w:before="60" w:after="60"/>
              <w:jc w:val="center"/>
              <w:rPr>
                <w:sz w:val="20"/>
              </w:rPr>
            </w:pPr>
            <w:r w:rsidRPr="00057C4C">
              <w:rPr>
                <w:sz w:val="20"/>
              </w:rPr>
              <w:t>53</w:t>
            </w:r>
          </w:p>
        </w:tc>
        <w:tc>
          <w:tcPr>
            <w:tcW w:w="1417" w:type="dxa"/>
          </w:tcPr>
          <w:p w:rsidR="00DD6219" w:rsidRPr="00057C4C" w:rsidRDefault="00DD6219" w:rsidP="00073C62">
            <w:pPr>
              <w:spacing w:before="60" w:after="60"/>
              <w:jc w:val="center"/>
              <w:rPr>
                <w:sz w:val="20"/>
              </w:rPr>
            </w:pPr>
            <w:r w:rsidRPr="00057C4C">
              <w:rPr>
                <w:sz w:val="20"/>
              </w:rPr>
              <w:t>1</w:t>
            </w:r>
          </w:p>
        </w:tc>
        <w:tc>
          <w:tcPr>
            <w:tcW w:w="1773" w:type="dxa"/>
          </w:tcPr>
          <w:p w:rsidR="00DD6219" w:rsidRPr="00057C4C" w:rsidRDefault="00DD6219" w:rsidP="00073C62">
            <w:pPr>
              <w:spacing w:before="60" w:after="60"/>
              <w:jc w:val="center"/>
              <w:rPr>
                <w:sz w:val="20"/>
              </w:rPr>
            </w:pPr>
            <w:r w:rsidRPr="00057C4C">
              <w:rPr>
                <w:sz w:val="20"/>
              </w:rPr>
              <w:t>1</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Muscle Cramps</w:t>
            </w:r>
          </w:p>
        </w:tc>
        <w:tc>
          <w:tcPr>
            <w:tcW w:w="1559" w:type="dxa"/>
          </w:tcPr>
          <w:p w:rsidR="00DD6219" w:rsidRPr="00057C4C" w:rsidRDefault="00DD6219" w:rsidP="00073C62">
            <w:pPr>
              <w:spacing w:before="60" w:after="60"/>
              <w:jc w:val="center"/>
              <w:rPr>
                <w:sz w:val="20"/>
              </w:rPr>
            </w:pPr>
            <w:r w:rsidRPr="00057C4C">
              <w:rPr>
                <w:sz w:val="20"/>
              </w:rPr>
              <w:t>47</w:t>
            </w:r>
          </w:p>
        </w:tc>
        <w:tc>
          <w:tcPr>
            <w:tcW w:w="1418" w:type="dxa"/>
          </w:tcPr>
          <w:p w:rsidR="00DD6219" w:rsidRPr="00057C4C" w:rsidRDefault="00DD6219" w:rsidP="00073C62">
            <w:pPr>
              <w:spacing w:before="60" w:after="60"/>
              <w:jc w:val="center"/>
              <w:rPr>
                <w:sz w:val="20"/>
              </w:rPr>
            </w:pPr>
            <w:r w:rsidRPr="00057C4C">
              <w:rPr>
                <w:sz w:val="20"/>
              </w:rPr>
              <w:t>58</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Abdominal Pain</w:t>
            </w:r>
          </w:p>
        </w:tc>
        <w:tc>
          <w:tcPr>
            <w:tcW w:w="1559" w:type="dxa"/>
          </w:tcPr>
          <w:p w:rsidR="00DD6219" w:rsidRPr="00057C4C" w:rsidRDefault="00DD6219" w:rsidP="00073C62">
            <w:pPr>
              <w:spacing w:before="60" w:after="60"/>
              <w:jc w:val="center"/>
              <w:rPr>
                <w:sz w:val="20"/>
              </w:rPr>
            </w:pPr>
            <w:r w:rsidRPr="00057C4C">
              <w:rPr>
                <w:sz w:val="20"/>
              </w:rPr>
              <w:t>40</w:t>
            </w:r>
          </w:p>
        </w:tc>
        <w:tc>
          <w:tcPr>
            <w:tcW w:w="1418" w:type="dxa"/>
          </w:tcPr>
          <w:p w:rsidR="00DD6219" w:rsidRPr="00057C4C" w:rsidRDefault="00DD6219" w:rsidP="00073C62">
            <w:pPr>
              <w:spacing w:before="60" w:after="60"/>
              <w:jc w:val="center"/>
              <w:rPr>
                <w:sz w:val="20"/>
              </w:rPr>
            </w:pPr>
            <w:r w:rsidRPr="00057C4C">
              <w:rPr>
                <w:sz w:val="20"/>
              </w:rPr>
              <w:t>37</w:t>
            </w:r>
          </w:p>
        </w:tc>
        <w:tc>
          <w:tcPr>
            <w:tcW w:w="1417" w:type="dxa"/>
          </w:tcPr>
          <w:p w:rsidR="00DD6219" w:rsidRPr="00057C4C" w:rsidRDefault="00DD6219" w:rsidP="00073C62">
            <w:pPr>
              <w:spacing w:before="60" w:after="60"/>
              <w:jc w:val="center"/>
              <w:rPr>
                <w:sz w:val="20"/>
              </w:rPr>
            </w:pPr>
            <w:r w:rsidRPr="00057C4C">
              <w:rPr>
                <w:sz w:val="20"/>
              </w:rPr>
              <w:t>11</w:t>
            </w:r>
          </w:p>
        </w:tc>
        <w:tc>
          <w:tcPr>
            <w:tcW w:w="1773" w:type="dxa"/>
          </w:tcPr>
          <w:p w:rsidR="00DD6219" w:rsidRPr="00057C4C" w:rsidRDefault="00DD6219" w:rsidP="00073C62">
            <w:pPr>
              <w:spacing w:before="60" w:after="60"/>
              <w:jc w:val="center"/>
              <w:rPr>
                <w:sz w:val="20"/>
              </w:rPr>
            </w:pPr>
            <w:r w:rsidRPr="00057C4C">
              <w:rPr>
                <w:sz w:val="20"/>
              </w:rPr>
              <w:t>4</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Rash and Related Terms</w:t>
            </w:r>
          </w:p>
        </w:tc>
        <w:tc>
          <w:tcPr>
            <w:tcW w:w="1559" w:type="dxa"/>
          </w:tcPr>
          <w:p w:rsidR="00DD6219" w:rsidRPr="00057C4C" w:rsidRDefault="00DD6219" w:rsidP="00073C62">
            <w:pPr>
              <w:spacing w:before="60" w:after="60"/>
              <w:jc w:val="center"/>
              <w:rPr>
                <w:sz w:val="20"/>
              </w:rPr>
            </w:pPr>
            <w:r w:rsidRPr="00057C4C">
              <w:rPr>
                <w:sz w:val="20"/>
              </w:rPr>
              <w:t>38</w:t>
            </w:r>
          </w:p>
        </w:tc>
        <w:tc>
          <w:tcPr>
            <w:tcW w:w="1418" w:type="dxa"/>
          </w:tcPr>
          <w:p w:rsidR="00DD6219" w:rsidRPr="00057C4C" w:rsidRDefault="00DD6219" w:rsidP="00073C62">
            <w:pPr>
              <w:spacing w:before="60" w:after="60"/>
              <w:jc w:val="center"/>
              <w:rPr>
                <w:sz w:val="20"/>
              </w:rPr>
            </w:pPr>
            <w:r w:rsidRPr="00057C4C">
              <w:rPr>
                <w:sz w:val="20"/>
              </w:rPr>
              <w:t>53</w:t>
            </w:r>
          </w:p>
        </w:tc>
        <w:tc>
          <w:tcPr>
            <w:tcW w:w="1417" w:type="dxa"/>
          </w:tcPr>
          <w:p w:rsidR="00DD6219" w:rsidRPr="00057C4C" w:rsidRDefault="00DD6219" w:rsidP="00073C62">
            <w:pPr>
              <w:spacing w:before="60" w:after="60"/>
              <w:jc w:val="center"/>
              <w:rPr>
                <w:sz w:val="20"/>
              </w:rPr>
            </w:pPr>
            <w:r w:rsidRPr="00057C4C">
              <w:rPr>
                <w:sz w:val="20"/>
              </w:rPr>
              <w:t>4</w:t>
            </w:r>
          </w:p>
        </w:tc>
        <w:tc>
          <w:tcPr>
            <w:tcW w:w="1773" w:type="dxa"/>
          </w:tcPr>
          <w:p w:rsidR="00DD6219" w:rsidRPr="00057C4C" w:rsidRDefault="00DD6219" w:rsidP="00073C62">
            <w:pPr>
              <w:spacing w:before="60" w:after="60"/>
              <w:jc w:val="center"/>
              <w:rPr>
                <w:sz w:val="20"/>
              </w:rPr>
            </w:pPr>
            <w:r w:rsidRPr="00057C4C">
              <w:rPr>
                <w:sz w:val="20"/>
              </w:rPr>
              <w:t>3</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Vomiting</w:t>
            </w:r>
          </w:p>
        </w:tc>
        <w:tc>
          <w:tcPr>
            <w:tcW w:w="1559" w:type="dxa"/>
          </w:tcPr>
          <w:p w:rsidR="00DD6219" w:rsidRPr="00057C4C" w:rsidRDefault="00DD6219" w:rsidP="00073C62">
            <w:pPr>
              <w:spacing w:before="60" w:after="60"/>
              <w:jc w:val="center"/>
              <w:rPr>
                <w:sz w:val="20"/>
              </w:rPr>
            </w:pPr>
            <w:r w:rsidRPr="00057C4C">
              <w:rPr>
                <w:sz w:val="20"/>
              </w:rPr>
              <w:t>38</w:t>
            </w:r>
          </w:p>
        </w:tc>
        <w:tc>
          <w:tcPr>
            <w:tcW w:w="1418" w:type="dxa"/>
          </w:tcPr>
          <w:p w:rsidR="00DD6219" w:rsidRPr="00057C4C" w:rsidRDefault="00DD6219" w:rsidP="00073C62">
            <w:pPr>
              <w:spacing w:before="60" w:after="60"/>
              <w:jc w:val="center"/>
              <w:rPr>
                <w:sz w:val="20"/>
              </w:rPr>
            </w:pPr>
            <w:r w:rsidRPr="00057C4C">
              <w:rPr>
                <w:sz w:val="20"/>
              </w:rPr>
              <w:t>35</w:t>
            </w:r>
          </w:p>
        </w:tc>
        <w:tc>
          <w:tcPr>
            <w:tcW w:w="1417" w:type="dxa"/>
          </w:tcPr>
          <w:p w:rsidR="00DD6219" w:rsidRPr="00057C4C" w:rsidRDefault="00DD6219" w:rsidP="00073C62">
            <w:pPr>
              <w:spacing w:before="60" w:after="60"/>
              <w:jc w:val="center"/>
              <w:rPr>
                <w:sz w:val="20"/>
              </w:rPr>
            </w:pPr>
            <w:r w:rsidRPr="00057C4C">
              <w:rPr>
                <w:sz w:val="20"/>
              </w:rPr>
              <w:t>3</w:t>
            </w:r>
          </w:p>
        </w:tc>
        <w:tc>
          <w:tcPr>
            <w:tcW w:w="1773" w:type="dxa"/>
          </w:tcPr>
          <w:p w:rsidR="00DD6219" w:rsidRPr="00057C4C" w:rsidRDefault="00DD6219" w:rsidP="00073C62">
            <w:pPr>
              <w:spacing w:before="60" w:after="60"/>
              <w:jc w:val="center"/>
              <w:rPr>
                <w:sz w:val="20"/>
              </w:rPr>
            </w:pPr>
            <w:r w:rsidRPr="00057C4C">
              <w:rPr>
                <w:sz w:val="20"/>
              </w:rPr>
              <w:t>5</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Musculoskeletal Pain</w:t>
            </w:r>
          </w:p>
        </w:tc>
        <w:tc>
          <w:tcPr>
            <w:tcW w:w="1559" w:type="dxa"/>
          </w:tcPr>
          <w:p w:rsidR="00DD6219" w:rsidRPr="00057C4C" w:rsidRDefault="00DD6219" w:rsidP="00073C62">
            <w:pPr>
              <w:spacing w:before="60" w:after="60"/>
              <w:jc w:val="center"/>
              <w:rPr>
                <w:sz w:val="20"/>
              </w:rPr>
            </w:pPr>
            <w:r w:rsidRPr="00057C4C">
              <w:rPr>
                <w:sz w:val="20"/>
              </w:rPr>
              <w:t>37</w:t>
            </w:r>
          </w:p>
        </w:tc>
        <w:tc>
          <w:tcPr>
            <w:tcW w:w="1418" w:type="dxa"/>
          </w:tcPr>
          <w:p w:rsidR="00DD6219" w:rsidRPr="00057C4C" w:rsidRDefault="00DD6219" w:rsidP="00073C62">
            <w:pPr>
              <w:spacing w:before="60" w:after="60"/>
              <w:jc w:val="center"/>
              <w:rPr>
                <w:sz w:val="20"/>
              </w:rPr>
            </w:pPr>
            <w:r w:rsidRPr="00057C4C">
              <w:rPr>
                <w:sz w:val="20"/>
              </w:rPr>
              <w:t>30</w:t>
            </w:r>
          </w:p>
        </w:tc>
        <w:tc>
          <w:tcPr>
            <w:tcW w:w="1417" w:type="dxa"/>
          </w:tcPr>
          <w:p w:rsidR="00DD6219" w:rsidRPr="00057C4C" w:rsidRDefault="00DD6219" w:rsidP="00073C62">
            <w:pPr>
              <w:spacing w:before="60" w:after="60"/>
              <w:jc w:val="center"/>
              <w:rPr>
                <w:sz w:val="20"/>
              </w:rPr>
            </w:pPr>
            <w:r w:rsidRPr="00057C4C">
              <w:rPr>
                <w:sz w:val="20"/>
              </w:rPr>
              <w:t>6</w:t>
            </w:r>
          </w:p>
        </w:tc>
        <w:tc>
          <w:tcPr>
            <w:tcW w:w="1773" w:type="dxa"/>
          </w:tcPr>
          <w:p w:rsidR="00DD6219" w:rsidRPr="00057C4C" w:rsidRDefault="00DD6219" w:rsidP="00073C62">
            <w:pPr>
              <w:spacing w:before="60" w:after="60"/>
              <w:jc w:val="center"/>
              <w:rPr>
                <w:sz w:val="20"/>
              </w:rPr>
            </w:pPr>
            <w:r w:rsidRPr="00057C4C">
              <w:rPr>
                <w:sz w:val="20"/>
              </w:rPr>
              <w:t>1</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Headache</w:t>
            </w:r>
          </w:p>
        </w:tc>
        <w:tc>
          <w:tcPr>
            <w:tcW w:w="1559" w:type="dxa"/>
          </w:tcPr>
          <w:p w:rsidR="00DD6219" w:rsidRPr="00057C4C" w:rsidRDefault="00DD6219" w:rsidP="00073C62">
            <w:pPr>
              <w:spacing w:before="60" w:after="60"/>
              <w:jc w:val="center"/>
              <w:rPr>
                <w:sz w:val="20"/>
              </w:rPr>
            </w:pPr>
            <w:r w:rsidRPr="00057C4C">
              <w:rPr>
                <w:sz w:val="20"/>
              </w:rPr>
              <w:t>33</w:t>
            </w:r>
          </w:p>
        </w:tc>
        <w:tc>
          <w:tcPr>
            <w:tcW w:w="1418" w:type="dxa"/>
          </w:tcPr>
          <w:p w:rsidR="00DD6219" w:rsidRPr="00057C4C" w:rsidRDefault="00DD6219" w:rsidP="00073C62">
            <w:pPr>
              <w:spacing w:before="60" w:after="60"/>
              <w:jc w:val="center"/>
              <w:rPr>
                <w:sz w:val="20"/>
              </w:rPr>
            </w:pPr>
            <w:r w:rsidRPr="00057C4C">
              <w:rPr>
                <w:sz w:val="20"/>
              </w:rPr>
              <w:t>39</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Flatulence</w:t>
            </w:r>
          </w:p>
        </w:tc>
        <w:tc>
          <w:tcPr>
            <w:tcW w:w="1559" w:type="dxa"/>
          </w:tcPr>
          <w:p w:rsidR="00DD6219" w:rsidRPr="00057C4C" w:rsidRDefault="00DD6219" w:rsidP="00073C62">
            <w:pPr>
              <w:spacing w:before="60" w:after="60"/>
              <w:jc w:val="center"/>
              <w:rPr>
                <w:sz w:val="20"/>
              </w:rPr>
            </w:pPr>
            <w:r w:rsidRPr="00057C4C">
              <w:rPr>
                <w:sz w:val="20"/>
              </w:rPr>
              <w:t>30</w:t>
            </w:r>
          </w:p>
        </w:tc>
        <w:tc>
          <w:tcPr>
            <w:tcW w:w="1418" w:type="dxa"/>
          </w:tcPr>
          <w:p w:rsidR="00DD6219" w:rsidRPr="00057C4C" w:rsidRDefault="00DD6219" w:rsidP="00073C62">
            <w:pPr>
              <w:spacing w:before="60" w:after="60"/>
              <w:jc w:val="center"/>
              <w:rPr>
                <w:sz w:val="20"/>
              </w:rPr>
            </w:pPr>
            <w:r w:rsidRPr="00057C4C">
              <w:rPr>
                <w:sz w:val="20"/>
              </w:rPr>
              <w:t>34</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Any Haemorrhage</w:t>
            </w:r>
          </w:p>
        </w:tc>
        <w:tc>
          <w:tcPr>
            <w:tcW w:w="1559" w:type="dxa"/>
          </w:tcPr>
          <w:p w:rsidR="00DD6219" w:rsidRPr="00057C4C" w:rsidRDefault="00DD6219" w:rsidP="00073C62">
            <w:pPr>
              <w:spacing w:before="60" w:after="60"/>
              <w:jc w:val="center"/>
              <w:rPr>
                <w:sz w:val="20"/>
              </w:rPr>
            </w:pPr>
            <w:r w:rsidRPr="00057C4C">
              <w:rPr>
                <w:sz w:val="20"/>
              </w:rPr>
              <w:t>26</w:t>
            </w:r>
          </w:p>
        </w:tc>
        <w:tc>
          <w:tcPr>
            <w:tcW w:w="1418" w:type="dxa"/>
          </w:tcPr>
          <w:p w:rsidR="00DD6219" w:rsidRPr="00057C4C" w:rsidRDefault="00DD6219" w:rsidP="00073C62">
            <w:pPr>
              <w:spacing w:before="60" w:after="60"/>
              <w:jc w:val="center"/>
              <w:rPr>
                <w:sz w:val="20"/>
              </w:rPr>
            </w:pPr>
            <w:r w:rsidRPr="00057C4C">
              <w:rPr>
                <w:sz w:val="20"/>
              </w:rPr>
              <w:t>34</w:t>
            </w:r>
          </w:p>
        </w:tc>
        <w:tc>
          <w:tcPr>
            <w:tcW w:w="1417" w:type="dxa"/>
          </w:tcPr>
          <w:p w:rsidR="00DD6219" w:rsidRPr="00057C4C" w:rsidRDefault="00DD6219" w:rsidP="00073C62">
            <w:pPr>
              <w:spacing w:before="60" w:after="60"/>
              <w:jc w:val="center"/>
              <w:rPr>
                <w:sz w:val="20"/>
              </w:rPr>
            </w:pPr>
            <w:r w:rsidRPr="00057C4C">
              <w:rPr>
                <w:sz w:val="20"/>
              </w:rPr>
              <w:t>6</w:t>
            </w:r>
          </w:p>
        </w:tc>
        <w:tc>
          <w:tcPr>
            <w:tcW w:w="1773" w:type="dxa"/>
          </w:tcPr>
          <w:p w:rsidR="00DD6219" w:rsidRPr="00057C4C" w:rsidRDefault="00DD6219" w:rsidP="00073C62">
            <w:pPr>
              <w:spacing w:before="60" w:after="60"/>
              <w:jc w:val="center"/>
              <w:rPr>
                <w:sz w:val="20"/>
              </w:rPr>
            </w:pPr>
            <w:r w:rsidRPr="00057C4C">
              <w:rPr>
                <w:sz w:val="20"/>
              </w:rPr>
              <w:t>11</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 xml:space="preserve">- </w:t>
            </w:r>
            <w:r w:rsidR="00626081">
              <w:rPr>
                <w:sz w:val="20"/>
              </w:rPr>
              <w:t>Tumour</w:t>
            </w:r>
            <w:r w:rsidRPr="00057C4C">
              <w:rPr>
                <w:sz w:val="20"/>
              </w:rPr>
              <w:t xml:space="preserve"> Haemorrhage</w:t>
            </w:r>
          </w:p>
        </w:tc>
        <w:tc>
          <w:tcPr>
            <w:tcW w:w="1559" w:type="dxa"/>
          </w:tcPr>
          <w:p w:rsidR="00DD6219" w:rsidRPr="00057C4C" w:rsidRDefault="00DD6219" w:rsidP="00073C62">
            <w:pPr>
              <w:spacing w:before="60" w:after="60"/>
              <w:jc w:val="center"/>
              <w:rPr>
                <w:sz w:val="20"/>
              </w:rPr>
            </w:pPr>
            <w:r w:rsidRPr="00057C4C">
              <w:rPr>
                <w:sz w:val="20"/>
              </w:rPr>
              <w:t>1</w:t>
            </w:r>
          </w:p>
        </w:tc>
        <w:tc>
          <w:tcPr>
            <w:tcW w:w="1418" w:type="dxa"/>
          </w:tcPr>
          <w:p w:rsidR="00DD6219" w:rsidRPr="00057C4C" w:rsidRDefault="00DD6219" w:rsidP="00073C62">
            <w:pPr>
              <w:spacing w:before="60" w:after="60"/>
              <w:jc w:val="center"/>
              <w:rPr>
                <w:sz w:val="20"/>
              </w:rPr>
            </w:pPr>
            <w:r w:rsidRPr="00057C4C">
              <w:rPr>
                <w:sz w:val="20"/>
              </w:rPr>
              <w:t>4</w:t>
            </w:r>
          </w:p>
        </w:tc>
        <w:tc>
          <w:tcPr>
            <w:tcW w:w="1417" w:type="dxa"/>
          </w:tcPr>
          <w:p w:rsidR="00DD6219" w:rsidRPr="00057C4C" w:rsidRDefault="00DD6219" w:rsidP="00073C62">
            <w:pPr>
              <w:spacing w:before="60" w:after="60"/>
              <w:jc w:val="center"/>
              <w:rPr>
                <w:sz w:val="20"/>
              </w:rPr>
            </w:pPr>
            <w:r w:rsidRPr="00057C4C">
              <w:rPr>
                <w:sz w:val="20"/>
              </w:rPr>
              <w:t>1</w:t>
            </w:r>
          </w:p>
        </w:tc>
        <w:tc>
          <w:tcPr>
            <w:tcW w:w="1773" w:type="dxa"/>
          </w:tcPr>
          <w:p w:rsidR="00DD6219" w:rsidRPr="00057C4C" w:rsidRDefault="00DD6219" w:rsidP="00073C62">
            <w:pPr>
              <w:spacing w:before="60" w:after="60"/>
              <w:jc w:val="center"/>
              <w:rPr>
                <w:sz w:val="20"/>
              </w:rPr>
            </w:pPr>
            <w:r w:rsidRPr="00057C4C">
              <w:rPr>
                <w:sz w:val="20"/>
              </w:rPr>
              <w:t>4</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 Cerebral Haemorrhage</w:t>
            </w:r>
          </w:p>
        </w:tc>
        <w:tc>
          <w:tcPr>
            <w:tcW w:w="1559" w:type="dxa"/>
          </w:tcPr>
          <w:p w:rsidR="00DD6219" w:rsidRPr="00057C4C" w:rsidRDefault="00DD6219" w:rsidP="00073C62">
            <w:pPr>
              <w:spacing w:before="60" w:after="60"/>
              <w:jc w:val="center"/>
              <w:rPr>
                <w:sz w:val="20"/>
              </w:rPr>
            </w:pPr>
            <w:r w:rsidRPr="00057C4C">
              <w:rPr>
                <w:sz w:val="20"/>
              </w:rPr>
              <w:t>1</w:t>
            </w:r>
          </w:p>
        </w:tc>
        <w:tc>
          <w:tcPr>
            <w:tcW w:w="1418" w:type="dxa"/>
          </w:tcPr>
          <w:p w:rsidR="00DD6219" w:rsidRPr="00057C4C" w:rsidRDefault="00DD6219" w:rsidP="00073C62">
            <w:pPr>
              <w:spacing w:before="60" w:after="60"/>
              <w:jc w:val="center"/>
              <w:rPr>
                <w:sz w:val="20"/>
              </w:rPr>
            </w:pPr>
            <w:r w:rsidRPr="00057C4C">
              <w:rPr>
                <w:sz w:val="20"/>
              </w:rPr>
              <w:t>0</w:t>
            </w:r>
          </w:p>
        </w:tc>
        <w:tc>
          <w:tcPr>
            <w:tcW w:w="1417" w:type="dxa"/>
          </w:tcPr>
          <w:p w:rsidR="00DD6219" w:rsidRPr="00057C4C" w:rsidRDefault="00DD6219" w:rsidP="00073C62">
            <w:pPr>
              <w:spacing w:before="60" w:after="60"/>
              <w:jc w:val="center"/>
              <w:rPr>
                <w:sz w:val="20"/>
              </w:rPr>
            </w:pPr>
            <w:r w:rsidRPr="00057C4C">
              <w:rPr>
                <w:sz w:val="20"/>
              </w:rPr>
              <w:t>1</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 GI Tract Haemorrhage</w:t>
            </w:r>
          </w:p>
        </w:tc>
        <w:tc>
          <w:tcPr>
            <w:tcW w:w="1559" w:type="dxa"/>
          </w:tcPr>
          <w:p w:rsidR="00DD6219" w:rsidRPr="00057C4C" w:rsidRDefault="00DD6219" w:rsidP="00073C62">
            <w:pPr>
              <w:spacing w:before="60" w:after="60"/>
              <w:jc w:val="center"/>
              <w:rPr>
                <w:sz w:val="20"/>
              </w:rPr>
            </w:pPr>
            <w:r w:rsidRPr="00057C4C">
              <w:rPr>
                <w:sz w:val="20"/>
              </w:rPr>
              <w:t>4</w:t>
            </w:r>
          </w:p>
        </w:tc>
        <w:tc>
          <w:tcPr>
            <w:tcW w:w="1418" w:type="dxa"/>
          </w:tcPr>
          <w:p w:rsidR="00DD6219" w:rsidRPr="00057C4C" w:rsidRDefault="00DD6219" w:rsidP="00073C62">
            <w:pPr>
              <w:spacing w:before="60" w:after="60"/>
              <w:jc w:val="center"/>
              <w:rPr>
                <w:sz w:val="20"/>
              </w:rPr>
            </w:pPr>
            <w:r w:rsidRPr="00057C4C">
              <w:rPr>
                <w:sz w:val="20"/>
              </w:rPr>
              <w:t>4</w:t>
            </w:r>
          </w:p>
        </w:tc>
        <w:tc>
          <w:tcPr>
            <w:tcW w:w="1417" w:type="dxa"/>
          </w:tcPr>
          <w:p w:rsidR="00DD6219" w:rsidRPr="00057C4C" w:rsidRDefault="00DD6219" w:rsidP="00073C62">
            <w:pPr>
              <w:spacing w:before="60" w:after="60"/>
              <w:jc w:val="center"/>
              <w:rPr>
                <w:sz w:val="20"/>
              </w:rPr>
            </w:pPr>
            <w:r w:rsidRPr="00057C4C">
              <w:rPr>
                <w:sz w:val="20"/>
              </w:rPr>
              <w:t>4</w:t>
            </w:r>
          </w:p>
        </w:tc>
        <w:tc>
          <w:tcPr>
            <w:tcW w:w="1773" w:type="dxa"/>
          </w:tcPr>
          <w:p w:rsidR="00DD6219" w:rsidRPr="00057C4C" w:rsidRDefault="00DD6219" w:rsidP="00073C62">
            <w:pPr>
              <w:spacing w:before="60" w:after="60"/>
              <w:jc w:val="center"/>
              <w:rPr>
                <w:sz w:val="20"/>
              </w:rPr>
            </w:pPr>
            <w:r w:rsidRPr="00057C4C">
              <w:rPr>
                <w:sz w:val="20"/>
              </w:rPr>
              <w:t>3</w:t>
            </w:r>
          </w:p>
        </w:tc>
      </w:tr>
      <w:tr w:rsidR="00DD6219" w:rsidRPr="00057C4C" w:rsidTr="00073C62">
        <w:tc>
          <w:tcPr>
            <w:tcW w:w="2977" w:type="dxa"/>
          </w:tcPr>
          <w:p w:rsidR="00DD6219" w:rsidRPr="00057C4C" w:rsidRDefault="00DD6219" w:rsidP="00073C62">
            <w:pPr>
              <w:spacing w:before="60" w:after="60"/>
              <w:rPr>
                <w:sz w:val="20"/>
              </w:rPr>
            </w:pPr>
            <w:r w:rsidRPr="00057C4C">
              <w:rPr>
                <w:sz w:val="20"/>
              </w:rPr>
              <w:lastRenderedPageBreak/>
              <w:t>- Other Haemorrhage</w:t>
            </w:r>
          </w:p>
        </w:tc>
        <w:tc>
          <w:tcPr>
            <w:tcW w:w="1559" w:type="dxa"/>
          </w:tcPr>
          <w:p w:rsidR="00DD6219" w:rsidRPr="00057C4C" w:rsidRDefault="00DD6219" w:rsidP="00073C62">
            <w:pPr>
              <w:spacing w:before="60" w:after="60"/>
              <w:jc w:val="center"/>
              <w:rPr>
                <w:sz w:val="20"/>
              </w:rPr>
            </w:pPr>
            <w:r w:rsidRPr="00057C4C">
              <w:rPr>
                <w:sz w:val="20"/>
              </w:rPr>
              <w:t>22</w:t>
            </w:r>
          </w:p>
        </w:tc>
        <w:tc>
          <w:tcPr>
            <w:tcW w:w="1418" w:type="dxa"/>
          </w:tcPr>
          <w:p w:rsidR="00DD6219" w:rsidRPr="00057C4C" w:rsidRDefault="00DD6219" w:rsidP="00073C62">
            <w:pPr>
              <w:spacing w:before="60" w:after="60"/>
              <w:jc w:val="center"/>
              <w:rPr>
                <w:sz w:val="20"/>
              </w:rPr>
            </w:pPr>
            <w:r w:rsidRPr="00057C4C">
              <w:rPr>
                <w:sz w:val="20"/>
              </w:rPr>
              <w:t>27</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5</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Pyrexia</w:t>
            </w:r>
          </w:p>
        </w:tc>
        <w:tc>
          <w:tcPr>
            <w:tcW w:w="1559" w:type="dxa"/>
          </w:tcPr>
          <w:p w:rsidR="00DD6219" w:rsidRPr="00057C4C" w:rsidRDefault="00DD6219" w:rsidP="00073C62">
            <w:pPr>
              <w:spacing w:before="60" w:after="60"/>
              <w:jc w:val="center"/>
              <w:rPr>
                <w:sz w:val="20"/>
              </w:rPr>
            </w:pPr>
            <w:r w:rsidRPr="00057C4C">
              <w:rPr>
                <w:sz w:val="20"/>
              </w:rPr>
              <w:t>25</w:t>
            </w:r>
          </w:p>
        </w:tc>
        <w:tc>
          <w:tcPr>
            <w:tcW w:w="1418" w:type="dxa"/>
          </w:tcPr>
          <w:p w:rsidR="00DD6219" w:rsidRPr="00057C4C" w:rsidRDefault="00DD6219" w:rsidP="00073C62">
            <w:pPr>
              <w:spacing w:before="60" w:after="60"/>
              <w:jc w:val="center"/>
              <w:rPr>
                <w:sz w:val="20"/>
              </w:rPr>
            </w:pPr>
            <w:r w:rsidRPr="00057C4C">
              <w:rPr>
                <w:sz w:val="20"/>
              </w:rPr>
              <w:t>16</w:t>
            </w:r>
          </w:p>
        </w:tc>
        <w:tc>
          <w:tcPr>
            <w:tcW w:w="1417" w:type="dxa"/>
          </w:tcPr>
          <w:p w:rsidR="00DD6219" w:rsidRPr="00057C4C" w:rsidRDefault="00DD6219" w:rsidP="00073C62">
            <w:pPr>
              <w:spacing w:before="60" w:after="60"/>
              <w:jc w:val="center"/>
              <w:rPr>
                <w:sz w:val="20"/>
              </w:rPr>
            </w:pPr>
            <w:r w:rsidRPr="00057C4C">
              <w:rPr>
                <w:sz w:val="20"/>
              </w:rPr>
              <w:t>3</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Back Pain</w:t>
            </w:r>
          </w:p>
        </w:tc>
        <w:tc>
          <w:tcPr>
            <w:tcW w:w="1559" w:type="dxa"/>
          </w:tcPr>
          <w:p w:rsidR="00DD6219" w:rsidRPr="00057C4C" w:rsidRDefault="00DD6219" w:rsidP="00073C62">
            <w:pPr>
              <w:spacing w:before="60" w:after="60"/>
              <w:jc w:val="center"/>
              <w:rPr>
                <w:sz w:val="20"/>
              </w:rPr>
            </w:pPr>
            <w:r w:rsidRPr="00057C4C">
              <w:rPr>
                <w:sz w:val="20"/>
              </w:rPr>
              <w:t>23</w:t>
            </w:r>
          </w:p>
        </w:tc>
        <w:tc>
          <w:tcPr>
            <w:tcW w:w="1418" w:type="dxa"/>
          </w:tcPr>
          <w:p w:rsidR="00DD6219" w:rsidRPr="00057C4C" w:rsidRDefault="00DD6219" w:rsidP="00073C62">
            <w:pPr>
              <w:spacing w:before="60" w:after="60"/>
              <w:jc w:val="center"/>
              <w:rPr>
                <w:sz w:val="20"/>
              </w:rPr>
            </w:pPr>
            <w:r w:rsidRPr="00057C4C">
              <w:rPr>
                <w:sz w:val="20"/>
              </w:rPr>
              <w:t>26</w:t>
            </w:r>
          </w:p>
        </w:tc>
        <w:tc>
          <w:tcPr>
            <w:tcW w:w="1417" w:type="dxa"/>
          </w:tcPr>
          <w:p w:rsidR="00DD6219" w:rsidRPr="00057C4C" w:rsidRDefault="00DD6219" w:rsidP="00073C62">
            <w:pPr>
              <w:spacing w:before="60" w:after="60"/>
              <w:jc w:val="center"/>
              <w:rPr>
                <w:sz w:val="20"/>
              </w:rPr>
            </w:pPr>
            <w:r w:rsidRPr="00057C4C">
              <w:rPr>
                <w:sz w:val="20"/>
              </w:rPr>
              <w:t>6</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Nasopharyngitis</w:t>
            </w:r>
          </w:p>
        </w:tc>
        <w:tc>
          <w:tcPr>
            <w:tcW w:w="1559" w:type="dxa"/>
          </w:tcPr>
          <w:p w:rsidR="00DD6219" w:rsidRPr="00057C4C" w:rsidRDefault="00DD6219" w:rsidP="00073C62">
            <w:pPr>
              <w:spacing w:before="60" w:after="60"/>
              <w:jc w:val="center"/>
              <w:rPr>
                <w:sz w:val="20"/>
              </w:rPr>
            </w:pPr>
            <w:r w:rsidRPr="00057C4C">
              <w:rPr>
                <w:sz w:val="20"/>
              </w:rPr>
              <w:t>21</w:t>
            </w:r>
          </w:p>
        </w:tc>
        <w:tc>
          <w:tcPr>
            <w:tcW w:w="1418" w:type="dxa"/>
          </w:tcPr>
          <w:p w:rsidR="00DD6219" w:rsidRPr="00057C4C" w:rsidRDefault="00DD6219" w:rsidP="00073C62">
            <w:pPr>
              <w:spacing w:before="60" w:after="60"/>
              <w:jc w:val="center"/>
              <w:rPr>
                <w:sz w:val="20"/>
              </w:rPr>
            </w:pPr>
            <w:r w:rsidRPr="00057C4C">
              <w:rPr>
                <w:sz w:val="20"/>
              </w:rPr>
              <w:t>27</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Insomnia</w:t>
            </w:r>
          </w:p>
        </w:tc>
        <w:tc>
          <w:tcPr>
            <w:tcW w:w="1559" w:type="dxa"/>
          </w:tcPr>
          <w:p w:rsidR="00DD6219" w:rsidRPr="00057C4C" w:rsidRDefault="00DD6219" w:rsidP="00073C62">
            <w:pPr>
              <w:spacing w:before="60" w:after="60"/>
              <w:jc w:val="center"/>
              <w:rPr>
                <w:sz w:val="20"/>
              </w:rPr>
            </w:pPr>
            <w:r w:rsidRPr="00057C4C">
              <w:rPr>
                <w:sz w:val="20"/>
              </w:rPr>
              <w:t>19</w:t>
            </w:r>
          </w:p>
        </w:tc>
        <w:tc>
          <w:tcPr>
            <w:tcW w:w="1418" w:type="dxa"/>
          </w:tcPr>
          <w:p w:rsidR="00DD6219" w:rsidRPr="00057C4C" w:rsidRDefault="00DD6219" w:rsidP="00073C62">
            <w:pPr>
              <w:spacing w:before="60" w:after="60"/>
              <w:jc w:val="center"/>
              <w:rPr>
                <w:sz w:val="20"/>
              </w:rPr>
            </w:pPr>
            <w:r w:rsidRPr="00057C4C">
              <w:rPr>
                <w:sz w:val="20"/>
              </w:rPr>
              <w:t>18</w:t>
            </w:r>
          </w:p>
        </w:tc>
        <w:tc>
          <w:tcPr>
            <w:tcW w:w="1417" w:type="dxa"/>
          </w:tcPr>
          <w:p w:rsidR="00DD6219" w:rsidRPr="00057C4C" w:rsidRDefault="00DD6219" w:rsidP="00073C62">
            <w:pPr>
              <w:spacing w:before="60" w:after="60"/>
              <w:jc w:val="center"/>
              <w:rPr>
                <w:sz w:val="20"/>
              </w:rPr>
            </w:pPr>
            <w:r w:rsidRPr="00057C4C">
              <w:rPr>
                <w:sz w:val="20"/>
              </w:rPr>
              <w:t>1</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Lacrimation Increased</w:t>
            </w:r>
          </w:p>
        </w:tc>
        <w:tc>
          <w:tcPr>
            <w:tcW w:w="1559" w:type="dxa"/>
          </w:tcPr>
          <w:p w:rsidR="00DD6219" w:rsidRPr="00057C4C" w:rsidRDefault="00DD6219" w:rsidP="00073C62">
            <w:pPr>
              <w:spacing w:before="60" w:after="60"/>
              <w:jc w:val="center"/>
              <w:rPr>
                <w:sz w:val="20"/>
              </w:rPr>
            </w:pPr>
            <w:r w:rsidRPr="00057C4C">
              <w:rPr>
                <w:sz w:val="20"/>
              </w:rPr>
              <w:t>16</w:t>
            </w:r>
          </w:p>
        </w:tc>
        <w:tc>
          <w:tcPr>
            <w:tcW w:w="1418" w:type="dxa"/>
          </w:tcPr>
          <w:p w:rsidR="00DD6219" w:rsidRPr="00057C4C" w:rsidRDefault="00DD6219" w:rsidP="00073C62">
            <w:pPr>
              <w:spacing w:before="60" w:after="60"/>
              <w:jc w:val="center"/>
              <w:rPr>
                <w:sz w:val="20"/>
              </w:rPr>
            </w:pPr>
            <w:r w:rsidRPr="00057C4C">
              <w:rPr>
                <w:sz w:val="20"/>
              </w:rPr>
              <w:t>18</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Dyspepsia</w:t>
            </w:r>
          </w:p>
        </w:tc>
        <w:tc>
          <w:tcPr>
            <w:tcW w:w="1559" w:type="dxa"/>
          </w:tcPr>
          <w:p w:rsidR="00DD6219" w:rsidRPr="00057C4C" w:rsidRDefault="00DD6219" w:rsidP="00073C62">
            <w:pPr>
              <w:spacing w:before="60" w:after="60"/>
              <w:jc w:val="center"/>
              <w:rPr>
                <w:sz w:val="20"/>
              </w:rPr>
            </w:pPr>
            <w:r w:rsidRPr="00057C4C">
              <w:rPr>
                <w:sz w:val="20"/>
              </w:rPr>
              <w:t>15</w:t>
            </w:r>
          </w:p>
        </w:tc>
        <w:tc>
          <w:tcPr>
            <w:tcW w:w="1418" w:type="dxa"/>
          </w:tcPr>
          <w:p w:rsidR="00DD6219" w:rsidRPr="00057C4C" w:rsidRDefault="00DD6219" w:rsidP="00073C62">
            <w:pPr>
              <w:spacing w:before="60" w:after="60"/>
              <w:jc w:val="center"/>
              <w:rPr>
                <w:sz w:val="20"/>
              </w:rPr>
            </w:pPr>
            <w:r w:rsidRPr="00057C4C">
              <w:rPr>
                <w:sz w:val="20"/>
              </w:rPr>
              <w:t>15</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Upper Respiratory Tract Infection</w:t>
            </w:r>
          </w:p>
        </w:tc>
        <w:tc>
          <w:tcPr>
            <w:tcW w:w="1559" w:type="dxa"/>
          </w:tcPr>
          <w:p w:rsidR="00DD6219" w:rsidRPr="00057C4C" w:rsidRDefault="00DD6219" w:rsidP="00073C62">
            <w:pPr>
              <w:spacing w:before="60" w:after="60"/>
              <w:jc w:val="center"/>
              <w:rPr>
                <w:sz w:val="20"/>
              </w:rPr>
            </w:pPr>
            <w:r w:rsidRPr="00057C4C">
              <w:rPr>
                <w:sz w:val="20"/>
              </w:rPr>
              <w:t>14</w:t>
            </w:r>
          </w:p>
        </w:tc>
        <w:tc>
          <w:tcPr>
            <w:tcW w:w="1418" w:type="dxa"/>
          </w:tcPr>
          <w:p w:rsidR="00DD6219" w:rsidRPr="00057C4C" w:rsidRDefault="00DD6219" w:rsidP="00073C62">
            <w:pPr>
              <w:spacing w:before="60" w:after="60"/>
              <w:jc w:val="center"/>
              <w:rPr>
                <w:sz w:val="20"/>
              </w:rPr>
            </w:pPr>
            <w:r w:rsidRPr="00057C4C">
              <w:rPr>
                <w:sz w:val="20"/>
              </w:rPr>
              <w:t>18</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Liver Toxicity</w:t>
            </w:r>
          </w:p>
        </w:tc>
        <w:tc>
          <w:tcPr>
            <w:tcW w:w="1559" w:type="dxa"/>
          </w:tcPr>
          <w:p w:rsidR="00DD6219" w:rsidRPr="00057C4C" w:rsidRDefault="00DD6219" w:rsidP="00073C62">
            <w:pPr>
              <w:spacing w:before="60" w:after="60"/>
              <w:jc w:val="center"/>
              <w:rPr>
                <w:sz w:val="20"/>
              </w:rPr>
            </w:pPr>
            <w:r w:rsidRPr="00057C4C">
              <w:rPr>
                <w:sz w:val="20"/>
              </w:rPr>
              <w:t>12</w:t>
            </w:r>
          </w:p>
        </w:tc>
        <w:tc>
          <w:tcPr>
            <w:tcW w:w="1418" w:type="dxa"/>
          </w:tcPr>
          <w:p w:rsidR="00DD6219" w:rsidRPr="00057C4C" w:rsidRDefault="00DD6219" w:rsidP="00073C62">
            <w:pPr>
              <w:spacing w:before="60" w:after="60"/>
              <w:jc w:val="center"/>
              <w:rPr>
                <w:sz w:val="20"/>
              </w:rPr>
            </w:pPr>
            <w:r w:rsidRPr="00057C4C">
              <w:rPr>
                <w:sz w:val="20"/>
              </w:rPr>
              <w:t>12</w:t>
            </w:r>
          </w:p>
        </w:tc>
        <w:tc>
          <w:tcPr>
            <w:tcW w:w="1417" w:type="dxa"/>
          </w:tcPr>
          <w:p w:rsidR="00DD6219" w:rsidRPr="00057C4C" w:rsidRDefault="00DD6219" w:rsidP="00073C62">
            <w:pPr>
              <w:spacing w:before="60" w:after="60"/>
              <w:jc w:val="center"/>
              <w:rPr>
                <w:sz w:val="20"/>
              </w:rPr>
            </w:pPr>
            <w:r w:rsidRPr="00057C4C">
              <w:rPr>
                <w:sz w:val="20"/>
              </w:rPr>
              <w:t>6</w:t>
            </w:r>
          </w:p>
        </w:tc>
        <w:tc>
          <w:tcPr>
            <w:tcW w:w="1773" w:type="dxa"/>
          </w:tcPr>
          <w:p w:rsidR="00DD6219" w:rsidRPr="00057C4C" w:rsidRDefault="00DD6219" w:rsidP="00073C62">
            <w:pPr>
              <w:spacing w:before="60" w:after="60"/>
              <w:jc w:val="center"/>
              <w:rPr>
                <w:sz w:val="20"/>
              </w:rPr>
            </w:pPr>
            <w:r w:rsidRPr="00057C4C">
              <w:rPr>
                <w:sz w:val="20"/>
              </w:rPr>
              <w:t>8</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Dizziness</w:t>
            </w:r>
          </w:p>
        </w:tc>
        <w:tc>
          <w:tcPr>
            <w:tcW w:w="1559" w:type="dxa"/>
          </w:tcPr>
          <w:p w:rsidR="00DD6219" w:rsidRPr="00057C4C" w:rsidRDefault="00DD6219" w:rsidP="00073C62">
            <w:pPr>
              <w:spacing w:before="60" w:after="60"/>
              <w:jc w:val="center"/>
              <w:rPr>
                <w:sz w:val="20"/>
              </w:rPr>
            </w:pPr>
            <w:r w:rsidRPr="00057C4C">
              <w:rPr>
                <w:sz w:val="20"/>
              </w:rPr>
              <w:t>12</w:t>
            </w:r>
          </w:p>
        </w:tc>
        <w:tc>
          <w:tcPr>
            <w:tcW w:w="1418" w:type="dxa"/>
          </w:tcPr>
          <w:p w:rsidR="00DD6219" w:rsidRPr="00057C4C" w:rsidRDefault="00DD6219" w:rsidP="00073C62">
            <w:pPr>
              <w:spacing w:before="60" w:after="60"/>
              <w:jc w:val="center"/>
              <w:rPr>
                <w:sz w:val="20"/>
              </w:rPr>
            </w:pPr>
            <w:r w:rsidRPr="00057C4C">
              <w:rPr>
                <w:sz w:val="20"/>
              </w:rPr>
              <w:t>11</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Loose Stools</w:t>
            </w:r>
          </w:p>
        </w:tc>
        <w:tc>
          <w:tcPr>
            <w:tcW w:w="1559" w:type="dxa"/>
          </w:tcPr>
          <w:p w:rsidR="00DD6219" w:rsidRPr="00057C4C" w:rsidRDefault="00DD6219" w:rsidP="00073C62">
            <w:pPr>
              <w:spacing w:before="60" w:after="60"/>
              <w:jc w:val="center"/>
              <w:rPr>
                <w:sz w:val="20"/>
              </w:rPr>
            </w:pPr>
            <w:r w:rsidRPr="00057C4C">
              <w:rPr>
                <w:sz w:val="20"/>
              </w:rPr>
              <w:t>12</w:t>
            </w:r>
          </w:p>
        </w:tc>
        <w:tc>
          <w:tcPr>
            <w:tcW w:w="1418" w:type="dxa"/>
          </w:tcPr>
          <w:p w:rsidR="00DD6219" w:rsidRPr="00057C4C" w:rsidRDefault="00DD6219" w:rsidP="00073C62">
            <w:pPr>
              <w:spacing w:before="60" w:after="60"/>
              <w:jc w:val="center"/>
              <w:rPr>
                <w:sz w:val="20"/>
              </w:rPr>
            </w:pPr>
            <w:r w:rsidRPr="00057C4C">
              <w:rPr>
                <w:sz w:val="20"/>
              </w:rPr>
              <w:t>10</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Operation</w:t>
            </w:r>
          </w:p>
        </w:tc>
        <w:tc>
          <w:tcPr>
            <w:tcW w:w="1559" w:type="dxa"/>
          </w:tcPr>
          <w:p w:rsidR="00DD6219" w:rsidRPr="00057C4C" w:rsidRDefault="00DD6219" w:rsidP="00073C62">
            <w:pPr>
              <w:spacing w:before="60" w:after="60"/>
              <w:jc w:val="center"/>
              <w:rPr>
                <w:sz w:val="20"/>
              </w:rPr>
            </w:pPr>
            <w:r w:rsidRPr="00057C4C">
              <w:rPr>
                <w:sz w:val="20"/>
              </w:rPr>
              <w:t>12</w:t>
            </w:r>
          </w:p>
        </w:tc>
        <w:tc>
          <w:tcPr>
            <w:tcW w:w="1418" w:type="dxa"/>
          </w:tcPr>
          <w:p w:rsidR="00DD6219" w:rsidRPr="00057C4C" w:rsidRDefault="00DD6219" w:rsidP="00073C62">
            <w:pPr>
              <w:spacing w:before="60" w:after="60"/>
              <w:jc w:val="center"/>
              <w:rPr>
                <w:sz w:val="20"/>
              </w:rPr>
            </w:pPr>
            <w:r w:rsidRPr="00057C4C">
              <w:rPr>
                <w:sz w:val="20"/>
              </w:rPr>
              <w:t>8</w:t>
            </w:r>
          </w:p>
        </w:tc>
        <w:tc>
          <w:tcPr>
            <w:tcW w:w="1417" w:type="dxa"/>
          </w:tcPr>
          <w:p w:rsidR="00DD6219" w:rsidRPr="00057C4C" w:rsidRDefault="00DD6219" w:rsidP="00073C62">
            <w:pPr>
              <w:spacing w:before="60" w:after="60"/>
              <w:jc w:val="center"/>
              <w:rPr>
                <w:sz w:val="20"/>
              </w:rPr>
            </w:pPr>
            <w:r w:rsidRPr="00057C4C">
              <w:rPr>
                <w:sz w:val="20"/>
              </w:rPr>
              <w:t>6</w:t>
            </w:r>
          </w:p>
        </w:tc>
        <w:tc>
          <w:tcPr>
            <w:tcW w:w="1773" w:type="dxa"/>
          </w:tcPr>
          <w:p w:rsidR="00DD6219" w:rsidRPr="00057C4C" w:rsidRDefault="00DD6219" w:rsidP="00073C62">
            <w:pPr>
              <w:spacing w:before="60" w:after="60"/>
              <w:jc w:val="center"/>
              <w:rPr>
                <w:sz w:val="20"/>
              </w:rPr>
            </w:pPr>
            <w:r w:rsidRPr="00057C4C">
              <w:rPr>
                <w:sz w:val="20"/>
              </w:rPr>
              <w:t>4</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Pharyngolaryngeal Pain</w:t>
            </w:r>
          </w:p>
        </w:tc>
        <w:tc>
          <w:tcPr>
            <w:tcW w:w="1559" w:type="dxa"/>
          </w:tcPr>
          <w:p w:rsidR="00DD6219" w:rsidRPr="00057C4C" w:rsidRDefault="00DD6219" w:rsidP="00073C62">
            <w:pPr>
              <w:spacing w:before="60" w:after="60"/>
              <w:jc w:val="center"/>
              <w:rPr>
                <w:sz w:val="20"/>
              </w:rPr>
            </w:pPr>
            <w:r w:rsidRPr="00057C4C">
              <w:rPr>
                <w:sz w:val="20"/>
              </w:rPr>
              <w:t>12</w:t>
            </w:r>
          </w:p>
        </w:tc>
        <w:tc>
          <w:tcPr>
            <w:tcW w:w="1418" w:type="dxa"/>
          </w:tcPr>
          <w:p w:rsidR="00DD6219" w:rsidRPr="00057C4C" w:rsidRDefault="00DD6219" w:rsidP="00073C62">
            <w:pPr>
              <w:spacing w:before="60" w:after="60"/>
              <w:jc w:val="center"/>
              <w:rPr>
                <w:sz w:val="20"/>
              </w:rPr>
            </w:pPr>
            <w:r w:rsidRPr="00057C4C">
              <w:rPr>
                <w:sz w:val="20"/>
              </w:rPr>
              <w:t>7</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Joint Pain</w:t>
            </w:r>
          </w:p>
        </w:tc>
        <w:tc>
          <w:tcPr>
            <w:tcW w:w="1559" w:type="dxa"/>
          </w:tcPr>
          <w:p w:rsidR="00DD6219" w:rsidRPr="00057C4C" w:rsidRDefault="00DD6219" w:rsidP="00073C62">
            <w:pPr>
              <w:spacing w:before="60" w:after="60"/>
              <w:jc w:val="center"/>
              <w:rPr>
                <w:sz w:val="20"/>
              </w:rPr>
            </w:pPr>
            <w:r w:rsidRPr="00057C4C">
              <w:rPr>
                <w:sz w:val="20"/>
              </w:rPr>
              <w:t>11</w:t>
            </w:r>
          </w:p>
        </w:tc>
        <w:tc>
          <w:tcPr>
            <w:tcW w:w="1418" w:type="dxa"/>
          </w:tcPr>
          <w:p w:rsidR="00DD6219" w:rsidRPr="00057C4C" w:rsidRDefault="00DD6219" w:rsidP="00073C62">
            <w:pPr>
              <w:spacing w:before="60" w:after="60"/>
              <w:jc w:val="center"/>
              <w:rPr>
                <w:sz w:val="20"/>
              </w:rPr>
            </w:pPr>
            <w:r w:rsidRPr="00057C4C">
              <w:rPr>
                <w:sz w:val="20"/>
              </w:rPr>
              <w:t>15</w:t>
            </w:r>
          </w:p>
        </w:tc>
        <w:tc>
          <w:tcPr>
            <w:tcW w:w="1417" w:type="dxa"/>
          </w:tcPr>
          <w:p w:rsidR="00DD6219" w:rsidRPr="00057C4C" w:rsidRDefault="00DD6219" w:rsidP="00073C62">
            <w:pPr>
              <w:spacing w:before="60" w:after="60"/>
              <w:jc w:val="center"/>
              <w:rPr>
                <w:sz w:val="20"/>
              </w:rPr>
            </w:pPr>
            <w:r w:rsidRPr="00057C4C">
              <w:rPr>
                <w:sz w:val="20"/>
              </w:rPr>
              <w:t>1</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Constipation</w:t>
            </w:r>
          </w:p>
        </w:tc>
        <w:tc>
          <w:tcPr>
            <w:tcW w:w="1559" w:type="dxa"/>
          </w:tcPr>
          <w:p w:rsidR="00DD6219" w:rsidRPr="00057C4C" w:rsidRDefault="00DD6219" w:rsidP="00073C62">
            <w:pPr>
              <w:spacing w:before="60" w:after="60"/>
              <w:jc w:val="center"/>
              <w:rPr>
                <w:sz w:val="20"/>
              </w:rPr>
            </w:pPr>
            <w:r w:rsidRPr="00057C4C">
              <w:rPr>
                <w:sz w:val="20"/>
              </w:rPr>
              <w:t>11</w:t>
            </w:r>
          </w:p>
        </w:tc>
        <w:tc>
          <w:tcPr>
            <w:tcW w:w="1418" w:type="dxa"/>
          </w:tcPr>
          <w:p w:rsidR="00DD6219" w:rsidRPr="00057C4C" w:rsidRDefault="00DD6219" w:rsidP="00073C62">
            <w:pPr>
              <w:spacing w:before="60" w:after="60"/>
              <w:jc w:val="center"/>
              <w:rPr>
                <w:sz w:val="20"/>
              </w:rPr>
            </w:pPr>
            <w:r w:rsidRPr="00057C4C">
              <w:rPr>
                <w:sz w:val="20"/>
              </w:rPr>
              <w:t>10</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1</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Anxiety</w:t>
            </w:r>
          </w:p>
        </w:tc>
        <w:tc>
          <w:tcPr>
            <w:tcW w:w="1559" w:type="dxa"/>
          </w:tcPr>
          <w:p w:rsidR="00DD6219" w:rsidRPr="00057C4C" w:rsidRDefault="00DD6219" w:rsidP="00073C62">
            <w:pPr>
              <w:spacing w:before="60" w:after="60"/>
              <w:jc w:val="center"/>
              <w:rPr>
                <w:sz w:val="20"/>
              </w:rPr>
            </w:pPr>
            <w:r w:rsidRPr="00057C4C">
              <w:rPr>
                <w:sz w:val="20"/>
              </w:rPr>
              <w:t>11</w:t>
            </w:r>
          </w:p>
        </w:tc>
        <w:tc>
          <w:tcPr>
            <w:tcW w:w="1418" w:type="dxa"/>
          </w:tcPr>
          <w:p w:rsidR="00DD6219" w:rsidRPr="00057C4C" w:rsidRDefault="00DD6219" w:rsidP="00073C62">
            <w:pPr>
              <w:spacing w:before="60" w:after="60"/>
              <w:jc w:val="center"/>
              <w:rPr>
                <w:sz w:val="20"/>
              </w:rPr>
            </w:pPr>
            <w:r w:rsidRPr="00057C4C">
              <w:rPr>
                <w:sz w:val="20"/>
              </w:rPr>
              <w:t>7</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2977" w:type="dxa"/>
          </w:tcPr>
          <w:p w:rsidR="00DD6219" w:rsidRPr="00057C4C" w:rsidRDefault="00DD6219" w:rsidP="00073C62">
            <w:pPr>
              <w:spacing w:before="60" w:after="60"/>
              <w:rPr>
                <w:sz w:val="20"/>
              </w:rPr>
            </w:pPr>
            <w:r w:rsidRPr="00057C4C">
              <w:rPr>
                <w:sz w:val="20"/>
              </w:rPr>
              <w:t>Taste Disturbance</w:t>
            </w:r>
          </w:p>
        </w:tc>
        <w:tc>
          <w:tcPr>
            <w:tcW w:w="1559" w:type="dxa"/>
          </w:tcPr>
          <w:p w:rsidR="00DD6219" w:rsidRPr="00057C4C" w:rsidRDefault="00DD6219" w:rsidP="00073C62">
            <w:pPr>
              <w:spacing w:before="60" w:after="60"/>
              <w:jc w:val="center"/>
              <w:rPr>
                <w:sz w:val="20"/>
              </w:rPr>
            </w:pPr>
            <w:r w:rsidRPr="00057C4C">
              <w:rPr>
                <w:sz w:val="20"/>
              </w:rPr>
              <w:t>3</w:t>
            </w:r>
          </w:p>
        </w:tc>
        <w:tc>
          <w:tcPr>
            <w:tcW w:w="1418" w:type="dxa"/>
          </w:tcPr>
          <w:p w:rsidR="00DD6219" w:rsidRPr="00057C4C" w:rsidRDefault="00DD6219" w:rsidP="00073C62">
            <w:pPr>
              <w:spacing w:before="60" w:after="60"/>
              <w:jc w:val="center"/>
              <w:rPr>
                <w:sz w:val="20"/>
              </w:rPr>
            </w:pPr>
            <w:r w:rsidRPr="00057C4C">
              <w:rPr>
                <w:sz w:val="20"/>
              </w:rPr>
              <w:t>15</w:t>
            </w:r>
          </w:p>
        </w:tc>
        <w:tc>
          <w:tcPr>
            <w:tcW w:w="1417" w:type="dxa"/>
          </w:tcPr>
          <w:p w:rsidR="00DD6219" w:rsidRPr="00057C4C" w:rsidRDefault="00DD6219" w:rsidP="00073C62">
            <w:pPr>
              <w:spacing w:before="60" w:after="60"/>
              <w:jc w:val="center"/>
              <w:rPr>
                <w:sz w:val="20"/>
              </w:rPr>
            </w:pPr>
            <w:r w:rsidRPr="00057C4C">
              <w:rPr>
                <w:sz w:val="20"/>
              </w:rPr>
              <w:t>0</w:t>
            </w:r>
          </w:p>
        </w:tc>
        <w:tc>
          <w:tcPr>
            <w:tcW w:w="1773" w:type="dxa"/>
          </w:tcPr>
          <w:p w:rsidR="00DD6219" w:rsidRPr="00057C4C" w:rsidRDefault="00DD6219" w:rsidP="00073C62">
            <w:pPr>
              <w:spacing w:before="60" w:after="60"/>
              <w:jc w:val="center"/>
              <w:rPr>
                <w:sz w:val="20"/>
              </w:rPr>
            </w:pPr>
            <w:r w:rsidRPr="00057C4C">
              <w:rPr>
                <w:sz w:val="20"/>
              </w:rPr>
              <w:t>0</w:t>
            </w:r>
          </w:p>
        </w:tc>
      </w:tr>
      <w:tr w:rsidR="00DD6219" w:rsidRPr="00057C4C" w:rsidTr="00073C62">
        <w:tc>
          <w:tcPr>
            <w:tcW w:w="9144" w:type="dxa"/>
            <w:gridSpan w:val="5"/>
          </w:tcPr>
          <w:p w:rsidR="00DD6219" w:rsidRPr="00057C4C" w:rsidRDefault="00DD6219" w:rsidP="00073C62">
            <w:pPr>
              <w:spacing w:before="60" w:after="60"/>
              <w:rPr>
                <w:sz w:val="20"/>
              </w:rPr>
            </w:pPr>
            <w:r w:rsidRPr="00057C4C">
              <w:rPr>
                <w:sz w:val="20"/>
                <w:vertAlign w:val="superscript"/>
              </w:rPr>
              <w:t>(1)</w:t>
            </w:r>
            <w:r w:rsidRPr="00057C4C">
              <w:rPr>
                <w:sz w:val="20"/>
              </w:rPr>
              <w:t xml:space="preserve"> All adverse events occurring in ≥10% of patients are listed regardless of suspected relationship to treatment.</w:t>
            </w:r>
          </w:p>
        </w:tc>
      </w:tr>
    </w:tbl>
    <w:p w:rsidR="0032577E" w:rsidRPr="00057C4C" w:rsidRDefault="0032577E" w:rsidP="00D71D4F">
      <w:pPr>
        <w:pStyle w:val="Heading3"/>
      </w:pPr>
      <w:r w:rsidRPr="00057C4C">
        <w:t>Adverse events in the adjuvant treatment of GIST clinical tria</w:t>
      </w:r>
      <w:r w:rsidRPr="006C6662">
        <w:t>l</w:t>
      </w:r>
      <w:r w:rsidR="00787273" w:rsidRPr="006C6662">
        <w:t>s</w:t>
      </w:r>
      <w:r w:rsidRPr="00057C4C">
        <w:t>:</w:t>
      </w:r>
    </w:p>
    <w:p w:rsidR="00FB35D9" w:rsidRPr="00057C4C" w:rsidRDefault="00787273" w:rsidP="0032577E">
      <w:pPr>
        <w:spacing w:before="120" w:after="120"/>
      </w:pPr>
      <w:r w:rsidRPr="00E856D9">
        <w:t>In study Z9001, t</w:t>
      </w:r>
      <w:r w:rsidR="00FB35D9" w:rsidRPr="00E856D9">
        <w:t xml:space="preserve">he majority of both </w:t>
      </w:r>
      <w:r w:rsidR="0032577E" w:rsidRPr="00E856D9">
        <w:t>Glivec</w:t>
      </w:r>
      <w:r w:rsidR="00FB35D9" w:rsidRPr="00E856D9">
        <w:t xml:space="preserve"> and placebo treated patients experienced at</w:t>
      </w:r>
      <w:r w:rsidR="00FB35D9" w:rsidRPr="00057C4C">
        <w:t xml:space="preserve"> least one adverse reaction at some time. The most frequently reported adverse reactions were similar to those reported in other clinical studies in other patient populations and include </w:t>
      </w:r>
      <w:r w:rsidR="0032577E" w:rsidRPr="00057C4C">
        <w:t>diarrhoea</w:t>
      </w:r>
      <w:r w:rsidR="00FB35D9" w:rsidRPr="00057C4C">
        <w:t xml:space="preserve">, fatigue, nausea, </w:t>
      </w:r>
      <w:r w:rsidR="0032577E" w:rsidRPr="00057C4C">
        <w:t>oedema</w:t>
      </w:r>
      <w:r w:rsidR="00FB35D9" w:rsidRPr="00057C4C">
        <w:t xml:space="preserve">, decreased </w:t>
      </w:r>
      <w:r w:rsidR="0032577E" w:rsidRPr="00057C4C">
        <w:t>haemoglobin</w:t>
      </w:r>
      <w:r w:rsidR="00FB35D9" w:rsidRPr="00057C4C">
        <w:t xml:space="preserve">, rash, vomiting and abdominal pain. No new adverse reactions were reported in the adjuvant GIST treatment setting that had not been previously reported in other patient populations including patients with unresectable and/or malignant metastatic GIST. Drug was discontinued for adverse reactions in 57 patients (17%) and 11 patients (3%) of the </w:t>
      </w:r>
      <w:r w:rsidR="0032577E" w:rsidRPr="00057C4C">
        <w:t>Glivec</w:t>
      </w:r>
      <w:r w:rsidR="00FB35D9" w:rsidRPr="00057C4C">
        <w:t xml:space="preserve"> and placebo treated patients respectively. </w:t>
      </w:r>
      <w:r w:rsidR="0032577E" w:rsidRPr="00057C4C">
        <w:t>Oedema</w:t>
      </w:r>
      <w:r w:rsidR="00FB35D9" w:rsidRPr="00057C4C">
        <w:t xml:space="preserve">, gastrointestinal disturbances (nausea, vomiting, abdominal </w:t>
      </w:r>
      <w:r w:rsidR="0032577E" w:rsidRPr="00057C4C">
        <w:t>distension</w:t>
      </w:r>
      <w:r w:rsidR="00FB35D9" w:rsidRPr="00057C4C">
        <w:t xml:space="preserve"> and </w:t>
      </w:r>
      <w:r w:rsidR="0032577E" w:rsidRPr="00057C4C">
        <w:t>diarrhoea</w:t>
      </w:r>
      <w:r w:rsidR="00FB35D9" w:rsidRPr="00057C4C">
        <w:t xml:space="preserve">), fatigue, low </w:t>
      </w:r>
      <w:r w:rsidR="0032577E" w:rsidRPr="00057C4C">
        <w:t>haemoglobin</w:t>
      </w:r>
      <w:r w:rsidR="00FB35D9" w:rsidRPr="00057C4C">
        <w:t xml:space="preserve"> and rash were the most frequently reported adverse reactions at the time of discontinuation.</w:t>
      </w:r>
    </w:p>
    <w:p w:rsidR="00FB35D9" w:rsidRPr="00E856D9" w:rsidRDefault="00FB35D9" w:rsidP="0032577E">
      <w:pPr>
        <w:spacing w:before="120" w:after="120"/>
      </w:pPr>
      <w:r w:rsidRPr="00E856D9">
        <w:t xml:space="preserve">Adverse </w:t>
      </w:r>
      <w:r w:rsidR="00787273" w:rsidRPr="00E856D9">
        <w:t>events</w:t>
      </w:r>
      <w:r w:rsidRPr="00E856D9">
        <w:t xml:space="preserve">, regardless of relationship to study drug, that were reported in at least 10% of the patients treated with </w:t>
      </w:r>
      <w:r w:rsidR="0032577E" w:rsidRPr="00E856D9">
        <w:t xml:space="preserve">Glivec are shown in Table </w:t>
      </w:r>
      <w:r w:rsidR="0033238D" w:rsidRPr="00E856D9">
        <w:t>1</w:t>
      </w:r>
      <w:r w:rsidR="00B83415" w:rsidRPr="00E856D9">
        <w:t>5</w:t>
      </w:r>
      <w:r w:rsidRPr="00E856D9">
        <w:t>.</w:t>
      </w:r>
    </w:p>
    <w:p w:rsidR="0032577E" w:rsidRPr="00717DD6" w:rsidRDefault="009D4E28" w:rsidP="0032577E">
      <w:pPr>
        <w:pStyle w:val="Text"/>
        <w:spacing w:after="120"/>
        <w:jc w:val="center"/>
        <w:rPr>
          <w:b/>
          <w:szCs w:val="24"/>
        </w:rPr>
      </w:pPr>
      <w:r>
        <w:rPr>
          <w:b/>
        </w:rPr>
        <w:br w:type="page"/>
      </w:r>
      <w:r w:rsidR="0032577E" w:rsidRPr="00E856D9">
        <w:rPr>
          <w:b/>
        </w:rPr>
        <w:lastRenderedPageBreak/>
        <w:t xml:space="preserve">Table </w:t>
      </w:r>
      <w:r w:rsidR="0033238D" w:rsidRPr="00E856D9">
        <w:rPr>
          <w:b/>
        </w:rPr>
        <w:t>1</w:t>
      </w:r>
      <w:r w:rsidR="007403C9" w:rsidRPr="00E856D9">
        <w:rPr>
          <w:b/>
        </w:rPr>
        <w:t>5</w:t>
      </w:r>
      <w:r w:rsidR="0033238D" w:rsidRPr="00E856D9">
        <w:rPr>
          <w:b/>
        </w:rPr>
        <w:t xml:space="preserve"> </w:t>
      </w:r>
      <w:r w:rsidR="0032577E" w:rsidRPr="00E856D9">
        <w:rPr>
          <w:b/>
        </w:rPr>
        <w:t xml:space="preserve">Adverse experiences reported in the </w:t>
      </w:r>
      <w:r w:rsidR="0032577E" w:rsidRPr="00E856D9">
        <w:rPr>
          <w:b/>
          <w:szCs w:val="24"/>
        </w:rPr>
        <w:t>Adjuvant</w:t>
      </w:r>
      <w:r w:rsidR="0032577E" w:rsidRPr="00E856D9">
        <w:rPr>
          <w:b/>
        </w:rPr>
        <w:t xml:space="preserve"> GIST clinical trial</w:t>
      </w:r>
      <w:r w:rsidR="00787273" w:rsidRPr="00E856D9">
        <w:rPr>
          <w:b/>
        </w:rPr>
        <w:t xml:space="preserve"> Z9001</w:t>
      </w:r>
      <w:r w:rsidR="0032577E" w:rsidRPr="00057C4C">
        <w:rPr>
          <w:b/>
        </w:rPr>
        <w:br/>
      </w:r>
      <w:r w:rsidR="0032577E" w:rsidRPr="00057C4C">
        <w:rPr>
          <w:sz w:val="20"/>
        </w:rPr>
        <w:t>(</w:t>
      </w:r>
      <w:r w:rsidR="0032577E" w:rsidRPr="00057C4C">
        <w:rPr>
          <w:sz w:val="20"/>
        </w:rPr>
        <w:sym w:font="Symbol" w:char="F0B3"/>
      </w:r>
      <w:r w:rsidR="0032577E" w:rsidRPr="00057C4C">
        <w:rPr>
          <w:sz w:val="20"/>
        </w:rPr>
        <w:t>10% of all patients)</w:t>
      </w:r>
      <w:r w:rsidR="0032577E" w:rsidRPr="00057C4C">
        <w:rPr>
          <w:sz w:val="20"/>
          <w:vertAlign w:val="superscript"/>
        </w:rPr>
        <w:t>(1)</w:t>
      </w:r>
      <w:r w:rsidR="00717DD6">
        <w:rPr>
          <w:sz w:val="20"/>
        </w:rPr>
        <w:t xml:space="preserve"> </w:t>
      </w:r>
    </w:p>
    <w:tbl>
      <w:tblPr>
        <w:tblW w:w="5000" w:type="pct"/>
        <w:tblLook w:val="01E0"/>
      </w:tblPr>
      <w:tblGrid>
        <w:gridCol w:w="3086"/>
        <w:gridCol w:w="1557"/>
        <w:gridCol w:w="1361"/>
        <w:gridCol w:w="1518"/>
        <w:gridCol w:w="1737"/>
      </w:tblGrid>
      <w:tr w:rsidR="00776DA2" w:rsidRPr="00057C4C" w:rsidTr="00073C62">
        <w:tc>
          <w:tcPr>
            <w:tcW w:w="1666" w:type="pct"/>
            <w:vMerge w:val="restart"/>
            <w:tcBorders>
              <w:top w:val="single" w:sz="4" w:space="0" w:color="auto"/>
              <w:left w:val="single" w:sz="4" w:space="0" w:color="auto"/>
              <w:bottom w:val="single" w:sz="4" w:space="0" w:color="auto"/>
              <w:right w:val="single" w:sz="4" w:space="0" w:color="auto"/>
            </w:tcBorders>
            <w:shd w:val="clear" w:color="auto" w:fill="D9D9D9"/>
          </w:tcPr>
          <w:p w:rsidR="00776DA2" w:rsidRPr="00CC0663" w:rsidRDefault="00776DA2" w:rsidP="00073C62">
            <w:pPr>
              <w:pStyle w:val="Table0"/>
              <w:spacing w:before="60" w:after="60"/>
              <w:rPr>
                <w:rFonts w:ascii="Times New Roman" w:hAnsi="Times New Roman"/>
                <w:b/>
                <w:lang w:val="en-AU"/>
              </w:rPr>
            </w:pPr>
          </w:p>
        </w:tc>
        <w:tc>
          <w:tcPr>
            <w:tcW w:w="1576" w:type="pct"/>
            <w:gridSpan w:val="2"/>
            <w:tcBorders>
              <w:top w:val="single" w:sz="4" w:space="0" w:color="auto"/>
              <w:left w:val="single" w:sz="4" w:space="0" w:color="auto"/>
              <w:bottom w:val="single" w:sz="4" w:space="0" w:color="auto"/>
              <w:right w:val="single" w:sz="4" w:space="0" w:color="auto"/>
            </w:tcBorders>
            <w:shd w:val="clear" w:color="auto" w:fill="D9D9D9"/>
          </w:tcPr>
          <w:p w:rsidR="00776DA2" w:rsidRPr="00CC0663" w:rsidRDefault="00776DA2" w:rsidP="00073C62">
            <w:pPr>
              <w:pStyle w:val="Table0"/>
              <w:spacing w:before="60" w:after="60"/>
              <w:jc w:val="center"/>
              <w:rPr>
                <w:rFonts w:ascii="Times New Roman" w:hAnsi="Times New Roman"/>
                <w:b/>
                <w:lang w:val="en-AU"/>
              </w:rPr>
            </w:pPr>
            <w:r w:rsidRPr="00CC0663">
              <w:rPr>
                <w:rFonts w:ascii="Times New Roman" w:hAnsi="Times New Roman"/>
                <w:b/>
                <w:lang w:val="en-AU"/>
              </w:rPr>
              <w:t>All CTC Grades</w:t>
            </w:r>
          </w:p>
        </w:tc>
        <w:tc>
          <w:tcPr>
            <w:tcW w:w="1758" w:type="pct"/>
            <w:gridSpan w:val="2"/>
            <w:tcBorders>
              <w:top w:val="single" w:sz="4" w:space="0" w:color="auto"/>
              <w:left w:val="single" w:sz="4" w:space="0" w:color="auto"/>
              <w:bottom w:val="single" w:sz="4" w:space="0" w:color="auto"/>
              <w:right w:val="single" w:sz="4" w:space="0" w:color="auto"/>
            </w:tcBorders>
            <w:shd w:val="clear" w:color="auto" w:fill="D9D9D9"/>
          </w:tcPr>
          <w:p w:rsidR="00776DA2" w:rsidRPr="00CC0663" w:rsidRDefault="00776DA2" w:rsidP="00073C62">
            <w:pPr>
              <w:pStyle w:val="Table0"/>
              <w:spacing w:before="60" w:after="60"/>
              <w:jc w:val="center"/>
              <w:rPr>
                <w:rFonts w:ascii="Times New Roman" w:hAnsi="Times New Roman"/>
                <w:b/>
                <w:lang w:val="en-AU"/>
              </w:rPr>
            </w:pPr>
            <w:r w:rsidRPr="00CC0663">
              <w:rPr>
                <w:rFonts w:ascii="Times New Roman" w:hAnsi="Times New Roman"/>
                <w:b/>
                <w:lang w:val="en-AU"/>
              </w:rPr>
              <w:t>CTC Grade 3 and above</w:t>
            </w:r>
          </w:p>
        </w:tc>
      </w:tr>
      <w:tr w:rsidR="00776DA2" w:rsidRPr="00057C4C" w:rsidTr="00073C62">
        <w:tc>
          <w:tcPr>
            <w:tcW w:w="1666" w:type="pct"/>
            <w:vMerge/>
            <w:tcBorders>
              <w:left w:val="single" w:sz="4" w:space="0" w:color="auto"/>
              <w:bottom w:val="single" w:sz="4" w:space="0" w:color="auto"/>
              <w:right w:val="single" w:sz="4" w:space="0" w:color="auto"/>
            </w:tcBorders>
            <w:shd w:val="clear" w:color="auto" w:fill="D9D9D9"/>
          </w:tcPr>
          <w:p w:rsidR="00776DA2" w:rsidRPr="00CC0663" w:rsidRDefault="00776DA2" w:rsidP="00073C62">
            <w:pPr>
              <w:pStyle w:val="Table0"/>
              <w:spacing w:before="60" w:after="60"/>
              <w:rPr>
                <w:rFonts w:ascii="Times New Roman" w:hAnsi="Times New Roman"/>
                <w:b/>
                <w:lang w:val="en-AU"/>
              </w:rPr>
            </w:pPr>
          </w:p>
        </w:tc>
        <w:tc>
          <w:tcPr>
            <w:tcW w:w="841" w:type="pct"/>
            <w:tcBorders>
              <w:top w:val="single" w:sz="4" w:space="0" w:color="auto"/>
              <w:left w:val="single" w:sz="4" w:space="0" w:color="auto"/>
              <w:bottom w:val="single" w:sz="4" w:space="0" w:color="auto"/>
              <w:right w:val="single" w:sz="4" w:space="0" w:color="auto"/>
            </w:tcBorders>
            <w:shd w:val="clear" w:color="auto" w:fill="D9D9D9"/>
          </w:tcPr>
          <w:p w:rsidR="00776DA2" w:rsidRPr="00CC0663" w:rsidRDefault="00776DA2" w:rsidP="00073C62">
            <w:pPr>
              <w:pStyle w:val="Table0"/>
              <w:spacing w:before="60" w:after="60"/>
              <w:jc w:val="center"/>
              <w:rPr>
                <w:rFonts w:ascii="Times New Roman" w:hAnsi="Times New Roman"/>
                <w:b/>
                <w:lang w:val="en-AU"/>
              </w:rPr>
            </w:pPr>
            <w:r w:rsidRPr="00CC0663">
              <w:rPr>
                <w:rFonts w:ascii="Times New Roman" w:hAnsi="Times New Roman"/>
                <w:b/>
                <w:lang w:val="en-AU"/>
              </w:rPr>
              <w:t>Glivec</w:t>
            </w:r>
          </w:p>
          <w:p w:rsidR="00776DA2" w:rsidRPr="00CC0663" w:rsidRDefault="00DD2067" w:rsidP="00073C62">
            <w:pPr>
              <w:pStyle w:val="Table0"/>
              <w:spacing w:before="60" w:after="60"/>
              <w:jc w:val="center"/>
              <w:rPr>
                <w:rFonts w:ascii="Times New Roman" w:hAnsi="Times New Roman"/>
                <w:b/>
                <w:lang w:val="en-AU"/>
              </w:rPr>
            </w:pPr>
            <w:r w:rsidRPr="00CC0663">
              <w:rPr>
                <w:rFonts w:ascii="Times New Roman" w:hAnsi="Times New Roman"/>
                <w:b/>
                <w:lang w:val="en-AU"/>
              </w:rPr>
              <w:t>(N</w:t>
            </w:r>
            <w:r w:rsidR="00776DA2" w:rsidRPr="00CC0663">
              <w:rPr>
                <w:rFonts w:ascii="Times New Roman" w:hAnsi="Times New Roman"/>
                <w:b/>
                <w:lang w:val="en-AU"/>
              </w:rPr>
              <w:t>=337)</w:t>
            </w:r>
          </w:p>
        </w:tc>
        <w:tc>
          <w:tcPr>
            <w:tcW w:w="735" w:type="pct"/>
            <w:tcBorders>
              <w:top w:val="single" w:sz="4" w:space="0" w:color="auto"/>
              <w:left w:val="single" w:sz="4" w:space="0" w:color="auto"/>
              <w:bottom w:val="single" w:sz="4" w:space="0" w:color="auto"/>
              <w:right w:val="single" w:sz="4" w:space="0" w:color="auto"/>
            </w:tcBorders>
            <w:shd w:val="clear" w:color="auto" w:fill="D9D9D9"/>
          </w:tcPr>
          <w:p w:rsidR="00776DA2" w:rsidRPr="00CC0663" w:rsidRDefault="00776DA2" w:rsidP="00073C62">
            <w:pPr>
              <w:pStyle w:val="Table0"/>
              <w:spacing w:before="60" w:after="60"/>
              <w:jc w:val="center"/>
              <w:rPr>
                <w:rFonts w:ascii="Times New Roman" w:hAnsi="Times New Roman"/>
                <w:b/>
                <w:lang w:val="en-AU"/>
              </w:rPr>
            </w:pPr>
            <w:r w:rsidRPr="00CC0663">
              <w:rPr>
                <w:rFonts w:ascii="Times New Roman" w:hAnsi="Times New Roman"/>
                <w:b/>
                <w:lang w:val="en-AU"/>
              </w:rPr>
              <w:t>Placebo</w:t>
            </w:r>
          </w:p>
          <w:p w:rsidR="00776DA2" w:rsidRPr="00CC0663" w:rsidRDefault="00776DA2" w:rsidP="00073C62">
            <w:pPr>
              <w:pStyle w:val="Table0"/>
              <w:spacing w:before="60" w:after="60"/>
              <w:jc w:val="center"/>
              <w:rPr>
                <w:rFonts w:ascii="Times New Roman" w:hAnsi="Times New Roman"/>
                <w:b/>
                <w:lang w:val="en-AU"/>
              </w:rPr>
            </w:pPr>
            <w:r w:rsidRPr="00CC0663">
              <w:rPr>
                <w:rFonts w:ascii="Times New Roman" w:hAnsi="Times New Roman"/>
                <w:b/>
                <w:lang w:val="en-AU"/>
              </w:rPr>
              <w:t>(</w:t>
            </w:r>
            <w:r w:rsidR="00DD2067" w:rsidRPr="00CC0663">
              <w:rPr>
                <w:rFonts w:ascii="Times New Roman" w:hAnsi="Times New Roman"/>
                <w:b/>
                <w:lang w:val="en-AU"/>
              </w:rPr>
              <w:t>N</w:t>
            </w:r>
            <w:r w:rsidRPr="00CC0663">
              <w:rPr>
                <w:rFonts w:ascii="Times New Roman" w:hAnsi="Times New Roman"/>
                <w:b/>
                <w:lang w:val="en-AU"/>
              </w:rPr>
              <w:t>=345)</w:t>
            </w:r>
          </w:p>
        </w:tc>
        <w:tc>
          <w:tcPr>
            <w:tcW w:w="820" w:type="pct"/>
            <w:tcBorders>
              <w:top w:val="single" w:sz="4" w:space="0" w:color="auto"/>
              <w:left w:val="single" w:sz="4" w:space="0" w:color="auto"/>
              <w:bottom w:val="single" w:sz="4" w:space="0" w:color="auto"/>
              <w:right w:val="single" w:sz="4" w:space="0" w:color="auto"/>
            </w:tcBorders>
            <w:shd w:val="clear" w:color="auto" w:fill="D9D9D9"/>
          </w:tcPr>
          <w:p w:rsidR="00776DA2" w:rsidRPr="00CC0663" w:rsidRDefault="00776DA2" w:rsidP="00073C62">
            <w:pPr>
              <w:pStyle w:val="Table0"/>
              <w:spacing w:before="60" w:after="60"/>
              <w:jc w:val="center"/>
              <w:rPr>
                <w:rFonts w:ascii="Times New Roman" w:hAnsi="Times New Roman"/>
                <w:b/>
                <w:lang w:val="en-AU"/>
              </w:rPr>
            </w:pPr>
            <w:r w:rsidRPr="00CC0663">
              <w:rPr>
                <w:rFonts w:ascii="Times New Roman" w:hAnsi="Times New Roman"/>
                <w:b/>
                <w:lang w:val="en-AU"/>
              </w:rPr>
              <w:t>Glivec</w:t>
            </w:r>
          </w:p>
          <w:p w:rsidR="00776DA2" w:rsidRPr="00CC0663" w:rsidRDefault="00776DA2" w:rsidP="00073C62">
            <w:pPr>
              <w:pStyle w:val="Table0"/>
              <w:spacing w:before="60" w:after="60"/>
              <w:jc w:val="center"/>
              <w:rPr>
                <w:rFonts w:ascii="Times New Roman" w:hAnsi="Times New Roman"/>
                <w:b/>
                <w:lang w:val="en-AU"/>
              </w:rPr>
            </w:pPr>
            <w:r w:rsidRPr="00CC0663">
              <w:rPr>
                <w:rFonts w:ascii="Times New Roman" w:hAnsi="Times New Roman"/>
                <w:b/>
                <w:lang w:val="en-AU"/>
              </w:rPr>
              <w:t>(</w:t>
            </w:r>
            <w:r w:rsidR="00DD2067" w:rsidRPr="00CC0663">
              <w:rPr>
                <w:rFonts w:ascii="Times New Roman" w:hAnsi="Times New Roman"/>
                <w:b/>
                <w:lang w:val="en-AU"/>
              </w:rPr>
              <w:t>N</w:t>
            </w:r>
            <w:r w:rsidRPr="00CC0663">
              <w:rPr>
                <w:rFonts w:ascii="Times New Roman" w:hAnsi="Times New Roman"/>
                <w:b/>
                <w:lang w:val="en-AU"/>
              </w:rPr>
              <w:t>=337)</w:t>
            </w:r>
          </w:p>
        </w:tc>
        <w:tc>
          <w:tcPr>
            <w:tcW w:w="938" w:type="pct"/>
            <w:tcBorders>
              <w:top w:val="single" w:sz="4" w:space="0" w:color="auto"/>
              <w:left w:val="single" w:sz="4" w:space="0" w:color="auto"/>
              <w:bottom w:val="single" w:sz="4" w:space="0" w:color="auto"/>
              <w:right w:val="single" w:sz="4" w:space="0" w:color="auto"/>
            </w:tcBorders>
            <w:shd w:val="clear" w:color="auto" w:fill="D9D9D9"/>
          </w:tcPr>
          <w:p w:rsidR="00776DA2" w:rsidRPr="00CC0663" w:rsidRDefault="00776DA2" w:rsidP="00073C62">
            <w:pPr>
              <w:pStyle w:val="Table0"/>
              <w:spacing w:before="60" w:after="60"/>
              <w:jc w:val="center"/>
              <w:rPr>
                <w:rFonts w:ascii="Times New Roman" w:hAnsi="Times New Roman"/>
                <w:b/>
                <w:lang w:val="en-AU"/>
              </w:rPr>
            </w:pPr>
            <w:r w:rsidRPr="00CC0663">
              <w:rPr>
                <w:rFonts w:ascii="Times New Roman" w:hAnsi="Times New Roman"/>
                <w:b/>
                <w:lang w:val="en-AU"/>
              </w:rPr>
              <w:t>Placebo</w:t>
            </w:r>
          </w:p>
          <w:p w:rsidR="00776DA2" w:rsidRPr="00CC0663" w:rsidRDefault="00776DA2" w:rsidP="00073C62">
            <w:pPr>
              <w:pStyle w:val="Table0"/>
              <w:spacing w:before="60" w:after="60"/>
              <w:jc w:val="center"/>
              <w:rPr>
                <w:rFonts w:ascii="Times New Roman" w:hAnsi="Times New Roman"/>
                <w:b/>
                <w:lang w:val="en-AU"/>
              </w:rPr>
            </w:pPr>
            <w:r w:rsidRPr="00CC0663">
              <w:rPr>
                <w:rFonts w:ascii="Times New Roman" w:hAnsi="Times New Roman"/>
                <w:b/>
                <w:lang w:val="en-AU"/>
              </w:rPr>
              <w:t>(</w:t>
            </w:r>
            <w:r w:rsidR="00DD2067" w:rsidRPr="00CC0663">
              <w:rPr>
                <w:rFonts w:ascii="Times New Roman" w:hAnsi="Times New Roman"/>
                <w:b/>
                <w:lang w:val="en-AU"/>
              </w:rPr>
              <w:t>N</w:t>
            </w:r>
            <w:r w:rsidRPr="00CC0663">
              <w:rPr>
                <w:rFonts w:ascii="Times New Roman" w:hAnsi="Times New Roman"/>
                <w:b/>
                <w:lang w:val="en-AU"/>
              </w:rPr>
              <w:t>=345)</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shd w:val="clear" w:color="auto" w:fill="D9D9D9"/>
          </w:tcPr>
          <w:p w:rsidR="00FB35D9" w:rsidRPr="00CC0663" w:rsidRDefault="00FB35D9" w:rsidP="00073C62">
            <w:pPr>
              <w:pStyle w:val="Table0"/>
              <w:spacing w:before="60" w:after="60"/>
              <w:rPr>
                <w:rFonts w:ascii="Times New Roman" w:hAnsi="Times New Roman"/>
                <w:b/>
                <w:lang w:val="en-AU"/>
              </w:rPr>
            </w:pPr>
            <w:r w:rsidRPr="00CC0663">
              <w:rPr>
                <w:rFonts w:ascii="Times New Roman" w:hAnsi="Times New Roman"/>
                <w:b/>
                <w:lang w:val="en-AU"/>
              </w:rPr>
              <w:t>Preferred Term</w:t>
            </w:r>
          </w:p>
        </w:tc>
        <w:tc>
          <w:tcPr>
            <w:tcW w:w="841" w:type="pct"/>
            <w:tcBorders>
              <w:top w:val="single" w:sz="4" w:space="0" w:color="auto"/>
              <w:left w:val="single" w:sz="4" w:space="0" w:color="auto"/>
              <w:bottom w:val="single" w:sz="4" w:space="0" w:color="auto"/>
              <w:right w:val="single" w:sz="4" w:space="0" w:color="auto"/>
            </w:tcBorders>
            <w:shd w:val="clear" w:color="auto" w:fill="D9D9D9"/>
          </w:tcPr>
          <w:p w:rsidR="00FB35D9" w:rsidRPr="00CC0663" w:rsidRDefault="00FB35D9" w:rsidP="00073C62">
            <w:pPr>
              <w:pStyle w:val="Table0"/>
              <w:spacing w:before="60" w:after="60"/>
              <w:jc w:val="center"/>
              <w:rPr>
                <w:rFonts w:ascii="Times New Roman" w:hAnsi="Times New Roman"/>
                <w:b/>
                <w:lang w:val="en-AU"/>
              </w:rPr>
            </w:pPr>
            <w:r w:rsidRPr="00CC0663">
              <w:rPr>
                <w:rFonts w:ascii="Times New Roman" w:hAnsi="Times New Roman"/>
                <w:b/>
                <w:lang w:val="en-AU"/>
              </w:rPr>
              <w:t>%</w:t>
            </w:r>
          </w:p>
        </w:tc>
        <w:tc>
          <w:tcPr>
            <w:tcW w:w="735" w:type="pct"/>
            <w:tcBorders>
              <w:top w:val="single" w:sz="4" w:space="0" w:color="auto"/>
              <w:left w:val="single" w:sz="4" w:space="0" w:color="auto"/>
              <w:bottom w:val="single" w:sz="4" w:space="0" w:color="auto"/>
              <w:right w:val="single" w:sz="4" w:space="0" w:color="auto"/>
            </w:tcBorders>
            <w:shd w:val="clear" w:color="auto" w:fill="D9D9D9"/>
          </w:tcPr>
          <w:p w:rsidR="00FB35D9" w:rsidRPr="00CC0663" w:rsidRDefault="00FB35D9" w:rsidP="00073C62">
            <w:pPr>
              <w:pStyle w:val="Table0"/>
              <w:spacing w:before="60" w:after="60"/>
              <w:jc w:val="center"/>
              <w:rPr>
                <w:rFonts w:ascii="Times New Roman" w:hAnsi="Times New Roman"/>
                <w:b/>
                <w:lang w:val="en-AU"/>
              </w:rPr>
            </w:pPr>
            <w:r w:rsidRPr="00CC0663">
              <w:rPr>
                <w:rFonts w:ascii="Times New Roman" w:hAnsi="Times New Roman"/>
                <w:b/>
                <w:lang w:val="en-AU"/>
              </w:rPr>
              <w:t>%</w:t>
            </w:r>
          </w:p>
        </w:tc>
        <w:tc>
          <w:tcPr>
            <w:tcW w:w="820" w:type="pct"/>
            <w:tcBorders>
              <w:top w:val="single" w:sz="4" w:space="0" w:color="auto"/>
              <w:left w:val="single" w:sz="4" w:space="0" w:color="auto"/>
              <w:bottom w:val="single" w:sz="4" w:space="0" w:color="auto"/>
              <w:right w:val="single" w:sz="4" w:space="0" w:color="auto"/>
            </w:tcBorders>
            <w:shd w:val="clear" w:color="auto" w:fill="D9D9D9"/>
          </w:tcPr>
          <w:p w:rsidR="00FB35D9" w:rsidRPr="00CC0663" w:rsidRDefault="00FB35D9" w:rsidP="00073C62">
            <w:pPr>
              <w:pStyle w:val="Table0"/>
              <w:spacing w:before="60" w:after="60"/>
              <w:jc w:val="center"/>
              <w:rPr>
                <w:rFonts w:ascii="Times New Roman" w:hAnsi="Times New Roman"/>
                <w:b/>
                <w:lang w:val="en-AU"/>
              </w:rPr>
            </w:pPr>
            <w:r w:rsidRPr="00CC0663">
              <w:rPr>
                <w:rFonts w:ascii="Times New Roman" w:hAnsi="Times New Roman"/>
                <w:b/>
                <w:lang w:val="en-AU"/>
              </w:rPr>
              <w:t>%</w:t>
            </w:r>
          </w:p>
        </w:tc>
        <w:tc>
          <w:tcPr>
            <w:tcW w:w="938" w:type="pct"/>
            <w:tcBorders>
              <w:top w:val="single" w:sz="4" w:space="0" w:color="auto"/>
              <w:left w:val="single" w:sz="4" w:space="0" w:color="auto"/>
              <w:bottom w:val="single" w:sz="4" w:space="0" w:color="auto"/>
              <w:right w:val="single" w:sz="4" w:space="0" w:color="auto"/>
            </w:tcBorders>
            <w:shd w:val="clear" w:color="auto" w:fill="D9D9D9"/>
          </w:tcPr>
          <w:p w:rsidR="00FB35D9" w:rsidRPr="00CC0663" w:rsidRDefault="00FB35D9" w:rsidP="00073C62">
            <w:pPr>
              <w:pStyle w:val="Table0"/>
              <w:spacing w:before="60" w:after="60"/>
              <w:jc w:val="center"/>
              <w:rPr>
                <w:rFonts w:ascii="Times New Roman" w:hAnsi="Times New Roman"/>
                <w:b/>
                <w:lang w:val="en-AU"/>
              </w:rPr>
            </w:pPr>
            <w:r w:rsidRPr="00CC0663">
              <w:rPr>
                <w:rFonts w:ascii="Times New Roman" w:hAnsi="Times New Roman"/>
                <w:b/>
                <w:lang w:val="en-AU"/>
              </w:rPr>
              <w:t>%</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32577E" w:rsidP="00073C62">
            <w:pPr>
              <w:pStyle w:val="Table0"/>
              <w:spacing w:before="60" w:after="60"/>
              <w:rPr>
                <w:rFonts w:ascii="Times New Roman" w:hAnsi="Times New Roman"/>
                <w:lang w:val="en-AU"/>
              </w:rPr>
            </w:pPr>
            <w:r w:rsidRPr="00CC0663">
              <w:rPr>
                <w:rFonts w:ascii="Times New Roman" w:hAnsi="Times New Roman"/>
                <w:lang w:val="en-AU"/>
              </w:rPr>
              <w:t>Diarrhoea</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59.3</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29.3</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3.0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1.4</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Fatigue</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57.0</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40.9</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2.1</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1.2</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Nausea</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53.1</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27.8</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2.4</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1.2</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 xml:space="preserve">Periorbital </w:t>
            </w:r>
            <w:r w:rsidR="0032577E" w:rsidRPr="00CC0663">
              <w:rPr>
                <w:rFonts w:ascii="Times New Roman" w:hAnsi="Times New Roman"/>
                <w:lang w:val="en-AU"/>
              </w:rPr>
              <w:t>Oedema</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47.2</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14.5</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1.2</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32577E" w:rsidP="00073C62">
            <w:pPr>
              <w:pStyle w:val="Table0"/>
              <w:spacing w:before="60" w:after="60"/>
              <w:rPr>
                <w:rFonts w:ascii="Times New Roman" w:hAnsi="Times New Roman"/>
                <w:lang w:val="en-AU"/>
              </w:rPr>
            </w:pPr>
            <w:r w:rsidRPr="00CC0663">
              <w:rPr>
                <w:rFonts w:ascii="Times New Roman" w:hAnsi="Times New Roman"/>
                <w:lang w:val="en-AU"/>
              </w:rPr>
              <w:t>Haemoglobin</w:t>
            </w:r>
            <w:r w:rsidR="00FB35D9" w:rsidRPr="00CC0663">
              <w:rPr>
                <w:rFonts w:ascii="Times New Roman" w:hAnsi="Times New Roman"/>
                <w:lang w:val="en-AU"/>
              </w:rPr>
              <w:t xml:space="preserve"> Decreased</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46.9</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27.0</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0.6</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 xml:space="preserve">Peripheral </w:t>
            </w:r>
            <w:r w:rsidR="0032577E" w:rsidRPr="00CC0663">
              <w:rPr>
                <w:rFonts w:ascii="Times New Roman" w:hAnsi="Times New Roman"/>
                <w:lang w:val="en-AU"/>
              </w:rPr>
              <w:t>Oedema</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26.7</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14.8</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0.3</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Rash (Exfoliative)</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26.1</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12.8</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2.7</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Vomiting</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25.5</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13.9</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2.4</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0.6</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Abdominal Pain</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21.1</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22.3</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3.0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1.4</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Headache</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19.3</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20.3</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0.6</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Dyspepsia</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17.2</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13.0</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0.9</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Anorexia</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16.9</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8.7</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0.3</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Weight Increased</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16.9</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11.6</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0.3</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Liver enzymes (ALT) Increased</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16.6</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13.0</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2.7</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Muscle spasms</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16.3</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3.3</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Neutrophil Count Decreased</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16.0</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6.1</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3.3</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0.9</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Arthralgia</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15.1</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14.5</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0.3</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White blood cell count decreased</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14.5</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4.3</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0.6</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0.3</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Constipation</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12.8</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17.7</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0.3</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Dizziness</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12.5</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10.7</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0.3</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Liver Enzymes (AST) Increased</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12.2</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7.5</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2.1</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Myalgia</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12.2</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11.6</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0.3</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Blood Creatinine Increased</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11.6</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5.8</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0.3</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Cough</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11.0</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11.3</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Pruritus</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11.0</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7.8</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0.9</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776DA2" w:rsidRPr="00057C4C" w:rsidTr="00073C62">
        <w:tc>
          <w:tcPr>
            <w:tcW w:w="1666"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rPr>
                <w:rFonts w:ascii="Times New Roman" w:hAnsi="Times New Roman"/>
                <w:lang w:val="en-AU"/>
              </w:rPr>
            </w:pPr>
            <w:r w:rsidRPr="00CC0663">
              <w:rPr>
                <w:rFonts w:ascii="Times New Roman" w:hAnsi="Times New Roman"/>
                <w:lang w:val="en-AU"/>
              </w:rPr>
              <w:t>Weight Decreased</w:t>
            </w:r>
          </w:p>
        </w:tc>
        <w:tc>
          <w:tcPr>
            <w:tcW w:w="841"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10.1</w:t>
            </w:r>
          </w:p>
        </w:tc>
        <w:tc>
          <w:tcPr>
            <w:tcW w:w="735"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5.2</w:t>
            </w:r>
          </w:p>
        </w:tc>
        <w:tc>
          <w:tcPr>
            <w:tcW w:w="820"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c>
          <w:tcPr>
            <w:tcW w:w="938" w:type="pct"/>
            <w:tcBorders>
              <w:top w:val="single" w:sz="4" w:space="0" w:color="auto"/>
              <w:left w:val="single" w:sz="4" w:space="0" w:color="auto"/>
              <w:bottom w:val="single" w:sz="4" w:space="0" w:color="auto"/>
              <w:right w:val="single" w:sz="4" w:space="0" w:color="auto"/>
            </w:tcBorders>
          </w:tcPr>
          <w:p w:rsidR="00FB35D9" w:rsidRPr="00CC0663" w:rsidRDefault="00FB35D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FB35D9" w:rsidRPr="00E856D9" w:rsidTr="00073C62">
        <w:tc>
          <w:tcPr>
            <w:tcW w:w="5000" w:type="pct"/>
            <w:gridSpan w:val="5"/>
            <w:tcBorders>
              <w:top w:val="single" w:sz="4" w:space="0" w:color="auto"/>
              <w:left w:val="single" w:sz="4" w:space="0" w:color="auto"/>
              <w:bottom w:val="single" w:sz="4" w:space="0" w:color="auto"/>
              <w:right w:val="single" w:sz="4" w:space="0" w:color="auto"/>
            </w:tcBorders>
          </w:tcPr>
          <w:p w:rsidR="00FB35D9" w:rsidRPr="00CC0663" w:rsidRDefault="00FB35D9" w:rsidP="00787273">
            <w:pPr>
              <w:pStyle w:val="Table0"/>
              <w:tabs>
                <w:tab w:val="clear" w:pos="284"/>
                <w:tab w:val="left" w:pos="180"/>
              </w:tabs>
              <w:spacing w:before="60" w:after="60"/>
              <w:ind w:left="180" w:hanging="180"/>
              <w:rPr>
                <w:rFonts w:ascii="Times New Roman" w:hAnsi="Times New Roman"/>
                <w:lang w:val="en-AU"/>
              </w:rPr>
            </w:pPr>
            <w:r w:rsidRPr="00CC0663">
              <w:rPr>
                <w:rFonts w:ascii="Times New Roman" w:hAnsi="Times New Roman"/>
                <w:vertAlign w:val="superscript"/>
                <w:lang w:val="en-AU"/>
              </w:rPr>
              <w:t>1</w:t>
            </w:r>
            <w:r w:rsidRPr="00CC0663">
              <w:rPr>
                <w:rFonts w:ascii="Times New Roman" w:hAnsi="Times New Roman"/>
                <w:vertAlign w:val="superscript"/>
                <w:lang w:val="en-AU"/>
              </w:rPr>
              <w:tab/>
            </w:r>
            <w:r w:rsidRPr="00CC0663">
              <w:rPr>
                <w:rFonts w:ascii="Times New Roman" w:hAnsi="Times New Roman"/>
                <w:lang w:val="en-AU"/>
              </w:rPr>
              <w:t xml:space="preserve">All adverse </w:t>
            </w:r>
            <w:r w:rsidR="00787273" w:rsidRPr="00CC0663">
              <w:rPr>
                <w:rFonts w:ascii="Times New Roman" w:hAnsi="Times New Roman"/>
                <w:lang w:val="en-AU"/>
              </w:rPr>
              <w:t xml:space="preserve">events </w:t>
            </w:r>
            <w:r w:rsidRPr="00CC0663">
              <w:rPr>
                <w:rFonts w:ascii="Times New Roman" w:hAnsi="Times New Roman"/>
                <w:lang w:val="en-AU"/>
              </w:rPr>
              <w:t xml:space="preserve">occurring in ≥10% of patients are listed regardless of suspected relationship to treatment. </w:t>
            </w:r>
            <w:r w:rsidR="00776DA2" w:rsidRPr="00CC0663">
              <w:rPr>
                <w:rFonts w:ascii="Times New Roman" w:hAnsi="Times New Roman"/>
                <w:lang w:val="en-AU"/>
              </w:rPr>
              <w:br/>
            </w:r>
            <w:r w:rsidRPr="00CC0663">
              <w:rPr>
                <w:rFonts w:ascii="Times New Roman" w:hAnsi="Times New Roman"/>
                <w:lang w:val="en-AU"/>
              </w:rPr>
              <w:t xml:space="preserve">A patient with multiple occurrences of an adverse </w:t>
            </w:r>
            <w:r w:rsidR="00787273" w:rsidRPr="00CC0663">
              <w:rPr>
                <w:rFonts w:ascii="Times New Roman" w:hAnsi="Times New Roman"/>
                <w:lang w:val="en-AU"/>
              </w:rPr>
              <w:t xml:space="preserve">event </w:t>
            </w:r>
            <w:r w:rsidRPr="00CC0663">
              <w:rPr>
                <w:rFonts w:ascii="Times New Roman" w:hAnsi="Times New Roman"/>
                <w:lang w:val="en-AU"/>
              </w:rPr>
              <w:t xml:space="preserve">is counted only once in the adverse </w:t>
            </w:r>
            <w:r w:rsidR="00787273" w:rsidRPr="00CC0663">
              <w:rPr>
                <w:rFonts w:ascii="Times New Roman" w:hAnsi="Times New Roman"/>
                <w:lang w:val="en-AU"/>
              </w:rPr>
              <w:t xml:space="preserve">event </w:t>
            </w:r>
            <w:r w:rsidRPr="00CC0663">
              <w:rPr>
                <w:rFonts w:ascii="Times New Roman" w:hAnsi="Times New Roman"/>
                <w:lang w:val="en-AU"/>
              </w:rPr>
              <w:t>category.</w:t>
            </w:r>
          </w:p>
        </w:tc>
      </w:tr>
    </w:tbl>
    <w:p w:rsidR="00787273" w:rsidRPr="00E856D9" w:rsidRDefault="00787273" w:rsidP="00787273">
      <w:pPr>
        <w:spacing w:before="120" w:after="120"/>
      </w:pPr>
      <w:r w:rsidRPr="00E856D9">
        <w:t xml:space="preserve">The adjuvant trial SSG XVIII/AIO compared 1 year and 3 years Glivec treatment.  Table 16 shows adverse </w:t>
      </w:r>
      <w:r w:rsidR="00025F69">
        <w:t>events</w:t>
      </w:r>
      <w:r w:rsidRPr="00E856D9">
        <w:t>, regardless of relationship to study drug, that were reported in at least 5% of patients treated with Glivec.</w:t>
      </w:r>
    </w:p>
    <w:p w:rsidR="00787273" w:rsidRPr="00E856D9" w:rsidRDefault="00787273" w:rsidP="00787273">
      <w:pPr>
        <w:spacing w:before="120" w:after="120"/>
      </w:pPr>
      <w:r w:rsidRPr="00E856D9">
        <w:t xml:space="preserve">There was a higher incidence of severe (Grade 3-4) and serious adverse events in the 3-year group than the 1-year group but this was expected because of the longer duration of treatment.  Discontinuations due to adverse </w:t>
      </w:r>
      <w:r w:rsidR="00025F69">
        <w:t>events</w:t>
      </w:r>
      <w:r w:rsidRPr="00E856D9">
        <w:t xml:space="preserve"> were also greater in the 3-year group (13.6%) than the 1-year group (7.7%).</w:t>
      </w:r>
    </w:p>
    <w:p w:rsidR="009E7387" w:rsidRPr="00E856D9" w:rsidRDefault="00787273" w:rsidP="00787273">
      <w:pPr>
        <w:spacing w:before="120" w:after="120"/>
      </w:pPr>
      <w:r w:rsidRPr="00E856D9">
        <w:lastRenderedPageBreak/>
        <w:t>Adverse events were generally consistent with the known safety profile of Glivec.  There was insufficient data to assess long-term safety.</w:t>
      </w:r>
    </w:p>
    <w:p w:rsidR="009E7387" w:rsidRPr="00E856D9" w:rsidRDefault="009E7387" w:rsidP="009E7387">
      <w:pPr>
        <w:jc w:val="center"/>
        <w:rPr>
          <w:b/>
        </w:rPr>
      </w:pPr>
      <w:r w:rsidRPr="00E856D9">
        <w:rPr>
          <w:b/>
        </w:rPr>
        <w:t xml:space="preserve">Table 16 Adverse </w:t>
      </w:r>
      <w:r w:rsidR="00025F69">
        <w:rPr>
          <w:b/>
        </w:rPr>
        <w:t>Events</w:t>
      </w:r>
      <w:r w:rsidR="00025F69" w:rsidRPr="00E856D9">
        <w:rPr>
          <w:b/>
        </w:rPr>
        <w:t xml:space="preserve"> </w:t>
      </w:r>
      <w:r w:rsidRPr="00E856D9">
        <w:rPr>
          <w:b/>
        </w:rPr>
        <w:t xml:space="preserve">Regardless of Relationship to Study Drug by Preferred Term All Grades and 3/4 Grades (≥5% of Glivec Treated Patients) SSG XVIII/AIO </w:t>
      </w:r>
      <w:proofErr w:type="gramStart"/>
      <w:r w:rsidRPr="00E856D9">
        <w:rPr>
          <w:b/>
        </w:rPr>
        <w:t>Trial(</w:t>
      </w:r>
      <w:proofErr w:type="gramEnd"/>
      <w:r w:rsidRPr="00E856D9">
        <w:rPr>
          <w:b/>
        </w:rPr>
        <w:t>1)</w:t>
      </w:r>
    </w:p>
    <w:tbl>
      <w:tblPr>
        <w:tblW w:w="9639" w:type="dxa"/>
        <w:tblLayout w:type="fixed"/>
        <w:tblCellMar>
          <w:left w:w="60" w:type="dxa"/>
          <w:right w:w="60" w:type="dxa"/>
        </w:tblCellMar>
        <w:tblLook w:val="0000"/>
      </w:tblPr>
      <w:tblGrid>
        <w:gridCol w:w="3578"/>
        <w:gridCol w:w="1559"/>
        <w:gridCol w:w="1562"/>
        <w:gridCol w:w="1509"/>
        <w:gridCol w:w="1431"/>
      </w:tblGrid>
      <w:tr w:rsidR="009E7387" w:rsidRPr="00E856D9" w:rsidTr="009E7387">
        <w:trPr>
          <w:cantSplit/>
          <w:tblHeader/>
        </w:trPr>
        <w:tc>
          <w:tcPr>
            <w:tcW w:w="3578" w:type="dxa"/>
            <w:tcBorders>
              <w:top w:val="single" w:sz="6" w:space="0" w:color="000000"/>
              <w:left w:val="nil"/>
              <w:bottom w:val="nil"/>
              <w:right w:val="nil"/>
            </w:tcBorders>
            <w:shd w:val="clear" w:color="auto" w:fill="FFFFFF"/>
            <w:vAlign w:val="bottom"/>
          </w:tcPr>
          <w:p w:rsidR="009E7387" w:rsidRPr="00E856D9" w:rsidRDefault="009E7387" w:rsidP="009E7387">
            <w:pPr>
              <w:rPr>
                <w:rFonts w:ascii="Sabon" w:hAnsi="Sabon" w:cs="TimesNewRomanPSMT"/>
                <w:b/>
                <w:szCs w:val="24"/>
              </w:rPr>
            </w:pPr>
            <w:r w:rsidRPr="00E856D9">
              <w:rPr>
                <w:rFonts w:ascii="Sabon" w:hAnsi="Sabon" w:cs="TimesNewRomanPSMT"/>
                <w:b/>
                <w:szCs w:val="24"/>
              </w:rPr>
              <w:t>Preferred Term</w:t>
            </w:r>
          </w:p>
        </w:tc>
        <w:tc>
          <w:tcPr>
            <w:tcW w:w="3121" w:type="dxa"/>
            <w:gridSpan w:val="2"/>
            <w:tcBorders>
              <w:top w:val="single" w:sz="6" w:space="0" w:color="000000"/>
              <w:left w:val="nil"/>
              <w:bottom w:val="nil"/>
              <w:right w:val="nil"/>
            </w:tcBorders>
            <w:shd w:val="clear" w:color="auto" w:fill="FFFFFF"/>
            <w:vAlign w:val="bottom"/>
          </w:tcPr>
          <w:p w:rsidR="009E7387" w:rsidRPr="00E856D9" w:rsidRDefault="009E7387" w:rsidP="009E7387">
            <w:pPr>
              <w:rPr>
                <w:rFonts w:ascii="Sabon" w:hAnsi="Sabon" w:cs="TimesNewRomanPSMT"/>
                <w:b/>
                <w:szCs w:val="24"/>
              </w:rPr>
            </w:pPr>
            <w:r w:rsidRPr="00E856D9">
              <w:rPr>
                <w:rFonts w:ascii="Sabon" w:hAnsi="Sabon" w:cs="TimesNewRomanPSMT"/>
                <w:b/>
                <w:szCs w:val="24"/>
              </w:rPr>
              <w:t>All CTC Grades</w:t>
            </w:r>
          </w:p>
        </w:tc>
        <w:tc>
          <w:tcPr>
            <w:tcW w:w="2940" w:type="dxa"/>
            <w:gridSpan w:val="2"/>
            <w:tcBorders>
              <w:top w:val="single" w:sz="6" w:space="0" w:color="000000"/>
              <w:left w:val="nil"/>
              <w:bottom w:val="nil"/>
              <w:right w:val="nil"/>
            </w:tcBorders>
            <w:shd w:val="clear" w:color="auto" w:fill="FFFFFF"/>
            <w:vAlign w:val="bottom"/>
          </w:tcPr>
          <w:p w:rsidR="009E7387" w:rsidRPr="00E856D9" w:rsidRDefault="009E7387" w:rsidP="009E7387">
            <w:pPr>
              <w:rPr>
                <w:rFonts w:ascii="Sabon" w:hAnsi="Sabon" w:cs="TimesNewRomanPSMT"/>
                <w:b/>
                <w:szCs w:val="24"/>
              </w:rPr>
            </w:pPr>
            <w:r w:rsidRPr="00E856D9">
              <w:rPr>
                <w:rFonts w:ascii="Sabon" w:hAnsi="Sabon" w:cs="TimesNewRomanPSMT"/>
                <w:b/>
                <w:szCs w:val="24"/>
              </w:rPr>
              <w:t>CTC Grades 3 and above</w:t>
            </w:r>
          </w:p>
        </w:tc>
      </w:tr>
      <w:tr w:rsidR="009E7387" w:rsidRPr="000156BC" w:rsidTr="009E7387">
        <w:trPr>
          <w:cantSplit/>
          <w:tblHeader/>
        </w:trPr>
        <w:tc>
          <w:tcPr>
            <w:tcW w:w="3578" w:type="dxa"/>
            <w:tcBorders>
              <w:top w:val="nil"/>
              <w:left w:val="nil"/>
              <w:bottom w:val="single" w:sz="3" w:space="0" w:color="000000"/>
              <w:right w:val="nil"/>
            </w:tcBorders>
            <w:shd w:val="clear" w:color="auto" w:fill="FFFFFF"/>
            <w:vAlign w:val="bottom"/>
          </w:tcPr>
          <w:p w:rsidR="009E7387" w:rsidRPr="00E856D9" w:rsidRDefault="009E7387" w:rsidP="009E7387">
            <w:pPr>
              <w:rPr>
                <w:rFonts w:ascii="Sabon" w:hAnsi="Sabon" w:cs="TimesNewRomanPSMT"/>
                <w:b/>
                <w:szCs w:val="24"/>
              </w:rPr>
            </w:pPr>
          </w:p>
        </w:tc>
        <w:tc>
          <w:tcPr>
            <w:tcW w:w="1559" w:type="dxa"/>
            <w:tcBorders>
              <w:top w:val="nil"/>
              <w:left w:val="nil"/>
              <w:bottom w:val="single" w:sz="3" w:space="0" w:color="000000"/>
              <w:right w:val="nil"/>
            </w:tcBorders>
            <w:shd w:val="clear" w:color="auto" w:fill="FFFFFF"/>
            <w:vAlign w:val="bottom"/>
          </w:tcPr>
          <w:p w:rsidR="009E7387" w:rsidRPr="00E856D9" w:rsidRDefault="00787273" w:rsidP="009E7387">
            <w:pPr>
              <w:rPr>
                <w:rFonts w:ascii="Sabon" w:hAnsi="Sabon" w:cs="TimesNewRomanPSMT"/>
                <w:b/>
                <w:szCs w:val="24"/>
              </w:rPr>
            </w:pPr>
            <w:r w:rsidRPr="00E856D9">
              <w:rPr>
                <w:rFonts w:ascii="Sabon" w:hAnsi="Sabon" w:cs="TimesNewRomanPSMT"/>
                <w:b/>
                <w:szCs w:val="24"/>
              </w:rPr>
              <w:t>Gli</w:t>
            </w:r>
            <w:r w:rsidR="009E7387" w:rsidRPr="00E856D9">
              <w:rPr>
                <w:rFonts w:ascii="Sabon" w:hAnsi="Sabon" w:cs="TimesNewRomanPSMT"/>
                <w:b/>
                <w:szCs w:val="24"/>
              </w:rPr>
              <w:t>vec</w:t>
            </w:r>
          </w:p>
          <w:p w:rsidR="009E7387" w:rsidRPr="00E856D9" w:rsidRDefault="009E7387" w:rsidP="009E7387">
            <w:pPr>
              <w:rPr>
                <w:rFonts w:ascii="Sabon" w:hAnsi="Sabon" w:cs="TimesNewRomanPSMT"/>
                <w:b/>
                <w:szCs w:val="24"/>
              </w:rPr>
            </w:pPr>
            <w:r w:rsidRPr="00E856D9">
              <w:rPr>
                <w:rFonts w:ascii="Sabon" w:hAnsi="Sabon" w:cs="TimesNewRomanPSMT"/>
                <w:b/>
                <w:szCs w:val="24"/>
              </w:rPr>
              <w:t>12 Months</w:t>
            </w:r>
            <w:r w:rsidRPr="00E856D9">
              <w:rPr>
                <w:rFonts w:ascii="Sabon" w:hAnsi="Sabon" w:cs="TimesNewRomanPSMT"/>
                <w:b/>
                <w:szCs w:val="24"/>
              </w:rPr>
              <w:br/>
              <w:t>(N=194)</w:t>
            </w:r>
            <w:r w:rsidRPr="00E856D9">
              <w:rPr>
                <w:rFonts w:ascii="Sabon" w:hAnsi="Sabon" w:cs="TimesNewRomanPSMT"/>
                <w:b/>
                <w:szCs w:val="24"/>
              </w:rPr>
              <w:br/>
              <w:t>%</w:t>
            </w:r>
          </w:p>
        </w:tc>
        <w:tc>
          <w:tcPr>
            <w:tcW w:w="1562" w:type="dxa"/>
            <w:tcBorders>
              <w:top w:val="nil"/>
              <w:left w:val="nil"/>
              <w:bottom w:val="single" w:sz="3" w:space="0" w:color="000000"/>
              <w:right w:val="nil"/>
            </w:tcBorders>
            <w:shd w:val="clear" w:color="auto" w:fill="FFFFFF"/>
            <w:vAlign w:val="bottom"/>
          </w:tcPr>
          <w:p w:rsidR="009E7387" w:rsidRPr="00E856D9" w:rsidRDefault="00787273" w:rsidP="009E7387">
            <w:pPr>
              <w:rPr>
                <w:rFonts w:ascii="Sabon" w:hAnsi="Sabon" w:cs="TimesNewRomanPSMT"/>
                <w:b/>
                <w:szCs w:val="24"/>
              </w:rPr>
            </w:pPr>
            <w:r w:rsidRPr="00E856D9">
              <w:rPr>
                <w:rFonts w:ascii="Sabon" w:hAnsi="Sabon" w:cs="TimesNewRomanPSMT"/>
                <w:b/>
                <w:szCs w:val="24"/>
              </w:rPr>
              <w:t>Gli</w:t>
            </w:r>
            <w:r w:rsidR="009E7387" w:rsidRPr="00E856D9">
              <w:rPr>
                <w:rFonts w:ascii="Sabon" w:hAnsi="Sabon" w:cs="TimesNewRomanPSMT"/>
                <w:b/>
                <w:szCs w:val="24"/>
              </w:rPr>
              <w:t>vec</w:t>
            </w:r>
          </w:p>
          <w:p w:rsidR="009E7387" w:rsidRPr="00E856D9" w:rsidRDefault="009E7387" w:rsidP="009E7387">
            <w:pPr>
              <w:rPr>
                <w:rFonts w:ascii="Sabon" w:hAnsi="Sabon" w:cs="TimesNewRomanPSMT"/>
                <w:b/>
                <w:szCs w:val="24"/>
              </w:rPr>
            </w:pPr>
            <w:r w:rsidRPr="00E856D9">
              <w:rPr>
                <w:rFonts w:ascii="Sabon" w:hAnsi="Sabon" w:cs="TimesNewRomanPSMT"/>
                <w:b/>
                <w:szCs w:val="24"/>
              </w:rPr>
              <w:t>36 Months</w:t>
            </w:r>
            <w:r w:rsidRPr="00E856D9">
              <w:rPr>
                <w:rFonts w:ascii="Sabon" w:hAnsi="Sabon" w:cs="TimesNewRomanPSMT"/>
                <w:b/>
                <w:szCs w:val="24"/>
              </w:rPr>
              <w:br/>
              <w:t>(N=198)</w:t>
            </w:r>
            <w:r w:rsidRPr="00E856D9">
              <w:rPr>
                <w:rFonts w:ascii="Sabon" w:hAnsi="Sabon" w:cs="TimesNewRomanPSMT"/>
                <w:b/>
                <w:szCs w:val="24"/>
              </w:rPr>
              <w:br/>
              <w:t>%</w:t>
            </w:r>
          </w:p>
        </w:tc>
        <w:tc>
          <w:tcPr>
            <w:tcW w:w="1509" w:type="dxa"/>
            <w:tcBorders>
              <w:top w:val="nil"/>
              <w:left w:val="nil"/>
              <w:bottom w:val="single" w:sz="3" w:space="0" w:color="000000"/>
              <w:right w:val="nil"/>
            </w:tcBorders>
            <w:shd w:val="clear" w:color="auto" w:fill="FFFFFF"/>
            <w:vAlign w:val="bottom"/>
          </w:tcPr>
          <w:p w:rsidR="009E7387" w:rsidRPr="00E856D9" w:rsidRDefault="00787273" w:rsidP="009E7387">
            <w:pPr>
              <w:rPr>
                <w:rFonts w:ascii="Sabon" w:hAnsi="Sabon" w:cs="TimesNewRomanPSMT"/>
                <w:b/>
                <w:szCs w:val="24"/>
              </w:rPr>
            </w:pPr>
            <w:r w:rsidRPr="00E856D9">
              <w:rPr>
                <w:rFonts w:ascii="Sabon" w:hAnsi="Sabon" w:cs="TimesNewRomanPSMT"/>
                <w:b/>
                <w:szCs w:val="24"/>
              </w:rPr>
              <w:t>Gli</w:t>
            </w:r>
            <w:r w:rsidR="009E7387" w:rsidRPr="00E856D9">
              <w:rPr>
                <w:rFonts w:ascii="Sabon" w:hAnsi="Sabon" w:cs="TimesNewRomanPSMT"/>
                <w:b/>
                <w:szCs w:val="24"/>
              </w:rPr>
              <w:t>vec</w:t>
            </w:r>
          </w:p>
          <w:p w:rsidR="009E7387" w:rsidRPr="00E856D9" w:rsidRDefault="009E7387" w:rsidP="009E7387">
            <w:pPr>
              <w:rPr>
                <w:rFonts w:ascii="Sabon" w:hAnsi="Sabon" w:cs="TimesNewRomanPSMT"/>
                <w:b/>
                <w:szCs w:val="24"/>
              </w:rPr>
            </w:pPr>
            <w:r w:rsidRPr="00E856D9">
              <w:rPr>
                <w:rFonts w:ascii="Sabon" w:hAnsi="Sabon" w:cs="TimesNewRomanPSMT"/>
                <w:b/>
                <w:szCs w:val="24"/>
              </w:rPr>
              <w:t>12 Months</w:t>
            </w:r>
            <w:r w:rsidRPr="00E856D9">
              <w:rPr>
                <w:rFonts w:ascii="Sabon" w:hAnsi="Sabon" w:cs="TimesNewRomanPSMT"/>
                <w:b/>
                <w:szCs w:val="24"/>
              </w:rPr>
              <w:br/>
              <w:t>(N=194)</w:t>
            </w:r>
            <w:r w:rsidRPr="00E856D9">
              <w:rPr>
                <w:rFonts w:ascii="Sabon" w:hAnsi="Sabon" w:cs="TimesNewRomanPSMT"/>
                <w:b/>
                <w:szCs w:val="24"/>
              </w:rPr>
              <w:br/>
              <w:t>%</w:t>
            </w:r>
          </w:p>
        </w:tc>
        <w:tc>
          <w:tcPr>
            <w:tcW w:w="1431" w:type="dxa"/>
            <w:tcBorders>
              <w:top w:val="nil"/>
              <w:left w:val="nil"/>
              <w:bottom w:val="single" w:sz="3" w:space="0" w:color="000000"/>
              <w:right w:val="nil"/>
            </w:tcBorders>
            <w:shd w:val="clear" w:color="auto" w:fill="FFFFFF"/>
            <w:vAlign w:val="bottom"/>
          </w:tcPr>
          <w:p w:rsidR="009E7387" w:rsidRPr="00E856D9" w:rsidRDefault="00787273" w:rsidP="009E7387">
            <w:pPr>
              <w:rPr>
                <w:rFonts w:ascii="Sabon" w:hAnsi="Sabon" w:cs="TimesNewRomanPSMT"/>
                <w:b/>
                <w:szCs w:val="24"/>
              </w:rPr>
            </w:pPr>
            <w:r w:rsidRPr="00E856D9">
              <w:rPr>
                <w:rFonts w:ascii="Sabon" w:hAnsi="Sabon" w:cs="TimesNewRomanPSMT"/>
                <w:b/>
                <w:szCs w:val="24"/>
              </w:rPr>
              <w:t>Gli</w:t>
            </w:r>
            <w:r w:rsidR="009E7387" w:rsidRPr="00E856D9">
              <w:rPr>
                <w:rFonts w:ascii="Sabon" w:hAnsi="Sabon" w:cs="TimesNewRomanPSMT"/>
                <w:b/>
                <w:szCs w:val="24"/>
              </w:rPr>
              <w:t>vec</w:t>
            </w:r>
          </w:p>
          <w:p w:rsidR="009E7387" w:rsidRPr="000156BC" w:rsidRDefault="009E7387" w:rsidP="009E7387">
            <w:pPr>
              <w:rPr>
                <w:rFonts w:ascii="Sabon" w:hAnsi="Sabon" w:cs="TimesNewRomanPSMT"/>
                <w:b/>
                <w:szCs w:val="24"/>
              </w:rPr>
            </w:pPr>
            <w:r w:rsidRPr="00E856D9">
              <w:rPr>
                <w:rFonts w:ascii="Sabon" w:hAnsi="Sabon" w:cs="TimesNewRomanPSMT"/>
                <w:b/>
                <w:szCs w:val="24"/>
              </w:rPr>
              <w:t>36 Months</w:t>
            </w:r>
            <w:r w:rsidRPr="00E856D9">
              <w:rPr>
                <w:rFonts w:ascii="Sabon" w:hAnsi="Sabon" w:cs="TimesNewRomanPSMT"/>
                <w:b/>
                <w:szCs w:val="24"/>
              </w:rPr>
              <w:br/>
              <w:t>(N=198)</w:t>
            </w:r>
            <w:r w:rsidRPr="00E856D9">
              <w:rPr>
                <w:rFonts w:ascii="Sabon" w:hAnsi="Sabon" w:cs="TimesNewRomanPSMT"/>
                <w:b/>
                <w:szCs w:val="24"/>
              </w:rPr>
              <w:br/>
              <w:t>%</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Patients with at least one AE</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99.0</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100.0</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20.1</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32.8</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Haemoglobin decreased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72.2</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80.3</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Periorbital oedema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59.3</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74.2</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Blood lactate dehydrogenase increased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43.3</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60.1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Diarrhoea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43.8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54.0</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Nausea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44.8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51.0</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Muscle spasms</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30.9</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49.0</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Fatigue</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48.5</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48.5</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White blood cell count decreased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34.5</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47.0</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2.1</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Pain</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25.8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45.5</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Blood creatinine increased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30.4</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44.4</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Oedema peripheral</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33.0</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40.9</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Dermatitis</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29.4</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38.9</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2.1</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Aspartate aminotransferase increased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30.9</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37.9</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Alanine aminotransferase increased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28.9</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34.3</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2.1</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Neutrophil count decreased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24.2</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33.3</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4.6</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5.1</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Hypoproteinaemia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23.7</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31.8</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Infection</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13.9</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27.8</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Weight increased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13.4</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26.8</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Pruritus</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12.9</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25.8</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Flatulence</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19.1</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24.7</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Vomiting</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22.2</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Dyspepsia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17.5</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21.7</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Hypoalbuminaemia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11.9</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21.2</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Oedema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19.7</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Abdominal distension</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11.9</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19.2</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Headache</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8.2</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18.2</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Lacrimation increased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18.0</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17.7</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Arthralgia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8.8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17.2</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Blood alkaline phosphatase increased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16.7</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Dyspnoea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6.2</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16.2</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Myalgia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9.3</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15.2</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Platelet count decreased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11.3</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14.1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Blood bilirubin increased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11.3</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13.1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Dysgeusia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9.3</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12.6</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lastRenderedPageBreak/>
              <w:t>Paraesthesia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5.2</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12.1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Vision blurred</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11.1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Alopecia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11.3</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10.6</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Decreased appetite</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9.8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Constipation</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8.8</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9.6</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Pyrexia</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6.2</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9.6</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Depression</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3.1</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8.1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Abdominal pain</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2.6</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7.6</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Conjunctivitis</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5.2</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7.6</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Photosensitivity reaction</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3.6</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7.1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Dizziness</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4.6</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6.6</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Haemorrhage</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3.1</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6.6</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Dry skin</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6.7</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6.1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Nasopharyngitis</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1.0</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6.1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0.5</w:t>
            </w:r>
          </w:p>
        </w:tc>
      </w:tr>
      <w:tr w:rsidR="009E7387" w:rsidRPr="000156BC" w:rsidTr="009E7387">
        <w:trPr>
          <w:cantSplit/>
          <w:tblHeader/>
        </w:trPr>
        <w:tc>
          <w:tcPr>
            <w:tcW w:w="3578"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Palpitations</w:t>
            </w:r>
          </w:p>
        </w:tc>
        <w:tc>
          <w:tcPr>
            <w:tcW w:w="155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5.2</w:t>
            </w:r>
          </w:p>
        </w:tc>
        <w:tc>
          <w:tcPr>
            <w:tcW w:w="1562"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5.1</w:t>
            </w:r>
          </w:p>
        </w:tc>
        <w:tc>
          <w:tcPr>
            <w:tcW w:w="1509"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c>
          <w:tcPr>
            <w:tcW w:w="1431" w:type="dxa"/>
            <w:tcBorders>
              <w:top w:val="nil"/>
              <w:left w:val="nil"/>
              <w:bottom w:val="nil"/>
              <w:right w:val="nil"/>
            </w:tcBorders>
            <w:shd w:val="clear" w:color="auto" w:fill="FFFFFF"/>
          </w:tcPr>
          <w:p w:rsidR="009E7387" w:rsidRPr="000156BC" w:rsidRDefault="009E7387" w:rsidP="009E7387">
            <w:pPr>
              <w:rPr>
                <w:rFonts w:ascii="Sabon" w:hAnsi="Sabon" w:cs="TimesNewRomanPSMT"/>
                <w:szCs w:val="24"/>
              </w:rPr>
            </w:pPr>
            <w:r w:rsidRPr="000156BC">
              <w:rPr>
                <w:rFonts w:ascii="Sabon" w:hAnsi="Sabon" w:cs="TimesNewRomanPSMT"/>
                <w:szCs w:val="24"/>
              </w:rPr>
              <w:t>0</w:t>
            </w:r>
          </w:p>
        </w:tc>
      </w:tr>
      <w:tr w:rsidR="009E7387" w:rsidRPr="000156BC" w:rsidTr="009E7387">
        <w:trPr>
          <w:cantSplit/>
          <w:tblHeader/>
        </w:trPr>
        <w:tc>
          <w:tcPr>
            <w:tcW w:w="9639" w:type="dxa"/>
            <w:gridSpan w:val="5"/>
            <w:tcBorders>
              <w:top w:val="nil"/>
              <w:left w:val="nil"/>
              <w:bottom w:val="nil"/>
              <w:right w:val="nil"/>
            </w:tcBorders>
            <w:shd w:val="clear" w:color="auto" w:fill="FFFFFF"/>
          </w:tcPr>
          <w:p w:rsidR="009E7387" w:rsidRPr="000156BC" w:rsidRDefault="009E7387" w:rsidP="009E7387">
            <w:pPr>
              <w:jc w:val="both"/>
              <w:rPr>
                <w:sz w:val="20"/>
              </w:rPr>
            </w:pPr>
            <w:r w:rsidRPr="000156BC">
              <w:rPr>
                <w:sz w:val="20"/>
                <w:vertAlign w:val="superscript"/>
              </w:rPr>
              <w:t>(1)</w:t>
            </w:r>
            <w:r w:rsidRPr="000156BC">
              <w:rPr>
                <w:sz w:val="20"/>
              </w:rPr>
              <w:t xml:space="preserve">All adverse </w:t>
            </w:r>
            <w:r w:rsidR="00025F69">
              <w:rPr>
                <w:sz w:val="20"/>
              </w:rPr>
              <w:t>events</w:t>
            </w:r>
            <w:r w:rsidR="00025F69" w:rsidRPr="000156BC">
              <w:rPr>
                <w:sz w:val="20"/>
              </w:rPr>
              <w:t xml:space="preserve"> </w:t>
            </w:r>
            <w:r w:rsidRPr="000156BC">
              <w:rPr>
                <w:sz w:val="20"/>
              </w:rPr>
              <w:t xml:space="preserve">occurring in ≥5% of patients are listed regardless of suspected relationship to treatment. </w:t>
            </w:r>
          </w:p>
          <w:p w:rsidR="009E7387" w:rsidRPr="000156BC" w:rsidRDefault="009E7387" w:rsidP="00025F69">
            <w:pPr>
              <w:adjustRightInd w:val="0"/>
              <w:spacing w:before="60" w:after="60"/>
              <w:jc w:val="both"/>
              <w:rPr>
                <w:rFonts w:ascii="Arial" w:hAnsi="Arial" w:cs="Arial"/>
              </w:rPr>
            </w:pPr>
            <w:r w:rsidRPr="000156BC">
              <w:rPr>
                <w:sz w:val="20"/>
              </w:rPr>
              <w:t xml:space="preserve">A patient with multiple occurrences of an adverse </w:t>
            </w:r>
            <w:r w:rsidR="00025F69">
              <w:rPr>
                <w:sz w:val="20"/>
              </w:rPr>
              <w:t>event</w:t>
            </w:r>
            <w:r w:rsidRPr="000156BC">
              <w:rPr>
                <w:sz w:val="20"/>
              </w:rPr>
              <w:t xml:space="preserve"> is counted only once in the adverse </w:t>
            </w:r>
            <w:r w:rsidR="00025F69">
              <w:rPr>
                <w:sz w:val="20"/>
              </w:rPr>
              <w:t>event</w:t>
            </w:r>
            <w:r w:rsidRPr="000156BC">
              <w:rPr>
                <w:sz w:val="20"/>
              </w:rPr>
              <w:t xml:space="preserve"> category.</w:t>
            </w:r>
          </w:p>
        </w:tc>
      </w:tr>
    </w:tbl>
    <w:p w:rsidR="000C392D" w:rsidRPr="00057C4C" w:rsidRDefault="000C392D" w:rsidP="00273382">
      <w:pPr>
        <w:pStyle w:val="paragraph"/>
        <w:spacing w:after="120"/>
      </w:pPr>
      <w:r w:rsidRPr="00057C4C">
        <w:t>Adverse events with imatinib observed in trials in Ph+ ALL, MDS/MPD, SM, HES/CEL and DFSP were generally consistent with those seen in CML and GIST studies.</w:t>
      </w:r>
    </w:p>
    <w:p w:rsidR="003473B8" w:rsidRPr="00A03D99" w:rsidRDefault="003473B8" w:rsidP="00D71D4F">
      <w:pPr>
        <w:pStyle w:val="Heading2"/>
      </w:pPr>
      <w:r w:rsidRPr="00A03D99">
        <w:t xml:space="preserve">Description of </w:t>
      </w:r>
      <w:r w:rsidR="00D71D4F">
        <w:t>selected Adverse Drug Reactions</w:t>
      </w:r>
    </w:p>
    <w:p w:rsidR="003473B8" w:rsidRPr="00A03D99" w:rsidRDefault="003473B8" w:rsidP="00D71D4F">
      <w:pPr>
        <w:pStyle w:val="Heading3"/>
      </w:pPr>
      <w:r w:rsidRPr="00A03D99">
        <w:t>Myelosuppression</w:t>
      </w:r>
    </w:p>
    <w:p w:rsidR="003473B8" w:rsidRPr="00A03D99" w:rsidRDefault="003473B8" w:rsidP="003473B8">
      <w:pPr>
        <w:pStyle w:val="Text"/>
      </w:pPr>
      <w:r w:rsidRPr="00A03D99">
        <w:t>Myelosuppression is very common in cancer patients treated with Glivec. Myelosuppression, thrombocytopenia, neutropenia and an</w:t>
      </w:r>
      <w:r w:rsidR="00D64C3B" w:rsidRPr="00A03D99">
        <w:t>a</w:t>
      </w:r>
      <w:r w:rsidRPr="00A03D99">
        <w:t>emia were the most frequently reported Grade 3 and 4 laboratory abnormalities. Overall, the myelosuppression experienced with Glivec in CML patients was generally reversible and in most patients did not result in dose interruption or dose reduction. Few patients required drug discontinuation. Other events of pancytopenia, lymphopenia and bone marrow depression have also been reported</w:t>
      </w:r>
      <w:r w:rsidRPr="00A03D99">
        <w:rPr>
          <w:color w:val="0000FF"/>
        </w:rPr>
        <w:t>.</w:t>
      </w:r>
      <w:r w:rsidR="0030405B">
        <w:rPr>
          <w:color w:val="0000FF"/>
        </w:rPr>
        <w:t xml:space="preserve"> </w:t>
      </w:r>
    </w:p>
    <w:p w:rsidR="003473B8" w:rsidRPr="00A03D99" w:rsidRDefault="003473B8" w:rsidP="003473B8">
      <w:pPr>
        <w:pStyle w:val="Text"/>
        <w:rPr>
          <w:lang w:val="en-GB"/>
        </w:rPr>
      </w:pPr>
      <w:r w:rsidRPr="00A03D99">
        <w:rPr>
          <w:lang w:val="en-GB"/>
        </w:rPr>
        <w:t>H</w:t>
      </w:r>
      <w:r w:rsidR="00D64C3B" w:rsidRPr="00A03D99">
        <w:rPr>
          <w:lang w:val="en-GB"/>
        </w:rPr>
        <w:t>a</w:t>
      </w:r>
      <w:r w:rsidRPr="00A03D99">
        <w:rPr>
          <w:lang w:val="en-GB"/>
        </w:rPr>
        <w:t>ematologic depression appeared greatest at the highest doses and also appeared to be dependent on stage of CML disease, with Grade 3 or 4 neutropenia and thrombocytopenia between 4 and 6 times higher in blast and accelerated phase (44 % and 63%, respectively) as compared to newly diagnosed patients in CP CML(16.7%  and 8.9%, respectively). These events can usually be managed with either a reduction of the dose or an interruption of treatment with Glivec, but rarely require discontinuation.</w:t>
      </w:r>
      <w:r w:rsidR="0030405B">
        <w:rPr>
          <w:lang w:val="en-GB"/>
        </w:rPr>
        <w:t xml:space="preserve"> </w:t>
      </w:r>
      <w:r w:rsidRPr="00807868">
        <w:rPr>
          <w:lang w:val="en-GB"/>
        </w:rPr>
        <w:t xml:space="preserve">The incidence of hematologic toxicities is less in patients with solid </w:t>
      </w:r>
      <w:r w:rsidR="00626081" w:rsidRPr="00807868">
        <w:rPr>
          <w:lang w:val="en-GB"/>
        </w:rPr>
        <w:t>tumour</w:t>
      </w:r>
      <w:r w:rsidRPr="00807868">
        <w:rPr>
          <w:lang w:val="en-GB"/>
        </w:rPr>
        <w:t xml:space="preserve">s (i.e., GIST) than in patients with Ph+ </w:t>
      </w:r>
      <w:r w:rsidR="00626081" w:rsidRPr="00807868">
        <w:rPr>
          <w:lang w:val="en-GB"/>
        </w:rPr>
        <w:t>leukaemia</w:t>
      </w:r>
      <w:r w:rsidRPr="00807868">
        <w:rPr>
          <w:lang w:val="en-GB"/>
        </w:rPr>
        <w:t xml:space="preserve">s, with Grade 3/4 neutropenia and thrombocytopenia occurring approximately </w:t>
      </w:r>
      <w:r w:rsidR="009E7387" w:rsidRPr="00807868">
        <w:rPr>
          <w:lang w:val="en-GB"/>
        </w:rPr>
        <w:t>5</w:t>
      </w:r>
      <w:r w:rsidR="00717DD6" w:rsidRPr="00807868">
        <w:rPr>
          <w:lang w:val="en-GB"/>
        </w:rPr>
        <w:t xml:space="preserve">% and </w:t>
      </w:r>
      <w:r w:rsidR="009E7387" w:rsidRPr="00807868">
        <w:rPr>
          <w:lang w:val="en-GB"/>
        </w:rPr>
        <w:t>0</w:t>
      </w:r>
      <w:r w:rsidRPr="00807868">
        <w:rPr>
          <w:lang w:val="en-GB"/>
        </w:rPr>
        <w:t xml:space="preserve">%, </w:t>
      </w:r>
      <w:r w:rsidRPr="00E856D9">
        <w:rPr>
          <w:lang w:val="en-GB"/>
        </w:rPr>
        <w:t>respectively</w:t>
      </w:r>
      <w:r w:rsidR="00797016" w:rsidRPr="00E856D9">
        <w:rPr>
          <w:lang w:val="en-GB"/>
        </w:rPr>
        <w:t xml:space="preserve"> of GIST patients</w:t>
      </w:r>
      <w:r w:rsidRPr="00E856D9">
        <w:t>.</w:t>
      </w:r>
      <w:r w:rsidR="0030405B">
        <w:t xml:space="preserve"> </w:t>
      </w:r>
    </w:p>
    <w:p w:rsidR="003473B8" w:rsidRPr="00A03D99" w:rsidRDefault="003473B8" w:rsidP="00D71D4F">
      <w:pPr>
        <w:pStyle w:val="Heading3"/>
        <w:rPr>
          <w:lang w:val="en-GB"/>
        </w:rPr>
      </w:pPr>
      <w:r w:rsidRPr="002921C2">
        <w:rPr>
          <w:lang w:val="en-GB"/>
        </w:rPr>
        <w:t>Haemorrhage</w:t>
      </w:r>
    </w:p>
    <w:p w:rsidR="003473B8" w:rsidRPr="00A03D99" w:rsidRDefault="003473B8" w:rsidP="003473B8">
      <w:pPr>
        <w:pStyle w:val="Text"/>
      </w:pPr>
      <w:r w:rsidRPr="00A03D99">
        <w:t xml:space="preserve">CNS and GI haemorrhages are not uncommon in CML patients with compromised marrow function at baseline. Haemorrhages are well-recognized part of the disease complications in an acutely ill population of leukemic patients, and may result from thrombocytopenia, or less commonly, platelet dysfunction. However, not all patients experiencing CNS and GI haemorrhages during therapy with imatinib are thrombocytopenic. </w:t>
      </w:r>
    </w:p>
    <w:p w:rsidR="003473B8" w:rsidRPr="00A03D99" w:rsidRDefault="003473B8" w:rsidP="003473B8">
      <w:pPr>
        <w:pStyle w:val="Text"/>
      </w:pPr>
      <w:r w:rsidRPr="00A03D99">
        <w:t xml:space="preserve">The most common manifestation of clinically significant bleeding was GI </w:t>
      </w:r>
      <w:r w:rsidR="00626081" w:rsidRPr="00A03D99">
        <w:t>haemorrhage</w:t>
      </w:r>
      <w:r w:rsidRPr="00A03D99">
        <w:t xml:space="preserve">, which occurred most commonly in advanced CML patients and in metastatic GIST patients, where bleeding might occur as part of the underlying disease due to </w:t>
      </w:r>
      <w:r w:rsidR="00626081" w:rsidRPr="00A03D99">
        <w:t>tumour</w:t>
      </w:r>
      <w:r w:rsidRPr="00A03D99">
        <w:t xml:space="preserve"> bleeding from </w:t>
      </w:r>
      <w:r w:rsidR="00626081" w:rsidRPr="00A03D99">
        <w:t>tumour</w:t>
      </w:r>
      <w:r w:rsidRPr="00A03D99">
        <w:t xml:space="preserve"> </w:t>
      </w:r>
      <w:r w:rsidR="00626081" w:rsidRPr="00A03D99">
        <w:t>haemorrhage</w:t>
      </w:r>
      <w:r w:rsidRPr="00A03D99">
        <w:t>/</w:t>
      </w:r>
      <w:r w:rsidR="00626081" w:rsidRPr="00A03D99">
        <w:t>tumour</w:t>
      </w:r>
      <w:r w:rsidRPr="00A03D99">
        <w:t xml:space="preserve"> necrosis. In first line CML and in adjuvant GIST setting, the observed frequencies of GI </w:t>
      </w:r>
      <w:r w:rsidR="00626081" w:rsidRPr="00A03D99">
        <w:t>haemorrhage</w:t>
      </w:r>
      <w:r w:rsidRPr="00A03D99">
        <w:t xml:space="preserve"> were generally the lowest</w:t>
      </w:r>
      <w:r w:rsidRPr="00A03D99">
        <w:rPr>
          <w:color w:val="0000FF"/>
        </w:rPr>
        <w:t>.</w:t>
      </w:r>
      <w:r w:rsidR="0030405B">
        <w:rPr>
          <w:color w:val="0000FF"/>
        </w:rPr>
        <w:t xml:space="preserve"> </w:t>
      </w:r>
    </w:p>
    <w:p w:rsidR="003473B8" w:rsidRPr="00A03D99" w:rsidRDefault="005D2747" w:rsidP="00D71D4F">
      <w:pPr>
        <w:pStyle w:val="Heading3"/>
        <w:rPr>
          <w:lang w:val="en-GB"/>
        </w:rPr>
      </w:pPr>
      <w:r w:rsidRPr="00A03D99">
        <w:rPr>
          <w:lang w:val="en-GB"/>
        </w:rPr>
        <w:lastRenderedPageBreak/>
        <w:t>Oe</w:t>
      </w:r>
      <w:r w:rsidR="003473B8" w:rsidRPr="00A03D99">
        <w:rPr>
          <w:lang w:val="en-GB"/>
        </w:rPr>
        <w:t>dema and Fluid Retention</w:t>
      </w:r>
    </w:p>
    <w:p w:rsidR="003473B8" w:rsidRPr="00A03D99" w:rsidRDefault="005D2747" w:rsidP="003473B8">
      <w:pPr>
        <w:pStyle w:val="Text"/>
      </w:pPr>
      <w:r w:rsidRPr="00A03D99">
        <w:t>Oe</w:t>
      </w:r>
      <w:r w:rsidR="003473B8" w:rsidRPr="00A03D99">
        <w:t xml:space="preserve">dema is a common toxicity of imatinib appearing in greater than 50% of all patients across all indications. </w:t>
      </w:r>
      <w:r w:rsidRPr="00A03D99">
        <w:t>Oe</w:t>
      </w:r>
      <w:r w:rsidR="003473B8" w:rsidRPr="00A03D99">
        <w:t xml:space="preserve">dema is dose-related and there appears to be a correlation with its occurrence and plasma levels. The most common manifestation is periorbital </w:t>
      </w:r>
      <w:r w:rsidRPr="00A03D99">
        <w:t>o</w:t>
      </w:r>
      <w:r w:rsidR="003473B8" w:rsidRPr="00A03D99">
        <w:t xml:space="preserve">edema and somewhat less common is lower extremity </w:t>
      </w:r>
      <w:r w:rsidRPr="00A03D99">
        <w:t>o</w:t>
      </w:r>
      <w:r w:rsidR="003473B8" w:rsidRPr="00A03D99">
        <w:t xml:space="preserve">edema. Specific therapy is not usually required. Other fluid retention events occur much less commonly, but due to the location of the anatomic site may be potentially serious. The most frequent fluid retention event was pleural effusion, most commonly observed in advanced CML and metastatic GIST patients. The frequency of cardiac failure was generally low in patients with </w:t>
      </w:r>
      <w:r w:rsidRPr="00A03D99">
        <w:t>o</w:t>
      </w:r>
      <w:r w:rsidR="003473B8" w:rsidRPr="00A03D99">
        <w:t xml:space="preserve">edema and fluid retention. It was higher in advanced CML than in other groups. This could be explained by the worse medical condition of advanced CML patients. The same trend was observed for renal failure in patients with </w:t>
      </w:r>
      <w:r w:rsidR="00626081" w:rsidRPr="00A03D99">
        <w:t>oedema</w:t>
      </w:r>
      <w:r w:rsidR="003473B8" w:rsidRPr="00A03D99">
        <w:t xml:space="preserve"> and fluid retention.  Most patients with </w:t>
      </w:r>
      <w:r w:rsidRPr="00A03D99">
        <w:t>o</w:t>
      </w:r>
      <w:r w:rsidR="003473B8" w:rsidRPr="00A03D99">
        <w:t>edema and fluid retention were elderly (&gt;65 years old)</w:t>
      </w:r>
      <w:r w:rsidR="003473B8" w:rsidRPr="00A03D99">
        <w:rPr>
          <w:color w:val="0000FF"/>
        </w:rPr>
        <w:t>.</w:t>
      </w:r>
    </w:p>
    <w:p w:rsidR="003473B8" w:rsidRPr="00A03D99" w:rsidRDefault="003473B8" w:rsidP="003473B8">
      <w:pPr>
        <w:pStyle w:val="Text"/>
      </w:pPr>
      <w:r w:rsidRPr="00A03D99">
        <w:t>In a clinical study, the frequency of events suggesting congestive heart failure was 1.5% on imatinib vs. 1.1% on IFN-alpha in patients with newly-diagnosed CML. The frequency was appreciably higher in patients with transformed CML (accelerated phase or blast crisis), higher age, or with a baseline h</w:t>
      </w:r>
      <w:r w:rsidR="00D64C3B" w:rsidRPr="00A03D99">
        <w:t>a</w:t>
      </w:r>
      <w:r w:rsidRPr="00A03D99">
        <w:t>emoglobin of less than 8 g/dL. Across all indications a higher frequency of CHF events observed in patients with CML than in patients with GIST might indicate differences of some of these disease-related risk factors. In addition, a recently published special safety analysis of cardiac events within the EORTC study of 942 patients with unresectable or metastatic GIST concluded that imatinib does not induce left ventricular failure in GIST patients where the observed rate was approximately 0.2% while it can be up to 2% in a population with pre-existing cardiac disease</w:t>
      </w:r>
      <w:r w:rsidRPr="00A03D99">
        <w:rPr>
          <w:color w:val="0000FF"/>
        </w:rPr>
        <w:t>.</w:t>
      </w:r>
      <w:r w:rsidR="0030405B">
        <w:rPr>
          <w:color w:val="0000FF"/>
        </w:rPr>
        <w:t xml:space="preserve"> </w:t>
      </w:r>
    </w:p>
    <w:p w:rsidR="003473B8" w:rsidRPr="00A03D99" w:rsidRDefault="003473B8" w:rsidP="00D71D4F">
      <w:pPr>
        <w:pStyle w:val="Heading3"/>
      </w:pPr>
      <w:r w:rsidRPr="00A03D99">
        <w:t>Skin Rashes and Severe Cutaneous Adverse Reactions</w:t>
      </w:r>
    </w:p>
    <w:p w:rsidR="003473B8" w:rsidRPr="00A03D99" w:rsidRDefault="003473B8" w:rsidP="003473B8">
      <w:pPr>
        <w:pStyle w:val="Text"/>
      </w:pPr>
      <w:r w:rsidRPr="00A03D99">
        <w:t>A generalized erythematous, maculopapular, pruritic skin rash that can fade despite continued therapy, has been reported. Some patients may have pruritus without accompanying rash, and sometimes there is an exfoliative component. Re-exposure in some patients has resulted in reappearance of rash, but not in all patients. These eruptions generally respond to antihistamines and topical steroids. Occasionally, systemic steroids are required.</w:t>
      </w:r>
    </w:p>
    <w:p w:rsidR="005D2747" w:rsidRPr="00A03D99" w:rsidRDefault="003473B8" w:rsidP="003473B8">
      <w:pPr>
        <w:pStyle w:val="Text"/>
        <w:rPr>
          <w:color w:val="0000FF"/>
        </w:rPr>
      </w:pPr>
      <w:r w:rsidRPr="00A03D99">
        <w:t>Skin rashes have been observed in up to one third of patients treated with imatinib across all indications. These are frequently pruritic and most commonly appear as erythematous, maculopapular lesions on the forearm, the trunk or the face. Skin biopsies have revealed a toxic drug reaction with a mixed cellular infiltrate. Although most rashes are mild and self limiting more severe cases may require interruption or discontinuation of treatment. Not surprisingly skin reactions were seen at a higher rate than placebo in the adjuvant GIST trial</w:t>
      </w:r>
      <w:r w:rsidRPr="00A03D99">
        <w:rPr>
          <w:color w:val="0000FF"/>
        </w:rPr>
        <w:t>.</w:t>
      </w:r>
      <w:r w:rsidR="0030405B">
        <w:rPr>
          <w:color w:val="0000FF"/>
        </w:rPr>
        <w:t xml:space="preserve"> </w:t>
      </w:r>
    </w:p>
    <w:p w:rsidR="003473B8" w:rsidRPr="00A03D99" w:rsidRDefault="003473B8" w:rsidP="00D71D4F">
      <w:pPr>
        <w:pStyle w:val="Heading3"/>
      </w:pPr>
      <w:r w:rsidRPr="00A03D99">
        <w:t>Hepatotoxicity</w:t>
      </w:r>
    </w:p>
    <w:p w:rsidR="003473B8" w:rsidRPr="00A03D99" w:rsidRDefault="003473B8" w:rsidP="003473B8">
      <w:pPr>
        <w:pStyle w:val="Text"/>
      </w:pPr>
      <w:r w:rsidRPr="00A03D99">
        <w:t>Hepatotoxicity, occasionally severe, may occur, and has been observed preclinically and clinically. LFT abnormalities usually consisted of mild elevations in transaminases, although a minority of patients had elevated levels of bilirubin. Onset is generally within the first two months of therapy, but has occurred as late as 6 to 12 months after commencing therapy. The levels generally normalize after withholding therapy for 1 to 4 weeks</w:t>
      </w:r>
      <w:r w:rsidRPr="00A03D99">
        <w:rPr>
          <w:color w:val="0000FF"/>
        </w:rPr>
        <w:t>.</w:t>
      </w:r>
      <w:r w:rsidR="0030405B">
        <w:rPr>
          <w:color w:val="0000FF"/>
        </w:rPr>
        <w:t xml:space="preserve"> </w:t>
      </w:r>
    </w:p>
    <w:p w:rsidR="003473B8" w:rsidRPr="002921C2" w:rsidRDefault="003473B8" w:rsidP="002921C2">
      <w:pPr>
        <w:pStyle w:val="Text"/>
        <w:rPr>
          <w:b/>
        </w:rPr>
      </w:pPr>
      <w:r w:rsidRPr="002921C2">
        <w:rPr>
          <w:b/>
        </w:rPr>
        <w:t xml:space="preserve">Hypophosphatemia </w:t>
      </w:r>
    </w:p>
    <w:p w:rsidR="003473B8" w:rsidRPr="00A03D99" w:rsidRDefault="003473B8" w:rsidP="003473B8">
      <w:pPr>
        <w:pStyle w:val="Text"/>
        <w:rPr>
          <w:szCs w:val="18"/>
        </w:rPr>
      </w:pPr>
      <w:r w:rsidRPr="00A03D99">
        <w:rPr>
          <w:szCs w:val="18"/>
        </w:rPr>
        <w:t xml:space="preserve">Low serum phosphate and hypophosphatemia (up to Grade 3/4) has been observed relatively commonly across all indications, however the origin and the clinical significance of this finding have not been established. Imatinib has been shown to inhibit the differentiation of human monocytes into osteoclasts. The decrease was accompanied by a decrease in the resorptive capacity of these cells. A dose-dependent decrease of RANK-L was observed in osteoclasts in the presence of imatinib. Sustained inhibition of osteoclastic activity may lead </w:t>
      </w:r>
      <w:r w:rsidRPr="00A03D99">
        <w:rPr>
          <w:szCs w:val="18"/>
        </w:rPr>
        <w:lastRenderedPageBreak/>
        <w:t>to counter regulatory response resulting in increased levels of PTH. The clinical relevance of the preclinical findings is yet unclear and an association with skeletal AEs such as bone fractures has not been demonstrated.</w:t>
      </w:r>
    </w:p>
    <w:p w:rsidR="003473B8" w:rsidRPr="00A03D99" w:rsidRDefault="003473B8" w:rsidP="003473B8">
      <w:pPr>
        <w:pStyle w:val="Text"/>
        <w:rPr>
          <w:color w:val="0000FF"/>
        </w:rPr>
      </w:pPr>
      <w:r w:rsidRPr="00A03D99">
        <w:t xml:space="preserve">In the clinical development program serum phosphate was not routinely measured in all studies. </w:t>
      </w:r>
      <w:r w:rsidRPr="00F457C7">
        <w:t>Although it was initially hypothesized that hypophosphatemia might be dose-dependent, 24 month interpretable results from the Phase III TOPS study designed to investigate dose dependency of safety endpoints in patients with newly diagnosed CML, have shown that Grade 3/4 decreased serum phosphate or serum calcium has been experienced by 19.1% vs.15.5% and 5.1% vs. 0.9% of patients receiving 400 mg and 800 mg, respectively</w:t>
      </w:r>
      <w:r w:rsidRPr="00F457C7">
        <w:rPr>
          <w:color w:val="0000FF"/>
        </w:rPr>
        <w:t>.</w:t>
      </w:r>
      <w:r w:rsidR="0030405B">
        <w:rPr>
          <w:color w:val="0000FF"/>
        </w:rPr>
        <w:t xml:space="preserve"> </w:t>
      </w:r>
    </w:p>
    <w:p w:rsidR="003473B8" w:rsidRPr="00A03D99" w:rsidRDefault="003473B8" w:rsidP="00D71D4F">
      <w:pPr>
        <w:pStyle w:val="Heading3"/>
      </w:pPr>
      <w:r w:rsidRPr="00A03D99">
        <w:t>Gastrointestinal Obstruction, Perforation or Ulceration</w:t>
      </w:r>
    </w:p>
    <w:p w:rsidR="003473B8" w:rsidRPr="00A03D99" w:rsidRDefault="003473B8" w:rsidP="003473B8">
      <w:pPr>
        <w:pStyle w:val="Text"/>
        <w:rPr>
          <w:szCs w:val="24"/>
        </w:rPr>
      </w:pPr>
      <w:r w:rsidRPr="00A03D99">
        <w:t xml:space="preserve">GI ulceration, which may represent in extreme cases local irritation by imatinib, has been observed in a small proportion of patients across all indications. </w:t>
      </w:r>
      <w:r w:rsidR="00626081" w:rsidRPr="00A03D99">
        <w:t>Tumour</w:t>
      </w:r>
      <w:r w:rsidRPr="00A03D99">
        <w:t xml:space="preserve"> </w:t>
      </w:r>
      <w:r w:rsidR="00626081" w:rsidRPr="00A03D99">
        <w:t>haemorrhage</w:t>
      </w:r>
      <w:r w:rsidRPr="00A03D99">
        <w:t>/</w:t>
      </w:r>
      <w:r w:rsidR="00626081" w:rsidRPr="00A03D99">
        <w:t>tumour</w:t>
      </w:r>
      <w:r w:rsidRPr="00A03D99">
        <w:t xml:space="preserve"> necrosis, obstruction and GI perforation seem to be disease-related and have occurred exclusively or more frequently amongst GIST patients. In the case of metastatic GIST, </w:t>
      </w:r>
      <w:r w:rsidR="00626081" w:rsidRPr="00A03D99">
        <w:t>tumour</w:t>
      </w:r>
      <w:r w:rsidRPr="00A03D99">
        <w:t xml:space="preserve"> necrosis may occur in the context of </w:t>
      </w:r>
      <w:r w:rsidR="00626081" w:rsidRPr="00A03D99">
        <w:t>tumour</w:t>
      </w:r>
      <w:r w:rsidRPr="00A03D99">
        <w:t xml:space="preserve"> response, rarely leading to perforation. GI obstruction/ileus occurred most commonly in the GIST population where it may be caused by </w:t>
      </w:r>
      <w:r w:rsidR="00626081" w:rsidRPr="00A03D99">
        <w:t>tumour</w:t>
      </w:r>
      <w:r w:rsidRPr="00A03D99">
        <w:t xml:space="preserve"> obstruction from metastatic GIST and in the adjuvant setting by adhesions from previous GI surgery. </w:t>
      </w:r>
    </w:p>
    <w:p w:rsidR="003473B8" w:rsidRPr="00A03D99" w:rsidRDefault="00626081" w:rsidP="00D71D4F">
      <w:pPr>
        <w:pStyle w:val="Heading3"/>
      </w:pPr>
      <w:r w:rsidRPr="00A03D99">
        <w:t>Tumour</w:t>
      </w:r>
      <w:r w:rsidR="003473B8" w:rsidRPr="00A03D99">
        <w:t xml:space="preserve"> lysis syndrome</w:t>
      </w:r>
    </w:p>
    <w:p w:rsidR="003473B8" w:rsidRPr="00A03D99" w:rsidRDefault="003473B8" w:rsidP="003473B8">
      <w:pPr>
        <w:pStyle w:val="Text"/>
        <w:rPr>
          <w:szCs w:val="24"/>
          <w:lang w:val="en-GB"/>
        </w:rPr>
      </w:pPr>
      <w:r w:rsidRPr="00A03D99">
        <w:rPr>
          <w:szCs w:val="24"/>
        </w:rPr>
        <w:t xml:space="preserve">A causal relationship between </w:t>
      </w:r>
      <w:r w:rsidR="00626081" w:rsidRPr="00A03D99">
        <w:rPr>
          <w:szCs w:val="24"/>
        </w:rPr>
        <w:t>tumour</w:t>
      </w:r>
      <w:r w:rsidRPr="00A03D99">
        <w:rPr>
          <w:szCs w:val="24"/>
        </w:rPr>
        <w:t xml:space="preserve"> lysis syndrome and Glivec treatment is deemed possible, although some cases were confounded by concomitant medications and other independent risks (see </w:t>
      </w:r>
      <w:r w:rsidR="00D64C3B" w:rsidRPr="00A03D99">
        <w:rPr>
          <w:szCs w:val="24"/>
        </w:rPr>
        <w:t>PRECAUTIONS</w:t>
      </w:r>
      <w:r w:rsidRPr="00A03D99">
        <w:rPr>
          <w:szCs w:val="24"/>
        </w:rPr>
        <w:t xml:space="preserve">). </w:t>
      </w:r>
    </w:p>
    <w:p w:rsidR="003473B8" w:rsidRPr="00A03D99" w:rsidRDefault="003473B8" w:rsidP="00D71D4F">
      <w:pPr>
        <w:pStyle w:val="Heading3"/>
      </w:pPr>
      <w:r w:rsidRPr="00A03D99">
        <w:t>Growth retardation in children</w:t>
      </w:r>
    </w:p>
    <w:p w:rsidR="003473B8" w:rsidRPr="00A03D99" w:rsidRDefault="003473B8" w:rsidP="003473B8">
      <w:pPr>
        <w:pStyle w:val="Text"/>
        <w:rPr>
          <w:lang w:val="en-GB"/>
        </w:rPr>
      </w:pPr>
      <w:r w:rsidRPr="00A03D99">
        <w:t>Glivec appears to affect the stature of children, especially children who are pre-pubertal. A causal relationship between growth retardation in children and Glivec treatment could not be ruled out</w:t>
      </w:r>
      <w:r w:rsidRPr="00A03D99">
        <w:rPr>
          <w:b/>
          <w:i/>
          <w:color w:val="000000"/>
        </w:rPr>
        <w:t xml:space="preserve"> </w:t>
      </w:r>
      <w:r w:rsidRPr="00A03D99">
        <w:rPr>
          <w:color w:val="000000"/>
        </w:rPr>
        <w:t>although for some cases of growth retardation there was limited information</w:t>
      </w:r>
      <w:r w:rsidRPr="00A03D99">
        <w:rPr>
          <w:color w:val="0000FF"/>
        </w:rPr>
        <w:t xml:space="preserve">. </w:t>
      </w:r>
      <w:r w:rsidRPr="00A03D99">
        <w:t xml:space="preserve">(see </w:t>
      </w:r>
      <w:r w:rsidR="00D64C3B" w:rsidRPr="00A03D99">
        <w:rPr>
          <w:szCs w:val="24"/>
        </w:rPr>
        <w:t>PRECAUTIONS</w:t>
      </w:r>
      <w:r w:rsidRPr="00A03D99">
        <w:t xml:space="preserve">). </w:t>
      </w:r>
    </w:p>
    <w:p w:rsidR="003473B8" w:rsidRPr="00A03D99" w:rsidRDefault="003473B8" w:rsidP="00D71D4F">
      <w:pPr>
        <w:pStyle w:val="Heading3"/>
      </w:pPr>
      <w:r w:rsidRPr="00A03D99">
        <w:t>Severe respiratory adverse drug reaction</w:t>
      </w:r>
    </w:p>
    <w:p w:rsidR="003473B8" w:rsidRPr="00800EE3" w:rsidRDefault="003473B8" w:rsidP="003473B8">
      <w:pPr>
        <w:pStyle w:val="Text"/>
      </w:pPr>
      <w:r w:rsidRPr="00A03D99">
        <w:t>Severe respiratory events, sometimes fatal, have been observed with Glivec treatment, including acute respiratory failure, pulmonary hypertension, interstitial lung disease and pulmonary fibrosis. Pre-existing cardiac or pulmonary conditions that may be associated with severe respiratory events have been reported in many of these cases</w:t>
      </w:r>
      <w:r w:rsidRPr="00A03D99">
        <w:rPr>
          <w:color w:val="0000FF"/>
        </w:rPr>
        <w:t>.</w:t>
      </w:r>
      <w:r w:rsidR="0030405B">
        <w:rPr>
          <w:color w:val="0000FF"/>
        </w:rPr>
        <w:t xml:space="preserve"> </w:t>
      </w:r>
    </w:p>
    <w:p w:rsidR="00014579" w:rsidRPr="00057C4C" w:rsidRDefault="00014579" w:rsidP="00D71D4F">
      <w:pPr>
        <w:pStyle w:val="Heading3"/>
      </w:pPr>
      <w:r w:rsidRPr="00057C4C">
        <w:t>Laboratory test abnormalities:</w:t>
      </w:r>
    </w:p>
    <w:p w:rsidR="00014579" w:rsidRPr="00057C4C" w:rsidRDefault="00014579" w:rsidP="00273382">
      <w:pPr>
        <w:pStyle w:val="Text"/>
        <w:spacing w:after="120"/>
        <w:jc w:val="left"/>
      </w:pPr>
      <w:r w:rsidRPr="00057C4C">
        <w:t xml:space="preserve">In adult patients with CML, cytopenias, particularly neutropenia and thrombocytopenia, have been a consistent finding in all studies, with the suggestion of a higher frequency at high doses </w:t>
      </w:r>
      <w:r w:rsidRPr="00057C4C">
        <w:sym w:font="Symbol" w:char="F0B3"/>
      </w:r>
      <w:r w:rsidRPr="00057C4C">
        <w:t xml:space="preserve"> 750 mg (Phase I study). However, the occurrence of cytopenias was also clearly dependent on the stage of the disease (refer Table </w:t>
      </w:r>
      <w:r w:rsidR="00D0792A" w:rsidRPr="00057C4C">
        <w:t>1</w:t>
      </w:r>
      <w:r w:rsidR="00B83415">
        <w:t>3</w:t>
      </w:r>
      <w:r w:rsidR="00D0792A" w:rsidRPr="00057C4C">
        <w:t xml:space="preserve"> </w:t>
      </w:r>
      <w:r w:rsidR="001D678F" w:rsidRPr="00057C4C">
        <w:t>and</w:t>
      </w:r>
      <w:r w:rsidR="00D0792A" w:rsidRPr="00057C4C">
        <w:t xml:space="preserve"> 1</w:t>
      </w:r>
      <w:r w:rsidR="00B83415">
        <w:t>4</w:t>
      </w:r>
      <w:r w:rsidRPr="00057C4C">
        <w:t xml:space="preserve">). In patients with newly diagnosed CML, cytopenias were less frequent than in the other CML patients, the frequency of </w:t>
      </w:r>
      <w:r w:rsidR="00D74B3F" w:rsidRPr="00057C4C">
        <w:t>G</w:t>
      </w:r>
      <w:r w:rsidRPr="00057C4C">
        <w:t>rade 3 or 4 neutropenias (ANC &lt;1.0x10</w:t>
      </w:r>
      <w:r w:rsidRPr="00057C4C">
        <w:rPr>
          <w:vertAlign w:val="superscript"/>
        </w:rPr>
        <w:t>9</w:t>
      </w:r>
      <w:r w:rsidRPr="00057C4C">
        <w:t>/L) and thrombocytopenias (platelet count &lt;50x10</w:t>
      </w:r>
      <w:r w:rsidRPr="00057C4C">
        <w:rPr>
          <w:vertAlign w:val="superscript"/>
        </w:rPr>
        <w:t>9</w:t>
      </w:r>
      <w:r w:rsidRPr="00057C4C">
        <w:t xml:space="preserve">/L) being between 4 and 6 times higher in blast crisis and accelerated phase as compared to newly diagnosed patients in chronic phase CML (refer </w:t>
      </w:r>
      <w:r w:rsidRPr="006C6662">
        <w:t xml:space="preserve">Table </w:t>
      </w:r>
      <w:r w:rsidR="007F0916" w:rsidRPr="006C6662">
        <w:t>1</w:t>
      </w:r>
      <w:r w:rsidR="00BF776D" w:rsidRPr="006C6662">
        <w:t>7</w:t>
      </w:r>
      <w:r w:rsidR="007F0916" w:rsidRPr="006C6662">
        <w:t xml:space="preserve"> </w:t>
      </w:r>
      <w:r w:rsidR="001D678F" w:rsidRPr="006C6662">
        <w:t>and</w:t>
      </w:r>
      <w:r w:rsidR="00D0792A" w:rsidRPr="006C6662">
        <w:t xml:space="preserve"> </w:t>
      </w:r>
      <w:r w:rsidR="007F0916" w:rsidRPr="006C6662">
        <w:t>1</w:t>
      </w:r>
      <w:r w:rsidR="00BF776D" w:rsidRPr="006C6662">
        <w:t>8</w:t>
      </w:r>
      <w:r w:rsidRPr="006C6662">
        <w:t>).</w:t>
      </w:r>
      <w:r w:rsidRPr="00057C4C">
        <w:t xml:space="preserve"> In the randomised Phase </w:t>
      </w:r>
      <w:smartTag w:uri="urn:schemas-microsoft-com:office:smarttags" w:element="stockticker">
        <w:r w:rsidRPr="00057C4C">
          <w:t>III</w:t>
        </w:r>
      </w:smartTag>
      <w:r w:rsidRPr="00057C4C">
        <w:t xml:space="preserve"> study in newly diagnosed CML patients, the median time to onset of neutropenia and thrombocytopenia was 44 days (range 7-463) and 43 days (range 8-421), respectively. The median duration of the neutropenic and thrombocytopenic episodes usually ranged from 2 to 3 weeks, and from 3 to 4 weeks, respectively. These events can usually be managed with either a reduction of the dose or an interruption of treatment with Glivec, but can in rare cases lead to permanent discontinuation of treatment.</w:t>
      </w:r>
    </w:p>
    <w:p w:rsidR="002419FE" w:rsidRPr="00057C4C" w:rsidRDefault="002419FE" w:rsidP="002419FE">
      <w:pPr>
        <w:pStyle w:val="Text"/>
        <w:spacing w:after="120"/>
        <w:jc w:val="left"/>
      </w:pPr>
      <w:r w:rsidRPr="00057C4C">
        <w:rPr>
          <w:lang w:val="en-GB"/>
        </w:rPr>
        <w:lastRenderedPageBreak/>
        <w:t xml:space="preserve">In paediatric CML patients the </w:t>
      </w:r>
      <w:r w:rsidRPr="00057C4C">
        <w:t>most frequent toxicities observed were Grade 3 or 4 cytopenias involving neutropenia, thrombocytopenia and an</w:t>
      </w:r>
      <w:r w:rsidR="00B83415">
        <w:t>a</w:t>
      </w:r>
      <w:r w:rsidRPr="00057C4C">
        <w:t>emia. These generally occur within the first several months of therapy.</w:t>
      </w:r>
    </w:p>
    <w:p w:rsidR="00014579" w:rsidRPr="00057C4C" w:rsidRDefault="00014579" w:rsidP="002419FE">
      <w:pPr>
        <w:pStyle w:val="Text"/>
        <w:spacing w:after="120"/>
        <w:jc w:val="left"/>
      </w:pPr>
      <w:r w:rsidRPr="00057C4C">
        <w:t xml:space="preserve">In patients with </w:t>
      </w:r>
      <w:r w:rsidR="00ED26A1" w:rsidRPr="00057C4C">
        <w:rPr>
          <w:lang w:val="en-GB"/>
        </w:rPr>
        <w:t xml:space="preserve">unresectable or metastatic malignant </w:t>
      </w:r>
      <w:r w:rsidRPr="00057C4C">
        <w:t>GIST</w:t>
      </w:r>
      <w:r w:rsidR="00ED26A1" w:rsidRPr="00057C4C">
        <w:t xml:space="preserve"> </w:t>
      </w:r>
      <w:r w:rsidR="00ED26A1" w:rsidRPr="00057C4C">
        <w:rPr>
          <w:lang w:val="en-GB"/>
        </w:rPr>
        <w:t>(study B2222)</w:t>
      </w:r>
      <w:r w:rsidRPr="00057C4C">
        <w:t xml:space="preserve">, </w:t>
      </w:r>
      <w:r w:rsidR="00D74B3F" w:rsidRPr="00057C4C">
        <w:t>G</w:t>
      </w:r>
      <w:r w:rsidRPr="00057C4C">
        <w:rPr>
          <w:rFonts w:eastAsia="MS Mincho"/>
        </w:rPr>
        <w:t xml:space="preserve">rade 3 and 4 anaemias were reported in </w:t>
      </w:r>
      <w:r w:rsidR="00D74B3F" w:rsidRPr="00057C4C">
        <w:rPr>
          <w:rFonts w:eastAsia="MS Mincho"/>
        </w:rPr>
        <w:t>5.4</w:t>
      </w:r>
      <w:r w:rsidRPr="00057C4C">
        <w:rPr>
          <w:rFonts w:eastAsia="MS Mincho"/>
        </w:rPr>
        <w:t xml:space="preserve">% and 0.7% of patients, respectively, and may have been related to gastrointestinal or intra-tumoural bleeding in at least some of these patients. Grade 3 and 4 neutropenias were seen in </w:t>
      </w:r>
      <w:r w:rsidR="00D74B3F" w:rsidRPr="00057C4C">
        <w:rPr>
          <w:rFonts w:eastAsia="MS Mincho"/>
        </w:rPr>
        <w:t>7.5</w:t>
      </w:r>
      <w:r w:rsidRPr="00057C4C">
        <w:rPr>
          <w:rFonts w:eastAsia="MS Mincho"/>
        </w:rPr>
        <w:t xml:space="preserve">% and </w:t>
      </w:r>
      <w:r w:rsidR="00D74B3F" w:rsidRPr="00057C4C">
        <w:rPr>
          <w:rFonts w:eastAsia="MS Mincho"/>
        </w:rPr>
        <w:t>2.7</w:t>
      </w:r>
      <w:r w:rsidRPr="00057C4C">
        <w:rPr>
          <w:rFonts w:eastAsia="MS Mincho"/>
        </w:rPr>
        <w:t xml:space="preserve">% of patients, respectively, and </w:t>
      </w:r>
      <w:r w:rsidR="00D74B3F" w:rsidRPr="00057C4C">
        <w:rPr>
          <w:rFonts w:eastAsia="MS Mincho"/>
        </w:rPr>
        <w:t>G</w:t>
      </w:r>
      <w:r w:rsidRPr="00057C4C">
        <w:rPr>
          <w:rFonts w:eastAsia="MS Mincho"/>
        </w:rPr>
        <w:t xml:space="preserve">rade 3 thrombocytopenia in 0.7% of patients. No patient developed </w:t>
      </w:r>
      <w:r w:rsidR="00D74B3F" w:rsidRPr="00057C4C">
        <w:rPr>
          <w:rFonts w:eastAsia="MS Mincho"/>
        </w:rPr>
        <w:t>G</w:t>
      </w:r>
      <w:r w:rsidRPr="00057C4C">
        <w:rPr>
          <w:rFonts w:eastAsia="MS Mincho"/>
        </w:rPr>
        <w:t xml:space="preserve">rade 4 thrombocytopenia (see </w:t>
      </w:r>
      <w:r w:rsidRPr="006C6662">
        <w:rPr>
          <w:rFonts w:eastAsia="MS Mincho"/>
        </w:rPr>
        <w:t xml:space="preserve">Table </w:t>
      </w:r>
      <w:r w:rsidR="007F0916" w:rsidRPr="006C6662">
        <w:rPr>
          <w:rFonts w:eastAsia="MS Mincho"/>
        </w:rPr>
        <w:t>1</w:t>
      </w:r>
      <w:r w:rsidR="00BF776D" w:rsidRPr="006C6662">
        <w:rPr>
          <w:rFonts w:eastAsia="MS Mincho"/>
        </w:rPr>
        <w:t>9</w:t>
      </w:r>
      <w:r w:rsidRPr="006C6662">
        <w:rPr>
          <w:rFonts w:eastAsia="MS Mincho"/>
        </w:rPr>
        <w:t>)</w:t>
      </w:r>
      <w:r w:rsidRPr="006C6662">
        <w:t>. The</w:t>
      </w:r>
      <w:r w:rsidRPr="00057C4C">
        <w:t xml:space="preserve"> decreases in WBC and neutrophil counts occurred mainly during the first six weeks of therapy, with values remaining relatively stable thereafter. </w:t>
      </w:r>
    </w:p>
    <w:p w:rsidR="00797016" w:rsidRPr="00E856D9" w:rsidRDefault="00797016" w:rsidP="00273382">
      <w:pPr>
        <w:pStyle w:val="Text"/>
        <w:spacing w:after="120"/>
        <w:jc w:val="left"/>
      </w:pPr>
      <w:r w:rsidRPr="00E856D9">
        <w:t xml:space="preserve">In patients with CML, </w:t>
      </w:r>
      <w:r w:rsidR="00E94C59" w:rsidRPr="00E856D9">
        <w:t>grade 3 or 4</w:t>
      </w:r>
      <w:r w:rsidR="00014579" w:rsidRPr="00E856D9">
        <w:t xml:space="preserve"> elevation</w:t>
      </w:r>
      <w:r w:rsidR="00E94C59" w:rsidRPr="00E856D9">
        <w:t>s</w:t>
      </w:r>
      <w:r w:rsidR="00014579" w:rsidRPr="00E856D9">
        <w:t xml:space="preserve"> of </w:t>
      </w:r>
      <w:r w:rsidRPr="00E856D9">
        <w:t xml:space="preserve">serum </w:t>
      </w:r>
      <w:r w:rsidR="00014579" w:rsidRPr="00E856D9">
        <w:t>transaminases</w:t>
      </w:r>
      <w:r w:rsidRPr="00E856D9">
        <w:t xml:space="preserve"> was common and </w:t>
      </w:r>
      <w:r w:rsidR="00E94C59" w:rsidRPr="00E856D9">
        <w:t>grade 3 or 4</w:t>
      </w:r>
      <w:r w:rsidRPr="00E856D9">
        <w:t xml:space="preserve"> elevation of serum</w:t>
      </w:r>
      <w:r w:rsidR="00014579" w:rsidRPr="00E856D9">
        <w:t xml:space="preserve"> bilirubin was uncommon (see Table</w:t>
      </w:r>
      <w:r w:rsidRPr="00E856D9">
        <w:t>s</w:t>
      </w:r>
      <w:r w:rsidR="00014579" w:rsidRPr="00E856D9">
        <w:t xml:space="preserve"> </w:t>
      </w:r>
      <w:r w:rsidR="00512F9A" w:rsidRPr="00E856D9">
        <w:t>1</w:t>
      </w:r>
      <w:r w:rsidR="009E7387" w:rsidRPr="00E856D9">
        <w:t>7</w:t>
      </w:r>
      <w:r w:rsidRPr="00E856D9">
        <w:t>-18</w:t>
      </w:r>
      <w:r w:rsidR="00014579" w:rsidRPr="00E856D9">
        <w:t>)</w:t>
      </w:r>
      <w:r w:rsidR="00E94C59" w:rsidRPr="00E856D9">
        <w:t>, except for patients with CML in accelerated phase or blast crisis, where grade 3 elevations were common.</w:t>
      </w:r>
      <w:r w:rsidRPr="00E856D9">
        <w:t xml:space="preserve"> T</w:t>
      </w:r>
      <w:r w:rsidR="00014579" w:rsidRPr="00E856D9">
        <w:t xml:space="preserve">he median duration of these episodes was approximately one week. Treatment was discontinued permanently because of liver laboratory abnormalities in less than 0.5% of </w:t>
      </w:r>
      <w:r w:rsidR="00DD6219" w:rsidRPr="00E856D9">
        <w:t xml:space="preserve">CML </w:t>
      </w:r>
      <w:r w:rsidR="00014579" w:rsidRPr="00E856D9">
        <w:t xml:space="preserve">patients. </w:t>
      </w:r>
    </w:p>
    <w:p w:rsidR="00A1295F" w:rsidRPr="00E856D9" w:rsidRDefault="00DD6219" w:rsidP="00273382">
      <w:pPr>
        <w:pStyle w:val="Text"/>
        <w:spacing w:after="120"/>
        <w:jc w:val="left"/>
      </w:pPr>
      <w:r w:rsidRPr="00E856D9">
        <w:rPr>
          <w:lang w:val="en-GB"/>
        </w:rPr>
        <w:t xml:space="preserve">In </w:t>
      </w:r>
      <w:r w:rsidR="0078601B" w:rsidRPr="00E856D9">
        <w:rPr>
          <w:lang w:val="en-GB"/>
        </w:rPr>
        <w:t xml:space="preserve">patients with advanced or metatstatic </w:t>
      </w:r>
      <w:r w:rsidRPr="00E856D9">
        <w:rPr>
          <w:lang w:val="en-GB"/>
        </w:rPr>
        <w:t>GIST</w:t>
      </w:r>
      <w:r w:rsidRPr="00E856D9">
        <w:t xml:space="preserve">, </w:t>
      </w:r>
      <w:r w:rsidR="00E94C59" w:rsidRPr="00E856D9">
        <w:t>grade 3 or 4</w:t>
      </w:r>
      <w:r w:rsidRPr="00E856D9">
        <w:rPr>
          <w:b/>
          <w:bCs/>
        </w:rPr>
        <w:t xml:space="preserve"> </w:t>
      </w:r>
      <w:r w:rsidRPr="00E856D9">
        <w:t xml:space="preserve">elevations </w:t>
      </w:r>
      <w:r w:rsidR="00797016" w:rsidRPr="00E856D9">
        <w:t xml:space="preserve">of serum transminases or bilirubin </w:t>
      </w:r>
      <w:r w:rsidR="00E94C59" w:rsidRPr="00E856D9">
        <w:t>were</w:t>
      </w:r>
      <w:r w:rsidR="00797016" w:rsidRPr="00E856D9">
        <w:t xml:space="preserve"> common (Table 19)</w:t>
      </w:r>
      <w:r w:rsidRPr="00E856D9">
        <w:t xml:space="preserve">.  </w:t>
      </w:r>
      <w:bookmarkEnd w:id="6"/>
      <w:r w:rsidR="0078601B" w:rsidRPr="00E856D9">
        <w:t>In patients with GIST treated in the adjuvant setting,  Grade 3 or 4</w:t>
      </w:r>
      <w:r w:rsidR="00797016" w:rsidRPr="00E856D9">
        <w:rPr>
          <w:strike/>
        </w:rPr>
        <w:t xml:space="preserve"> </w:t>
      </w:r>
      <w:r w:rsidR="0078601B" w:rsidRPr="00E856D9">
        <w:t xml:space="preserve">elevations </w:t>
      </w:r>
      <w:r w:rsidR="00C000BD" w:rsidRPr="00E856D9">
        <w:t xml:space="preserve">of serum transminases was common </w:t>
      </w:r>
      <w:r w:rsidR="0078601B" w:rsidRPr="00E856D9">
        <w:t xml:space="preserve">and </w:t>
      </w:r>
      <w:r w:rsidR="00E94C59" w:rsidRPr="00E856D9">
        <w:t>grade 3 or 4</w:t>
      </w:r>
      <w:r w:rsidR="00C000BD" w:rsidRPr="00E856D9">
        <w:t xml:space="preserve"> elevation</w:t>
      </w:r>
      <w:r w:rsidR="00E94C59" w:rsidRPr="00E856D9">
        <w:t>s</w:t>
      </w:r>
      <w:r w:rsidR="00C000BD" w:rsidRPr="00E856D9">
        <w:t xml:space="preserve"> of serum </w:t>
      </w:r>
      <w:r w:rsidR="0078601B" w:rsidRPr="00E856D9">
        <w:t xml:space="preserve">bilirubin </w:t>
      </w:r>
      <w:r w:rsidR="00C000BD" w:rsidRPr="00E856D9">
        <w:t xml:space="preserve">was </w:t>
      </w:r>
      <w:r w:rsidR="0078601B" w:rsidRPr="00E856D9">
        <w:t xml:space="preserve">absent </w:t>
      </w:r>
      <w:r w:rsidR="00C000BD" w:rsidRPr="00E856D9">
        <w:t>(Table 20)</w:t>
      </w:r>
      <w:r w:rsidR="0078601B" w:rsidRPr="00E856D9">
        <w:t xml:space="preserve">. </w:t>
      </w:r>
    </w:p>
    <w:p w:rsidR="00C000BD" w:rsidRDefault="00E94C59" w:rsidP="00C000BD">
      <w:pPr>
        <w:pStyle w:val="Text"/>
        <w:spacing w:after="120"/>
        <w:jc w:val="left"/>
        <w:rPr>
          <w:lang w:val="en-GB"/>
        </w:rPr>
      </w:pPr>
      <w:r w:rsidRPr="00E856D9">
        <w:rPr>
          <w:lang w:val="en-GB"/>
        </w:rPr>
        <w:t xml:space="preserve">Grade 3 or 4 </w:t>
      </w:r>
      <w:r w:rsidR="00C000BD" w:rsidRPr="00E856D9">
        <w:rPr>
          <w:lang w:val="en-GB"/>
        </w:rPr>
        <w:t>elevation</w:t>
      </w:r>
      <w:r w:rsidRPr="00E856D9">
        <w:rPr>
          <w:lang w:val="en-GB"/>
        </w:rPr>
        <w:t>s</w:t>
      </w:r>
      <w:r w:rsidR="00C000BD" w:rsidRPr="00E856D9">
        <w:rPr>
          <w:lang w:val="en-GB"/>
        </w:rPr>
        <w:t xml:space="preserve"> of serum transaminases or bilirubin </w:t>
      </w:r>
      <w:r w:rsidRPr="00E856D9">
        <w:rPr>
          <w:lang w:val="en-GB"/>
        </w:rPr>
        <w:t>are</w:t>
      </w:r>
      <w:r w:rsidR="00C000BD" w:rsidRPr="00E856D9">
        <w:rPr>
          <w:lang w:val="en-GB"/>
        </w:rPr>
        <w:t xml:space="preserve"> usually managed with dose reduction or interruption.  There have been cases of cytolytic and cholestatic hepatitis and hepatic failure, some of which have been fatal (see PRECAUTIONS – Hepatotoxicity).</w:t>
      </w:r>
    </w:p>
    <w:p w:rsidR="00DD6219" w:rsidRPr="00057C4C" w:rsidRDefault="00512F9A" w:rsidP="00616160">
      <w:pPr>
        <w:pStyle w:val="Text"/>
        <w:spacing w:after="120"/>
        <w:jc w:val="center"/>
      </w:pPr>
      <w:r w:rsidRPr="00057C4C">
        <w:rPr>
          <w:b/>
        </w:rPr>
        <w:t>Table</w:t>
      </w:r>
      <w:r w:rsidR="00215743" w:rsidRPr="00057C4C">
        <w:rPr>
          <w:b/>
        </w:rPr>
        <w:t xml:space="preserve"> </w:t>
      </w:r>
      <w:r w:rsidRPr="00057C4C">
        <w:rPr>
          <w:b/>
        </w:rPr>
        <w:t>1</w:t>
      </w:r>
      <w:r w:rsidR="009E7387">
        <w:rPr>
          <w:b/>
        </w:rPr>
        <w:t>7</w:t>
      </w:r>
      <w:r w:rsidRPr="00057C4C">
        <w:rPr>
          <w:b/>
        </w:rPr>
        <w:t xml:space="preserve"> </w:t>
      </w:r>
      <w:r w:rsidR="00014579" w:rsidRPr="00057C4C">
        <w:rPr>
          <w:b/>
        </w:rPr>
        <w:t>Laboratory Abnormalities in Clinical Trials</w:t>
      </w:r>
      <w:r w:rsidR="00DD6219" w:rsidRPr="00057C4C">
        <w:rPr>
          <w:b/>
        </w:rPr>
        <w:t xml:space="preserve"> with newly diagnosed CML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7"/>
        <w:gridCol w:w="1467"/>
        <w:gridCol w:w="1258"/>
        <w:gridCol w:w="1259"/>
        <w:gridCol w:w="1259"/>
      </w:tblGrid>
      <w:tr w:rsidR="00DD6219" w:rsidRPr="00057C4C" w:rsidTr="00073C62">
        <w:trPr>
          <w:trHeight w:val="350"/>
        </w:trPr>
        <w:tc>
          <w:tcPr>
            <w:tcW w:w="3197" w:type="dxa"/>
            <w:vMerge w:val="restart"/>
            <w:shd w:val="clear" w:color="auto" w:fill="E0E0E0"/>
          </w:tcPr>
          <w:p w:rsidR="00DD6219" w:rsidRPr="00CC0663" w:rsidRDefault="00DD6219" w:rsidP="00073C62">
            <w:pPr>
              <w:pStyle w:val="Table0"/>
              <w:tabs>
                <w:tab w:val="clear" w:pos="284"/>
              </w:tabs>
              <w:spacing w:before="60" w:after="60"/>
              <w:rPr>
                <w:rFonts w:ascii="Times New Roman" w:hAnsi="Times New Roman"/>
                <w:b/>
                <w:lang w:val="en-AU"/>
              </w:rPr>
            </w:pPr>
          </w:p>
        </w:tc>
        <w:tc>
          <w:tcPr>
            <w:tcW w:w="2725" w:type="dxa"/>
            <w:gridSpan w:val="2"/>
            <w:vMerge w:val="restart"/>
            <w:shd w:val="clear" w:color="auto" w:fill="E0E0E0"/>
          </w:tcPr>
          <w:p w:rsidR="00DD6219" w:rsidRPr="00057C4C" w:rsidRDefault="00DD6219" w:rsidP="00073C62">
            <w:pPr>
              <w:pStyle w:val="Table0"/>
              <w:tabs>
                <w:tab w:val="clear" w:pos="284"/>
              </w:tabs>
              <w:spacing w:before="60" w:after="60"/>
              <w:jc w:val="center"/>
              <w:rPr>
                <w:rFonts w:ascii="Times New Roman" w:hAnsi="Times New Roman"/>
                <w:b/>
                <w:lang w:val="pt-BR"/>
              </w:rPr>
            </w:pPr>
            <w:r w:rsidRPr="00057C4C">
              <w:rPr>
                <w:rFonts w:ascii="Times New Roman" w:hAnsi="Times New Roman"/>
                <w:b/>
                <w:lang w:val="pt-BR"/>
              </w:rPr>
              <w:t>Glivec</w:t>
            </w:r>
            <w:r w:rsidRPr="00057C4C">
              <w:rPr>
                <w:rFonts w:ascii="Times New Roman" w:hAnsi="Times New Roman"/>
                <w:b/>
                <w:vertAlign w:val="superscript"/>
                <w:lang w:val="pt-BR"/>
              </w:rPr>
              <w:t>®</w:t>
            </w:r>
            <w:r w:rsidR="00E4309F" w:rsidRPr="00057C4C">
              <w:rPr>
                <w:rFonts w:ascii="Times New Roman" w:hAnsi="Times New Roman"/>
                <w:b/>
                <w:lang w:val="pt-BR"/>
              </w:rPr>
              <w:br/>
            </w:r>
            <w:r w:rsidRPr="00057C4C">
              <w:rPr>
                <w:rFonts w:ascii="Times New Roman" w:hAnsi="Times New Roman"/>
                <w:b/>
                <w:lang w:val="pt-BR"/>
              </w:rPr>
              <w:t>N=551</w:t>
            </w:r>
            <w:r w:rsidR="00E4309F" w:rsidRPr="00057C4C">
              <w:rPr>
                <w:rFonts w:ascii="Times New Roman" w:hAnsi="Times New Roman"/>
                <w:b/>
                <w:lang w:val="pt-BR"/>
              </w:rPr>
              <w:br/>
            </w:r>
            <w:r w:rsidRPr="00057C4C">
              <w:rPr>
                <w:rFonts w:ascii="Times New Roman" w:hAnsi="Times New Roman"/>
                <w:b/>
                <w:lang w:val="sv-SE"/>
              </w:rPr>
              <w:t>%</w:t>
            </w:r>
          </w:p>
        </w:tc>
        <w:tc>
          <w:tcPr>
            <w:tcW w:w="2518" w:type="dxa"/>
            <w:gridSpan w:val="2"/>
            <w:vMerge w:val="restart"/>
            <w:shd w:val="clear" w:color="auto" w:fill="E0E0E0"/>
          </w:tcPr>
          <w:p w:rsidR="00DD6219" w:rsidRPr="00057C4C" w:rsidRDefault="00DD6219" w:rsidP="00073C62">
            <w:pPr>
              <w:pStyle w:val="Table0"/>
              <w:tabs>
                <w:tab w:val="clear" w:pos="284"/>
              </w:tabs>
              <w:spacing w:before="60" w:after="60"/>
              <w:jc w:val="center"/>
              <w:rPr>
                <w:rFonts w:ascii="Times New Roman" w:hAnsi="Times New Roman"/>
                <w:b/>
                <w:lang w:val="pt-BR"/>
              </w:rPr>
            </w:pPr>
            <w:r w:rsidRPr="00057C4C">
              <w:rPr>
                <w:rFonts w:ascii="Times New Roman" w:hAnsi="Times New Roman"/>
                <w:b/>
                <w:lang w:val="pt-BR"/>
              </w:rPr>
              <w:t>IFN+Ara</w:t>
            </w:r>
            <w:r w:rsidRPr="00057C4C">
              <w:rPr>
                <w:rFonts w:ascii="Times New Roman" w:hAnsi="Times New Roman"/>
                <w:b/>
                <w:lang w:val="pt-BR"/>
              </w:rPr>
              <w:noBreakHyphen/>
              <w:t>C</w:t>
            </w:r>
            <w:r w:rsidR="00E4309F" w:rsidRPr="00057C4C">
              <w:rPr>
                <w:rFonts w:ascii="Times New Roman" w:hAnsi="Times New Roman"/>
                <w:b/>
                <w:lang w:val="pt-BR"/>
              </w:rPr>
              <w:br/>
            </w:r>
            <w:r w:rsidRPr="00057C4C">
              <w:rPr>
                <w:rFonts w:ascii="Times New Roman" w:hAnsi="Times New Roman"/>
                <w:b/>
                <w:lang w:val="pt-BR"/>
              </w:rPr>
              <w:t>N=533</w:t>
            </w:r>
            <w:r w:rsidR="00E4309F" w:rsidRPr="00057C4C">
              <w:rPr>
                <w:rFonts w:ascii="Times New Roman" w:hAnsi="Times New Roman"/>
                <w:b/>
                <w:lang w:val="pt-BR"/>
              </w:rPr>
              <w:br/>
            </w:r>
            <w:r w:rsidRPr="00057C4C">
              <w:rPr>
                <w:rFonts w:ascii="Times New Roman" w:hAnsi="Times New Roman"/>
                <w:b/>
                <w:lang w:val="sv-SE"/>
              </w:rPr>
              <w:t>%</w:t>
            </w:r>
          </w:p>
        </w:tc>
      </w:tr>
      <w:tr w:rsidR="00DD6219" w:rsidRPr="00057C4C" w:rsidTr="00073C62">
        <w:trPr>
          <w:trHeight w:val="350"/>
        </w:trPr>
        <w:tc>
          <w:tcPr>
            <w:tcW w:w="3197" w:type="dxa"/>
            <w:vMerge/>
            <w:shd w:val="clear" w:color="auto" w:fill="E0E0E0"/>
          </w:tcPr>
          <w:p w:rsidR="00DD6219" w:rsidRPr="00057C4C" w:rsidRDefault="00DD6219" w:rsidP="00073C62">
            <w:pPr>
              <w:pStyle w:val="Table0"/>
              <w:tabs>
                <w:tab w:val="clear" w:pos="284"/>
              </w:tabs>
              <w:spacing w:before="60" w:after="60"/>
              <w:rPr>
                <w:rFonts w:ascii="Times New Roman" w:hAnsi="Times New Roman"/>
                <w:b/>
                <w:lang w:val="pt-BR"/>
              </w:rPr>
            </w:pPr>
          </w:p>
        </w:tc>
        <w:tc>
          <w:tcPr>
            <w:tcW w:w="2725" w:type="dxa"/>
            <w:gridSpan w:val="2"/>
            <w:vMerge/>
            <w:shd w:val="clear" w:color="auto" w:fill="E0E0E0"/>
          </w:tcPr>
          <w:p w:rsidR="00DD6219" w:rsidRPr="00057C4C" w:rsidRDefault="00DD6219" w:rsidP="00073C62">
            <w:pPr>
              <w:pStyle w:val="Table0"/>
              <w:spacing w:before="60" w:after="60"/>
              <w:rPr>
                <w:rFonts w:ascii="Times New Roman" w:hAnsi="Times New Roman"/>
                <w:b/>
                <w:lang w:val="pt-BR"/>
              </w:rPr>
            </w:pPr>
          </w:p>
        </w:tc>
        <w:tc>
          <w:tcPr>
            <w:tcW w:w="2518" w:type="dxa"/>
            <w:gridSpan w:val="2"/>
            <w:vMerge/>
            <w:shd w:val="clear" w:color="auto" w:fill="E0E0E0"/>
          </w:tcPr>
          <w:p w:rsidR="00DD6219" w:rsidRPr="00057C4C" w:rsidRDefault="00DD6219" w:rsidP="00073C62">
            <w:pPr>
              <w:pStyle w:val="Table0"/>
              <w:spacing w:before="60" w:after="60"/>
              <w:rPr>
                <w:rFonts w:ascii="Times New Roman" w:hAnsi="Times New Roman"/>
                <w:b/>
                <w:lang w:val="pt-BR"/>
              </w:rPr>
            </w:pPr>
          </w:p>
        </w:tc>
      </w:tr>
      <w:tr w:rsidR="00DD6219" w:rsidRPr="00057C4C" w:rsidTr="00073C62">
        <w:trPr>
          <w:trHeight w:val="350"/>
        </w:trPr>
        <w:tc>
          <w:tcPr>
            <w:tcW w:w="3197" w:type="dxa"/>
            <w:vMerge/>
            <w:shd w:val="clear" w:color="auto" w:fill="E0E0E0"/>
          </w:tcPr>
          <w:p w:rsidR="00DD6219" w:rsidRPr="00057C4C" w:rsidRDefault="00DD6219" w:rsidP="00073C62">
            <w:pPr>
              <w:pStyle w:val="Table0"/>
              <w:tabs>
                <w:tab w:val="clear" w:pos="284"/>
              </w:tabs>
              <w:spacing w:before="60" w:after="60"/>
              <w:rPr>
                <w:rFonts w:ascii="Times New Roman" w:hAnsi="Times New Roman"/>
                <w:b/>
                <w:lang w:val="pt-BR"/>
              </w:rPr>
            </w:pPr>
          </w:p>
        </w:tc>
        <w:tc>
          <w:tcPr>
            <w:tcW w:w="2725" w:type="dxa"/>
            <w:gridSpan w:val="2"/>
            <w:vMerge/>
            <w:shd w:val="clear" w:color="auto" w:fill="E0E0E0"/>
          </w:tcPr>
          <w:p w:rsidR="00DD6219" w:rsidRPr="00057C4C" w:rsidRDefault="00DD6219" w:rsidP="00073C62">
            <w:pPr>
              <w:pStyle w:val="Table0"/>
              <w:tabs>
                <w:tab w:val="clear" w:pos="284"/>
              </w:tabs>
              <w:spacing w:before="60" w:after="60"/>
              <w:rPr>
                <w:rFonts w:ascii="Times New Roman" w:hAnsi="Times New Roman"/>
                <w:b/>
                <w:lang w:val="sv-SE"/>
              </w:rPr>
            </w:pPr>
          </w:p>
        </w:tc>
        <w:tc>
          <w:tcPr>
            <w:tcW w:w="2518" w:type="dxa"/>
            <w:gridSpan w:val="2"/>
            <w:vMerge/>
            <w:shd w:val="clear" w:color="auto" w:fill="E0E0E0"/>
          </w:tcPr>
          <w:p w:rsidR="00DD6219" w:rsidRPr="00057C4C" w:rsidRDefault="00DD6219" w:rsidP="00073C62">
            <w:pPr>
              <w:pStyle w:val="Table0"/>
              <w:tabs>
                <w:tab w:val="clear" w:pos="284"/>
              </w:tabs>
              <w:spacing w:before="60" w:after="60"/>
              <w:rPr>
                <w:rFonts w:ascii="Times New Roman" w:hAnsi="Times New Roman"/>
                <w:b/>
                <w:lang w:val="sv-SE"/>
              </w:rPr>
            </w:pPr>
          </w:p>
        </w:tc>
      </w:tr>
      <w:tr w:rsidR="00DD6219" w:rsidRPr="00057C4C" w:rsidTr="00073C62">
        <w:trPr>
          <w:trHeight w:val="292"/>
        </w:trPr>
        <w:tc>
          <w:tcPr>
            <w:tcW w:w="3197" w:type="dxa"/>
          </w:tcPr>
          <w:p w:rsidR="00DD6219" w:rsidRPr="00057C4C" w:rsidRDefault="00DD6219" w:rsidP="00073C62">
            <w:pPr>
              <w:pStyle w:val="Table0"/>
              <w:tabs>
                <w:tab w:val="clear" w:pos="284"/>
              </w:tabs>
              <w:spacing w:before="60" w:after="60"/>
              <w:rPr>
                <w:rFonts w:ascii="Times New Roman" w:hAnsi="Times New Roman"/>
                <w:b/>
                <w:lang w:val="sv-SE"/>
              </w:rPr>
            </w:pPr>
            <w:r w:rsidRPr="00057C4C">
              <w:rPr>
                <w:rFonts w:ascii="Times New Roman" w:hAnsi="Times New Roman"/>
                <w:b/>
                <w:lang w:val="sv-SE"/>
              </w:rPr>
              <w:t>CTC Grades</w:t>
            </w:r>
          </w:p>
        </w:tc>
        <w:tc>
          <w:tcPr>
            <w:tcW w:w="1467" w:type="dxa"/>
          </w:tcPr>
          <w:p w:rsidR="00DD6219" w:rsidRPr="00057C4C" w:rsidRDefault="00DD6219" w:rsidP="00073C62">
            <w:pPr>
              <w:pStyle w:val="Table0"/>
              <w:tabs>
                <w:tab w:val="clear" w:pos="284"/>
              </w:tabs>
              <w:spacing w:before="60" w:after="60"/>
              <w:jc w:val="center"/>
              <w:rPr>
                <w:rFonts w:ascii="Times New Roman" w:hAnsi="Times New Roman"/>
                <w:b/>
                <w:lang w:val="sv-SE"/>
              </w:rPr>
            </w:pPr>
            <w:r w:rsidRPr="00057C4C">
              <w:rPr>
                <w:rFonts w:ascii="Times New Roman" w:hAnsi="Times New Roman"/>
                <w:b/>
                <w:lang w:val="sv-SE"/>
              </w:rPr>
              <w:t>3</w:t>
            </w:r>
          </w:p>
        </w:tc>
        <w:tc>
          <w:tcPr>
            <w:tcW w:w="1258" w:type="dxa"/>
          </w:tcPr>
          <w:p w:rsidR="00DD6219" w:rsidRPr="00057C4C" w:rsidRDefault="00DD6219" w:rsidP="00073C62">
            <w:pPr>
              <w:pStyle w:val="Table0"/>
              <w:tabs>
                <w:tab w:val="clear" w:pos="284"/>
              </w:tabs>
              <w:spacing w:before="60" w:after="60"/>
              <w:jc w:val="center"/>
              <w:rPr>
                <w:rFonts w:ascii="Times New Roman" w:hAnsi="Times New Roman"/>
                <w:b/>
                <w:lang w:val="sv-SE"/>
              </w:rPr>
            </w:pPr>
            <w:r w:rsidRPr="00057C4C">
              <w:rPr>
                <w:rFonts w:ascii="Times New Roman" w:hAnsi="Times New Roman"/>
                <w:b/>
                <w:lang w:val="sv-SE"/>
              </w:rPr>
              <w:t>4</w:t>
            </w:r>
          </w:p>
        </w:tc>
        <w:tc>
          <w:tcPr>
            <w:tcW w:w="1259" w:type="dxa"/>
          </w:tcPr>
          <w:p w:rsidR="00DD6219" w:rsidRPr="00057C4C" w:rsidRDefault="00DD6219" w:rsidP="00073C62">
            <w:pPr>
              <w:pStyle w:val="Table0"/>
              <w:tabs>
                <w:tab w:val="clear" w:pos="284"/>
              </w:tabs>
              <w:spacing w:before="60" w:after="60"/>
              <w:jc w:val="center"/>
              <w:rPr>
                <w:rFonts w:ascii="Times New Roman" w:hAnsi="Times New Roman"/>
                <w:b/>
                <w:lang w:val="sv-SE"/>
              </w:rPr>
            </w:pPr>
            <w:r w:rsidRPr="00057C4C">
              <w:rPr>
                <w:rFonts w:ascii="Times New Roman" w:hAnsi="Times New Roman"/>
                <w:b/>
                <w:lang w:val="sv-SE"/>
              </w:rPr>
              <w:t>3</w:t>
            </w:r>
          </w:p>
        </w:tc>
        <w:tc>
          <w:tcPr>
            <w:tcW w:w="1259" w:type="dxa"/>
          </w:tcPr>
          <w:p w:rsidR="00DD6219" w:rsidRPr="00057C4C" w:rsidRDefault="00DD6219" w:rsidP="00073C62">
            <w:pPr>
              <w:pStyle w:val="Table0"/>
              <w:tabs>
                <w:tab w:val="clear" w:pos="284"/>
              </w:tabs>
              <w:spacing w:before="60" w:after="60"/>
              <w:jc w:val="center"/>
              <w:rPr>
                <w:rFonts w:ascii="Times New Roman" w:hAnsi="Times New Roman"/>
                <w:b/>
                <w:lang w:val="sv-SE"/>
              </w:rPr>
            </w:pPr>
            <w:r w:rsidRPr="00057C4C">
              <w:rPr>
                <w:rFonts w:ascii="Times New Roman" w:hAnsi="Times New Roman"/>
                <w:b/>
                <w:lang w:val="sv-SE"/>
              </w:rPr>
              <w:t>4</w:t>
            </w:r>
          </w:p>
        </w:tc>
      </w:tr>
      <w:tr w:rsidR="00DD6219" w:rsidRPr="00057C4C" w:rsidTr="00073C62">
        <w:trPr>
          <w:trHeight w:val="292"/>
        </w:trPr>
        <w:tc>
          <w:tcPr>
            <w:tcW w:w="8440" w:type="dxa"/>
            <w:gridSpan w:val="5"/>
            <w:shd w:val="clear" w:color="auto" w:fill="E0E0E0"/>
          </w:tcPr>
          <w:p w:rsidR="00DD6219" w:rsidRPr="00CC0663" w:rsidRDefault="00DD6219" w:rsidP="00073C62">
            <w:pPr>
              <w:pStyle w:val="Table0"/>
              <w:tabs>
                <w:tab w:val="clear" w:pos="284"/>
              </w:tabs>
              <w:spacing w:before="60" w:after="60"/>
              <w:rPr>
                <w:rFonts w:ascii="Times New Roman" w:hAnsi="Times New Roman"/>
                <w:b/>
                <w:lang w:val="en-AU"/>
              </w:rPr>
            </w:pPr>
            <w:r w:rsidRPr="00CC0663">
              <w:rPr>
                <w:rFonts w:ascii="Times New Roman" w:hAnsi="Times New Roman"/>
                <w:b/>
                <w:lang w:val="en-AU"/>
              </w:rPr>
              <w:t>Haematology Parameters</w:t>
            </w:r>
          </w:p>
        </w:tc>
      </w:tr>
      <w:tr w:rsidR="00DD6219" w:rsidRPr="00057C4C" w:rsidTr="00073C62">
        <w:trPr>
          <w:trHeight w:val="246"/>
        </w:trPr>
        <w:tc>
          <w:tcPr>
            <w:tcW w:w="3197" w:type="dxa"/>
          </w:tcPr>
          <w:p w:rsidR="00DD6219" w:rsidRPr="00CC0663" w:rsidRDefault="00DD6219" w:rsidP="00073C62">
            <w:pPr>
              <w:pStyle w:val="Table0"/>
              <w:tabs>
                <w:tab w:val="clear" w:pos="284"/>
              </w:tabs>
              <w:spacing w:before="60" w:after="60"/>
              <w:rPr>
                <w:rFonts w:ascii="Times New Roman" w:hAnsi="Times New Roman"/>
                <w:lang w:val="en-AU"/>
              </w:rPr>
            </w:pPr>
            <w:r w:rsidRPr="00CC0663">
              <w:rPr>
                <w:rFonts w:ascii="Times New Roman" w:hAnsi="Times New Roman"/>
                <w:lang w:val="en-AU"/>
              </w:rPr>
              <w:noBreakHyphen/>
              <w:t xml:space="preserve"> Neutropenia*</w:t>
            </w:r>
          </w:p>
        </w:tc>
        <w:tc>
          <w:tcPr>
            <w:tcW w:w="1467"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12.3</w:t>
            </w:r>
          </w:p>
        </w:tc>
        <w:tc>
          <w:tcPr>
            <w:tcW w:w="1258"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3.1</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20.8</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4.3</w:t>
            </w:r>
          </w:p>
        </w:tc>
      </w:tr>
      <w:tr w:rsidR="00DD6219" w:rsidRPr="00057C4C" w:rsidTr="00073C62">
        <w:trPr>
          <w:trHeight w:val="261"/>
        </w:trPr>
        <w:tc>
          <w:tcPr>
            <w:tcW w:w="3197" w:type="dxa"/>
          </w:tcPr>
          <w:p w:rsidR="00DD6219" w:rsidRPr="00CC0663" w:rsidRDefault="00DD6219" w:rsidP="00073C62">
            <w:pPr>
              <w:pStyle w:val="Table0"/>
              <w:tabs>
                <w:tab w:val="clear" w:pos="284"/>
              </w:tabs>
              <w:spacing w:before="60" w:after="60"/>
              <w:rPr>
                <w:rFonts w:ascii="Times New Roman" w:hAnsi="Times New Roman"/>
                <w:lang w:val="en-AU"/>
              </w:rPr>
            </w:pPr>
            <w:r w:rsidRPr="00CC0663">
              <w:rPr>
                <w:rFonts w:ascii="Times New Roman" w:hAnsi="Times New Roman"/>
                <w:lang w:val="en-AU"/>
              </w:rPr>
              <w:t>- Thrombocytopenia*</w:t>
            </w:r>
          </w:p>
        </w:tc>
        <w:tc>
          <w:tcPr>
            <w:tcW w:w="1467"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8.3</w:t>
            </w:r>
          </w:p>
        </w:tc>
        <w:tc>
          <w:tcPr>
            <w:tcW w:w="1258"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0.2</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15.9</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0.6</w:t>
            </w:r>
          </w:p>
        </w:tc>
      </w:tr>
      <w:tr w:rsidR="00DD6219" w:rsidRPr="00057C4C" w:rsidTr="00073C62">
        <w:trPr>
          <w:trHeight w:val="246"/>
        </w:trPr>
        <w:tc>
          <w:tcPr>
            <w:tcW w:w="3197" w:type="dxa"/>
          </w:tcPr>
          <w:p w:rsidR="00DD6219" w:rsidRPr="00CC0663" w:rsidRDefault="00DD6219" w:rsidP="00073C62">
            <w:pPr>
              <w:pStyle w:val="Table0"/>
              <w:tabs>
                <w:tab w:val="clear" w:pos="284"/>
              </w:tabs>
              <w:spacing w:before="60" w:after="60"/>
              <w:rPr>
                <w:rFonts w:ascii="Times New Roman" w:hAnsi="Times New Roman"/>
                <w:lang w:val="en-AU"/>
              </w:rPr>
            </w:pPr>
            <w:r w:rsidRPr="00CC0663">
              <w:rPr>
                <w:rFonts w:ascii="Times New Roman" w:hAnsi="Times New Roman"/>
                <w:lang w:val="en-AU"/>
              </w:rPr>
              <w:noBreakHyphen/>
              <w:t xml:space="preserve"> Anaemia</w:t>
            </w:r>
          </w:p>
        </w:tc>
        <w:tc>
          <w:tcPr>
            <w:tcW w:w="1467"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3.1</w:t>
            </w:r>
          </w:p>
        </w:tc>
        <w:tc>
          <w:tcPr>
            <w:tcW w:w="1258"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0.9</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4.1</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0.2</w:t>
            </w:r>
          </w:p>
        </w:tc>
      </w:tr>
      <w:tr w:rsidR="00DD6219" w:rsidRPr="00057C4C" w:rsidTr="00073C62">
        <w:trPr>
          <w:trHeight w:val="246"/>
        </w:trPr>
        <w:tc>
          <w:tcPr>
            <w:tcW w:w="8440" w:type="dxa"/>
            <w:gridSpan w:val="5"/>
            <w:shd w:val="clear" w:color="auto" w:fill="E0E0E0"/>
          </w:tcPr>
          <w:p w:rsidR="00DD6219" w:rsidRPr="00CC0663" w:rsidRDefault="00DD6219" w:rsidP="00073C62">
            <w:pPr>
              <w:pStyle w:val="Table0"/>
              <w:tabs>
                <w:tab w:val="clear" w:pos="284"/>
              </w:tabs>
              <w:spacing w:before="60" w:after="60"/>
              <w:rPr>
                <w:rFonts w:ascii="Times New Roman" w:hAnsi="Times New Roman"/>
                <w:b/>
                <w:lang w:val="en-AU"/>
              </w:rPr>
            </w:pPr>
            <w:r w:rsidRPr="00CC0663">
              <w:rPr>
                <w:rFonts w:ascii="Times New Roman" w:hAnsi="Times New Roman"/>
                <w:b/>
                <w:lang w:val="en-AU"/>
              </w:rPr>
              <w:t>Biochemistry Parameters</w:t>
            </w:r>
          </w:p>
        </w:tc>
      </w:tr>
      <w:tr w:rsidR="00DD6219" w:rsidRPr="00057C4C" w:rsidTr="00073C62">
        <w:trPr>
          <w:trHeight w:val="261"/>
        </w:trPr>
        <w:tc>
          <w:tcPr>
            <w:tcW w:w="3197" w:type="dxa"/>
          </w:tcPr>
          <w:p w:rsidR="00DD6219" w:rsidRPr="00CC0663" w:rsidRDefault="00DD6219" w:rsidP="00073C62">
            <w:pPr>
              <w:pStyle w:val="Table0"/>
              <w:tabs>
                <w:tab w:val="clear" w:pos="284"/>
              </w:tabs>
              <w:spacing w:before="60" w:after="60"/>
              <w:rPr>
                <w:rFonts w:ascii="Times New Roman" w:hAnsi="Times New Roman"/>
                <w:lang w:val="en-AU"/>
              </w:rPr>
            </w:pPr>
            <w:r w:rsidRPr="00CC0663">
              <w:rPr>
                <w:rFonts w:ascii="Times New Roman" w:hAnsi="Times New Roman"/>
                <w:lang w:val="en-AU"/>
              </w:rPr>
              <w:noBreakHyphen/>
              <w:t xml:space="preserve"> Elevated Creatinine</w:t>
            </w:r>
          </w:p>
        </w:tc>
        <w:tc>
          <w:tcPr>
            <w:tcW w:w="1467"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w:t>
            </w:r>
          </w:p>
        </w:tc>
        <w:tc>
          <w:tcPr>
            <w:tcW w:w="1258"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0.4</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w:t>
            </w:r>
          </w:p>
        </w:tc>
      </w:tr>
      <w:tr w:rsidR="00DD6219" w:rsidRPr="00057C4C" w:rsidTr="00073C62">
        <w:trPr>
          <w:trHeight w:val="362"/>
        </w:trPr>
        <w:tc>
          <w:tcPr>
            <w:tcW w:w="3197" w:type="dxa"/>
          </w:tcPr>
          <w:p w:rsidR="00DD6219" w:rsidRPr="00CC0663" w:rsidRDefault="00DD6219" w:rsidP="00073C62">
            <w:pPr>
              <w:pStyle w:val="Table0"/>
              <w:tabs>
                <w:tab w:val="clear" w:pos="284"/>
              </w:tabs>
              <w:spacing w:before="60" w:after="60"/>
              <w:rPr>
                <w:rFonts w:ascii="Times New Roman" w:hAnsi="Times New Roman"/>
                <w:lang w:val="en-AU"/>
              </w:rPr>
            </w:pPr>
            <w:r w:rsidRPr="00CC0663">
              <w:rPr>
                <w:rFonts w:ascii="Times New Roman" w:hAnsi="Times New Roman"/>
                <w:lang w:val="en-AU"/>
              </w:rPr>
              <w:noBreakHyphen/>
              <w:t xml:space="preserve"> Elevated Bilirubin</w:t>
            </w:r>
          </w:p>
        </w:tc>
        <w:tc>
          <w:tcPr>
            <w:tcW w:w="1467"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0.7</w:t>
            </w:r>
          </w:p>
        </w:tc>
        <w:tc>
          <w:tcPr>
            <w:tcW w:w="1258"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0.2</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0.2</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w:t>
            </w:r>
          </w:p>
        </w:tc>
      </w:tr>
      <w:tr w:rsidR="00DD6219" w:rsidRPr="00057C4C" w:rsidTr="00073C62">
        <w:trPr>
          <w:trHeight w:val="532"/>
        </w:trPr>
        <w:tc>
          <w:tcPr>
            <w:tcW w:w="3197" w:type="dxa"/>
          </w:tcPr>
          <w:p w:rsidR="00DD6219" w:rsidRPr="00CC0663" w:rsidRDefault="00DD6219" w:rsidP="00073C62">
            <w:pPr>
              <w:pStyle w:val="Table0"/>
              <w:tabs>
                <w:tab w:val="clear" w:pos="284"/>
              </w:tabs>
              <w:spacing w:before="60" w:after="60"/>
              <w:rPr>
                <w:rFonts w:ascii="Times New Roman" w:hAnsi="Times New Roman"/>
                <w:lang w:val="en-AU"/>
              </w:rPr>
            </w:pPr>
            <w:r w:rsidRPr="00CC0663">
              <w:rPr>
                <w:rFonts w:ascii="Times New Roman" w:hAnsi="Times New Roman"/>
                <w:lang w:val="en-AU"/>
              </w:rPr>
              <w:noBreakHyphen/>
              <w:t xml:space="preserve"> Elevated Alkaline </w:t>
            </w:r>
          </w:p>
          <w:p w:rsidR="00DD6219" w:rsidRPr="00CC0663" w:rsidRDefault="00DD6219" w:rsidP="00073C62">
            <w:pPr>
              <w:pStyle w:val="Table0"/>
              <w:spacing w:before="60" w:after="60"/>
              <w:rPr>
                <w:rFonts w:ascii="Times New Roman" w:hAnsi="Times New Roman"/>
                <w:lang w:val="en-AU"/>
              </w:rPr>
            </w:pPr>
            <w:r w:rsidRPr="00CC0663">
              <w:rPr>
                <w:rFonts w:ascii="Times New Roman" w:hAnsi="Times New Roman"/>
                <w:lang w:val="en-AU"/>
              </w:rPr>
              <w:t xml:space="preserve">    Phosphatase</w:t>
            </w:r>
          </w:p>
        </w:tc>
        <w:tc>
          <w:tcPr>
            <w:tcW w:w="1467" w:type="dxa"/>
          </w:tcPr>
          <w:p w:rsidR="00DD6219" w:rsidRPr="00CC0663" w:rsidRDefault="00DD6219" w:rsidP="00073C62">
            <w:pPr>
              <w:pStyle w:val="Table0"/>
              <w:spacing w:before="60" w:after="60"/>
              <w:jc w:val="center"/>
              <w:rPr>
                <w:rFonts w:ascii="Times New Roman" w:hAnsi="Times New Roman"/>
                <w:lang w:val="en-AU"/>
              </w:rPr>
            </w:pPr>
            <w:r w:rsidRPr="00CC0663">
              <w:rPr>
                <w:rFonts w:ascii="Times New Roman" w:hAnsi="Times New Roman"/>
                <w:lang w:val="en-AU"/>
              </w:rPr>
              <w:t>0.2</w:t>
            </w:r>
          </w:p>
        </w:tc>
        <w:tc>
          <w:tcPr>
            <w:tcW w:w="1258" w:type="dxa"/>
          </w:tcPr>
          <w:p w:rsidR="00DD6219" w:rsidRPr="00CC0663" w:rsidRDefault="00DD621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c>
          <w:tcPr>
            <w:tcW w:w="1259" w:type="dxa"/>
          </w:tcPr>
          <w:p w:rsidR="00DD6219" w:rsidRPr="00CC0663" w:rsidRDefault="00DD6219" w:rsidP="00073C62">
            <w:pPr>
              <w:pStyle w:val="Table0"/>
              <w:spacing w:before="60" w:after="60"/>
              <w:jc w:val="center"/>
              <w:rPr>
                <w:rFonts w:ascii="Times New Roman" w:hAnsi="Times New Roman"/>
                <w:lang w:val="en-AU"/>
              </w:rPr>
            </w:pPr>
            <w:r w:rsidRPr="00CC0663">
              <w:rPr>
                <w:rFonts w:ascii="Times New Roman" w:hAnsi="Times New Roman"/>
                <w:lang w:val="en-AU"/>
              </w:rPr>
              <w:t>0.8</w:t>
            </w:r>
          </w:p>
        </w:tc>
        <w:tc>
          <w:tcPr>
            <w:tcW w:w="1259" w:type="dxa"/>
          </w:tcPr>
          <w:p w:rsidR="00DD6219" w:rsidRPr="00CC0663" w:rsidRDefault="00DD6219" w:rsidP="00073C62">
            <w:pPr>
              <w:pStyle w:val="Table0"/>
              <w:spacing w:before="60" w:after="60"/>
              <w:jc w:val="center"/>
              <w:rPr>
                <w:rFonts w:ascii="Times New Roman" w:hAnsi="Times New Roman"/>
                <w:lang w:val="en-AU"/>
              </w:rPr>
            </w:pPr>
            <w:r w:rsidRPr="00CC0663">
              <w:rPr>
                <w:rFonts w:ascii="Times New Roman" w:hAnsi="Times New Roman"/>
                <w:lang w:val="en-AU"/>
              </w:rPr>
              <w:t>0</w:t>
            </w:r>
          </w:p>
        </w:tc>
      </w:tr>
      <w:tr w:rsidR="00DD6219" w:rsidRPr="00057C4C" w:rsidTr="00073C62">
        <w:trPr>
          <w:trHeight w:val="261"/>
        </w:trPr>
        <w:tc>
          <w:tcPr>
            <w:tcW w:w="3197" w:type="dxa"/>
          </w:tcPr>
          <w:p w:rsidR="00DD6219" w:rsidRPr="00CC0663" w:rsidRDefault="00DD6219" w:rsidP="00073C62">
            <w:pPr>
              <w:pStyle w:val="Table0"/>
              <w:tabs>
                <w:tab w:val="clear" w:pos="284"/>
              </w:tabs>
              <w:spacing w:before="60" w:after="60"/>
              <w:rPr>
                <w:rFonts w:ascii="Times New Roman" w:hAnsi="Times New Roman"/>
                <w:lang w:val="en-AU"/>
              </w:rPr>
            </w:pPr>
            <w:r w:rsidRPr="00CC0663">
              <w:rPr>
                <w:rFonts w:ascii="Times New Roman" w:hAnsi="Times New Roman"/>
                <w:lang w:val="en-AU"/>
              </w:rPr>
              <w:noBreakHyphen/>
              <w:t xml:space="preserve"> Elevated AST</w:t>
            </w:r>
          </w:p>
        </w:tc>
        <w:tc>
          <w:tcPr>
            <w:tcW w:w="1467"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2.9</w:t>
            </w:r>
          </w:p>
        </w:tc>
        <w:tc>
          <w:tcPr>
            <w:tcW w:w="1258"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0.2</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3.8</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0.4</w:t>
            </w:r>
          </w:p>
        </w:tc>
      </w:tr>
      <w:tr w:rsidR="00DD6219" w:rsidRPr="00057C4C" w:rsidTr="00073C62">
        <w:trPr>
          <w:trHeight w:val="261"/>
        </w:trPr>
        <w:tc>
          <w:tcPr>
            <w:tcW w:w="3197" w:type="dxa"/>
          </w:tcPr>
          <w:p w:rsidR="00DD6219" w:rsidRPr="00CC0663" w:rsidRDefault="00DD6219" w:rsidP="00073C62">
            <w:pPr>
              <w:pStyle w:val="Table0"/>
              <w:tabs>
                <w:tab w:val="clear" w:pos="284"/>
              </w:tabs>
              <w:spacing w:before="60" w:after="60"/>
              <w:rPr>
                <w:rFonts w:ascii="Times New Roman" w:hAnsi="Times New Roman"/>
                <w:lang w:val="en-AU"/>
              </w:rPr>
            </w:pPr>
            <w:r w:rsidRPr="00CC0663">
              <w:rPr>
                <w:rFonts w:ascii="Times New Roman" w:hAnsi="Times New Roman"/>
                <w:lang w:val="en-AU"/>
              </w:rPr>
              <w:noBreakHyphen/>
              <w:t xml:space="preserve"> Elevated </w:t>
            </w:r>
            <w:smartTag w:uri="urn:schemas-microsoft-com:office:smarttags" w:element="stockticker">
              <w:r w:rsidRPr="00CC0663">
                <w:rPr>
                  <w:rFonts w:ascii="Times New Roman" w:hAnsi="Times New Roman"/>
                  <w:lang w:val="en-AU"/>
                </w:rPr>
                <w:t>ALT</w:t>
              </w:r>
            </w:smartTag>
          </w:p>
        </w:tc>
        <w:tc>
          <w:tcPr>
            <w:tcW w:w="1467"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3.1</w:t>
            </w:r>
          </w:p>
        </w:tc>
        <w:tc>
          <w:tcPr>
            <w:tcW w:w="1258"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0.4</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5.6</w:t>
            </w:r>
          </w:p>
        </w:tc>
        <w:tc>
          <w:tcPr>
            <w:tcW w:w="1259" w:type="dxa"/>
          </w:tcPr>
          <w:p w:rsidR="00DD6219" w:rsidRPr="00CC0663" w:rsidRDefault="00DD6219" w:rsidP="00073C62">
            <w:pPr>
              <w:pStyle w:val="Table0"/>
              <w:tabs>
                <w:tab w:val="clear" w:pos="284"/>
              </w:tabs>
              <w:spacing w:before="60" w:after="60"/>
              <w:jc w:val="center"/>
              <w:rPr>
                <w:rFonts w:ascii="Times New Roman" w:hAnsi="Times New Roman"/>
                <w:lang w:val="en-AU"/>
              </w:rPr>
            </w:pPr>
            <w:r w:rsidRPr="00CC0663">
              <w:rPr>
                <w:rFonts w:ascii="Times New Roman" w:hAnsi="Times New Roman"/>
                <w:lang w:val="en-AU"/>
              </w:rPr>
              <w:t>0</w:t>
            </w:r>
          </w:p>
        </w:tc>
      </w:tr>
    </w:tbl>
    <w:p w:rsidR="00DD6219" w:rsidRPr="00057C4C" w:rsidRDefault="00DD6219" w:rsidP="00273382">
      <w:pPr>
        <w:pStyle w:val="Table0"/>
        <w:spacing w:before="60" w:after="60"/>
        <w:rPr>
          <w:rFonts w:ascii="Times New Roman" w:hAnsi="Times New Roman"/>
        </w:rPr>
      </w:pPr>
      <w:r w:rsidRPr="00057C4C">
        <w:rPr>
          <w:rFonts w:ascii="Times New Roman" w:hAnsi="Times New Roman"/>
        </w:rPr>
        <w:t>*p&lt;0.001 (difference in Grade 3 plus 4 abnormalities between the two treatment groups)</w:t>
      </w:r>
    </w:p>
    <w:p w:rsidR="0023250B" w:rsidRPr="00057C4C" w:rsidRDefault="009D4E28" w:rsidP="00E4309F">
      <w:pPr>
        <w:pStyle w:val="Table0"/>
        <w:spacing w:before="120" w:after="120"/>
        <w:jc w:val="center"/>
        <w:rPr>
          <w:rFonts w:ascii="Times New Roman" w:hAnsi="Times New Roman"/>
          <w:b/>
          <w:sz w:val="24"/>
          <w:szCs w:val="24"/>
        </w:rPr>
      </w:pPr>
      <w:r>
        <w:rPr>
          <w:rFonts w:ascii="Times New Roman" w:hAnsi="Times New Roman"/>
          <w:b/>
          <w:sz w:val="24"/>
          <w:szCs w:val="24"/>
        </w:rPr>
        <w:br w:type="page"/>
      </w:r>
      <w:r w:rsidR="00DD6219" w:rsidRPr="00057C4C">
        <w:rPr>
          <w:rFonts w:ascii="Times New Roman" w:hAnsi="Times New Roman"/>
          <w:b/>
          <w:sz w:val="24"/>
          <w:szCs w:val="24"/>
        </w:rPr>
        <w:lastRenderedPageBreak/>
        <w:t xml:space="preserve">Table </w:t>
      </w:r>
      <w:r w:rsidR="00512F9A" w:rsidRPr="00057C4C">
        <w:rPr>
          <w:rFonts w:ascii="Times New Roman" w:hAnsi="Times New Roman"/>
          <w:b/>
          <w:sz w:val="24"/>
          <w:szCs w:val="24"/>
        </w:rPr>
        <w:t>1</w:t>
      </w:r>
      <w:r w:rsidR="009E7387">
        <w:rPr>
          <w:rFonts w:ascii="Times New Roman" w:hAnsi="Times New Roman"/>
          <w:b/>
          <w:sz w:val="24"/>
          <w:szCs w:val="24"/>
        </w:rPr>
        <w:t>8</w:t>
      </w:r>
      <w:r w:rsidR="00512F9A" w:rsidRPr="00057C4C">
        <w:rPr>
          <w:rFonts w:ascii="Times New Roman" w:hAnsi="Times New Roman"/>
          <w:b/>
          <w:sz w:val="24"/>
          <w:szCs w:val="24"/>
        </w:rPr>
        <w:t xml:space="preserve"> </w:t>
      </w:r>
      <w:r w:rsidR="00DD6219" w:rsidRPr="00057C4C">
        <w:rPr>
          <w:rFonts w:ascii="Times New Roman" w:hAnsi="Times New Roman"/>
          <w:b/>
          <w:sz w:val="24"/>
          <w:szCs w:val="24"/>
        </w:rPr>
        <w:t>Lab Abnormalities in Other CML Clinical Trials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9"/>
        <w:gridCol w:w="992"/>
        <w:gridCol w:w="996"/>
        <w:gridCol w:w="1227"/>
        <w:gridCol w:w="1037"/>
        <w:gridCol w:w="1134"/>
        <w:gridCol w:w="999"/>
      </w:tblGrid>
      <w:tr w:rsidR="00DD6219" w:rsidRPr="00057C4C" w:rsidTr="00073C62">
        <w:trPr>
          <w:trHeight w:val="1700"/>
        </w:trPr>
        <w:tc>
          <w:tcPr>
            <w:tcW w:w="2439" w:type="dxa"/>
            <w:shd w:val="clear" w:color="auto" w:fill="E0E0E0"/>
          </w:tcPr>
          <w:p w:rsidR="00DD6219" w:rsidRPr="00CC0663" w:rsidRDefault="00DD6219" w:rsidP="00073C62">
            <w:pPr>
              <w:pStyle w:val="Table0"/>
              <w:tabs>
                <w:tab w:val="clear" w:pos="284"/>
              </w:tabs>
              <w:spacing w:before="120"/>
              <w:rPr>
                <w:rFonts w:ascii="Times New Roman" w:hAnsi="Times New Roman"/>
                <w:b/>
                <w:lang w:val="en-AU"/>
              </w:rPr>
            </w:pPr>
            <w:r w:rsidRPr="00CC0663">
              <w:rPr>
                <w:b/>
                <w:lang w:val="en-AU"/>
              </w:rPr>
              <w:t xml:space="preserve"> </w:t>
            </w:r>
          </w:p>
        </w:tc>
        <w:tc>
          <w:tcPr>
            <w:tcW w:w="1988" w:type="dxa"/>
            <w:gridSpan w:val="2"/>
            <w:shd w:val="clear" w:color="auto" w:fill="E0E0E0"/>
          </w:tcPr>
          <w:p w:rsidR="00DD6219" w:rsidRPr="00CC0663" w:rsidRDefault="00DD6219" w:rsidP="00073C62">
            <w:pPr>
              <w:pStyle w:val="Table0"/>
              <w:tabs>
                <w:tab w:val="clear" w:pos="284"/>
              </w:tabs>
              <w:spacing w:before="120"/>
              <w:jc w:val="center"/>
              <w:rPr>
                <w:rFonts w:ascii="Times New Roman" w:hAnsi="Times New Roman"/>
                <w:b/>
                <w:lang w:val="en-AU"/>
              </w:rPr>
            </w:pPr>
            <w:r w:rsidRPr="00CC0663">
              <w:rPr>
                <w:rFonts w:ascii="Times New Roman" w:hAnsi="Times New Roman"/>
                <w:b/>
                <w:lang w:val="en-AU"/>
              </w:rPr>
              <w:t>Myeloid Blast</w:t>
            </w:r>
          </w:p>
          <w:p w:rsidR="00DD6219" w:rsidRPr="00CC0663" w:rsidRDefault="00DD6219" w:rsidP="00073C62">
            <w:pPr>
              <w:pStyle w:val="Table0"/>
              <w:tabs>
                <w:tab w:val="clear" w:pos="284"/>
              </w:tabs>
              <w:spacing w:before="0"/>
              <w:jc w:val="center"/>
              <w:rPr>
                <w:rFonts w:ascii="Times New Roman" w:hAnsi="Times New Roman"/>
                <w:b/>
                <w:lang w:val="en-AU"/>
              </w:rPr>
            </w:pPr>
            <w:r w:rsidRPr="00CC0663">
              <w:rPr>
                <w:rFonts w:ascii="Times New Roman" w:hAnsi="Times New Roman"/>
                <w:b/>
                <w:lang w:val="en-AU"/>
              </w:rPr>
              <w:t>Crisis</w:t>
            </w:r>
          </w:p>
          <w:p w:rsidR="00DD6219" w:rsidRPr="00CC0663" w:rsidRDefault="00DD6219" w:rsidP="00073C62">
            <w:pPr>
              <w:pStyle w:val="Table0"/>
              <w:tabs>
                <w:tab w:val="clear" w:pos="284"/>
              </w:tabs>
              <w:spacing w:before="0"/>
              <w:jc w:val="center"/>
              <w:rPr>
                <w:rFonts w:ascii="Times New Roman" w:hAnsi="Times New Roman"/>
                <w:b/>
                <w:lang w:val="en-AU"/>
              </w:rPr>
            </w:pPr>
            <w:r w:rsidRPr="00CC0663">
              <w:rPr>
                <w:rFonts w:ascii="Times New Roman" w:hAnsi="Times New Roman"/>
                <w:b/>
                <w:lang w:val="en-AU"/>
              </w:rPr>
              <w:t>(</w:t>
            </w:r>
            <w:r w:rsidR="00DD2067" w:rsidRPr="00CC0663">
              <w:rPr>
                <w:rFonts w:ascii="Times New Roman" w:hAnsi="Times New Roman"/>
                <w:b/>
                <w:lang w:val="en-AU"/>
              </w:rPr>
              <w:t>N</w:t>
            </w:r>
            <w:r w:rsidRPr="00CC0663">
              <w:rPr>
                <w:rFonts w:ascii="Times New Roman" w:hAnsi="Times New Roman"/>
                <w:b/>
                <w:lang w:val="en-AU"/>
              </w:rPr>
              <w:t>=260)</w:t>
            </w:r>
          </w:p>
          <w:p w:rsidR="00DD6219" w:rsidRPr="00CC0663" w:rsidRDefault="00DD6219" w:rsidP="00073C62">
            <w:pPr>
              <w:pStyle w:val="Table0"/>
              <w:tabs>
                <w:tab w:val="clear" w:pos="284"/>
              </w:tabs>
              <w:spacing w:before="0"/>
              <w:jc w:val="center"/>
              <w:rPr>
                <w:rFonts w:ascii="Times New Roman" w:hAnsi="Times New Roman"/>
                <w:b/>
                <w:lang w:val="en-AU"/>
              </w:rPr>
            </w:pPr>
            <w:r w:rsidRPr="00CC0663">
              <w:rPr>
                <w:rFonts w:ascii="Times New Roman" w:hAnsi="Times New Roman"/>
                <w:b/>
                <w:lang w:val="en-AU"/>
              </w:rPr>
              <w:t xml:space="preserve">600 mg </w:t>
            </w:r>
            <w:r w:rsidR="00DD2067" w:rsidRPr="00CC0663">
              <w:rPr>
                <w:rFonts w:ascii="Times New Roman" w:hAnsi="Times New Roman"/>
                <w:b/>
                <w:lang w:val="en-AU"/>
              </w:rPr>
              <w:t>N</w:t>
            </w:r>
            <w:r w:rsidRPr="00CC0663">
              <w:rPr>
                <w:rFonts w:ascii="Times New Roman" w:hAnsi="Times New Roman"/>
                <w:b/>
                <w:lang w:val="en-AU"/>
              </w:rPr>
              <w:t>=223</w:t>
            </w:r>
          </w:p>
          <w:p w:rsidR="00DD6219" w:rsidRPr="00057C4C" w:rsidRDefault="00DD6219" w:rsidP="00073C62">
            <w:pPr>
              <w:pStyle w:val="Table0"/>
              <w:tabs>
                <w:tab w:val="clear" w:pos="284"/>
              </w:tabs>
              <w:spacing w:before="0"/>
              <w:jc w:val="center"/>
              <w:rPr>
                <w:rFonts w:ascii="Times New Roman" w:hAnsi="Times New Roman"/>
                <w:b/>
                <w:lang w:val="pt-BR"/>
              </w:rPr>
            </w:pPr>
            <w:r w:rsidRPr="00057C4C">
              <w:rPr>
                <w:rFonts w:ascii="Times New Roman" w:hAnsi="Times New Roman"/>
                <w:b/>
                <w:lang w:val="pt-BR"/>
              </w:rPr>
              <w:t xml:space="preserve">400 mg </w:t>
            </w:r>
            <w:r w:rsidR="00DD2067" w:rsidRPr="00057C4C">
              <w:rPr>
                <w:rFonts w:ascii="Times New Roman" w:hAnsi="Times New Roman"/>
                <w:b/>
                <w:lang w:val="pt-BR"/>
              </w:rPr>
              <w:t>N</w:t>
            </w:r>
            <w:r w:rsidRPr="00057C4C">
              <w:rPr>
                <w:rFonts w:ascii="Times New Roman" w:hAnsi="Times New Roman"/>
                <w:b/>
                <w:lang w:val="pt-BR"/>
              </w:rPr>
              <w:t>=37</w:t>
            </w:r>
          </w:p>
          <w:p w:rsidR="00DD6219" w:rsidRPr="00CC0663" w:rsidRDefault="00DD6219" w:rsidP="00073C62">
            <w:pPr>
              <w:pStyle w:val="Table0"/>
              <w:jc w:val="center"/>
              <w:rPr>
                <w:rFonts w:ascii="Times New Roman" w:hAnsi="Times New Roman"/>
                <w:b/>
                <w:lang w:val="en-AU"/>
              </w:rPr>
            </w:pPr>
            <w:r w:rsidRPr="00057C4C">
              <w:rPr>
                <w:rFonts w:ascii="Times New Roman" w:hAnsi="Times New Roman"/>
                <w:b/>
                <w:lang w:val="sv-SE"/>
              </w:rPr>
              <w:t>%</w:t>
            </w:r>
          </w:p>
        </w:tc>
        <w:tc>
          <w:tcPr>
            <w:tcW w:w="2264" w:type="dxa"/>
            <w:gridSpan w:val="2"/>
            <w:shd w:val="clear" w:color="auto" w:fill="E0E0E0"/>
          </w:tcPr>
          <w:p w:rsidR="00DD6219" w:rsidRPr="00057C4C" w:rsidRDefault="00DD6219" w:rsidP="00073C62">
            <w:pPr>
              <w:pStyle w:val="Table0"/>
              <w:tabs>
                <w:tab w:val="clear" w:pos="284"/>
              </w:tabs>
              <w:spacing w:before="120"/>
              <w:jc w:val="center"/>
              <w:rPr>
                <w:rFonts w:ascii="Times New Roman" w:hAnsi="Times New Roman"/>
                <w:b/>
                <w:lang w:val="pt-BR"/>
              </w:rPr>
            </w:pPr>
            <w:r w:rsidRPr="00057C4C">
              <w:rPr>
                <w:rFonts w:ascii="Times New Roman" w:hAnsi="Times New Roman"/>
                <w:b/>
                <w:lang w:val="pt-BR"/>
              </w:rPr>
              <w:t>Accelerated</w:t>
            </w:r>
          </w:p>
          <w:p w:rsidR="00DD6219" w:rsidRPr="00057C4C" w:rsidRDefault="00DD6219" w:rsidP="00073C62">
            <w:pPr>
              <w:pStyle w:val="Table0"/>
              <w:tabs>
                <w:tab w:val="clear" w:pos="284"/>
              </w:tabs>
              <w:spacing w:before="0"/>
              <w:jc w:val="center"/>
              <w:rPr>
                <w:rFonts w:ascii="Times New Roman" w:hAnsi="Times New Roman"/>
                <w:b/>
                <w:lang w:val="pt-BR"/>
              </w:rPr>
            </w:pPr>
            <w:r w:rsidRPr="00057C4C">
              <w:rPr>
                <w:rFonts w:ascii="Times New Roman" w:hAnsi="Times New Roman"/>
                <w:b/>
                <w:lang w:val="pt-BR"/>
              </w:rPr>
              <w:t>Phase</w:t>
            </w:r>
          </w:p>
          <w:p w:rsidR="00DD6219" w:rsidRPr="00057C4C" w:rsidRDefault="00DD6219" w:rsidP="00073C62">
            <w:pPr>
              <w:pStyle w:val="Table0"/>
              <w:tabs>
                <w:tab w:val="clear" w:pos="284"/>
              </w:tabs>
              <w:spacing w:before="0"/>
              <w:jc w:val="center"/>
              <w:rPr>
                <w:rFonts w:ascii="Times New Roman" w:hAnsi="Times New Roman"/>
                <w:b/>
                <w:lang w:val="pt-BR"/>
              </w:rPr>
            </w:pPr>
            <w:r w:rsidRPr="00057C4C">
              <w:rPr>
                <w:rFonts w:ascii="Times New Roman" w:hAnsi="Times New Roman"/>
                <w:b/>
                <w:lang w:val="pt-BR"/>
              </w:rPr>
              <w:t>(</w:t>
            </w:r>
            <w:r w:rsidR="00DD2067" w:rsidRPr="00057C4C">
              <w:rPr>
                <w:rFonts w:ascii="Times New Roman" w:hAnsi="Times New Roman"/>
                <w:b/>
                <w:lang w:val="pt-BR"/>
              </w:rPr>
              <w:t>N</w:t>
            </w:r>
            <w:r w:rsidRPr="00057C4C">
              <w:rPr>
                <w:rFonts w:ascii="Times New Roman" w:hAnsi="Times New Roman"/>
                <w:b/>
                <w:lang w:val="pt-BR"/>
              </w:rPr>
              <w:t>=235)</w:t>
            </w:r>
          </w:p>
          <w:p w:rsidR="00DD6219" w:rsidRPr="00057C4C" w:rsidRDefault="00DD6219" w:rsidP="00073C62">
            <w:pPr>
              <w:pStyle w:val="Table0"/>
              <w:tabs>
                <w:tab w:val="clear" w:pos="284"/>
              </w:tabs>
              <w:spacing w:before="0"/>
              <w:jc w:val="center"/>
              <w:rPr>
                <w:rFonts w:ascii="Times New Roman" w:hAnsi="Times New Roman"/>
                <w:b/>
                <w:lang w:val="pt-BR"/>
              </w:rPr>
            </w:pPr>
            <w:r w:rsidRPr="00057C4C">
              <w:rPr>
                <w:rFonts w:ascii="Times New Roman" w:hAnsi="Times New Roman"/>
                <w:b/>
                <w:lang w:val="pt-BR"/>
              </w:rPr>
              <w:t xml:space="preserve">600 mg </w:t>
            </w:r>
            <w:r w:rsidR="00DD2067" w:rsidRPr="00057C4C">
              <w:rPr>
                <w:rFonts w:ascii="Times New Roman" w:hAnsi="Times New Roman"/>
                <w:b/>
                <w:lang w:val="pt-BR"/>
              </w:rPr>
              <w:t>N</w:t>
            </w:r>
            <w:r w:rsidRPr="00057C4C">
              <w:rPr>
                <w:rFonts w:ascii="Times New Roman" w:hAnsi="Times New Roman"/>
                <w:b/>
                <w:lang w:val="pt-BR"/>
              </w:rPr>
              <w:t>=158</w:t>
            </w:r>
          </w:p>
          <w:p w:rsidR="00DD6219" w:rsidRPr="00057C4C" w:rsidRDefault="00DD6219" w:rsidP="00073C62">
            <w:pPr>
              <w:pStyle w:val="Table0"/>
              <w:tabs>
                <w:tab w:val="clear" w:pos="284"/>
              </w:tabs>
              <w:spacing w:before="0"/>
              <w:jc w:val="center"/>
              <w:rPr>
                <w:rFonts w:ascii="Times New Roman" w:hAnsi="Times New Roman"/>
                <w:b/>
                <w:lang w:val="pt-BR"/>
              </w:rPr>
            </w:pPr>
            <w:r w:rsidRPr="00057C4C">
              <w:rPr>
                <w:rFonts w:ascii="Times New Roman" w:hAnsi="Times New Roman"/>
                <w:b/>
                <w:lang w:val="pt-BR"/>
              </w:rPr>
              <w:t xml:space="preserve">400 mg </w:t>
            </w:r>
            <w:r w:rsidR="00DD2067" w:rsidRPr="00057C4C">
              <w:rPr>
                <w:rFonts w:ascii="Times New Roman" w:hAnsi="Times New Roman"/>
                <w:b/>
                <w:lang w:val="pt-BR"/>
              </w:rPr>
              <w:t>N</w:t>
            </w:r>
            <w:r w:rsidRPr="00057C4C">
              <w:rPr>
                <w:rFonts w:ascii="Times New Roman" w:hAnsi="Times New Roman"/>
                <w:b/>
                <w:lang w:val="pt-BR"/>
              </w:rPr>
              <w:t>=77</w:t>
            </w:r>
          </w:p>
          <w:p w:rsidR="00DD6219" w:rsidRPr="00CC0663" w:rsidRDefault="00DD6219" w:rsidP="00073C62">
            <w:pPr>
              <w:pStyle w:val="Table0"/>
              <w:tabs>
                <w:tab w:val="clear" w:pos="284"/>
              </w:tabs>
              <w:spacing w:before="120"/>
              <w:jc w:val="center"/>
              <w:rPr>
                <w:rFonts w:ascii="Times New Roman" w:hAnsi="Times New Roman"/>
                <w:b/>
                <w:lang w:val="en-AU"/>
              </w:rPr>
            </w:pPr>
            <w:r w:rsidRPr="00057C4C">
              <w:rPr>
                <w:rFonts w:ascii="Times New Roman" w:hAnsi="Times New Roman"/>
                <w:b/>
                <w:lang w:val="sv-SE"/>
              </w:rPr>
              <w:t>%</w:t>
            </w:r>
          </w:p>
        </w:tc>
        <w:tc>
          <w:tcPr>
            <w:tcW w:w="2133" w:type="dxa"/>
            <w:gridSpan w:val="2"/>
            <w:shd w:val="clear" w:color="auto" w:fill="E0E0E0"/>
          </w:tcPr>
          <w:p w:rsidR="00DD6219" w:rsidRPr="00CC0663" w:rsidRDefault="00DD6219" w:rsidP="00073C62">
            <w:pPr>
              <w:pStyle w:val="Table0"/>
              <w:tabs>
                <w:tab w:val="clear" w:pos="284"/>
              </w:tabs>
              <w:spacing w:before="120"/>
              <w:jc w:val="center"/>
              <w:rPr>
                <w:rFonts w:ascii="Times New Roman" w:hAnsi="Times New Roman"/>
                <w:b/>
                <w:lang w:val="en-AU"/>
              </w:rPr>
            </w:pPr>
            <w:r w:rsidRPr="00CC0663">
              <w:rPr>
                <w:rFonts w:ascii="Times New Roman" w:hAnsi="Times New Roman"/>
                <w:b/>
                <w:lang w:val="en-AU"/>
              </w:rPr>
              <w:t>Chronic Phase,</w:t>
            </w:r>
          </w:p>
          <w:p w:rsidR="00DD6219" w:rsidRPr="00CC0663" w:rsidRDefault="00DD6219" w:rsidP="00073C62">
            <w:pPr>
              <w:pStyle w:val="Table0"/>
              <w:tabs>
                <w:tab w:val="clear" w:pos="284"/>
              </w:tabs>
              <w:spacing w:before="0"/>
              <w:jc w:val="center"/>
              <w:rPr>
                <w:rFonts w:ascii="Times New Roman" w:hAnsi="Times New Roman"/>
                <w:b/>
                <w:lang w:val="en-AU"/>
              </w:rPr>
            </w:pPr>
            <w:r w:rsidRPr="00CC0663">
              <w:rPr>
                <w:rFonts w:ascii="Times New Roman" w:hAnsi="Times New Roman"/>
                <w:b/>
                <w:lang w:val="en-AU"/>
              </w:rPr>
              <w:t>IFN Failure</w:t>
            </w:r>
          </w:p>
          <w:p w:rsidR="00DD6219" w:rsidRPr="00CC0663" w:rsidRDefault="00DD6219" w:rsidP="00073C62">
            <w:pPr>
              <w:pStyle w:val="Table0"/>
              <w:tabs>
                <w:tab w:val="clear" w:pos="284"/>
              </w:tabs>
              <w:spacing w:before="0"/>
              <w:jc w:val="center"/>
              <w:rPr>
                <w:rFonts w:ascii="Times New Roman" w:hAnsi="Times New Roman"/>
                <w:b/>
                <w:lang w:val="en-AU"/>
              </w:rPr>
            </w:pPr>
            <w:r w:rsidRPr="00CC0663">
              <w:rPr>
                <w:rFonts w:ascii="Times New Roman" w:hAnsi="Times New Roman"/>
                <w:b/>
                <w:lang w:val="en-AU"/>
              </w:rPr>
              <w:t>(</w:t>
            </w:r>
            <w:r w:rsidR="00DD2067" w:rsidRPr="00CC0663">
              <w:rPr>
                <w:rFonts w:ascii="Times New Roman" w:hAnsi="Times New Roman"/>
                <w:b/>
                <w:lang w:val="en-AU"/>
              </w:rPr>
              <w:t>N</w:t>
            </w:r>
            <w:r w:rsidRPr="00CC0663">
              <w:rPr>
                <w:rFonts w:ascii="Times New Roman" w:hAnsi="Times New Roman"/>
                <w:b/>
                <w:lang w:val="en-AU"/>
              </w:rPr>
              <w:t>=532)</w:t>
            </w:r>
          </w:p>
          <w:p w:rsidR="00DD6219" w:rsidRPr="00057C4C" w:rsidRDefault="00DD6219" w:rsidP="00073C62">
            <w:pPr>
              <w:pStyle w:val="Table0"/>
              <w:tabs>
                <w:tab w:val="clear" w:pos="284"/>
              </w:tabs>
              <w:spacing w:before="0"/>
              <w:jc w:val="center"/>
              <w:rPr>
                <w:rFonts w:ascii="Times New Roman" w:hAnsi="Times New Roman"/>
                <w:b/>
                <w:lang w:val="pt-BR"/>
              </w:rPr>
            </w:pPr>
            <w:r w:rsidRPr="00057C4C">
              <w:rPr>
                <w:rFonts w:ascii="Times New Roman" w:hAnsi="Times New Roman"/>
                <w:b/>
                <w:lang w:val="pt-BR"/>
              </w:rPr>
              <w:t>400 mg</w:t>
            </w:r>
          </w:p>
          <w:p w:rsidR="00E4309F" w:rsidRPr="00057C4C" w:rsidRDefault="00E4309F" w:rsidP="00073C62">
            <w:pPr>
              <w:pStyle w:val="Table0"/>
              <w:jc w:val="center"/>
              <w:rPr>
                <w:rFonts w:ascii="Times New Roman" w:hAnsi="Times New Roman"/>
                <w:b/>
                <w:lang w:val="sv-SE"/>
              </w:rPr>
            </w:pPr>
          </w:p>
          <w:p w:rsidR="00DD6219" w:rsidRPr="00CC0663" w:rsidRDefault="00DD6219" w:rsidP="00073C62">
            <w:pPr>
              <w:pStyle w:val="Table0"/>
              <w:jc w:val="center"/>
              <w:rPr>
                <w:rFonts w:ascii="Times New Roman" w:hAnsi="Times New Roman"/>
                <w:b/>
                <w:lang w:val="en-AU"/>
              </w:rPr>
            </w:pPr>
            <w:r w:rsidRPr="00057C4C">
              <w:rPr>
                <w:rFonts w:ascii="Times New Roman" w:hAnsi="Times New Roman"/>
                <w:b/>
                <w:lang w:val="sv-SE"/>
              </w:rPr>
              <w:t>%</w:t>
            </w:r>
          </w:p>
        </w:tc>
      </w:tr>
      <w:tr w:rsidR="00DD6219" w:rsidRPr="00057C4C" w:rsidTr="00073C62">
        <w:trPr>
          <w:trHeight w:val="316"/>
        </w:trPr>
        <w:tc>
          <w:tcPr>
            <w:tcW w:w="2439" w:type="dxa"/>
          </w:tcPr>
          <w:p w:rsidR="00DD6219" w:rsidRPr="00057C4C" w:rsidRDefault="00DD6219" w:rsidP="00073C62">
            <w:pPr>
              <w:pStyle w:val="Table0"/>
              <w:spacing w:before="20"/>
              <w:rPr>
                <w:rFonts w:ascii="Times New Roman" w:hAnsi="Times New Roman"/>
                <w:b/>
                <w:lang w:val="sv-SE"/>
              </w:rPr>
            </w:pPr>
            <w:r w:rsidRPr="00CC0663">
              <w:rPr>
                <w:rFonts w:ascii="Times New Roman" w:hAnsi="Times New Roman"/>
                <w:b/>
                <w:lang w:val="en-AU"/>
              </w:rPr>
              <w:t>CTC Grades</w:t>
            </w:r>
          </w:p>
        </w:tc>
        <w:tc>
          <w:tcPr>
            <w:tcW w:w="992" w:type="dxa"/>
          </w:tcPr>
          <w:p w:rsidR="00DD6219" w:rsidRPr="00057C4C" w:rsidRDefault="00DD6219" w:rsidP="00073C62">
            <w:pPr>
              <w:pStyle w:val="Table0"/>
              <w:spacing w:before="20"/>
              <w:jc w:val="center"/>
              <w:rPr>
                <w:rFonts w:ascii="Times New Roman" w:hAnsi="Times New Roman"/>
                <w:b/>
                <w:lang w:val="sv-SE"/>
              </w:rPr>
            </w:pPr>
            <w:r w:rsidRPr="00CC0663">
              <w:rPr>
                <w:rFonts w:ascii="Times New Roman" w:hAnsi="Times New Roman"/>
                <w:b/>
                <w:lang w:val="en-AU"/>
              </w:rPr>
              <w:t>3</w:t>
            </w:r>
          </w:p>
        </w:tc>
        <w:tc>
          <w:tcPr>
            <w:tcW w:w="996" w:type="dxa"/>
          </w:tcPr>
          <w:p w:rsidR="00DD6219" w:rsidRPr="00057C4C" w:rsidRDefault="00DD6219" w:rsidP="00073C62">
            <w:pPr>
              <w:pStyle w:val="Table0"/>
              <w:spacing w:before="20"/>
              <w:jc w:val="center"/>
              <w:rPr>
                <w:rFonts w:ascii="Times New Roman" w:hAnsi="Times New Roman"/>
                <w:b/>
                <w:lang w:val="sv-SE"/>
              </w:rPr>
            </w:pPr>
            <w:r w:rsidRPr="00CC0663">
              <w:rPr>
                <w:rFonts w:ascii="Times New Roman" w:hAnsi="Times New Roman"/>
                <w:b/>
                <w:lang w:val="en-AU"/>
              </w:rPr>
              <w:t>4</w:t>
            </w:r>
          </w:p>
        </w:tc>
        <w:tc>
          <w:tcPr>
            <w:tcW w:w="1227" w:type="dxa"/>
          </w:tcPr>
          <w:p w:rsidR="00DD6219" w:rsidRPr="00057C4C" w:rsidRDefault="00DD6219" w:rsidP="00073C62">
            <w:pPr>
              <w:pStyle w:val="Table0"/>
              <w:spacing w:before="20"/>
              <w:jc w:val="center"/>
              <w:rPr>
                <w:rFonts w:ascii="Times New Roman" w:hAnsi="Times New Roman"/>
                <w:b/>
                <w:lang w:val="sv-SE"/>
              </w:rPr>
            </w:pPr>
            <w:r w:rsidRPr="00CC0663">
              <w:rPr>
                <w:rFonts w:ascii="Times New Roman" w:hAnsi="Times New Roman"/>
                <w:b/>
                <w:lang w:val="en-AU"/>
              </w:rPr>
              <w:t>3</w:t>
            </w:r>
          </w:p>
        </w:tc>
        <w:tc>
          <w:tcPr>
            <w:tcW w:w="1037" w:type="dxa"/>
          </w:tcPr>
          <w:p w:rsidR="00DD6219" w:rsidRPr="00057C4C" w:rsidRDefault="00DD6219" w:rsidP="00073C62">
            <w:pPr>
              <w:pStyle w:val="Table0"/>
              <w:spacing w:before="20"/>
              <w:jc w:val="center"/>
              <w:rPr>
                <w:rFonts w:ascii="Times New Roman" w:hAnsi="Times New Roman"/>
                <w:b/>
                <w:lang w:val="sv-SE"/>
              </w:rPr>
            </w:pPr>
            <w:r w:rsidRPr="00CC0663">
              <w:rPr>
                <w:rFonts w:ascii="Times New Roman" w:hAnsi="Times New Roman"/>
                <w:b/>
                <w:lang w:val="en-AU"/>
              </w:rPr>
              <w:t>4</w:t>
            </w:r>
          </w:p>
        </w:tc>
        <w:tc>
          <w:tcPr>
            <w:tcW w:w="1134" w:type="dxa"/>
          </w:tcPr>
          <w:p w:rsidR="00DD6219" w:rsidRPr="00057C4C" w:rsidRDefault="00DD6219" w:rsidP="00073C62">
            <w:pPr>
              <w:pStyle w:val="Table0"/>
              <w:spacing w:before="20"/>
              <w:jc w:val="center"/>
              <w:rPr>
                <w:rFonts w:ascii="Times New Roman" w:hAnsi="Times New Roman"/>
                <w:b/>
                <w:lang w:val="sv-SE"/>
              </w:rPr>
            </w:pPr>
            <w:r w:rsidRPr="00CC0663">
              <w:rPr>
                <w:rFonts w:ascii="Times New Roman" w:hAnsi="Times New Roman"/>
                <w:b/>
                <w:lang w:val="en-AU"/>
              </w:rPr>
              <w:t>3</w:t>
            </w:r>
          </w:p>
        </w:tc>
        <w:tc>
          <w:tcPr>
            <w:tcW w:w="999" w:type="dxa"/>
          </w:tcPr>
          <w:p w:rsidR="00DD6219" w:rsidRPr="00057C4C" w:rsidRDefault="00DD6219" w:rsidP="00073C62">
            <w:pPr>
              <w:pStyle w:val="Table0"/>
              <w:spacing w:before="20"/>
              <w:jc w:val="center"/>
              <w:rPr>
                <w:rFonts w:ascii="Times New Roman" w:hAnsi="Times New Roman"/>
                <w:b/>
                <w:lang w:val="sv-SE"/>
              </w:rPr>
            </w:pPr>
            <w:r w:rsidRPr="00CC0663">
              <w:rPr>
                <w:rFonts w:ascii="Times New Roman" w:hAnsi="Times New Roman"/>
                <w:b/>
                <w:lang w:val="en-AU"/>
              </w:rPr>
              <w:t>4</w:t>
            </w:r>
          </w:p>
        </w:tc>
      </w:tr>
      <w:tr w:rsidR="00DD6219" w:rsidRPr="00057C4C" w:rsidTr="00073C62">
        <w:tc>
          <w:tcPr>
            <w:tcW w:w="8824" w:type="dxa"/>
            <w:gridSpan w:val="7"/>
            <w:shd w:val="clear" w:color="auto" w:fill="E0E0E0"/>
          </w:tcPr>
          <w:p w:rsidR="00DD6219" w:rsidRPr="00CC0663" w:rsidRDefault="00DD6219" w:rsidP="00073C62">
            <w:pPr>
              <w:pStyle w:val="Table0"/>
              <w:tabs>
                <w:tab w:val="clear" w:pos="284"/>
              </w:tabs>
              <w:spacing w:before="20"/>
              <w:jc w:val="center"/>
              <w:rPr>
                <w:rFonts w:ascii="Times New Roman" w:hAnsi="Times New Roman"/>
                <w:b/>
                <w:lang w:val="en-AU"/>
              </w:rPr>
            </w:pPr>
            <w:r w:rsidRPr="00CC0663">
              <w:rPr>
                <w:rFonts w:ascii="Times New Roman" w:hAnsi="Times New Roman"/>
                <w:b/>
                <w:lang w:val="en-AU"/>
              </w:rPr>
              <w:t>Haematology Parameters</w:t>
            </w:r>
          </w:p>
        </w:tc>
      </w:tr>
      <w:tr w:rsidR="00DD6219" w:rsidRPr="00057C4C" w:rsidTr="00073C62">
        <w:tc>
          <w:tcPr>
            <w:tcW w:w="243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Neutropenia</w:t>
            </w:r>
          </w:p>
        </w:tc>
        <w:tc>
          <w:tcPr>
            <w:tcW w:w="992"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16</w:t>
            </w:r>
          </w:p>
        </w:tc>
        <w:tc>
          <w:tcPr>
            <w:tcW w:w="996"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48</w:t>
            </w:r>
          </w:p>
        </w:tc>
        <w:tc>
          <w:tcPr>
            <w:tcW w:w="1227"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23</w:t>
            </w:r>
          </w:p>
        </w:tc>
        <w:tc>
          <w:tcPr>
            <w:tcW w:w="1037"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36</w:t>
            </w:r>
          </w:p>
        </w:tc>
        <w:tc>
          <w:tcPr>
            <w:tcW w:w="1134"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27</w:t>
            </w:r>
          </w:p>
        </w:tc>
        <w:tc>
          <w:tcPr>
            <w:tcW w:w="999"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9</w:t>
            </w:r>
          </w:p>
        </w:tc>
      </w:tr>
      <w:tr w:rsidR="00DD6219" w:rsidRPr="00057C4C" w:rsidTr="00073C62">
        <w:tc>
          <w:tcPr>
            <w:tcW w:w="243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Thrombocytopenia</w:t>
            </w:r>
          </w:p>
        </w:tc>
        <w:tc>
          <w:tcPr>
            <w:tcW w:w="992"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30</w:t>
            </w:r>
          </w:p>
        </w:tc>
        <w:tc>
          <w:tcPr>
            <w:tcW w:w="996"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33</w:t>
            </w:r>
          </w:p>
        </w:tc>
        <w:tc>
          <w:tcPr>
            <w:tcW w:w="1227"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31</w:t>
            </w:r>
          </w:p>
        </w:tc>
        <w:tc>
          <w:tcPr>
            <w:tcW w:w="1037"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13</w:t>
            </w:r>
          </w:p>
        </w:tc>
        <w:tc>
          <w:tcPr>
            <w:tcW w:w="1134"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21</w:t>
            </w:r>
          </w:p>
        </w:tc>
        <w:tc>
          <w:tcPr>
            <w:tcW w:w="999"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&lt;1</w:t>
            </w:r>
          </w:p>
        </w:tc>
      </w:tr>
      <w:tr w:rsidR="00DD6219" w:rsidRPr="00057C4C" w:rsidTr="00073C62">
        <w:tc>
          <w:tcPr>
            <w:tcW w:w="243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Anaemia</w:t>
            </w:r>
          </w:p>
        </w:tc>
        <w:tc>
          <w:tcPr>
            <w:tcW w:w="992"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42</w:t>
            </w:r>
          </w:p>
        </w:tc>
        <w:tc>
          <w:tcPr>
            <w:tcW w:w="996"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11</w:t>
            </w:r>
          </w:p>
        </w:tc>
        <w:tc>
          <w:tcPr>
            <w:tcW w:w="1227"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34</w:t>
            </w:r>
          </w:p>
        </w:tc>
        <w:tc>
          <w:tcPr>
            <w:tcW w:w="1037"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7</w:t>
            </w:r>
          </w:p>
        </w:tc>
        <w:tc>
          <w:tcPr>
            <w:tcW w:w="1134"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6</w:t>
            </w:r>
          </w:p>
        </w:tc>
        <w:tc>
          <w:tcPr>
            <w:tcW w:w="999" w:type="dxa"/>
            <w:vAlign w:val="center"/>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w:t>
            </w:r>
          </w:p>
        </w:tc>
      </w:tr>
      <w:tr w:rsidR="00DD6219" w:rsidRPr="00057C4C" w:rsidTr="00073C62">
        <w:tc>
          <w:tcPr>
            <w:tcW w:w="8824" w:type="dxa"/>
            <w:gridSpan w:val="7"/>
            <w:shd w:val="clear" w:color="auto" w:fill="E0E0E0"/>
          </w:tcPr>
          <w:p w:rsidR="00DD6219" w:rsidRPr="00CC0663" w:rsidRDefault="00DD6219" w:rsidP="00073C62">
            <w:pPr>
              <w:pStyle w:val="Table0"/>
              <w:tabs>
                <w:tab w:val="clear" w:pos="284"/>
              </w:tabs>
              <w:spacing w:before="20"/>
              <w:jc w:val="center"/>
              <w:rPr>
                <w:rFonts w:ascii="Times New Roman" w:hAnsi="Times New Roman"/>
                <w:b/>
                <w:lang w:val="en-AU"/>
              </w:rPr>
            </w:pPr>
            <w:r w:rsidRPr="00CC0663">
              <w:rPr>
                <w:rFonts w:ascii="Times New Roman" w:hAnsi="Times New Roman"/>
                <w:b/>
                <w:lang w:val="en-AU"/>
              </w:rPr>
              <w:t>Biochemistry Parameters</w:t>
            </w:r>
          </w:p>
        </w:tc>
      </w:tr>
      <w:tr w:rsidR="00DD6219" w:rsidRPr="00057C4C" w:rsidTr="00073C62">
        <w:tc>
          <w:tcPr>
            <w:tcW w:w="243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Creatinine</w:t>
            </w:r>
          </w:p>
        </w:tc>
        <w:tc>
          <w:tcPr>
            <w:tcW w:w="992"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1.5</w:t>
            </w:r>
          </w:p>
        </w:tc>
        <w:tc>
          <w:tcPr>
            <w:tcW w:w="99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22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1.3</w:t>
            </w:r>
          </w:p>
        </w:tc>
        <w:tc>
          <w:tcPr>
            <w:tcW w:w="103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13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0.2</w:t>
            </w:r>
          </w:p>
        </w:tc>
        <w:tc>
          <w:tcPr>
            <w:tcW w:w="999"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r>
      <w:tr w:rsidR="00DD6219" w:rsidRPr="00057C4C" w:rsidTr="00073C62">
        <w:tc>
          <w:tcPr>
            <w:tcW w:w="243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Bilirubin</w:t>
            </w:r>
          </w:p>
        </w:tc>
        <w:tc>
          <w:tcPr>
            <w:tcW w:w="992"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3.8</w:t>
            </w:r>
          </w:p>
        </w:tc>
        <w:tc>
          <w:tcPr>
            <w:tcW w:w="99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22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2.1</w:t>
            </w:r>
          </w:p>
        </w:tc>
        <w:tc>
          <w:tcPr>
            <w:tcW w:w="103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13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0.6</w:t>
            </w:r>
          </w:p>
        </w:tc>
        <w:tc>
          <w:tcPr>
            <w:tcW w:w="999"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r>
      <w:tr w:rsidR="00DD6219" w:rsidRPr="00057C4C" w:rsidTr="00073C62">
        <w:tc>
          <w:tcPr>
            <w:tcW w:w="243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Alkaline</w:t>
            </w:r>
          </w:p>
        </w:tc>
        <w:tc>
          <w:tcPr>
            <w:tcW w:w="992" w:type="dxa"/>
          </w:tcPr>
          <w:p w:rsidR="00DD6219" w:rsidRPr="00CC0663" w:rsidRDefault="00DD6219" w:rsidP="00073C62">
            <w:pPr>
              <w:pStyle w:val="Table0"/>
              <w:tabs>
                <w:tab w:val="clear" w:pos="284"/>
              </w:tabs>
              <w:spacing w:before="20"/>
              <w:jc w:val="center"/>
              <w:rPr>
                <w:rFonts w:ascii="Times New Roman" w:hAnsi="Times New Roman"/>
                <w:lang w:val="en-AU"/>
              </w:rPr>
            </w:pPr>
          </w:p>
        </w:tc>
        <w:tc>
          <w:tcPr>
            <w:tcW w:w="996" w:type="dxa"/>
          </w:tcPr>
          <w:p w:rsidR="00DD6219" w:rsidRPr="00CC0663" w:rsidRDefault="00DD6219" w:rsidP="00073C62">
            <w:pPr>
              <w:pStyle w:val="Table0"/>
              <w:tabs>
                <w:tab w:val="clear" w:pos="284"/>
              </w:tabs>
              <w:spacing w:before="20"/>
              <w:jc w:val="center"/>
              <w:rPr>
                <w:rFonts w:ascii="Times New Roman" w:hAnsi="Times New Roman"/>
                <w:lang w:val="en-AU"/>
              </w:rPr>
            </w:pPr>
          </w:p>
        </w:tc>
        <w:tc>
          <w:tcPr>
            <w:tcW w:w="1227" w:type="dxa"/>
          </w:tcPr>
          <w:p w:rsidR="00DD6219" w:rsidRPr="00CC0663" w:rsidRDefault="00DD6219" w:rsidP="00073C62">
            <w:pPr>
              <w:pStyle w:val="Table0"/>
              <w:tabs>
                <w:tab w:val="clear" w:pos="284"/>
              </w:tabs>
              <w:spacing w:before="20"/>
              <w:jc w:val="center"/>
              <w:rPr>
                <w:rFonts w:ascii="Times New Roman" w:hAnsi="Times New Roman"/>
                <w:lang w:val="en-AU"/>
              </w:rPr>
            </w:pPr>
          </w:p>
        </w:tc>
        <w:tc>
          <w:tcPr>
            <w:tcW w:w="1037" w:type="dxa"/>
          </w:tcPr>
          <w:p w:rsidR="00DD6219" w:rsidRPr="00CC0663" w:rsidRDefault="00DD6219" w:rsidP="00073C62">
            <w:pPr>
              <w:pStyle w:val="Table0"/>
              <w:tabs>
                <w:tab w:val="clear" w:pos="284"/>
              </w:tabs>
              <w:spacing w:before="20"/>
              <w:jc w:val="center"/>
              <w:rPr>
                <w:rFonts w:ascii="Times New Roman" w:hAnsi="Times New Roman"/>
                <w:lang w:val="en-AU"/>
              </w:rPr>
            </w:pPr>
          </w:p>
        </w:tc>
        <w:tc>
          <w:tcPr>
            <w:tcW w:w="1134" w:type="dxa"/>
          </w:tcPr>
          <w:p w:rsidR="00DD6219" w:rsidRPr="00CC0663" w:rsidRDefault="00DD6219" w:rsidP="00073C62">
            <w:pPr>
              <w:pStyle w:val="Table0"/>
              <w:tabs>
                <w:tab w:val="clear" w:pos="284"/>
              </w:tabs>
              <w:spacing w:before="20"/>
              <w:jc w:val="center"/>
              <w:rPr>
                <w:rFonts w:ascii="Times New Roman" w:hAnsi="Times New Roman"/>
                <w:lang w:val="en-AU"/>
              </w:rPr>
            </w:pPr>
          </w:p>
        </w:tc>
        <w:tc>
          <w:tcPr>
            <w:tcW w:w="999" w:type="dxa"/>
          </w:tcPr>
          <w:p w:rsidR="00DD6219" w:rsidRPr="00CC0663" w:rsidRDefault="00DD6219" w:rsidP="00073C62">
            <w:pPr>
              <w:pStyle w:val="Table0"/>
              <w:tabs>
                <w:tab w:val="clear" w:pos="284"/>
              </w:tabs>
              <w:spacing w:before="20"/>
              <w:jc w:val="center"/>
              <w:rPr>
                <w:rFonts w:ascii="Times New Roman" w:hAnsi="Times New Roman"/>
                <w:lang w:val="en-AU"/>
              </w:rPr>
            </w:pPr>
          </w:p>
        </w:tc>
      </w:tr>
      <w:tr w:rsidR="00DD6219" w:rsidRPr="00057C4C" w:rsidTr="00073C62">
        <w:tc>
          <w:tcPr>
            <w:tcW w:w="243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Phosphatase</w:t>
            </w:r>
          </w:p>
        </w:tc>
        <w:tc>
          <w:tcPr>
            <w:tcW w:w="992"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4.6</w:t>
            </w:r>
          </w:p>
        </w:tc>
        <w:tc>
          <w:tcPr>
            <w:tcW w:w="99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22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5.5</w:t>
            </w:r>
          </w:p>
        </w:tc>
        <w:tc>
          <w:tcPr>
            <w:tcW w:w="103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0.4</w:t>
            </w:r>
          </w:p>
        </w:tc>
        <w:tc>
          <w:tcPr>
            <w:tcW w:w="113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0.2</w:t>
            </w:r>
          </w:p>
        </w:tc>
        <w:tc>
          <w:tcPr>
            <w:tcW w:w="999"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r>
      <w:tr w:rsidR="00DD6219" w:rsidRPr="00057C4C" w:rsidTr="00073C62">
        <w:tc>
          <w:tcPr>
            <w:tcW w:w="2439" w:type="dxa"/>
          </w:tcPr>
          <w:p w:rsidR="00DD6219" w:rsidRPr="00CC0663" w:rsidRDefault="00AA0CFA"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w:t>
            </w:r>
            <w:r w:rsidR="00DD6219" w:rsidRPr="00CC0663">
              <w:rPr>
                <w:rFonts w:ascii="Times New Roman" w:hAnsi="Times New Roman"/>
                <w:lang w:val="en-AU"/>
              </w:rPr>
              <w:t>AST</w:t>
            </w:r>
          </w:p>
        </w:tc>
        <w:tc>
          <w:tcPr>
            <w:tcW w:w="992"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1.9</w:t>
            </w:r>
          </w:p>
        </w:tc>
        <w:tc>
          <w:tcPr>
            <w:tcW w:w="99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22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3.0</w:t>
            </w:r>
          </w:p>
        </w:tc>
        <w:tc>
          <w:tcPr>
            <w:tcW w:w="103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13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2.3</w:t>
            </w:r>
          </w:p>
        </w:tc>
        <w:tc>
          <w:tcPr>
            <w:tcW w:w="999"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r>
      <w:tr w:rsidR="00DD6219" w:rsidRPr="00057C4C" w:rsidTr="00073C62">
        <w:tc>
          <w:tcPr>
            <w:tcW w:w="243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w:t>
            </w:r>
            <w:smartTag w:uri="urn:schemas-microsoft-com:office:smarttags" w:element="stockticker">
              <w:r w:rsidRPr="00CC0663">
                <w:rPr>
                  <w:rFonts w:ascii="Times New Roman" w:hAnsi="Times New Roman"/>
                  <w:lang w:val="en-AU"/>
                </w:rPr>
                <w:t>AL</w:t>
              </w:r>
              <w:r w:rsidR="007656E8" w:rsidRPr="00CC0663">
                <w:rPr>
                  <w:rFonts w:ascii="Times New Roman" w:hAnsi="Times New Roman"/>
                  <w:lang w:val="en-AU"/>
                </w:rPr>
                <w:t>T</w:t>
              </w:r>
            </w:smartTag>
          </w:p>
        </w:tc>
        <w:tc>
          <w:tcPr>
            <w:tcW w:w="992"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2.3</w:t>
            </w:r>
          </w:p>
        </w:tc>
        <w:tc>
          <w:tcPr>
            <w:tcW w:w="99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0.4</w:t>
            </w:r>
          </w:p>
        </w:tc>
        <w:tc>
          <w:tcPr>
            <w:tcW w:w="122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4.3</w:t>
            </w:r>
          </w:p>
        </w:tc>
        <w:tc>
          <w:tcPr>
            <w:tcW w:w="1037"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13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2.1</w:t>
            </w:r>
          </w:p>
        </w:tc>
        <w:tc>
          <w:tcPr>
            <w:tcW w:w="999"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r>
    </w:tbl>
    <w:p w:rsidR="00DD6219" w:rsidRPr="00057C4C" w:rsidRDefault="00DD6219" w:rsidP="00E4309F">
      <w:pPr>
        <w:pStyle w:val="Table0"/>
        <w:tabs>
          <w:tab w:val="clear" w:pos="284"/>
        </w:tabs>
        <w:spacing w:before="60" w:after="60"/>
      </w:pPr>
      <w:smartTag w:uri="urn:schemas-microsoft-com:office:smarttags" w:element="stockticker">
        <w:r w:rsidRPr="00057C4C">
          <w:rPr>
            <w:rFonts w:ascii="Times New Roman" w:hAnsi="Times New Roman"/>
          </w:rPr>
          <w:t>CTC</w:t>
        </w:r>
      </w:smartTag>
      <w:r w:rsidRPr="00057C4C">
        <w:rPr>
          <w:rFonts w:ascii="Times New Roman" w:hAnsi="Times New Roman"/>
        </w:rPr>
        <w:t xml:space="preserve"> Grades:  neutropenia (Grade 3 ≥0.5</w:t>
      </w:r>
      <w:r w:rsidRPr="00057C4C">
        <w:rPr>
          <w:rFonts w:ascii="Times New Roman" w:hAnsi="Times New Roman"/>
        </w:rPr>
        <w:noBreakHyphen/>
        <w:t>1.0 x 10</w:t>
      </w:r>
      <w:r w:rsidRPr="00057C4C">
        <w:rPr>
          <w:rFonts w:ascii="Times New Roman" w:hAnsi="Times New Roman"/>
          <w:vertAlign w:val="superscript"/>
        </w:rPr>
        <w:t>9</w:t>
      </w:r>
      <w:r w:rsidRPr="00057C4C">
        <w:rPr>
          <w:rFonts w:ascii="Times New Roman" w:hAnsi="Times New Roman"/>
        </w:rPr>
        <w:t>/L, Grade 4 &lt;0.5 x 10</w:t>
      </w:r>
      <w:r w:rsidRPr="00057C4C">
        <w:rPr>
          <w:rFonts w:ascii="Times New Roman" w:hAnsi="Times New Roman"/>
          <w:vertAlign w:val="superscript"/>
        </w:rPr>
        <w:t>9</w:t>
      </w:r>
      <w:r w:rsidRPr="00057C4C">
        <w:rPr>
          <w:rFonts w:ascii="Times New Roman" w:hAnsi="Times New Roman"/>
        </w:rPr>
        <w:t>/L), thrombocytopenia (Grade 3 ≥10</w:t>
      </w:r>
      <w:r w:rsidRPr="00057C4C">
        <w:rPr>
          <w:rFonts w:ascii="Times New Roman" w:hAnsi="Times New Roman"/>
        </w:rPr>
        <w:noBreakHyphen/>
        <w:t>50 x 10</w:t>
      </w:r>
      <w:r w:rsidRPr="00057C4C">
        <w:rPr>
          <w:rFonts w:ascii="Times New Roman" w:hAnsi="Times New Roman"/>
          <w:vertAlign w:val="superscript"/>
        </w:rPr>
        <w:t>9</w:t>
      </w:r>
      <w:r w:rsidRPr="00057C4C">
        <w:rPr>
          <w:rFonts w:ascii="Times New Roman" w:hAnsi="Times New Roman"/>
        </w:rPr>
        <w:t>/L, Grade 4 &lt;10 x 10</w:t>
      </w:r>
      <w:r w:rsidRPr="00057C4C">
        <w:rPr>
          <w:rFonts w:ascii="Times New Roman" w:hAnsi="Times New Roman"/>
          <w:vertAlign w:val="superscript"/>
        </w:rPr>
        <w:t>9</w:t>
      </w:r>
      <w:r w:rsidRPr="00057C4C">
        <w:rPr>
          <w:rFonts w:ascii="Times New Roman" w:hAnsi="Times New Roman"/>
        </w:rPr>
        <w:t xml:space="preserve">/L), </w:t>
      </w:r>
      <w:r w:rsidR="00E4309F" w:rsidRPr="00057C4C">
        <w:rPr>
          <w:rFonts w:ascii="Times New Roman" w:hAnsi="Times New Roman"/>
        </w:rPr>
        <w:t>anaemia</w:t>
      </w:r>
      <w:r w:rsidRPr="00057C4C">
        <w:rPr>
          <w:rFonts w:ascii="Times New Roman" w:hAnsi="Times New Roman"/>
        </w:rPr>
        <w:t xml:space="preserve"> (</w:t>
      </w:r>
      <w:r w:rsidR="00E4309F" w:rsidRPr="00057C4C">
        <w:rPr>
          <w:rFonts w:ascii="Times New Roman" w:hAnsi="Times New Roman"/>
        </w:rPr>
        <w:t>haemoglobin</w:t>
      </w:r>
      <w:r w:rsidRPr="00057C4C">
        <w:rPr>
          <w:rFonts w:ascii="Times New Roman" w:hAnsi="Times New Roman"/>
        </w:rPr>
        <w:t xml:space="preserve"> ≥65</w:t>
      </w:r>
      <w:r w:rsidRPr="00057C4C">
        <w:rPr>
          <w:rFonts w:ascii="Times New Roman" w:hAnsi="Times New Roman"/>
        </w:rPr>
        <w:noBreakHyphen/>
        <w:t>80 g/L, Grade 4 &lt;65 g/L), elevated creatinine (Grade 3 &gt;3</w:t>
      </w:r>
      <w:r w:rsidRPr="00057C4C">
        <w:rPr>
          <w:rFonts w:ascii="Times New Roman" w:hAnsi="Times New Roman"/>
        </w:rPr>
        <w:noBreakHyphen/>
        <w:t>6 x upper limit normal range [ULN], Grade 4 &gt;6 x ULN), elevated bilirubin (Grade 3 &gt;3</w:t>
      </w:r>
      <w:r w:rsidRPr="00057C4C">
        <w:rPr>
          <w:rFonts w:ascii="Times New Roman" w:hAnsi="Times New Roman"/>
        </w:rPr>
        <w:noBreakHyphen/>
        <w:t>10 x ULN, Grade 4 &gt;10 x ULN), elevated alkaline phosphatase (Grade 3 &gt;5</w:t>
      </w:r>
      <w:r w:rsidRPr="00057C4C">
        <w:rPr>
          <w:rFonts w:ascii="Times New Roman" w:hAnsi="Times New Roman"/>
        </w:rPr>
        <w:noBreakHyphen/>
        <w:t xml:space="preserve">20 x ULN, Grade 4 &gt;20 x ULN), elevated </w:t>
      </w:r>
      <w:r w:rsidR="007656E8" w:rsidRPr="00057C4C">
        <w:rPr>
          <w:rFonts w:ascii="Times New Roman" w:hAnsi="Times New Roman"/>
        </w:rPr>
        <w:t xml:space="preserve">AST </w:t>
      </w:r>
      <w:r w:rsidRPr="00057C4C">
        <w:rPr>
          <w:rFonts w:ascii="Times New Roman" w:hAnsi="Times New Roman"/>
        </w:rPr>
        <w:t xml:space="preserve">or </w:t>
      </w:r>
      <w:smartTag w:uri="urn:schemas-microsoft-com:office:smarttags" w:element="stockticker">
        <w:r w:rsidR="007656E8" w:rsidRPr="00057C4C">
          <w:rPr>
            <w:rFonts w:ascii="Times New Roman" w:hAnsi="Times New Roman"/>
          </w:rPr>
          <w:t>ALT</w:t>
        </w:r>
      </w:smartTag>
      <w:r w:rsidR="007656E8" w:rsidRPr="00057C4C">
        <w:rPr>
          <w:rFonts w:ascii="Times New Roman" w:hAnsi="Times New Roman"/>
        </w:rPr>
        <w:t xml:space="preserve"> </w:t>
      </w:r>
      <w:r w:rsidRPr="00057C4C">
        <w:rPr>
          <w:rFonts w:ascii="Times New Roman" w:hAnsi="Times New Roman"/>
        </w:rPr>
        <w:t>(Grade 3 &gt;5</w:t>
      </w:r>
      <w:r w:rsidRPr="00057C4C">
        <w:rPr>
          <w:rFonts w:ascii="Times New Roman" w:hAnsi="Times New Roman"/>
        </w:rPr>
        <w:noBreakHyphen/>
        <w:t>20 x ULN, Grade 4 &gt;20 x ULN)</w:t>
      </w:r>
    </w:p>
    <w:p w:rsidR="0023250B" w:rsidRPr="00057C4C" w:rsidRDefault="00DD6219" w:rsidP="00633B29">
      <w:pPr>
        <w:pStyle w:val="Table0"/>
        <w:spacing w:before="120" w:after="120"/>
        <w:jc w:val="center"/>
        <w:rPr>
          <w:rFonts w:ascii="Times New Roman" w:hAnsi="Times New Roman"/>
          <w:b/>
          <w:sz w:val="24"/>
          <w:szCs w:val="24"/>
        </w:rPr>
      </w:pPr>
      <w:r w:rsidRPr="00F457C7">
        <w:rPr>
          <w:rFonts w:ascii="Times New Roman" w:hAnsi="Times New Roman"/>
          <w:b/>
          <w:sz w:val="24"/>
          <w:szCs w:val="24"/>
        </w:rPr>
        <w:t xml:space="preserve">Table </w:t>
      </w:r>
      <w:r w:rsidR="00512F9A" w:rsidRPr="00F457C7">
        <w:rPr>
          <w:rFonts w:ascii="Times New Roman" w:hAnsi="Times New Roman"/>
          <w:b/>
          <w:sz w:val="24"/>
          <w:szCs w:val="24"/>
        </w:rPr>
        <w:t>1</w:t>
      </w:r>
      <w:r w:rsidR="009E7387" w:rsidRPr="00F457C7">
        <w:rPr>
          <w:rFonts w:ascii="Times New Roman" w:hAnsi="Times New Roman"/>
          <w:b/>
          <w:sz w:val="24"/>
          <w:szCs w:val="24"/>
        </w:rPr>
        <w:t>9</w:t>
      </w:r>
      <w:r w:rsidR="00512F9A" w:rsidRPr="00F457C7">
        <w:rPr>
          <w:rFonts w:ascii="Times New Roman" w:hAnsi="Times New Roman"/>
          <w:b/>
          <w:sz w:val="24"/>
          <w:szCs w:val="24"/>
        </w:rPr>
        <w:t xml:space="preserve"> </w:t>
      </w:r>
      <w:r w:rsidRPr="00F457C7">
        <w:rPr>
          <w:rFonts w:ascii="Times New Roman" w:hAnsi="Times New Roman"/>
          <w:b/>
          <w:sz w:val="24"/>
          <w:szCs w:val="24"/>
        </w:rPr>
        <w:t xml:space="preserve">Laboratory Abnormalities in </w:t>
      </w:r>
      <w:r w:rsidR="00F457C7">
        <w:rPr>
          <w:rFonts w:ascii="Times New Roman" w:hAnsi="Times New Roman"/>
          <w:b/>
          <w:sz w:val="24"/>
          <w:szCs w:val="24"/>
        </w:rPr>
        <w:t xml:space="preserve">advanced/metastatic </w:t>
      </w:r>
      <w:r w:rsidRPr="00F457C7">
        <w:rPr>
          <w:rFonts w:ascii="Times New Roman" w:hAnsi="Times New Roman"/>
          <w:b/>
          <w:sz w:val="24"/>
          <w:szCs w:val="24"/>
        </w:rPr>
        <w:t>GIST Trial</w:t>
      </w:r>
      <w:r w:rsidR="004B7B7B">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9"/>
        <w:gridCol w:w="1043"/>
        <w:gridCol w:w="1044"/>
        <w:gridCol w:w="1044"/>
        <w:gridCol w:w="1046"/>
      </w:tblGrid>
      <w:tr w:rsidR="00DD6219" w:rsidRPr="00057C4C" w:rsidTr="00C72B9C">
        <w:tc>
          <w:tcPr>
            <w:tcW w:w="4569" w:type="dxa"/>
            <w:shd w:val="clear" w:color="auto" w:fill="E0E0E0"/>
          </w:tcPr>
          <w:p w:rsidR="00DD6219" w:rsidRPr="00CC0663" w:rsidRDefault="00DD6219" w:rsidP="00073C62">
            <w:pPr>
              <w:pStyle w:val="Table0"/>
              <w:tabs>
                <w:tab w:val="clear" w:pos="284"/>
              </w:tabs>
              <w:spacing w:before="20"/>
              <w:rPr>
                <w:rFonts w:ascii="Times New Roman" w:hAnsi="Times New Roman"/>
                <w:b/>
                <w:lang w:val="en-AU"/>
              </w:rPr>
            </w:pPr>
          </w:p>
          <w:p w:rsidR="00DD6219" w:rsidRPr="00CC0663" w:rsidRDefault="00DD6219" w:rsidP="00073C62">
            <w:pPr>
              <w:pStyle w:val="Table0"/>
              <w:tabs>
                <w:tab w:val="clear" w:pos="284"/>
              </w:tabs>
              <w:spacing w:before="20"/>
              <w:rPr>
                <w:rFonts w:ascii="Times New Roman" w:hAnsi="Times New Roman"/>
                <w:b/>
                <w:lang w:val="en-AU"/>
              </w:rPr>
            </w:pPr>
          </w:p>
        </w:tc>
        <w:tc>
          <w:tcPr>
            <w:tcW w:w="2087" w:type="dxa"/>
            <w:gridSpan w:val="2"/>
            <w:shd w:val="clear" w:color="auto" w:fill="E0E0E0"/>
          </w:tcPr>
          <w:p w:rsidR="00DD6219" w:rsidRPr="00057C4C" w:rsidRDefault="00DD6219" w:rsidP="00073C62">
            <w:pPr>
              <w:pStyle w:val="Table0"/>
              <w:tabs>
                <w:tab w:val="clear" w:pos="284"/>
              </w:tabs>
              <w:spacing w:before="20"/>
              <w:jc w:val="center"/>
              <w:rPr>
                <w:rFonts w:ascii="Times New Roman" w:hAnsi="Times New Roman"/>
                <w:b/>
                <w:lang w:val="pt-BR"/>
              </w:rPr>
            </w:pPr>
            <w:r w:rsidRPr="00057C4C">
              <w:rPr>
                <w:rFonts w:ascii="Times New Roman" w:hAnsi="Times New Roman"/>
                <w:b/>
                <w:lang w:val="pt-BR"/>
              </w:rPr>
              <w:t>400 mg</w:t>
            </w:r>
            <w:r w:rsidR="00E4309F" w:rsidRPr="00057C4C">
              <w:rPr>
                <w:rFonts w:ascii="Times New Roman" w:hAnsi="Times New Roman"/>
                <w:b/>
                <w:lang w:val="pt-BR"/>
              </w:rPr>
              <w:br/>
            </w:r>
            <w:r w:rsidRPr="00057C4C">
              <w:rPr>
                <w:rFonts w:ascii="Times New Roman" w:hAnsi="Times New Roman"/>
                <w:b/>
                <w:lang w:val="pt-BR"/>
              </w:rPr>
              <w:t>(</w:t>
            </w:r>
            <w:r w:rsidR="00DD2067" w:rsidRPr="00057C4C">
              <w:rPr>
                <w:rFonts w:ascii="Times New Roman" w:hAnsi="Times New Roman"/>
                <w:b/>
                <w:lang w:val="pt-BR"/>
              </w:rPr>
              <w:t>N</w:t>
            </w:r>
            <w:r w:rsidRPr="00057C4C">
              <w:rPr>
                <w:rFonts w:ascii="Times New Roman" w:hAnsi="Times New Roman"/>
                <w:b/>
                <w:lang w:val="pt-BR"/>
              </w:rPr>
              <w:t>=73)</w:t>
            </w:r>
            <w:r w:rsidR="00E4309F" w:rsidRPr="00057C4C">
              <w:rPr>
                <w:rFonts w:ascii="Times New Roman" w:hAnsi="Times New Roman"/>
                <w:b/>
                <w:lang w:val="pt-BR"/>
              </w:rPr>
              <w:br/>
            </w:r>
            <w:r w:rsidRPr="00057C4C">
              <w:rPr>
                <w:rFonts w:ascii="Times New Roman" w:hAnsi="Times New Roman"/>
                <w:b/>
                <w:lang w:val="pt-BR"/>
              </w:rPr>
              <w:t>%</w:t>
            </w:r>
          </w:p>
        </w:tc>
        <w:tc>
          <w:tcPr>
            <w:tcW w:w="2090" w:type="dxa"/>
            <w:gridSpan w:val="2"/>
            <w:shd w:val="clear" w:color="auto" w:fill="E0E0E0"/>
          </w:tcPr>
          <w:p w:rsidR="00DD6219" w:rsidRPr="00057C4C" w:rsidRDefault="00DD6219" w:rsidP="00073C62">
            <w:pPr>
              <w:pStyle w:val="Table0"/>
              <w:tabs>
                <w:tab w:val="clear" w:pos="284"/>
              </w:tabs>
              <w:spacing w:before="20"/>
              <w:jc w:val="center"/>
              <w:rPr>
                <w:rFonts w:ascii="Times New Roman" w:hAnsi="Times New Roman"/>
                <w:b/>
                <w:lang w:val="pt-BR"/>
              </w:rPr>
            </w:pPr>
            <w:r w:rsidRPr="00057C4C">
              <w:rPr>
                <w:rFonts w:ascii="Times New Roman" w:hAnsi="Times New Roman"/>
                <w:b/>
                <w:lang w:val="pt-BR"/>
              </w:rPr>
              <w:t>600 mg</w:t>
            </w:r>
            <w:r w:rsidR="00E4309F" w:rsidRPr="00057C4C">
              <w:rPr>
                <w:rFonts w:ascii="Times New Roman" w:hAnsi="Times New Roman"/>
                <w:b/>
                <w:lang w:val="pt-BR"/>
              </w:rPr>
              <w:br/>
            </w:r>
            <w:r w:rsidRPr="00057C4C">
              <w:rPr>
                <w:rFonts w:ascii="Times New Roman" w:hAnsi="Times New Roman"/>
                <w:b/>
                <w:lang w:val="pt-BR"/>
              </w:rPr>
              <w:t>(</w:t>
            </w:r>
            <w:r w:rsidR="00DD2067" w:rsidRPr="00057C4C">
              <w:rPr>
                <w:rFonts w:ascii="Times New Roman" w:hAnsi="Times New Roman"/>
                <w:b/>
                <w:lang w:val="pt-BR"/>
              </w:rPr>
              <w:t>N</w:t>
            </w:r>
            <w:r w:rsidRPr="00057C4C">
              <w:rPr>
                <w:rFonts w:ascii="Times New Roman" w:hAnsi="Times New Roman"/>
                <w:b/>
                <w:lang w:val="pt-BR"/>
              </w:rPr>
              <w:t>=74)</w:t>
            </w:r>
            <w:r w:rsidR="00E4309F" w:rsidRPr="00057C4C">
              <w:rPr>
                <w:rFonts w:ascii="Times New Roman" w:hAnsi="Times New Roman"/>
                <w:b/>
                <w:lang w:val="pt-BR"/>
              </w:rPr>
              <w:br/>
            </w:r>
            <w:r w:rsidRPr="00057C4C">
              <w:rPr>
                <w:rFonts w:ascii="Times New Roman" w:hAnsi="Times New Roman"/>
                <w:b/>
                <w:lang w:val="pt-BR"/>
              </w:rPr>
              <w:t>%</w:t>
            </w:r>
          </w:p>
        </w:tc>
      </w:tr>
      <w:tr w:rsidR="00DD6219" w:rsidRPr="00057C4C" w:rsidTr="00C72B9C">
        <w:trPr>
          <w:trHeight w:val="188"/>
        </w:trPr>
        <w:tc>
          <w:tcPr>
            <w:tcW w:w="4569" w:type="dxa"/>
          </w:tcPr>
          <w:p w:rsidR="00DD6219" w:rsidRPr="00057C4C" w:rsidRDefault="00DD6219" w:rsidP="00073C62">
            <w:pPr>
              <w:pStyle w:val="Table0"/>
              <w:tabs>
                <w:tab w:val="clear" w:pos="284"/>
              </w:tabs>
              <w:spacing w:before="20"/>
              <w:rPr>
                <w:rFonts w:ascii="Times New Roman" w:hAnsi="Times New Roman"/>
                <w:b/>
                <w:lang w:val="pt-BR"/>
              </w:rPr>
            </w:pPr>
            <w:r w:rsidRPr="00057C4C">
              <w:rPr>
                <w:rFonts w:ascii="Times New Roman" w:hAnsi="Times New Roman"/>
                <w:b/>
                <w:lang w:val="pt-BR"/>
              </w:rPr>
              <w:t>CTC Grades</w:t>
            </w:r>
          </w:p>
        </w:tc>
        <w:tc>
          <w:tcPr>
            <w:tcW w:w="1043" w:type="dxa"/>
          </w:tcPr>
          <w:p w:rsidR="00DD6219" w:rsidRPr="00057C4C" w:rsidRDefault="00DD6219" w:rsidP="00073C62">
            <w:pPr>
              <w:pStyle w:val="Table0"/>
              <w:tabs>
                <w:tab w:val="clear" w:pos="284"/>
              </w:tabs>
              <w:spacing w:before="20"/>
              <w:jc w:val="center"/>
              <w:rPr>
                <w:rFonts w:ascii="Times New Roman" w:hAnsi="Times New Roman"/>
                <w:b/>
                <w:lang w:val="pt-BR"/>
              </w:rPr>
            </w:pPr>
            <w:r w:rsidRPr="00057C4C">
              <w:rPr>
                <w:rFonts w:ascii="Times New Roman" w:hAnsi="Times New Roman"/>
                <w:b/>
                <w:lang w:val="pt-BR"/>
              </w:rPr>
              <w:t>3</w:t>
            </w:r>
          </w:p>
        </w:tc>
        <w:tc>
          <w:tcPr>
            <w:tcW w:w="1044" w:type="dxa"/>
          </w:tcPr>
          <w:p w:rsidR="00DD6219" w:rsidRPr="00057C4C" w:rsidRDefault="00DD6219" w:rsidP="00073C62">
            <w:pPr>
              <w:pStyle w:val="Table0"/>
              <w:tabs>
                <w:tab w:val="clear" w:pos="284"/>
              </w:tabs>
              <w:spacing w:before="20"/>
              <w:jc w:val="center"/>
              <w:rPr>
                <w:rFonts w:ascii="Times New Roman" w:hAnsi="Times New Roman"/>
                <w:b/>
                <w:lang w:val="pt-BR"/>
              </w:rPr>
            </w:pPr>
            <w:r w:rsidRPr="00057C4C">
              <w:rPr>
                <w:rFonts w:ascii="Times New Roman" w:hAnsi="Times New Roman"/>
                <w:b/>
                <w:lang w:val="pt-BR"/>
              </w:rPr>
              <w:t>4</w:t>
            </w:r>
          </w:p>
        </w:tc>
        <w:tc>
          <w:tcPr>
            <w:tcW w:w="1044" w:type="dxa"/>
          </w:tcPr>
          <w:p w:rsidR="00DD6219" w:rsidRPr="00057C4C" w:rsidRDefault="00DD6219" w:rsidP="00073C62">
            <w:pPr>
              <w:pStyle w:val="Table0"/>
              <w:tabs>
                <w:tab w:val="clear" w:pos="284"/>
              </w:tabs>
              <w:spacing w:before="20"/>
              <w:jc w:val="center"/>
              <w:rPr>
                <w:rFonts w:ascii="Times New Roman" w:hAnsi="Times New Roman"/>
                <w:b/>
                <w:lang w:val="pt-BR"/>
              </w:rPr>
            </w:pPr>
            <w:r w:rsidRPr="00057C4C">
              <w:rPr>
                <w:rFonts w:ascii="Times New Roman" w:hAnsi="Times New Roman"/>
                <w:b/>
                <w:lang w:val="pt-BR"/>
              </w:rPr>
              <w:t>3</w:t>
            </w:r>
          </w:p>
        </w:tc>
        <w:tc>
          <w:tcPr>
            <w:tcW w:w="1046" w:type="dxa"/>
          </w:tcPr>
          <w:p w:rsidR="00DD6219" w:rsidRPr="00057C4C" w:rsidRDefault="00DD6219" w:rsidP="00073C62">
            <w:pPr>
              <w:pStyle w:val="Table0"/>
              <w:tabs>
                <w:tab w:val="clear" w:pos="284"/>
              </w:tabs>
              <w:spacing w:before="20"/>
              <w:jc w:val="center"/>
              <w:rPr>
                <w:rFonts w:ascii="Times New Roman" w:hAnsi="Times New Roman"/>
                <w:b/>
                <w:lang w:val="pt-BR"/>
              </w:rPr>
            </w:pPr>
            <w:r w:rsidRPr="00057C4C">
              <w:rPr>
                <w:rFonts w:ascii="Times New Roman" w:hAnsi="Times New Roman"/>
                <w:b/>
                <w:lang w:val="pt-BR"/>
              </w:rPr>
              <w:t>4</w:t>
            </w:r>
          </w:p>
        </w:tc>
      </w:tr>
      <w:tr w:rsidR="00DD6219" w:rsidRPr="00057C4C" w:rsidTr="00C72B9C">
        <w:trPr>
          <w:trHeight w:val="369"/>
        </w:trPr>
        <w:tc>
          <w:tcPr>
            <w:tcW w:w="4569" w:type="dxa"/>
            <w:shd w:val="clear" w:color="auto" w:fill="E0E0E0"/>
          </w:tcPr>
          <w:p w:rsidR="00DD6219" w:rsidRPr="00057C4C" w:rsidRDefault="00DD6219" w:rsidP="00073C62">
            <w:pPr>
              <w:pStyle w:val="Table0"/>
              <w:tabs>
                <w:tab w:val="clear" w:pos="284"/>
              </w:tabs>
              <w:spacing w:before="20"/>
              <w:rPr>
                <w:rFonts w:ascii="Times New Roman" w:hAnsi="Times New Roman"/>
                <w:b/>
                <w:lang w:val="pt-BR"/>
              </w:rPr>
            </w:pPr>
            <w:r w:rsidRPr="00057C4C">
              <w:rPr>
                <w:rFonts w:ascii="Times New Roman" w:hAnsi="Times New Roman"/>
                <w:b/>
                <w:lang w:val="pt-BR"/>
              </w:rPr>
              <w:t>Hematology Parameters</w:t>
            </w:r>
          </w:p>
        </w:tc>
        <w:tc>
          <w:tcPr>
            <w:tcW w:w="1043" w:type="dxa"/>
          </w:tcPr>
          <w:p w:rsidR="00DD6219" w:rsidRPr="00057C4C" w:rsidRDefault="00DD6219" w:rsidP="00073C62">
            <w:pPr>
              <w:pStyle w:val="Table0"/>
              <w:tabs>
                <w:tab w:val="clear" w:pos="284"/>
              </w:tabs>
              <w:spacing w:before="20"/>
              <w:rPr>
                <w:rFonts w:ascii="Times New Roman" w:hAnsi="Times New Roman"/>
                <w:b/>
                <w:lang w:val="pt-BR"/>
              </w:rPr>
            </w:pPr>
          </w:p>
        </w:tc>
        <w:tc>
          <w:tcPr>
            <w:tcW w:w="1044" w:type="dxa"/>
          </w:tcPr>
          <w:p w:rsidR="00DD6219" w:rsidRPr="00057C4C" w:rsidRDefault="00DD6219" w:rsidP="00073C62">
            <w:pPr>
              <w:pStyle w:val="Table0"/>
              <w:tabs>
                <w:tab w:val="clear" w:pos="284"/>
              </w:tabs>
              <w:spacing w:before="20"/>
              <w:rPr>
                <w:rFonts w:ascii="Times New Roman" w:hAnsi="Times New Roman"/>
                <w:b/>
                <w:lang w:val="pt-BR"/>
              </w:rPr>
            </w:pPr>
          </w:p>
        </w:tc>
        <w:tc>
          <w:tcPr>
            <w:tcW w:w="1044" w:type="dxa"/>
          </w:tcPr>
          <w:p w:rsidR="00DD6219" w:rsidRPr="00057C4C" w:rsidRDefault="00DD6219" w:rsidP="00073C62">
            <w:pPr>
              <w:pStyle w:val="Table0"/>
              <w:tabs>
                <w:tab w:val="clear" w:pos="284"/>
              </w:tabs>
              <w:spacing w:before="20"/>
              <w:rPr>
                <w:rFonts w:ascii="Times New Roman" w:hAnsi="Times New Roman"/>
                <w:b/>
                <w:lang w:val="pt-BR"/>
              </w:rPr>
            </w:pPr>
          </w:p>
        </w:tc>
        <w:tc>
          <w:tcPr>
            <w:tcW w:w="1046" w:type="dxa"/>
          </w:tcPr>
          <w:p w:rsidR="00DD6219" w:rsidRPr="00057C4C" w:rsidRDefault="00DD6219" w:rsidP="00073C62">
            <w:pPr>
              <w:pStyle w:val="Table0"/>
              <w:tabs>
                <w:tab w:val="clear" w:pos="284"/>
              </w:tabs>
              <w:spacing w:before="20"/>
              <w:rPr>
                <w:rFonts w:ascii="Times New Roman" w:hAnsi="Times New Roman"/>
                <w:b/>
                <w:lang w:val="pt-BR"/>
              </w:rPr>
            </w:pPr>
          </w:p>
        </w:tc>
      </w:tr>
      <w:tr w:rsidR="00DD6219" w:rsidRPr="00057C4C" w:rsidTr="00C72B9C">
        <w:trPr>
          <w:trHeight w:val="312"/>
        </w:trPr>
        <w:tc>
          <w:tcPr>
            <w:tcW w:w="4569" w:type="dxa"/>
          </w:tcPr>
          <w:p w:rsidR="00DD6219" w:rsidRPr="00057C4C" w:rsidRDefault="00DD6219" w:rsidP="00073C62">
            <w:pPr>
              <w:pStyle w:val="Table0"/>
              <w:tabs>
                <w:tab w:val="clear" w:pos="284"/>
              </w:tabs>
              <w:spacing w:before="20"/>
              <w:rPr>
                <w:rFonts w:ascii="Times New Roman" w:hAnsi="Times New Roman"/>
                <w:lang w:val="pt-BR"/>
              </w:rPr>
            </w:pPr>
            <w:r w:rsidRPr="00057C4C">
              <w:rPr>
                <w:rFonts w:ascii="Times New Roman" w:hAnsi="Times New Roman"/>
                <w:lang w:val="pt-BR"/>
              </w:rPr>
              <w:t xml:space="preserve">   </w:t>
            </w:r>
            <w:r w:rsidRPr="00057C4C">
              <w:rPr>
                <w:rFonts w:ascii="Times New Roman" w:hAnsi="Times New Roman"/>
                <w:lang w:val="pt-BR"/>
              </w:rPr>
              <w:noBreakHyphen/>
              <w:t xml:space="preserve"> Anemia</w:t>
            </w:r>
          </w:p>
        </w:tc>
        <w:tc>
          <w:tcPr>
            <w:tcW w:w="1043" w:type="dxa"/>
          </w:tcPr>
          <w:p w:rsidR="00DD6219" w:rsidRPr="00057C4C" w:rsidRDefault="00DD6219" w:rsidP="00073C62">
            <w:pPr>
              <w:pStyle w:val="Table0"/>
              <w:tabs>
                <w:tab w:val="clear" w:pos="284"/>
              </w:tabs>
              <w:spacing w:before="20"/>
              <w:jc w:val="center"/>
              <w:rPr>
                <w:rFonts w:ascii="Times New Roman" w:hAnsi="Times New Roman"/>
                <w:lang w:val="pt-BR"/>
              </w:rPr>
            </w:pPr>
            <w:r w:rsidRPr="00057C4C">
              <w:rPr>
                <w:rFonts w:ascii="Times New Roman" w:hAnsi="Times New Roman"/>
                <w:lang w:val="pt-BR"/>
              </w:rPr>
              <w:t>3</w:t>
            </w:r>
          </w:p>
        </w:tc>
        <w:tc>
          <w:tcPr>
            <w:tcW w:w="1044" w:type="dxa"/>
          </w:tcPr>
          <w:p w:rsidR="00DD6219" w:rsidRPr="00057C4C" w:rsidRDefault="00DD6219" w:rsidP="00073C62">
            <w:pPr>
              <w:pStyle w:val="Table0"/>
              <w:tabs>
                <w:tab w:val="clear" w:pos="284"/>
              </w:tabs>
              <w:spacing w:before="20"/>
              <w:jc w:val="center"/>
              <w:rPr>
                <w:rFonts w:ascii="Times New Roman" w:hAnsi="Times New Roman"/>
                <w:lang w:val="pt-BR"/>
              </w:rPr>
            </w:pPr>
            <w:r w:rsidRPr="00057C4C">
              <w:rPr>
                <w:rFonts w:ascii="Times New Roman" w:hAnsi="Times New Roman"/>
                <w:lang w:val="pt-BR"/>
              </w:rPr>
              <w:t>0</w:t>
            </w:r>
          </w:p>
        </w:tc>
        <w:tc>
          <w:tcPr>
            <w:tcW w:w="1044" w:type="dxa"/>
          </w:tcPr>
          <w:p w:rsidR="00DD6219" w:rsidRPr="00057C4C" w:rsidRDefault="00DD6219" w:rsidP="00073C62">
            <w:pPr>
              <w:pStyle w:val="Table0"/>
              <w:tabs>
                <w:tab w:val="clear" w:pos="284"/>
              </w:tabs>
              <w:spacing w:before="20"/>
              <w:jc w:val="center"/>
              <w:rPr>
                <w:rFonts w:ascii="Times New Roman" w:hAnsi="Times New Roman"/>
                <w:lang w:val="pt-BR"/>
              </w:rPr>
            </w:pPr>
            <w:r w:rsidRPr="00057C4C">
              <w:rPr>
                <w:rFonts w:ascii="Times New Roman" w:hAnsi="Times New Roman"/>
                <w:lang w:val="pt-BR"/>
              </w:rPr>
              <w:t>8</w:t>
            </w:r>
          </w:p>
        </w:tc>
        <w:tc>
          <w:tcPr>
            <w:tcW w:w="1046" w:type="dxa"/>
          </w:tcPr>
          <w:p w:rsidR="00DD6219" w:rsidRPr="00057C4C" w:rsidRDefault="00DD6219" w:rsidP="00073C62">
            <w:pPr>
              <w:pStyle w:val="Table0"/>
              <w:tabs>
                <w:tab w:val="clear" w:pos="284"/>
              </w:tabs>
              <w:spacing w:before="20"/>
              <w:jc w:val="center"/>
              <w:rPr>
                <w:rFonts w:ascii="Times New Roman" w:hAnsi="Times New Roman"/>
                <w:lang w:val="pt-BR"/>
              </w:rPr>
            </w:pPr>
            <w:r w:rsidRPr="00057C4C">
              <w:rPr>
                <w:rFonts w:ascii="Times New Roman" w:hAnsi="Times New Roman"/>
                <w:lang w:val="pt-BR"/>
              </w:rPr>
              <w:t>1</w:t>
            </w:r>
          </w:p>
        </w:tc>
      </w:tr>
      <w:tr w:rsidR="00DD6219" w:rsidRPr="00057C4C" w:rsidTr="00C72B9C">
        <w:trPr>
          <w:trHeight w:val="331"/>
        </w:trPr>
        <w:tc>
          <w:tcPr>
            <w:tcW w:w="4569" w:type="dxa"/>
          </w:tcPr>
          <w:p w:rsidR="00DD6219" w:rsidRPr="00057C4C" w:rsidRDefault="00DD6219" w:rsidP="00073C62">
            <w:pPr>
              <w:pStyle w:val="Table0"/>
              <w:tabs>
                <w:tab w:val="clear" w:pos="284"/>
              </w:tabs>
              <w:spacing w:before="20"/>
              <w:rPr>
                <w:rFonts w:ascii="Times New Roman" w:hAnsi="Times New Roman"/>
                <w:lang w:val="pt-BR"/>
              </w:rPr>
            </w:pPr>
            <w:r w:rsidRPr="00057C4C">
              <w:rPr>
                <w:rFonts w:ascii="Times New Roman" w:hAnsi="Times New Roman"/>
                <w:lang w:val="pt-BR"/>
              </w:rPr>
              <w:t xml:space="preserve">   </w:t>
            </w:r>
            <w:r w:rsidRPr="00057C4C">
              <w:rPr>
                <w:rFonts w:ascii="Times New Roman" w:hAnsi="Times New Roman"/>
                <w:lang w:val="pt-BR"/>
              </w:rPr>
              <w:noBreakHyphen/>
              <w:t xml:space="preserve"> Thrombocytopenia</w:t>
            </w:r>
          </w:p>
        </w:tc>
        <w:tc>
          <w:tcPr>
            <w:tcW w:w="1043" w:type="dxa"/>
          </w:tcPr>
          <w:p w:rsidR="00DD6219" w:rsidRPr="00057C4C" w:rsidRDefault="00DD6219" w:rsidP="00073C62">
            <w:pPr>
              <w:pStyle w:val="Table0"/>
              <w:tabs>
                <w:tab w:val="clear" w:pos="284"/>
              </w:tabs>
              <w:spacing w:before="20"/>
              <w:jc w:val="center"/>
              <w:rPr>
                <w:rFonts w:ascii="Times New Roman" w:hAnsi="Times New Roman"/>
                <w:lang w:val="pt-BR"/>
              </w:rPr>
            </w:pPr>
            <w:r w:rsidRPr="00057C4C">
              <w:rPr>
                <w:rFonts w:ascii="Times New Roman" w:hAnsi="Times New Roman"/>
                <w:lang w:val="pt-BR"/>
              </w:rPr>
              <w:t>0</w:t>
            </w:r>
          </w:p>
        </w:tc>
        <w:tc>
          <w:tcPr>
            <w:tcW w:w="1044" w:type="dxa"/>
          </w:tcPr>
          <w:p w:rsidR="00DD6219" w:rsidRPr="00057C4C" w:rsidRDefault="00DD6219" w:rsidP="00073C62">
            <w:pPr>
              <w:pStyle w:val="Table0"/>
              <w:tabs>
                <w:tab w:val="clear" w:pos="284"/>
              </w:tabs>
              <w:spacing w:before="20"/>
              <w:jc w:val="center"/>
              <w:rPr>
                <w:rFonts w:ascii="Times New Roman" w:hAnsi="Times New Roman"/>
                <w:lang w:val="pt-BR"/>
              </w:rPr>
            </w:pPr>
            <w:r w:rsidRPr="00057C4C">
              <w:rPr>
                <w:rFonts w:ascii="Times New Roman" w:hAnsi="Times New Roman"/>
                <w:lang w:val="pt-BR"/>
              </w:rPr>
              <w:t>0</w:t>
            </w:r>
          </w:p>
        </w:tc>
        <w:tc>
          <w:tcPr>
            <w:tcW w:w="1044" w:type="dxa"/>
          </w:tcPr>
          <w:p w:rsidR="00DD6219" w:rsidRPr="00057C4C" w:rsidRDefault="00DD6219" w:rsidP="00073C62">
            <w:pPr>
              <w:pStyle w:val="Table0"/>
              <w:tabs>
                <w:tab w:val="clear" w:pos="284"/>
              </w:tabs>
              <w:spacing w:before="20"/>
              <w:jc w:val="center"/>
              <w:rPr>
                <w:rFonts w:ascii="Times New Roman" w:hAnsi="Times New Roman"/>
                <w:lang w:val="pt-BR"/>
              </w:rPr>
            </w:pPr>
            <w:r w:rsidRPr="00057C4C">
              <w:rPr>
                <w:rFonts w:ascii="Times New Roman" w:hAnsi="Times New Roman"/>
                <w:lang w:val="pt-BR"/>
              </w:rPr>
              <w:t>1</w:t>
            </w:r>
          </w:p>
        </w:tc>
        <w:tc>
          <w:tcPr>
            <w:tcW w:w="1046" w:type="dxa"/>
          </w:tcPr>
          <w:p w:rsidR="00DD6219" w:rsidRPr="00057C4C" w:rsidRDefault="00DD6219" w:rsidP="00073C62">
            <w:pPr>
              <w:pStyle w:val="Table0"/>
              <w:tabs>
                <w:tab w:val="clear" w:pos="284"/>
              </w:tabs>
              <w:spacing w:before="20"/>
              <w:jc w:val="center"/>
              <w:rPr>
                <w:rFonts w:ascii="Times New Roman" w:hAnsi="Times New Roman"/>
                <w:lang w:val="pt-BR"/>
              </w:rPr>
            </w:pPr>
            <w:r w:rsidRPr="00057C4C">
              <w:rPr>
                <w:rFonts w:ascii="Times New Roman" w:hAnsi="Times New Roman"/>
                <w:lang w:val="pt-BR"/>
              </w:rPr>
              <w:t>0</w:t>
            </w:r>
          </w:p>
        </w:tc>
      </w:tr>
      <w:tr w:rsidR="00DD6219" w:rsidRPr="00057C4C" w:rsidTr="00C72B9C">
        <w:trPr>
          <w:trHeight w:val="312"/>
        </w:trPr>
        <w:tc>
          <w:tcPr>
            <w:tcW w:w="4569" w:type="dxa"/>
          </w:tcPr>
          <w:p w:rsidR="00DD6219" w:rsidRPr="00CC0663" w:rsidRDefault="00DD6219" w:rsidP="00073C62">
            <w:pPr>
              <w:pStyle w:val="Table0"/>
              <w:tabs>
                <w:tab w:val="clear" w:pos="284"/>
              </w:tabs>
              <w:spacing w:before="20"/>
              <w:rPr>
                <w:rFonts w:ascii="Times New Roman" w:hAnsi="Times New Roman"/>
                <w:lang w:val="en-AU"/>
              </w:rPr>
            </w:pPr>
            <w:r w:rsidRPr="00057C4C">
              <w:rPr>
                <w:rFonts w:ascii="Times New Roman" w:hAnsi="Times New Roman"/>
                <w:lang w:val="pt-BR"/>
              </w:rPr>
              <w:t xml:space="preserve">   </w:t>
            </w:r>
            <w:r w:rsidRPr="00CC0663">
              <w:rPr>
                <w:rFonts w:ascii="Times New Roman" w:hAnsi="Times New Roman"/>
                <w:lang w:val="en-AU"/>
              </w:rPr>
              <w:noBreakHyphen/>
              <w:t xml:space="preserve"> Neutropenia</w:t>
            </w:r>
          </w:p>
        </w:tc>
        <w:tc>
          <w:tcPr>
            <w:tcW w:w="1043"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7</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8</w:t>
            </w:r>
          </w:p>
        </w:tc>
        <w:tc>
          <w:tcPr>
            <w:tcW w:w="104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w:t>
            </w:r>
          </w:p>
        </w:tc>
      </w:tr>
      <w:tr w:rsidR="00DD6219" w:rsidRPr="00057C4C" w:rsidTr="00C72B9C">
        <w:trPr>
          <w:trHeight w:val="312"/>
        </w:trPr>
        <w:tc>
          <w:tcPr>
            <w:tcW w:w="4569" w:type="dxa"/>
            <w:shd w:val="clear" w:color="auto" w:fill="E0E0E0"/>
          </w:tcPr>
          <w:p w:rsidR="00DD6219" w:rsidRPr="00CC0663" w:rsidRDefault="00DD6219" w:rsidP="00073C62">
            <w:pPr>
              <w:pStyle w:val="Table0"/>
              <w:tabs>
                <w:tab w:val="clear" w:pos="284"/>
              </w:tabs>
              <w:spacing w:before="20"/>
              <w:rPr>
                <w:rFonts w:ascii="Times New Roman" w:hAnsi="Times New Roman"/>
                <w:b/>
                <w:lang w:val="en-AU"/>
              </w:rPr>
            </w:pPr>
            <w:r w:rsidRPr="00CC0663">
              <w:rPr>
                <w:rFonts w:ascii="Times New Roman" w:hAnsi="Times New Roman"/>
                <w:b/>
                <w:lang w:val="en-AU"/>
              </w:rPr>
              <w:t>Biochemistry Parameters</w:t>
            </w:r>
          </w:p>
        </w:tc>
        <w:tc>
          <w:tcPr>
            <w:tcW w:w="1043" w:type="dxa"/>
          </w:tcPr>
          <w:p w:rsidR="00DD6219" w:rsidRPr="00CC0663" w:rsidRDefault="00DD6219" w:rsidP="00073C62">
            <w:pPr>
              <w:pStyle w:val="Table0"/>
              <w:tabs>
                <w:tab w:val="clear" w:pos="284"/>
              </w:tabs>
              <w:spacing w:before="20"/>
              <w:jc w:val="center"/>
              <w:rPr>
                <w:rFonts w:ascii="Times New Roman" w:hAnsi="Times New Roman"/>
                <w:b/>
                <w:lang w:val="en-AU"/>
              </w:rPr>
            </w:pPr>
          </w:p>
        </w:tc>
        <w:tc>
          <w:tcPr>
            <w:tcW w:w="1044" w:type="dxa"/>
          </w:tcPr>
          <w:p w:rsidR="00DD6219" w:rsidRPr="00CC0663" w:rsidRDefault="00DD6219" w:rsidP="00073C62">
            <w:pPr>
              <w:pStyle w:val="Table0"/>
              <w:tabs>
                <w:tab w:val="clear" w:pos="284"/>
              </w:tabs>
              <w:spacing w:before="20"/>
              <w:jc w:val="center"/>
              <w:rPr>
                <w:rFonts w:ascii="Times New Roman" w:hAnsi="Times New Roman"/>
                <w:b/>
                <w:lang w:val="en-AU"/>
              </w:rPr>
            </w:pPr>
          </w:p>
        </w:tc>
        <w:tc>
          <w:tcPr>
            <w:tcW w:w="1044" w:type="dxa"/>
          </w:tcPr>
          <w:p w:rsidR="00DD6219" w:rsidRPr="00CC0663" w:rsidRDefault="00DD6219" w:rsidP="00073C62">
            <w:pPr>
              <w:pStyle w:val="Table0"/>
              <w:tabs>
                <w:tab w:val="clear" w:pos="284"/>
              </w:tabs>
              <w:spacing w:before="20"/>
              <w:jc w:val="center"/>
              <w:rPr>
                <w:rFonts w:ascii="Times New Roman" w:hAnsi="Times New Roman"/>
                <w:b/>
                <w:lang w:val="en-AU"/>
              </w:rPr>
            </w:pPr>
          </w:p>
        </w:tc>
        <w:tc>
          <w:tcPr>
            <w:tcW w:w="1046" w:type="dxa"/>
          </w:tcPr>
          <w:p w:rsidR="00DD6219" w:rsidRPr="00CC0663" w:rsidRDefault="00DD6219" w:rsidP="00073C62">
            <w:pPr>
              <w:pStyle w:val="Table0"/>
              <w:tabs>
                <w:tab w:val="clear" w:pos="284"/>
              </w:tabs>
              <w:spacing w:before="20"/>
              <w:jc w:val="center"/>
              <w:rPr>
                <w:rFonts w:ascii="Times New Roman" w:hAnsi="Times New Roman"/>
                <w:b/>
                <w:lang w:val="en-AU"/>
              </w:rPr>
            </w:pPr>
          </w:p>
        </w:tc>
      </w:tr>
      <w:tr w:rsidR="00DD6219" w:rsidRPr="00057C4C" w:rsidTr="00C72B9C">
        <w:trPr>
          <w:trHeight w:val="331"/>
        </w:trPr>
        <w:tc>
          <w:tcPr>
            <w:tcW w:w="456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Creatinine</w:t>
            </w:r>
          </w:p>
        </w:tc>
        <w:tc>
          <w:tcPr>
            <w:tcW w:w="1043"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w:t>
            </w:r>
          </w:p>
        </w:tc>
        <w:tc>
          <w:tcPr>
            <w:tcW w:w="104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r>
      <w:tr w:rsidR="00DD6219" w:rsidRPr="00057C4C" w:rsidTr="00C72B9C">
        <w:trPr>
          <w:trHeight w:val="312"/>
        </w:trPr>
        <w:tc>
          <w:tcPr>
            <w:tcW w:w="456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Reduced Albumin</w:t>
            </w:r>
          </w:p>
        </w:tc>
        <w:tc>
          <w:tcPr>
            <w:tcW w:w="1043"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4</w:t>
            </w:r>
          </w:p>
        </w:tc>
        <w:tc>
          <w:tcPr>
            <w:tcW w:w="104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r>
      <w:tr w:rsidR="00DD6219" w:rsidRPr="00057C4C" w:rsidTr="00C72B9C">
        <w:trPr>
          <w:trHeight w:val="312"/>
        </w:trPr>
        <w:tc>
          <w:tcPr>
            <w:tcW w:w="456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Bilirubin</w:t>
            </w:r>
          </w:p>
        </w:tc>
        <w:tc>
          <w:tcPr>
            <w:tcW w:w="1043"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w:t>
            </w:r>
          </w:p>
        </w:tc>
        <w:tc>
          <w:tcPr>
            <w:tcW w:w="104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w:t>
            </w:r>
          </w:p>
        </w:tc>
      </w:tr>
      <w:tr w:rsidR="00DD6219" w:rsidRPr="00057C4C" w:rsidTr="00C72B9C">
        <w:trPr>
          <w:trHeight w:val="331"/>
        </w:trPr>
        <w:tc>
          <w:tcPr>
            <w:tcW w:w="4569" w:type="dxa"/>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Alkaline Phosphatase</w:t>
            </w:r>
          </w:p>
        </w:tc>
        <w:tc>
          <w:tcPr>
            <w:tcW w:w="1043"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044"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w:t>
            </w:r>
          </w:p>
        </w:tc>
        <w:tc>
          <w:tcPr>
            <w:tcW w:w="1046" w:type="dxa"/>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r>
      <w:tr w:rsidR="00DD6219" w:rsidRPr="00057C4C" w:rsidTr="00C72B9C">
        <w:trPr>
          <w:trHeight w:val="312"/>
        </w:trPr>
        <w:tc>
          <w:tcPr>
            <w:tcW w:w="4569" w:type="dxa"/>
            <w:tcBorders>
              <w:bottom w:val="single" w:sz="4" w:space="0" w:color="auto"/>
            </w:tcBorders>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AST</w:t>
            </w:r>
          </w:p>
        </w:tc>
        <w:tc>
          <w:tcPr>
            <w:tcW w:w="1043" w:type="dxa"/>
            <w:tcBorders>
              <w:bottom w:val="single" w:sz="4" w:space="0" w:color="auto"/>
            </w:tcBorders>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4</w:t>
            </w:r>
          </w:p>
        </w:tc>
        <w:tc>
          <w:tcPr>
            <w:tcW w:w="1044" w:type="dxa"/>
            <w:tcBorders>
              <w:bottom w:val="single" w:sz="4" w:space="0" w:color="auto"/>
            </w:tcBorders>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044" w:type="dxa"/>
            <w:tcBorders>
              <w:bottom w:val="single" w:sz="4" w:space="0" w:color="auto"/>
            </w:tcBorders>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w:t>
            </w:r>
          </w:p>
        </w:tc>
        <w:tc>
          <w:tcPr>
            <w:tcW w:w="1046" w:type="dxa"/>
            <w:tcBorders>
              <w:bottom w:val="single" w:sz="4" w:space="0" w:color="auto"/>
            </w:tcBorders>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3</w:t>
            </w:r>
          </w:p>
        </w:tc>
      </w:tr>
      <w:tr w:rsidR="00DD6219" w:rsidRPr="00057C4C" w:rsidTr="00C72B9C">
        <w:trPr>
          <w:trHeight w:val="312"/>
        </w:trPr>
        <w:tc>
          <w:tcPr>
            <w:tcW w:w="4569" w:type="dxa"/>
            <w:tcBorders>
              <w:bottom w:val="single" w:sz="4" w:space="0" w:color="auto"/>
            </w:tcBorders>
          </w:tcPr>
          <w:p w:rsidR="00DD6219" w:rsidRPr="00CC0663" w:rsidRDefault="00DD6219" w:rsidP="00073C62">
            <w:pPr>
              <w:pStyle w:val="Table0"/>
              <w:tabs>
                <w:tab w:val="clear" w:pos="284"/>
              </w:tabs>
              <w:spacing w:before="20"/>
              <w:rPr>
                <w:rFonts w:ascii="Times New Roman" w:hAnsi="Times New Roman"/>
                <w:lang w:val="en-AU"/>
              </w:rPr>
            </w:pPr>
            <w:r w:rsidRPr="00CC0663">
              <w:rPr>
                <w:rFonts w:ascii="Times New Roman" w:hAnsi="Times New Roman"/>
                <w:lang w:val="en-AU"/>
              </w:rPr>
              <w:t xml:space="preserve">   </w:t>
            </w:r>
            <w:r w:rsidRPr="00CC0663">
              <w:rPr>
                <w:rFonts w:ascii="Times New Roman" w:hAnsi="Times New Roman"/>
                <w:lang w:val="en-AU"/>
              </w:rPr>
              <w:noBreakHyphen/>
              <w:t xml:space="preserve"> Elevated </w:t>
            </w:r>
            <w:smartTag w:uri="urn:schemas-microsoft-com:office:smarttags" w:element="stockticker">
              <w:r w:rsidRPr="00CC0663">
                <w:rPr>
                  <w:rFonts w:ascii="Times New Roman" w:hAnsi="Times New Roman"/>
                  <w:lang w:val="en-AU"/>
                </w:rPr>
                <w:t>AL</w:t>
              </w:r>
              <w:r w:rsidR="007656E8" w:rsidRPr="00CC0663">
                <w:rPr>
                  <w:rFonts w:ascii="Times New Roman" w:hAnsi="Times New Roman"/>
                  <w:lang w:val="en-AU"/>
                </w:rPr>
                <w:t>T</w:t>
              </w:r>
            </w:smartTag>
          </w:p>
        </w:tc>
        <w:tc>
          <w:tcPr>
            <w:tcW w:w="1043" w:type="dxa"/>
            <w:tcBorders>
              <w:bottom w:val="single" w:sz="4" w:space="0" w:color="auto"/>
            </w:tcBorders>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6</w:t>
            </w:r>
          </w:p>
        </w:tc>
        <w:tc>
          <w:tcPr>
            <w:tcW w:w="1044" w:type="dxa"/>
            <w:tcBorders>
              <w:bottom w:val="single" w:sz="4" w:space="0" w:color="auto"/>
            </w:tcBorders>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0</w:t>
            </w:r>
          </w:p>
        </w:tc>
        <w:tc>
          <w:tcPr>
            <w:tcW w:w="1044" w:type="dxa"/>
            <w:tcBorders>
              <w:bottom w:val="single" w:sz="4" w:space="0" w:color="auto"/>
            </w:tcBorders>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7</w:t>
            </w:r>
          </w:p>
        </w:tc>
        <w:tc>
          <w:tcPr>
            <w:tcW w:w="1046" w:type="dxa"/>
            <w:tcBorders>
              <w:bottom w:val="single" w:sz="4" w:space="0" w:color="auto"/>
            </w:tcBorders>
          </w:tcPr>
          <w:p w:rsidR="00DD6219" w:rsidRPr="00CC0663" w:rsidRDefault="00DD6219" w:rsidP="00073C62">
            <w:pPr>
              <w:pStyle w:val="Table0"/>
              <w:tabs>
                <w:tab w:val="clear" w:pos="284"/>
              </w:tabs>
              <w:spacing w:before="20"/>
              <w:jc w:val="center"/>
              <w:rPr>
                <w:rFonts w:ascii="Times New Roman" w:hAnsi="Times New Roman"/>
                <w:lang w:val="en-AU"/>
              </w:rPr>
            </w:pPr>
            <w:r w:rsidRPr="00CC0663">
              <w:rPr>
                <w:rFonts w:ascii="Times New Roman" w:hAnsi="Times New Roman"/>
                <w:lang w:val="en-AU"/>
              </w:rPr>
              <w:t>1</w:t>
            </w:r>
          </w:p>
        </w:tc>
      </w:tr>
      <w:tr w:rsidR="00DD6219" w:rsidRPr="00057C4C" w:rsidTr="00073C62">
        <w:trPr>
          <w:trHeight w:val="70"/>
        </w:trPr>
        <w:tc>
          <w:tcPr>
            <w:tcW w:w="8746" w:type="dxa"/>
            <w:gridSpan w:val="5"/>
            <w:tcBorders>
              <w:top w:val="single" w:sz="4" w:space="0" w:color="auto"/>
              <w:left w:val="nil"/>
              <w:bottom w:val="nil"/>
              <w:right w:val="nil"/>
            </w:tcBorders>
          </w:tcPr>
          <w:p w:rsidR="00DD6219" w:rsidRPr="00CC0663" w:rsidRDefault="00DD6219" w:rsidP="00073C62">
            <w:pPr>
              <w:pStyle w:val="Table0"/>
              <w:tabs>
                <w:tab w:val="clear" w:pos="284"/>
              </w:tabs>
              <w:spacing w:before="120" w:after="120"/>
              <w:rPr>
                <w:rFonts w:ascii="Times New Roman" w:hAnsi="Times New Roman"/>
                <w:lang w:val="en-AU"/>
              </w:rPr>
            </w:pPr>
            <w:smartTag w:uri="urn:schemas-microsoft-com:office:smarttags" w:element="stockticker">
              <w:r w:rsidRPr="00CC0663">
                <w:rPr>
                  <w:rFonts w:ascii="Times New Roman" w:hAnsi="Times New Roman"/>
                  <w:lang w:val="en-AU"/>
                </w:rPr>
                <w:t>CTC</w:t>
              </w:r>
            </w:smartTag>
            <w:r w:rsidRPr="00CC0663">
              <w:rPr>
                <w:rFonts w:ascii="Times New Roman" w:hAnsi="Times New Roman"/>
                <w:lang w:val="en-AU"/>
              </w:rPr>
              <w:t xml:space="preserve"> Grades: neutropenia (Grade 3 ≥0.5</w:t>
            </w:r>
            <w:r w:rsidRPr="00CC0663">
              <w:rPr>
                <w:rFonts w:ascii="Times New Roman" w:hAnsi="Times New Roman"/>
                <w:lang w:val="en-AU"/>
              </w:rPr>
              <w:noBreakHyphen/>
              <w:t>1.0 x 10</w:t>
            </w:r>
            <w:r w:rsidRPr="00CC0663">
              <w:rPr>
                <w:rFonts w:ascii="Times New Roman" w:hAnsi="Times New Roman"/>
                <w:vertAlign w:val="superscript"/>
                <w:lang w:val="en-AU"/>
              </w:rPr>
              <w:t>9</w:t>
            </w:r>
            <w:r w:rsidRPr="00CC0663">
              <w:rPr>
                <w:rFonts w:ascii="Times New Roman" w:hAnsi="Times New Roman"/>
                <w:lang w:val="en-AU"/>
              </w:rPr>
              <w:t>/L, Grade 4 &lt;0.5 x 10</w:t>
            </w:r>
            <w:r w:rsidRPr="00CC0663">
              <w:rPr>
                <w:rFonts w:ascii="Times New Roman" w:hAnsi="Times New Roman"/>
                <w:vertAlign w:val="superscript"/>
                <w:lang w:val="en-AU"/>
              </w:rPr>
              <w:t>9</w:t>
            </w:r>
            <w:r w:rsidRPr="00CC0663">
              <w:rPr>
                <w:rFonts w:ascii="Times New Roman" w:hAnsi="Times New Roman"/>
                <w:lang w:val="en-AU"/>
              </w:rPr>
              <w:t xml:space="preserve">/L), thrombocytopenia (Grade 3 ≥10 </w:t>
            </w:r>
            <w:r w:rsidRPr="00CC0663">
              <w:rPr>
                <w:rFonts w:ascii="Times New Roman" w:hAnsi="Times New Roman"/>
                <w:lang w:val="en-AU"/>
              </w:rPr>
              <w:noBreakHyphen/>
              <w:t xml:space="preserve"> 50 x 10</w:t>
            </w:r>
            <w:r w:rsidRPr="00CC0663">
              <w:rPr>
                <w:rFonts w:ascii="Times New Roman" w:hAnsi="Times New Roman"/>
                <w:vertAlign w:val="superscript"/>
                <w:lang w:val="en-AU"/>
              </w:rPr>
              <w:t>9</w:t>
            </w:r>
            <w:r w:rsidRPr="00CC0663">
              <w:rPr>
                <w:rFonts w:ascii="Times New Roman" w:hAnsi="Times New Roman"/>
                <w:lang w:val="en-AU"/>
              </w:rPr>
              <w:t>/L, Grade 4 &lt;10 x 10</w:t>
            </w:r>
            <w:r w:rsidRPr="00CC0663">
              <w:rPr>
                <w:rFonts w:ascii="Times New Roman" w:hAnsi="Times New Roman"/>
                <w:vertAlign w:val="superscript"/>
                <w:lang w:val="en-AU"/>
              </w:rPr>
              <w:t>9</w:t>
            </w:r>
            <w:r w:rsidRPr="00CC0663">
              <w:rPr>
                <w:rFonts w:ascii="Times New Roman" w:hAnsi="Times New Roman"/>
                <w:lang w:val="en-AU"/>
              </w:rPr>
              <w:t>/L), anemia (Grade 3 ≥65</w:t>
            </w:r>
            <w:r w:rsidRPr="00CC0663">
              <w:rPr>
                <w:rFonts w:ascii="Times New Roman" w:hAnsi="Times New Roman"/>
                <w:lang w:val="en-AU"/>
              </w:rPr>
              <w:noBreakHyphen/>
              <w:t>80 g/L, grade 4 &lt;65 g/L), elevated creatinine (Grade 3 &gt;3</w:t>
            </w:r>
            <w:r w:rsidRPr="00CC0663">
              <w:rPr>
                <w:rFonts w:ascii="Times New Roman" w:hAnsi="Times New Roman"/>
                <w:lang w:val="en-AU"/>
              </w:rPr>
              <w:noBreakHyphen/>
              <w:t>6 x upper limit normal range [ULN], Grade 4 &gt;6 x ULN), elevated bilirubin (Grade 3 &gt;3</w:t>
            </w:r>
            <w:r w:rsidRPr="00CC0663">
              <w:rPr>
                <w:rFonts w:ascii="Times New Roman" w:hAnsi="Times New Roman"/>
                <w:lang w:val="en-AU"/>
              </w:rPr>
              <w:noBreakHyphen/>
              <w:t xml:space="preserve">10 x ULN, Grade 4 &gt;10 x ULN), elevated alkaline phosphatase, </w:t>
            </w:r>
            <w:smartTag w:uri="urn:schemas-microsoft-com:office:smarttags" w:element="stockticker">
              <w:r w:rsidR="007656E8" w:rsidRPr="00CC0663">
                <w:rPr>
                  <w:rFonts w:ascii="Times New Roman" w:hAnsi="Times New Roman"/>
                  <w:lang w:val="en-AU"/>
                </w:rPr>
                <w:t>ALT</w:t>
              </w:r>
            </w:smartTag>
            <w:r w:rsidR="007656E8" w:rsidRPr="00CC0663">
              <w:rPr>
                <w:rFonts w:ascii="Times New Roman" w:hAnsi="Times New Roman"/>
                <w:lang w:val="en-AU"/>
              </w:rPr>
              <w:t xml:space="preserve"> </w:t>
            </w:r>
            <w:r w:rsidRPr="00CC0663">
              <w:rPr>
                <w:rFonts w:ascii="Times New Roman" w:hAnsi="Times New Roman"/>
                <w:lang w:val="en-AU"/>
              </w:rPr>
              <w:t xml:space="preserve">or </w:t>
            </w:r>
            <w:r w:rsidR="007656E8" w:rsidRPr="00CC0663">
              <w:rPr>
                <w:rFonts w:ascii="Times New Roman" w:hAnsi="Times New Roman"/>
                <w:lang w:val="en-AU"/>
              </w:rPr>
              <w:t xml:space="preserve">AST </w:t>
            </w:r>
            <w:r w:rsidRPr="00CC0663">
              <w:rPr>
                <w:rFonts w:ascii="Times New Roman" w:hAnsi="Times New Roman"/>
                <w:lang w:val="en-AU"/>
              </w:rPr>
              <w:t>(Grade 3 &gt;5</w:t>
            </w:r>
            <w:r w:rsidRPr="00CC0663">
              <w:rPr>
                <w:rFonts w:ascii="Times New Roman" w:hAnsi="Times New Roman"/>
                <w:lang w:val="en-AU"/>
              </w:rPr>
              <w:noBreakHyphen/>
              <w:t>20 x ULN, Grade 4 &gt;20 x ULN), albumin (Grade 3 &lt;20 g/L)</w:t>
            </w:r>
          </w:p>
        </w:tc>
      </w:tr>
    </w:tbl>
    <w:p w:rsidR="00C72B9C" w:rsidRPr="00C72B9C" w:rsidRDefault="009D4E28" w:rsidP="00C72B9C">
      <w:pPr>
        <w:pStyle w:val="Table0"/>
        <w:spacing w:before="120" w:after="120"/>
        <w:jc w:val="center"/>
        <w:rPr>
          <w:rFonts w:ascii="Times New Roman" w:hAnsi="Times New Roman"/>
          <w:b/>
          <w:sz w:val="24"/>
          <w:szCs w:val="24"/>
        </w:rPr>
      </w:pPr>
      <w:r>
        <w:rPr>
          <w:rFonts w:ascii="Times New Roman" w:hAnsi="Times New Roman"/>
          <w:b/>
          <w:sz w:val="24"/>
          <w:szCs w:val="24"/>
        </w:rPr>
        <w:br w:type="page"/>
      </w:r>
      <w:r w:rsidR="00C72B9C" w:rsidRPr="00C72B9C">
        <w:rPr>
          <w:rFonts w:ascii="Times New Roman" w:hAnsi="Times New Roman"/>
          <w:b/>
          <w:sz w:val="24"/>
          <w:szCs w:val="24"/>
        </w:rPr>
        <w:lastRenderedPageBreak/>
        <w:t xml:space="preserve">Table 20 Laboratory </w:t>
      </w:r>
      <w:r w:rsidR="00C72B9C" w:rsidRPr="00E856D9">
        <w:rPr>
          <w:rFonts w:ascii="Times New Roman" w:hAnsi="Times New Roman"/>
          <w:b/>
          <w:sz w:val="24"/>
          <w:szCs w:val="24"/>
        </w:rPr>
        <w:t xml:space="preserve">Abnormalities in </w:t>
      </w:r>
      <w:r w:rsidR="009A5434" w:rsidRPr="00E856D9">
        <w:rPr>
          <w:rFonts w:ascii="Times New Roman" w:hAnsi="Times New Roman"/>
          <w:b/>
          <w:sz w:val="24"/>
          <w:szCs w:val="24"/>
        </w:rPr>
        <w:t>3-year</w:t>
      </w:r>
      <w:r w:rsidR="009A5434">
        <w:rPr>
          <w:rFonts w:ascii="Times New Roman" w:hAnsi="Times New Roman"/>
          <w:b/>
          <w:sz w:val="24"/>
          <w:szCs w:val="24"/>
        </w:rPr>
        <w:t xml:space="preserve"> </w:t>
      </w:r>
      <w:r w:rsidR="00C72B9C" w:rsidRPr="00C72B9C">
        <w:rPr>
          <w:rFonts w:ascii="Times New Roman" w:hAnsi="Times New Roman"/>
          <w:b/>
          <w:sz w:val="24"/>
          <w:szCs w:val="24"/>
        </w:rPr>
        <w:t>Adjuvant GIST Trial</w:t>
      </w:r>
      <w:r w:rsidR="004B7B7B">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9"/>
        <w:gridCol w:w="2087"/>
        <w:gridCol w:w="1044"/>
        <w:gridCol w:w="1046"/>
      </w:tblGrid>
      <w:tr w:rsidR="00C72B9C" w:rsidRPr="00C25886" w:rsidTr="00BC6843">
        <w:tc>
          <w:tcPr>
            <w:tcW w:w="4569" w:type="dxa"/>
            <w:tcBorders>
              <w:top w:val="single" w:sz="4" w:space="0" w:color="auto"/>
              <w:left w:val="single" w:sz="4" w:space="0" w:color="auto"/>
              <w:bottom w:val="single" w:sz="4" w:space="0" w:color="auto"/>
              <w:right w:val="single" w:sz="4" w:space="0" w:color="auto"/>
            </w:tcBorders>
            <w:shd w:val="clear" w:color="auto" w:fill="E0E0E0"/>
          </w:tcPr>
          <w:p w:rsidR="00C72B9C" w:rsidRPr="000156BC" w:rsidRDefault="00C72B9C" w:rsidP="00BC6843">
            <w:pPr>
              <w:keepLines/>
              <w:tabs>
                <w:tab w:val="left" w:pos="720"/>
              </w:tabs>
              <w:spacing w:before="20" w:after="20"/>
              <w:rPr>
                <w:rFonts w:ascii="Sabon" w:hAnsi="Sabon" w:cs="TimesNewRomanPSMT"/>
                <w:szCs w:val="24"/>
                <w:lang w:val="en-US"/>
              </w:rPr>
            </w:pPr>
          </w:p>
        </w:tc>
        <w:tc>
          <w:tcPr>
            <w:tcW w:w="2087" w:type="dxa"/>
            <w:tcBorders>
              <w:top w:val="single" w:sz="4" w:space="0" w:color="auto"/>
              <w:left w:val="single" w:sz="4" w:space="0" w:color="auto"/>
              <w:bottom w:val="single" w:sz="4" w:space="0" w:color="auto"/>
              <w:right w:val="single" w:sz="4" w:space="0" w:color="auto"/>
            </w:tcBorders>
            <w:shd w:val="clear" w:color="auto" w:fill="E0E0E0"/>
            <w:hideMark/>
          </w:tcPr>
          <w:p w:rsidR="00C72B9C" w:rsidRPr="00C72B9C" w:rsidRDefault="00C72B9C" w:rsidP="00C72B9C">
            <w:pPr>
              <w:pStyle w:val="Table0"/>
              <w:tabs>
                <w:tab w:val="clear" w:pos="284"/>
              </w:tabs>
              <w:spacing w:before="20"/>
              <w:jc w:val="center"/>
              <w:rPr>
                <w:rFonts w:ascii="Times New Roman" w:hAnsi="Times New Roman"/>
                <w:b/>
                <w:lang w:val="pt-BR"/>
              </w:rPr>
            </w:pPr>
            <w:r w:rsidRPr="00C72B9C">
              <w:rPr>
                <w:rFonts w:ascii="Times New Roman" w:hAnsi="Times New Roman"/>
                <w:b/>
                <w:lang w:val="pt-BR"/>
              </w:rPr>
              <w:t>Arm 1: 12 months</w:t>
            </w:r>
          </w:p>
          <w:p w:rsidR="00C72B9C" w:rsidRPr="00C72B9C" w:rsidRDefault="00C72B9C" w:rsidP="00C72B9C">
            <w:pPr>
              <w:pStyle w:val="Table0"/>
              <w:tabs>
                <w:tab w:val="clear" w:pos="284"/>
              </w:tabs>
              <w:spacing w:before="20"/>
              <w:jc w:val="center"/>
              <w:rPr>
                <w:rFonts w:ascii="Times New Roman" w:hAnsi="Times New Roman"/>
                <w:b/>
                <w:lang w:val="pt-BR"/>
              </w:rPr>
            </w:pPr>
            <w:r w:rsidRPr="00C72B9C">
              <w:rPr>
                <w:rFonts w:ascii="Times New Roman" w:hAnsi="Times New Roman"/>
                <w:b/>
                <w:lang w:val="pt-BR"/>
              </w:rPr>
              <w:t xml:space="preserve"> (N=194)</w:t>
            </w:r>
          </w:p>
          <w:p w:rsidR="00C72B9C" w:rsidRPr="00C72B9C" w:rsidRDefault="00C72B9C" w:rsidP="00C72B9C">
            <w:pPr>
              <w:pStyle w:val="Table0"/>
              <w:tabs>
                <w:tab w:val="clear" w:pos="284"/>
              </w:tabs>
              <w:spacing w:before="20"/>
              <w:jc w:val="center"/>
              <w:rPr>
                <w:rFonts w:ascii="Times New Roman" w:hAnsi="Times New Roman"/>
                <w:b/>
                <w:lang w:val="pt-BR"/>
              </w:rPr>
            </w:pPr>
            <w:r w:rsidRPr="00C72B9C">
              <w:rPr>
                <w:rFonts w:ascii="Times New Roman" w:hAnsi="Times New Roman"/>
                <w:b/>
                <w:lang w:val="pt-BR"/>
              </w:rPr>
              <w:t>%</w:t>
            </w:r>
          </w:p>
        </w:tc>
        <w:tc>
          <w:tcPr>
            <w:tcW w:w="2090" w:type="dxa"/>
            <w:gridSpan w:val="2"/>
            <w:tcBorders>
              <w:top w:val="single" w:sz="4" w:space="0" w:color="auto"/>
              <w:left w:val="single" w:sz="4" w:space="0" w:color="auto"/>
              <w:bottom w:val="single" w:sz="4" w:space="0" w:color="auto"/>
              <w:right w:val="single" w:sz="4" w:space="0" w:color="auto"/>
            </w:tcBorders>
            <w:shd w:val="clear" w:color="auto" w:fill="E0E0E0"/>
            <w:hideMark/>
          </w:tcPr>
          <w:p w:rsidR="00C72B9C" w:rsidRPr="00C72B9C" w:rsidRDefault="00C72B9C" w:rsidP="00C72B9C">
            <w:pPr>
              <w:pStyle w:val="Table0"/>
              <w:tabs>
                <w:tab w:val="clear" w:pos="284"/>
              </w:tabs>
              <w:spacing w:before="20"/>
              <w:jc w:val="center"/>
              <w:rPr>
                <w:rFonts w:ascii="Times New Roman" w:hAnsi="Times New Roman"/>
                <w:b/>
                <w:lang w:val="pt-BR"/>
              </w:rPr>
            </w:pPr>
            <w:r w:rsidRPr="00C72B9C">
              <w:rPr>
                <w:rFonts w:ascii="Times New Roman" w:hAnsi="Times New Roman"/>
                <w:b/>
                <w:lang w:val="pt-BR"/>
              </w:rPr>
              <w:t>Arm 2: 36 months</w:t>
            </w:r>
          </w:p>
          <w:p w:rsidR="00C72B9C" w:rsidRPr="00C72B9C" w:rsidRDefault="00C72B9C" w:rsidP="00C72B9C">
            <w:pPr>
              <w:pStyle w:val="Table0"/>
              <w:tabs>
                <w:tab w:val="clear" w:pos="284"/>
              </w:tabs>
              <w:spacing w:before="20"/>
              <w:jc w:val="center"/>
              <w:rPr>
                <w:rFonts w:ascii="Times New Roman" w:hAnsi="Times New Roman"/>
                <w:b/>
                <w:lang w:val="pt-BR"/>
              </w:rPr>
            </w:pPr>
            <w:r w:rsidRPr="00C72B9C">
              <w:rPr>
                <w:rFonts w:ascii="Times New Roman" w:hAnsi="Times New Roman"/>
                <w:b/>
                <w:lang w:val="pt-BR"/>
              </w:rPr>
              <w:t>(N=198)</w:t>
            </w:r>
          </w:p>
          <w:p w:rsidR="00C72B9C" w:rsidRPr="00C72B9C" w:rsidRDefault="00C72B9C" w:rsidP="00C72B9C">
            <w:pPr>
              <w:pStyle w:val="Table0"/>
              <w:tabs>
                <w:tab w:val="clear" w:pos="284"/>
              </w:tabs>
              <w:spacing w:before="20"/>
              <w:jc w:val="center"/>
              <w:rPr>
                <w:rFonts w:ascii="Times New Roman" w:hAnsi="Times New Roman"/>
                <w:b/>
                <w:lang w:val="pt-BR"/>
              </w:rPr>
            </w:pPr>
            <w:r w:rsidRPr="00C72B9C">
              <w:rPr>
                <w:rFonts w:ascii="Times New Roman" w:hAnsi="Times New Roman"/>
                <w:b/>
                <w:lang w:val="pt-BR"/>
              </w:rPr>
              <w:t>%</w:t>
            </w:r>
          </w:p>
        </w:tc>
      </w:tr>
      <w:tr w:rsidR="00C72B9C" w:rsidRPr="00C25886" w:rsidTr="00BC6843">
        <w:trPr>
          <w:trHeight w:val="188"/>
        </w:trPr>
        <w:tc>
          <w:tcPr>
            <w:tcW w:w="4569" w:type="dxa"/>
            <w:tcBorders>
              <w:top w:val="single" w:sz="4" w:space="0" w:color="auto"/>
              <w:left w:val="single" w:sz="4" w:space="0" w:color="auto"/>
              <w:bottom w:val="single" w:sz="4" w:space="0" w:color="auto"/>
              <w:right w:val="single" w:sz="4" w:space="0" w:color="auto"/>
            </w:tcBorders>
            <w:hideMark/>
          </w:tcPr>
          <w:p w:rsidR="00C72B9C" w:rsidRPr="000156BC" w:rsidRDefault="00C72B9C" w:rsidP="00C72B9C">
            <w:pPr>
              <w:pStyle w:val="Table0"/>
              <w:tabs>
                <w:tab w:val="clear" w:pos="284"/>
              </w:tabs>
              <w:spacing w:before="20"/>
              <w:rPr>
                <w:rFonts w:ascii="Sabon" w:hAnsi="Sabon" w:cs="TimesNewRomanPSMT"/>
                <w:sz w:val="24"/>
                <w:szCs w:val="24"/>
              </w:rPr>
            </w:pPr>
            <w:r w:rsidRPr="00C72B9C">
              <w:rPr>
                <w:rFonts w:ascii="Times New Roman" w:hAnsi="Times New Roman"/>
                <w:b/>
                <w:lang w:val="pt-BR"/>
              </w:rPr>
              <w:t>CTC Grades</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b/>
                <w:lang w:val="pt-BR"/>
              </w:rPr>
            </w:pPr>
            <w:r w:rsidRPr="00C72B9C">
              <w:rPr>
                <w:rFonts w:ascii="Times New Roman" w:hAnsi="Times New Roman"/>
                <w:b/>
                <w:lang w:val="pt-BR"/>
              </w:rPr>
              <w:t>3-4</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b/>
                <w:lang w:val="pt-BR"/>
              </w:rPr>
            </w:pPr>
            <w:r w:rsidRPr="00C72B9C">
              <w:rPr>
                <w:rFonts w:ascii="Times New Roman" w:hAnsi="Times New Roman"/>
                <w:b/>
                <w:lang w:val="pt-BR"/>
              </w:rPr>
              <w:t>3-4</w:t>
            </w:r>
          </w:p>
        </w:tc>
      </w:tr>
      <w:tr w:rsidR="00C72B9C" w:rsidRPr="00C25886" w:rsidTr="00BC6843">
        <w:trPr>
          <w:trHeight w:val="369"/>
        </w:trPr>
        <w:tc>
          <w:tcPr>
            <w:tcW w:w="4569" w:type="dxa"/>
            <w:tcBorders>
              <w:top w:val="single" w:sz="4" w:space="0" w:color="auto"/>
              <w:left w:val="single" w:sz="4" w:space="0" w:color="auto"/>
              <w:bottom w:val="single" w:sz="4" w:space="0" w:color="auto"/>
              <w:right w:val="single" w:sz="4" w:space="0" w:color="auto"/>
            </w:tcBorders>
            <w:shd w:val="clear" w:color="auto" w:fill="E0E0E0"/>
            <w:hideMark/>
          </w:tcPr>
          <w:p w:rsidR="00C72B9C" w:rsidRPr="000156BC" w:rsidRDefault="00C72B9C" w:rsidP="00C72B9C">
            <w:pPr>
              <w:pStyle w:val="Table0"/>
              <w:tabs>
                <w:tab w:val="clear" w:pos="284"/>
              </w:tabs>
              <w:spacing w:before="20"/>
              <w:rPr>
                <w:rFonts w:ascii="Sabon" w:hAnsi="Sabon" w:cs="TimesNewRomanPSMT"/>
                <w:sz w:val="24"/>
                <w:szCs w:val="24"/>
              </w:rPr>
            </w:pPr>
            <w:r w:rsidRPr="00C72B9C">
              <w:rPr>
                <w:rFonts w:ascii="Times New Roman" w:hAnsi="Times New Roman"/>
                <w:b/>
                <w:lang w:val="pt-BR"/>
              </w:rPr>
              <w:t>Hematology Parameters</w:t>
            </w:r>
          </w:p>
        </w:tc>
        <w:tc>
          <w:tcPr>
            <w:tcW w:w="2087" w:type="dxa"/>
            <w:tcBorders>
              <w:top w:val="single" w:sz="4" w:space="0" w:color="auto"/>
              <w:left w:val="single" w:sz="4" w:space="0" w:color="auto"/>
              <w:bottom w:val="single" w:sz="4" w:space="0" w:color="auto"/>
              <w:right w:val="single" w:sz="4" w:space="0" w:color="auto"/>
            </w:tcBorders>
          </w:tcPr>
          <w:p w:rsidR="00C72B9C" w:rsidRPr="000156BC" w:rsidRDefault="00C72B9C" w:rsidP="00BC6843">
            <w:pPr>
              <w:keepLines/>
              <w:tabs>
                <w:tab w:val="left" w:pos="720"/>
              </w:tabs>
              <w:spacing w:before="20" w:after="20"/>
              <w:rPr>
                <w:rFonts w:ascii="Sabon" w:hAnsi="Sabon" w:cs="TimesNewRomanPSMT"/>
                <w:szCs w:val="24"/>
                <w:lang w:val="en-US"/>
              </w:rPr>
            </w:pPr>
          </w:p>
        </w:tc>
        <w:tc>
          <w:tcPr>
            <w:tcW w:w="2090" w:type="dxa"/>
            <w:gridSpan w:val="2"/>
            <w:tcBorders>
              <w:top w:val="single" w:sz="4" w:space="0" w:color="auto"/>
              <w:left w:val="single" w:sz="4" w:space="0" w:color="auto"/>
              <w:bottom w:val="single" w:sz="4" w:space="0" w:color="auto"/>
              <w:right w:val="single" w:sz="4" w:space="0" w:color="auto"/>
            </w:tcBorders>
          </w:tcPr>
          <w:p w:rsidR="00C72B9C" w:rsidRPr="000156BC" w:rsidRDefault="00C72B9C" w:rsidP="00BC6843">
            <w:pPr>
              <w:keepLines/>
              <w:tabs>
                <w:tab w:val="left" w:pos="720"/>
              </w:tabs>
              <w:spacing w:before="20" w:after="20"/>
              <w:rPr>
                <w:rFonts w:ascii="Sabon" w:hAnsi="Sabon" w:cs="TimesNewRomanPSMT"/>
                <w:szCs w:val="24"/>
                <w:lang w:val="en-US"/>
              </w:rPr>
            </w:pPr>
          </w:p>
        </w:tc>
      </w:tr>
      <w:tr w:rsidR="00C72B9C" w:rsidRPr="00C72B9C" w:rsidTr="00BC6843">
        <w:trPr>
          <w:trHeight w:val="305"/>
        </w:trPr>
        <w:tc>
          <w:tcPr>
            <w:tcW w:w="4569" w:type="dxa"/>
            <w:tcBorders>
              <w:top w:val="single" w:sz="4" w:space="0" w:color="auto"/>
              <w:left w:val="single" w:sz="4" w:space="0" w:color="auto"/>
              <w:bottom w:val="single" w:sz="4" w:space="0" w:color="auto"/>
              <w:right w:val="single" w:sz="4" w:space="0" w:color="auto"/>
            </w:tcBorders>
            <w:hideMark/>
          </w:tcPr>
          <w:p w:rsidR="00C72B9C" w:rsidRPr="000156BC" w:rsidRDefault="00C72B9C" w:rsidP="00C72B9C">
            <w:pPr>
              <w:pStyle w:val="Table0"/>
              <w:tabs>
                <w:tab w:val="clear" w:pos="284"/>
              </w:tabs>
              <w:spacing w:before="20"/>
              <w:rPr>
                <w:rFonts w:ascii="Sabon" w:hAnsi="Sabon" w:cs="TimesNewRomanPSMT"/>
                <w:sz w:val="24"/>
                <w:szCs w:val="24"/>
              </w:rPr>
            </w:pPr>
            <w:r w:rsidRPr="00C72B9C">
              <w:rPr>
                <w:rFonts w:ascii="Times New Roman" w:hAnsi="Times New Roman"/>
                <w:lang w:val="pt-BR"/>
              </w:rPr>
              <w:t xml:space="preserve">   </w:t>
            </w:r>
            <w:r w:rsidRPr="00C72B9C">
              <w:rPr>
                <w:rFonts w:ascii="Times New Roman" w:hAnsi="Times New Roman"/>
                <w:lang w:val="pt-BR"/>
              </w:rPr>
              <w:noBreakHyphen/>
              <w:t xml:space="preserve"> Hemoglobin</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0.5</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0.5</w:t>
            </w:r>
          </w:p>
        </w:tc>
      </w:tr>
      <w:tr w:rsidR="00C72B9C" w:rsidRPr="00C72B9C" w:rsidTr="00BC6843">
        <w:trPr>
          <w:trHeight w:val="260"/>
        </w:trPr>
        <w:tc>
          <w:tcPr>
            <w:tcW w:w="4569" w:type="dxa"/>
            <w:tcBorders>
              <w:top w:val="single" w:sz="4" w:space="0" w:color="auto"/>
              <w:left w:val="single" w:sz="4" w:space="0" w:color="auto"/>
              <w:bottom w:val="single" w:sz="4" w:space="0" w:color="auto"/>
              <w:right w:val="single" w:sz="4" w:space="0" w:color="auto"/>
            </w:tcBorders>
            <w:hideMark/>
          </w:tcPr>
          <w:p w:rsidR="00C72B9C" w:rsidRPr="000156BC" w:rsidRDefault="00C72B9C" w:rsidP="00C72B9C">
            <w:pPr>
              <w:pStyle w:val="Table0"/>
              <w:tabs>
                <w:tab w:val="clear" w:pos="284"/>
              </w:tabs>
              <w:spacing w:before="20"/>
              <w:rPr>
                <w:rFonts w:ascii="Sabon" w:hAnsi="Sabon" w:cs="TimesNewRomanPSMT"/>
                <w:sz w:val="24"/>
                <w:szCs w:val="24"/>
              </w:rPr>
            </w:pPr>
            <w:r w:rsidRPr="00C72B9C">
              <w:rPr>
                <w:rFonts w:ascii="Times New Roman" w:hAnsi="Times New Roman"/>
                <w:lang w:val="pt-BR"/>
              </w:rPr>
              <w:t xml:space="preserve">   </w:t>
            </w:r>
            <w:r w:rsidRPr="00C72B9C">
              <w:rPr>
                <w:rFonts w:ascii="Times New Roman" w:hAnsi="Times New Roman"/>
                <w:lang w:val="pt-BR"/>
              </w:rPr>
              <w:noBreakHyphen/>
              <w:t xml:space="preserve"> Platelet count decreased</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w:t>
            </w:r>
          </w:p>
        </w:tc>
      </w:tr>
      <w:tr w:rsidR="00C72B9C" w:rsidRPr="00C72B9C" w:rsidTr="00C72B9C">
        <w:trPr>
          <w:trHeight w:val="312"/>
        </w:trPr>
        <w:tc>
          <w:tcPr>
            <w:tcW w:w="4569" w:type="dxa"/>
            <w:tcBorders>
              <w:top w:val="single" w:sz="4" w:space="0" w:color="auto"/>
              <w:left w:val="single" w:sz="4" w:space="0" w:color="auto"/>
              <w:bottom w:val="single" w:sz="4" w:space="0" w:color="auto"/>
              <w:right w:val="single" w:sz="4" w:space="0" w:color="auto"/>
            </w:tcBorders>
            <w:hideMark/>
          </w:tcPr>
          <w:p w:rsidR="00C72B9C" w:rsidRPr="000156BC" w:rsidRDefault="00C72B9C" w:rsidP="00C72B9C">
            <w:pPr>
              <w:pStyle w:val="Table0"/>
              <w:tabs>
                <w:tab w:val="clear" w:pos="284"/>
              </w:tabs>
              <w:spacing w:before="20"/>
              <w:rPr>
                <w:rFonts w:ascii="Sabon" w:hAnsi="Sabon" w:cs="TimesNewRomanPSMT"/>
                <w:sz w:val="24"/>
                <w:szCs w:val="24"/>
              </w:rPr>
            </w:pPr>
            <w:r w:rsidRPr="00C72B9C">
              <w:rPr>
                <w:rFonts w:ascii="Times New Roman" w:hAnsi="Times New Roman"/>
                <w:lang w:val="pt-BR"/>
              </w:rPr>
              <w:t xml:space="preserve">   </w:t>
            </w:r>
            <w:r w:rsidRPr="00C72B9C">
              <w:rPr>
                <w:rFonts w:ascii="Times New Roman" w:hAnsi="Times New Roman"/>
                <w:lang w:val="pt-BR"/>
              </w:rPr>
              <w:noBreakHyphen/>
              <w:t xml:space="preserve"> Neutrophils count decreased</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4.6</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5.1</w:t>
            </w:r>
          </w:p>
        </w:tc>
      </w:tr>
      <w:tr w:rsidR="00C72B9C" w:rsidRPr="00C72B9C" w:rsidTr="00C72B9C">
        <w:trPr>
          <w:trHeight w:val="312"/>
        </w:trPr>
        <w:tc>
          <w:tcPr>
            <w:tcW w:w="4569" w:type="dxa"/>
            <w:tcBorders>
              <w:top w:val="single" w:sz="4" w:space="0" w:color="auto"/>
              <w:left w:val="single" w:sz="4" w:space="0" w:color="auto"/>
              <w:bottom w:val="single" w:sz="4" w:space="0" w:color="auto"/>
              <w:right w:val="single" w:sz="4" w:space="0" w:color="auto"/>
            </w:tcBorders>
            <w:shd w:val="clear" w:color="auto" w:fill="E0E0E0"/>
            <w:hideMark/>
          </w:tcPr>
          <w:p w:rsidR="00C72B9C" w:rsidRPr="000156BC" w:rsidRDefault="00C72B9C" w:rsidP="00C72B9C">
            <w:pPr>
              <w:pStyle w:val="Table0"/>
              <w:tabs>
                <w:tab w:val="clear" w:pos="284"/>
              </w:tabs>
              <w:spacing w:before="20"/>
              <w:rPr>
                <w:rFonts w:ascii="Sabon" w:hAnsi="Sabon" w:cs="TimesNewRomanPSMT"/>
                <w:sz w:val="24"/>
                <w:szCs w:val="24"/>
              </w:rPr>
            </w:pPr>
            <w:r w:rsidRPr="00C72B9C">
              <w:rPr>
                <w:rFonts w:ascii="Times New Roman" w:hAnsi="Times New Roman"/>
                <w:b/>
                <w:lang w:val="pt-BR"/>
              </w:rPr>
              <w:t>Biochemistry Parameters</w:t>
            </w:r>
          </w:p>
        </w:tc>
        <w:tc>
          <w:tcPr>
            <w:tcW w:w="2087" w:type="dxa"/>
            <w:tcBorders>
              <w:top w:val="single" w:sz="4" w:space="0" w:color="auto"/>
              <w:left w:val="single" w:sz="4" w:space="0" w:color="auto"/>
              <w:bottom w:val="single" w:sz="4" w:space="0" w:color="auto"/>
              <w:right w:val="single" w:sz="4" w:space="0" w:color="auto"/>
            </w:tcBorders>
          </w:tcPr>
          <w:p w:rsidR="00C72B9C" w:rsidRPr="00C72B9C" w:rsidRDefault="00C72B9C" w:rsidP="00C72B9C">
            <w:pPr>
              <w:pStyle w:val="Table0"/>
              <w:tabs>
                <w:tab w:val="clear" w:pos="284"/>
              </w:tabs>
              <w:spacing w:before="20"/>
              <w:jc w:val="center"/>
              <w:rPr>
                <w:rFonts w:ascii="Times New Roman" w:hAnsi="Times New Roman"/>
                <w:lang w:val="pt-BR"/>
              </w:rPr>
            </w:pPr>
          </w:p>
        </w:tc>
        <w:tc>
          <w:tcPr>
            <w:tcW w:w="1044" w:type="dxa"/>
            <w:tcBorders>
              <w:top w:val="single" w:sz="4" w:space="0" w:color="auto"/>
              <w:left w:val="single" w:sz="4" w:space="0" w:color="auto"/>
              <w:bottom w:val="single" w:sz="4" w:space="0" w:color="auto"/>
              <w:right w:val="nil"/>
            </w:tcBorders>
          </w:tcPr>
          <w:p w:rsidR="00C72B9C" w:rsidRPr="00C72B9C" w:rsidRDefault="00C72B9C" w:rsidP="00C72B9C">
            <w:pPr>
              <w:pStyle w:val="Table0"/>
              <w:tabs>
                <w:tab w:val="clear" w:pos="284"/>
              </w:tabs>
              <w:spacing w:before="20"/>
              <w:jc w:val="center"/>
              <w:rPr>
                <w:rFonts w:ascii="Times New Roman" w:hAnsi="Times New Roman"/>
                <w:lang w:val="pt-BR"/>
              </w:rPr>
            </w:pPr>
          </w:p>
        </w:tc>
        <w:tc>
          <w:tcPr>
            <w:tcW w:w="1046" w:type="dxa"/>
            <w:tcBorders>
              <w:top w:val="single" w:sz="4" w:space="0" w:color="auto"/>
              <w:left w:val="nil"/>
              <w:bottom w:val="single" w:sz="4" w:space="0" w:color="auto"/>
              <w:right w:val="single" w:sz="4" w:space="0" w:color="auto"/>
            </w:tcBorders>
          </w:tcPr>
          <w:p w:rsidR="00C72B9C" w:rsidRPr="00C72B9C" w:rsidRDefault="00C72B9C" w:rsidP="00C72B9C">
            <w:pPr>
              <w:pStyle w:val="Table0"/>
              <w:tabs>
                <w:tab w:val="clear" w:pos="284"/>
              </w:tabs>
              <w:spacing w:before="20"/>
              <w:jc w:val="center"/>
              <w:rPr>
                <w:rFonts w:ascii="Times New Roman" w:hAnsi="Times New Roman"/>
                <w:lang w:val="pt-BR"/>
              </w:rPr>
            </w:pPr>
          </w:p>
        </w:tc>
      </w:tr>
      <w:tr w:rsidR="00C72B9C" w:rsidRPr="00C72B9C" w:rsidTr="00BC6843">
        <w:trPr>
          <w:trHeight w:val="331"/>
        </w:trPr>
        <w:tc>
          <w:tcPr>
            <w:tcW w:w="4569"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rPr>
                <w:rFonts w:ascii="Times New Roman" w:hAnsi="Times New Roman"/>
                <w:lang w:val="pt-BR"/>
              </w:rPr>
            </w:pPr>
            <w:r w:rsidRPr="00C72B9C">
              <w:rPr>
                <w:rFonts w:ascii="Times New Roman" w:hAnsi="Times New Roman"/>
                <w:lang w:val="pt-BR"/>
              </w:rPr>
              <w:t xml:space="preserve">   </w:t>
            </w:r>
            <w:r w:rsidRPr="00C72B9C">
              <w:rPr>
                <w:rFonts w:ascii="Times New Roman" w:hAnsi="Times New Roman"/>
                <w:lang w:val="pt-BR"/>
              </w:rPr>
              <w:noBreakHyphen/>
              <w:t xml:space="preserve"> Blood Creatinine increased</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w:t>
            </w:r>
          </w:p>
        </w:tc>
      </w:tr>
      <w:tr w:rsidR="00C72B9C" w:rsidRPr="00C72B9C" w:rsidTr="00BC6843">
        <w:trPr>
          <w:trHeight w:val="287"/>
        </w:trPr>
        <w:tc>
          <w:tcPr>
            <w:tcW w:w="4569"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rPr>
                <w:rFonts w:ascii="Times New Roman" w:hAnsi="Times New Roman"/>
                <w:lang w:val="pt-BR"/>
              </w:rPr>
            </w:pPr>
            <w:r w:rsidRPr="00C72B9C">
              <w:rPr>
                <w:rFonts w:ascii="Times New Roman" w:hAnsi="Times New Roman"/>
                <w:lang w:val="pt-BR"/>
              </w:rPr>
              <w:t xml:space="preserve">   </w:t>
            </w:r>
            <w:r w:rsidRPr="00C72B9C">
              <w:rPr>
                <w:rFonts w:ascii="Times New Roman" w:hAnsi="Times New Roman"/>
                <w:lang w:val="pt-BR"/>
              </w:rPr>
              <w:noBreakHyphen/>
              <w:t xml:space="preserve"> Hypoalbuminaemia</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w:t>
            </w:r>
          </w:p>
        </w:tc>
      </w:tr>
      <w:tr w:rsidR="00C72B9C" w:rsidRPr="00C72B9C" w:rsidTr="00BC6843">
        <w:trPr>
          <w:trHeight w:val="305"/>
        </w:trPr>
        <w:tc>
          <w:tcPr>
            <w:tcW w:w="4569"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rPr>
                <w:rFonts w:ascii="Times New Roman" w:hAnsi="Times New Roman"/>
                <w:lang w:val="pt-BR"/>
              </w:rPr>
            </w:pPr>
            <w:r w:rsidRPr="00C72B9C">
              <w:rPr>
                <w:rFonts w:ascii="Times New Roman" w:hAnsi="Times New Roman"/>
                <w:lang w:val="pt-BR"/>
              </w:rPr>
              <w:t xml:space="preserve">   </w:t>
            </w:r>
            <w:r w:rsidRPr="00C72B9C">
              <w:rPr>
                <w:rFonts w:ascii="Times New Roman" w:hAnsi="Times New Roman"/>
                <w:lang w:val="pt-BR"/>
              </w:rPr>
              <w:noBreakHyphen/>
              <w:t xml:space="preserve"> Elevated Bilirubin</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w:t>
            </w:r>
          </w:p>
        </w:tc>
      </w:tr>
      <w:tr w:rsidR="00C72B9C" w:rsidRPr="00C72B9C" w:rsidTr="00BC6843">
        <w:trPr>
          <w:trHeight w:val="331"/>
        </w:trPr>
        <w:tc>
          <w:tcPr>
            <w:tcW w:w="4569"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rPr>
                <w:rFonts w:ascii="Times New Roman" w:hAnsi="Times New Roman"/>
                <w:lang w:val="pt-BR"/>
              </w:rPr>
            </w:pPr>
            <w:r w:rsidRPr="00C72B9C">
              <w:rPr>
                <w:rFonts w:ascii="Times New Roman" w:hAnsi="Times New Roman"/>
                <w:lang w:val="pt-BR"/>
              </w:rPr>
              <w:t xml:space="preserve">   </w:t>
            </w:r>
            <w:r w:rsidRPr="00C72B9C">
              <w:rPr>
                <w:rFonts w:ascii="Times New Roman" w:hAnsi="Times New Roman"/>
                <w:lang w:val="pt-BR"/>
              </w:rPr>
              <w:noBreakHyphen/>
              <w:t xml:space="preserve"> Elevated Alkaline Phosphatase</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0.5</w:t>
            </w:r>
          </w:p>
        </w:tc>
      </w:tr>
      <w:tr w:rsidR="00C72B9C" w:rsidRPr="00C72B9C" w:rsidTr="00BC6843">
        <w:trPr>
          <w:trHeight w:val="312"/>
        </w:trPr>
        <w:tc>
          <w:tcPr>
            <w:tcW w:w="4569"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rPr>
                <w:rFonts w:ascii="Times New Roman" w:hAnsi="Times New Roman"/>
                <w:lang w:val="pt-BR"/>
              </w:rPr>
            </w:pPr>
            <w:r w:rsidRPr="00C72B9C">
              <w:rPr>
                <w:rFonts w:ascii="Times New Roman" w:hAnsi="Times New Roman"/>
                <w:lang w:val="pt-BR"/>
              </w:rPr>
              <w:t xml:space="preserve">   </w:t>
            </w:r>
            <w:r w:rsidRPr="00C72B9C">
              <w:rPr>
                <w:rFonts w:ascii="Times New Roman" w:hAnsi="Times New Roman"/>
                <w:lang w:val="pt-BR"/>
              </w:rPr>
              <w:noBreakHyphen/>
              <w:t xml:space="preserve"> Elevated AST</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1.5</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3</w:t>
            </w:r>
          </w:p>
        </w:tc>
      </w:tr>
      <w:tr w:rsidR="00C72B9C" w:rsidRPr="00C72B9C" w:rsidTr="00BC6843">
        <w:trPr>
          <w:trHeight w:val="312"/>
        </w:trPr>
        <w:tc>
          <w:tcPr>
            <w:tcW w:w="4569"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rPr>
                <w:rFonts w:ascii="Times New Roman" w:hAnsi="Times New Roman"/>
                <w:lang w:val="pt-BR"/>
              </w:rPr>
            </w:pPr>
            <w:r w:rsidRPr="00C72B9C">
              <w:rPr>
                <w:rFonts w:ascii="Times New Roman" w:hAnsi="Times New Roman"/>
                <w:lang w:val="pt-BR"/>
              </w:rPr>
              <w:t xml:space="preserve">   </w:t>
            </w:r>
            <w:r w:rsidRPr="00C72B9C">
              <w:rPr>
                <w:rFonts w:ascii="Times New Roman" w:hAnsi="Times New Roman"/>
                <w:lang w:val="pt-BR"/>
              </w:rPr>
              <w:noBreakHyphen/>
              <w:t xml:space="preserve"> Elevated ALT</w:t>
            </w:r>
          </w:p>
        </w:tc>
        <w:tc>
          <w:tcPr>
            <w:tcW w:w="2087" w:type="dxa"/>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2.1</w:t>
            </w:r>
          </w:p>
        </w:tc>
        <w:tc>
          <w:tcPr>
            <w:tcW w:w="2090" w:type="dxa"/>
            <w:gridSpan w:val="2"/>
            <w:tcBorders>
              <w:top w:val="single" w:sz="4" w:space="0" w:color="auto"/>
              <w:left w:val="single" w:sz="4" w:space="0" w:color="auto"/>
              <w:bottom w:val="single" w:sz="4" w:space="0" w:color="auto"/>
              <w:right w:val="single" w:sz="4" w:space="0" w:color="auto"/>
            </w:tcBorders>
            <w:hideMark/>
          </w:tcPr>
          <w:p w:rsidR="00C72B9C" w:rsidRPr="00C72B9C" w:rsidRDefault="00C72B9C" w:rsidP="00C72B9C">
            <w:pPr>
              <w:pStyle w:val="Table0"/>
              <w:tabs>
                <w:tab w:val="clear" w:pos="284"/>
              </w:tabs>
              <w:spacing w:before="20"/>
              <w:jc w:val="center"/>
              <w:rPr>
                <w:rFonts w:ascii="Times New Roman" w:hAnsi="Times New Roman"/>
                <w:lang w:val="pt-BR"/>
              </w:rPr>
            </w:pPr>
            <w:r w:rsidRPr="00C72B9C">
              <w:rPr>
                <w:rFonts w:ascii="Times New Roman" w:hAnsi="Times New Roman"/>
                <w:lang w:val="pt-BR"/>
              </w:rPr>
              <w:t>3</w:t>
            </w:r>
          </w:p>
        </w:tc>
      </w:tr>
      <w:tr w:rsidR="00C72B9C" w:rsidRPr="008772C5" w:rsidTr="00BC6843">
        <w:trPr>
          <w:trHeight w:val="70"/>
        </w:trPr>
        <w:tc>
          <w:tcPr>
            <w:tcW w:w="8746" w:type="dxa"/>
            <w:gridSpan w:val="4"/>
            <w:tcBorders>
              <w:top w:val="single" w:sz="4" w:space="0" w:color="auto"/>
              <w:left w:val="nil"/>
              <w:bottom w:val="nil"/>
              <w:right w:val="nil"/>
            </w:tcBorders>
            <w:hideMark/>
          </w:tcPr>
          <w:p w:rsidR="00C72B9C" w:rsidRPr="008772C5" w:rsidRDefault="00C72B9C" w:rsidP="00BC6843">
            <w:pPr>
              <w:keepLines/>
              <w:tabs>
                <w:tab w:val="left" w:pos="720"/>
              </w:tabs>
              <w:spacing w:before="120" w:after="120"/>
              <w:rPr>
                <w:rFonts w:ascii="Sabon" w:hAnsi="Sabon" w:cs="TimesNewRomanPSMT"/>
                <w:sz w:val="20"/>
                <w:lang w:val="pt-BR"/>
              </w:rPr>
            </w:pPr>
            <w:r w:rsidRPr="008772C5">
              <w:rPr>
                <w:rFonts w:ascii="Sabon" w:hAnsi="Sabon" w:cs="TimesNewRomanPSMT"/>
                <w:sz w:val="20"/>
                <w:lang w:val="pt-BR"/>
              </w:rPr>
              <w:t>CTC Grades: neutropenia (Grade 3 ≥0.5</w:t>
            </w:r>
            <w:r w:rsidRPr="008772C5">
              <w:rPr>
                <w:rFonts w:ascii="Sabon" w:hAnsi="Sabon" w:cs="TimesNewRomanPSMT"/>
                <w:sz w:val="20"/>
                <w:lang w:val="pt-BR"/>
              </w:rPr>
              <w:noBreakHyphen/>
              <w:t xml:space="preserve">1.0 x 109/L, Grade 4 &lt;0.5 x 109/L), thrombocytopenia (Grade 3 ≥10 </w:t>
            </w:r>
            <w:r w:rsidRPr="008772C5">
              <w:rPr>
                <w:rFonts w:ascii="Sabon" w:hAnsi="Sabon" w:cs="TimesNewRomanPSMT"/>
                <w:sz w:val="20"/>
                <w:lang w:val="pt-BR"/>
              </w:rPr>
              <w:noBreakHyphen/>
              <w:t xml:space="preserve"> 50 x 109/L, Grade 4 &lt;10 x 109/L), anemia (Grade 3 ≥65</w:t>
            </w:r>
            <w:r w:rsidRPr="008772C5">
              <w:rPr>
                <w:rFonts w:ascii="Sabon" w:hAnsi="Sabon" w:cs="TimesNewRomanPSMT"/>
                <w:sz w:val="20"/>
                <w:lang w:val="pt-BR"/>
              </w:rPr>
              <w:noBreakHyphen/>
              <w:t>80 g/L, grade 4 &lt;65 g/L), elevated creatinine (Grade 3 &gt;3</w:t>
            </w:r>
            <w:r w:rsidRPr="008772C5">
              <w:rPr>
                <w:rFonts w:ascii="Sabon" w:hAnsi="Sabon" w:cs="TimesNewRomanPSMT"/>
                <w:sz w:val="20"/>
                <w:lang w:val="pt-BR"/>
              </w:rPr>
              <w:noBreakHyphen/>
              <w:t>6 x upper limit normal range [ULN], Grade 4 &gt;6 x ULN), elevated bilirubin (Grade 3 &gt;3</w:t>
            </w:r>
            <w:r w:rsidRPr="008772C5">
              <w:rPr>
                <w:rFonts w:ascii="Sabon" w:hAnsi="Sabon" w:cs="TimesNewRomanPSMT"/>
                <w:sz w:val="20"/>
                <w:lang w:val="pt-BR"/>
              </w:rPr>
              <w:noBreakHyphen/>
              <w:t>10 x ULN, Grade 4 &gt;10 x ULN), elevated alkaline phosphatase, ALT or AST (Grade 3 &gt;5</w:t>
            </w:r>
            <w:r w:rsidRPr="008772C5">
              <w:rPr>
                <w:rFonts w:ascii="Sabon" w:hAnsi="Sabon" w:cs="TimesNewRomanPSMT"/>
                <w:sz w:val="20"/>
                <w:lang w:val="pt-BR"/>
              </w:rPr>
              <w:noBreakHyphen/>
              <w:t>20 x ULN, Grade 4 &gt;20 x ULN), albumin (Grade 3 &lt;20 g/L)</w:t>
            </w:r>
          </w:p>
        </w:tc>
      </w:tr>
    </w:tbl>
    <w:p w:rsidR="000C392D" w:rsidRPr="00057C4C" w:rsidRDefault="000C392D" w:rsidP="00616160">
      <w:pPr>
        <w:pStyle w:val="Text"/>
        <w:spacing w:after="120"/>
        <w:jc w:val="left"/>
      </w:pPr>
      <w:r w:rsidRPr="00057C4C">
        <w:t>Laboratory abnormalities with imatinib observed in trials in Ph+ ALL, MDS/MPD, SM, HES/CEL and DFSP were generally consistent with those seen in CML and GIST studies.</w:t>
      </w:r>
    </w:p>
    <w:p w:rsidR="001D678F" w:rsidRPr="00A03D99" w:rsidRDefault="00F61B0A" w:rsidP="00081BA7">
      <w:pPr>
        <w:pStyle w:val="Text"/>
        <w:spacing w:after="120"/>
        <w:jc w:val="left"/>
        <w:rPr>
          <w:lang w:val="en-GB"/>
        </w:rPr>
      </w:pPr>
      <w:r w:rsidRPr="00057C4C">
        <w:rPr>
          <w:lang w:val="en-GB"/>
        </w:rPr>
        <w:t>The following</w:t>
      </w:r>
      <w:r w:rsidR="009169B3" w:rsidRPr="00057C4C">
        <w:rPr>
          <w:lang w:val="en-GB"/>
        </w:rPr>
        <w:t xml:space="preserve"> lists the </w:t>
      </w:r>
      <w:r w:rsidRPr="00A03D99">
        <w:rPr>
          <w:lang w:val="en-GB"/>
        </w:rPr>
        <w:t xml:space="preserve">types of </w:t>
      </w:r>
      <w:r w:rsidR="008D5497" w:rsidRPr="00A03D99">
        <w:rPr>
          <w:lang w:val="en-GB"/>
        </w:rPr>
        <w:t xml:space="preserve">ADRs </w:t>
      </w:r>
      <w:r w:rsidR="009169B3" w:rsidRPr="00A03D99">
        <w:rPr>
          <w:lang w:val="en-GB"/>
        </w:rPr>
        <w:t xml:space="preserve">that </w:t>
      </w:r>
      <w:r w:rsidRPr="00A03D99">
        <w:rPr>
          <w:lang w:val="en-GB"/>
        </w:rPr>
        <w:t>have been reported from post-marketing experience and from additional clinical studies with Glivec. They include spontaneous case reports as well as serious</w:t>
      </w:r>
      <w:r w:rsidR="00E51223" w:rsidRPr="00A03D99">
        <w:rPr>
          <w:lang w:val="en-GB"/>
        </w:rPr>
        <w:t xml:space="preserve"> </w:t>
      </w:r>
      <w:r w:rsidR="008D5497" w:rsidRPr="00A03D99">
        <w:rPr>
          <w:lang w:val="en-GB"/>
        </w:rPr>
        <w:t>ADRs</w:t>
      </w:r>
      <w:r w:rsidRPr="00A03D99">
        <w:rPr>
          <w:lang w:val="en-GB"/>
        </w:rPr>
        <w:t xml:space="preserve"> from smaller or ongoing clinical studies and the expanded access programmes. </w:t>
      </w:r>
      <w:r w:rsidR="00E51223" w:rsidRPr="00A03D99">
        <w:rPr>
          <w:lang w:val="en-GB"/>
        </w:rPr>
        <w:t>Becau</w:t>
      </w:r>
      <w:r w:rsidR="009169B3" w:rsidRPr="00A03D99">
        <w:rPr>
          <w:lang w:val="en-GB"/>
        </w:rPr>
        <w:t>s</w:t>
      </w:r>
      <w:r w:rsidR="00E51223" w:rsidRPr="00A03D99">
        <w:rPr>
          <w:lang w:val="en-GB"/>
        </w:rPr>
        <w:t xml:space="preserve">e these </w:t>
      </w:r>
      <w:r w:rsidR="008D5497" w:rsidRPr="00A03D99">
        <w:rPr>
          <w:lang w:val="en-GB"/>
        </w:rPr>
        <w:t xml:space="preserve">ADRs </w:t>
      </w:r>
      <w:r w:rsidR="00E51223" w:rsidRPr="00A03D99">
        <w:rPr>
          <w:lang w:val="en-GB"/>
        </w:rPr>
        <w:t xml:space="preserve">are reported from a population of uncertain size, it is not always possible to reliably estimate their frequency or establish a casual relationship to </w:t>
      </w:r>
      <w:r w:rsidR="008D5497" w:rsidRPr="00A03D99">
        <w:rPr>
          <w:lang w:val="en-GB"/>
        </w:rPr>
        <w:t xml:space="preserve">Glivec </w:t>
      </w:r>
      <w:r w:rsidR="00E51223" w:rsidRPr="00A03D99">
        <w:rPr>
          <w:lang w:val="en-GB"/>
        </w:rPr>
        <w:t>exposure.</w:t>
      </w:r>
    </w:p>
    <w:p w:rsidR="00E51223" w:rsidRPr="00057C4C" w:rsidRDefault="00E51223" w:rsidP="00E4309F">
      <w:pPr>
        <w:spacing w:before="120" w:after="120"/>
        <w:rPr>
          <w:b/>
        </w:rPr>
      </w:pPr>
      <w:r w:rsidRPr="00057C4C">
        <w:rPr>
          <w:b/>
        </w:rPr>
        <w:t xml:space="preserve">Adverse reactions from Post-marketing reports </w:t>
      </w:r>
    </w:p>
    <w:tbl>
      <w:tblPr>
        <w:tblW w:w="0" w:type="auto"/>
        <w:tblInd w:w="108" w:type="dxa"/>
        <w:tblLayout w:type="fixed"/>
        <w:tblLook w:val="0000"/>
      </w:tblPr>
      <w:tblGrid>
        <w:gridCol w:w="1985"/>
        <w:gridCol w:w="7087"/>
      </w:tblGrid>
      <w:tr w:rsidR="00E51223" w:rsidRPr="00057C4C">
        <w:tc>
          <w:tcPr>
            <w:tcW w:w="9072" w:type="dxa"/>
            <w:gridSpan w:val="2"/>
          </w:tcPr>
          <w:p w:rsidR="00E51223" w:rsidRPr="00CC0663" w:rsidRDefault="00E51223" w:rsidP="00E4309F">
            <w:pPr>
              <w:pStyle w:val="Table0"/>
              <w:spacing w:before="60" w:after="60"/>
              <w:rPr>
                <w:rFonts w:ascii="Times New Roman" w:hAnsi="Times New Roman"/>
                <w:b/>
                <w:sz w:val="24"/>
                <w:lang w:val="en-AU"/>
              </w:rPr>
            </w:pPr>
            <w:r w:rsidRPr="00CC0663">
              <w:rPr>
                <w:rFonts w:ascii="Times New Roman" w:hAnsi="Times New Roman"/>
                <w:b/>
                <w:sz w:val="24"/>
                <w:lang w:val="en-AU"/>
              </w:rPr>
              <w:t>Nervous system disorders</w:t>
            </w:r>
          </w:p>
        </w:tc>
      </w:tr>
      <w:tr w:rsidR="0036611B" w:rsidRPr="00057C4C">
        <w:tc>
          <w:tcPr>
            <w:tcW w:w="1985" w:type="dxa"/>
          </w:tcPr>
          <w:p w:rsidR="0036611B"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Uncommon:</w:t>
            </w:r>
          </w:p>
        </w:tc>
        <w:tc>
          <w:tcPr>
            <w:tcW w:w="7087" w:type="dxa"/>
          </w:tcPr>
          <w:p w:rsidR="0036611B" w:rsidRPr="00CC0663" w:rsidRDefault="00BB04AD" w:rsidP="00E4309F">
            <w:pPr>
              <w:pStyle w:val="Table0"/>
              <w:spacing w:before="60" w:after="60"/>
              <w:rPr>
                <w:rFonts w:ascii="Times New Roman" w:hAnsi="Times New Roman"/>
                <w:sz w:val="24"/>
                <w:lang w:val="en-AU"/>
              </w:rPr>
            </w:pPr>
            <w:r w:rsidRPr="00CC0663">
              <w:rPr>
                <w:rFonts w:ascii="Times New Roman" w:hAnsi="Times New Roman"/>
                <w:sz w:val="24"/>
                <w:lang w:val="en-AU"/>
              </w:rPr>
              <w:t>c</w:t>
            </w:r>
            <w:r w:rsidR="0036611B" w:rsidRPr="00CC0663">
              <w:rPr>
                <w:rFonts w:ascii="Times New Roman" w:hAnsi="Times New Roman"/>
                <w:sz w:val="24"/>
                <w:lang w:val="en-AU"/>
              </w:rPr>
              <w:t xml:space="preserve">erebral oedema </w:t>
            </w:r>
          </w:p>
        </w:tc>
      </w:tr>
      <w:tr w:rsidR="00E51223" w:rsidRPr="00057C4C">
        <w:tc>
          <w:tcPr>
            <w:tcW w:w="9072" w:type="dxa"/>
            <w:gridSpan w:val="2"/>
          </w:tcPr>
          <w:p w:rsidR="00E51223" w:rsidRPr="00CC0663" w:rsidRDefault="00E51223" w:rsidP="00E4309F">
            <w:pPr>
              <w:pStyle w:val="Table0"/>
              <w:spacing w:before="60" w:after="60"/>
              <w:rPr>
                <w:rFonts w:ascii="Times New Roman" w:hAnsi="Times New Roman"/>
                <w:b/>
                <w:sz w:val="24"/>
                <w:lang w:val="en-AU"/>
              </w:rPr>
            </w:pPr>
            <w:r w:rsidRPr="00CC0663">
              <w:rPr>
                <w:rFonts w:ascii="Times New Roman" w:hAnsi="Times New Roman"/>
                <w:b/>
                <w:sz w:val="24"/>
                <w:lang w:val="en-AU"/>
              </w:rPr>
              <w:t>Eye disorders</w:t>
            </w:r>
          </w:p>
        </w:tc>
      </w:tr>
      <w:tr w:rsidR="0036611B" w:rsidRPr="00057C4C">
        <w:tc>
          <w:tcPr>
            <w:tcW w:w="1985" w:type="dxa"/>
          </w:tcPr>
          <w:p w:rsidR="0036611B"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Rare:</w:t>
            </w:r>
          </w:p>
        </w:tc>
        <w:tc>
          <w:tcPr>
            <w:tcW w:w="7087" w:type="dxa"/>
          </w:tcPr>
          <w:p w:rsidR="0036611B" w:rsidRPr="00CC0663" w:rsidRDefault="00BB04AD" w:rsidP="00E4309F">
            <w:pPr>
              <w:pStyle w:val="Table0"/>
              <w:spacing w:before="60" w:after="60"/>
              <w:rPr>
                <w:rFonts w:ascii="Times New Roman" w:hAnsi="Times New Roman"/>
                <w:sz w:val="24"/>
                <w:lang w:val="en-AU"/>
              </w:rPr>
            </w:pPr>
            <w:r w:rsidRPr="00CC0663">
              <w:rPr>
                <w:rFonts w:ascii="Times New Roman" w:hAnsi="Times New Roman"/>
                <w:sz w:val="24"/>
                <w:lang w:val="en-AU"/>
              </w:rPr>
              <w:t>v</w:t>
            </w:r>
            <w:r w:rsidR="0036611B" w:rsidRPr="00CC0663">
              <w:rPr>
                <w:rFonts w:ascii="Times New Roman" w:hAnsi="Times New Roman"/>
                <w:sz w:val="24"/>
                <w:lang w:val="en-AU"/>
              </w:rPr>
              <w:t xml:space="preserve">itreous </w:t>
            </w:r>
            <w:r w:rsidR="00E4309F" w:rsidRPr="00CC0663">
              <w:rPr>
                <w:rFonts w:ascii="Times New Roman" w:hAnsi="Times New Roman"/>
                <w:sz w:val="24"/>
                <w:lang w:val="en-AU"/>
              </w:rPr>
              <w:t>haemorrhage</w:t>
            </w:r>
          </w:p>
        </w:tc>
      </w:tr>
      <w:tr w:rsidR="00E51223" w:rsidRPr="00057C4C">
        <w:tc>
          <w:tcPr>
            <w:tcW w:w="9072" w:type="dxa"/>
            <w:gridSpan w:val="2"/>
          </w:tcPr>
          <w:p w:rsidR="00E51223" w:rsidRPr="00CC0663" w:rsidRDefault="00E51223" w:rsidP="00E4309F">
            <w:pPr>
              <w:pStyle w:val="Table0"/>
              <w:spacing w:before="60" w:after="60"/>
              <w:rPr>
                <w:rFonts w:ascii="Times New Roman" w:hAnsi="Times New Roman"/>
                <w:b/>
                <w:sz w:val="24"/>
                <w:lang w:val="en-AU"/>
              </w:rPr>
            </w:pPr>
            <w:r w:rsidRPr="00CC0663">
              <w:rPr>
                <w:rFonts w:ascii="Times New Roman" w:hAnsi="Times New Roman"/>
                <w:b/>
                <w:sz w:val="24"/>
                <w:lang w:val="en-AU"/>
              </w:rPr>
              <w:t>Cardiac disorders</w:t>
            </w:r>
          </w:p>
        </w:tc>
      </w:tr>
      <w:tr w:rsidR="0036611B" w:rsidRPr="00057C4C">
        <w:tc>
          <w:tcPr>
            <w:tcW w:w="1985" w:type="dxa"/>
          </w:tcPr>
          <w:p w:rsidR="0036611B"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Rare:</w:t>
            </w:r>
          </w:p>
        </w:tc>
        <w:tc>
          <w:tcPr>
            <w:tcW w:w="7087" w:type="dxa"/>
          </w:tcPr>
          <w:p w:rsidR="0036611B" w:rsidRPr="00CC0663" w:rsidRDefault="00BB04AD" w:rsidP="00E4309F">
            <w:pPr>
              <w:pStyle w:val="Table0"/>
              <w:spacing w:before="60" w:after="60"/>
              <w:rPr>
                <w:rFonts w:ascii="Times New Roman" w:hAnsi="Times New Roman"/>
                <w:sz w:val="24"/>
                <w:lang w:val="en-AU"/>
              </w:rPr>
            </w:pPr>
            <w:r w:rsidRPr="00CC0663">
              <w:rPr>
                <w:rFonts w:ascii="Times New Roman" w:hAnsi="Times New Roman"/>
                <w:sz w:val="24"/>
                <w:lang w:val="en-AU"/>
              </w:rPr>
              <w:t>p</w:t>
            </w:r>
            <w:r w:rsidR="0036611B" w:rsidRPr="00CC0663">
              <w:rPr>
                <w:rFonts w:ascii="Times New Roman" w:hAnsi="Times New Roman"/>
                <w:sz w:val="24"/>
                <w:lang w:val="en-AU"/>
              </w:rPr>
              <w:t>ericarditis, cardiac tamponade</w:t>
            </w:r>
          </w:p>
        </w:tc>
      </w:tr>
      <w:tr w:rsidR="00E51223" w:rsidRPr="00057C4C">
        <w:tc>
          <w:tcPr>
            <w:tcW w:w="9072" w:type="dxa"/>
            <w:gridSpan w:val="2"/>
          </w:tcPr>
          <w:p w:rsidR="00E51223" w:rsidRPr="00CC0663" w:rsidRDefault="00E51223" w:rsidP="00E4309F">
            <w:pPr>
              <w:pStyle w:val="Table0"/>
              <w:spacing w:before="60" w:after="60"/>
              <w:rPr>
                <w:rFonts w:ascii="Times New Roman" w:hAnsi="Times New Roman"/>
                <w:b/>
                <w:sz w:val="24"/>
                <w:lang w:val="en-AU"/>
              </w:rPr>
            </w:pPr>
            <w:r w:rsidRPr="00CC0663">
              <w:rPr>
                <w:rFonts w:ascii="Times New Roman" w:hAnsi="Times New Roman"/>
                <w:b/>
                <w:sz w:val="24"/>
                <w:lang w:val="en-AU"/>
              </w:rPr>
              <w:t xml:space="preserve">Vascular disorders </w:t>
            </w:r>
          </w:p>
        </w:tc>
      </w:tr>
      <w:tr w:rsidR="0036611B" w:rsidRPr="00057C4C">
        <w:tc>
          <w:tcPr>
            <w:tcW w:w="1985" w:type="dxa"/>
          </w:tcPr>
          <w:p w:rsidR="0036611B"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Uncommon:</w:t>
            </w:r>
          </w:p>
        </w:tc>
        <w:tc>
          <w:tcPr>
            <w:tcW w:w="7087" w:type="dxa"/>
          </w:tcPr>
          <w:p w:rsidR="0036611B" w:rsidRPr="00CC0663" w:rsidRDefault="00BB04AD" w:rsidP="00E4309F">
            <w:pPr>
              <w:pStyle w:val="Table0"/>
              <w:spacing w:before="60" w:after="60"/>
              <w:rPr>
                <w:rFonts w:ascii="Times New Roman" w:hAnsi="Times New Roman"/>
                <w:sz w:val="24"/>
                <w:lang w:val="en-AU"/>
              </w:rPr>
            </w:pPr>
            <w:r w:rsidRPr="00CC0663">
              <w:rPr>
                <w:rFonts w:ascii="Times New Roman" w:hAnsi="Times New Roman"/>
                <w:sz w:val="24"/>
                <w:lang w:val="en-AU"/>
              </w:rPr>
              <w:t>t</w:t>
            </w:r>
            <w:r w:rsidR="0036611B" w:rsidRPr="00CC0663">
              <w:rPr>
                <w:rFonts w:ascii="Times New Roman" w:hAnsi="Times New Roman"/>
                <w:sz w:val="24"/>
                <w:lang w:val="en-AU"/>
              </w:rPr>
              <w:t>hrombosis/embolism</w:t>
            </w:r>
          </w:p>
        </w:tc>
      </w:tr>
      <w:tr w:rsidR="0036611B" w:rsidRPr="00057C4C">
        <w:tc>
          <w:tcPr>
            <w:tcW w:w="1985" w:type="dxa"/>
          </w:tcPr>
          <w:p w:rsidR="0036611B"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Very rare:</w:t>
            </w:r>
          </w:p>
        </w:tc>
        <w:tc>
          <w:tcPr>
            <w:tcW w:w="7087" w:type="dxa"/>
          </w:tcPr>
          <w:p w:rsidR="0036611B" w:rsidRPr="00CC0663" w:rsidRDefault="00BB04AD" w:rsidP="00E4309F">
            <w:pPr>
              <w:pStyle w:val="Table0"/>
              <w:spacing w:before="60" w:after="60"/>
              <w:rPr>
                <w:rFonts w:ascii="Times New Roman" w:hAnsi="Times New Roman"/>
                <w:sz w:val="24"/>
                <w:lang w:val="en-AU"/>
              </w:rPr>
            </w:pPr>
            <w:r w:rsidRPr="00CC0663">
              <w:rPr>
                <w:rFonts w:ascii="Times New Roman" w:hAnsi="Times New Roman"/>
                <w:sz w:val="24"/>
                <w:lang w:val="en-AU"/>
              </w:rPr>
              <w:t>a</w:t>
            </w:r>
            <w:r w:rsidR="0036611B" w:rsidRPr="00CC0663">
              <w:rPr>
                <w:rFonts w:ascii="Times New Roman" w:hAnsi="Times New Roman"/>
                <w:sz w:val="24"/>
                <w:lang w:val="en-AU"/>
              </w:rPr>
              <w:t xml:space="preserve">naphylactic shock </w:t>
            </w:r>
          </w:p>
        </w:tc>
      </w:tr>
      <w:tr w:rsidR="00E51223" w:rsidRPr="00057C4C">
        <w:tc>
          <w:tcPr>
            <w:tcW w:w="9072" w:type="dxa"/>
            <w:gridSpan w:val="2"/>
          </w:tcPr>
          <w:p w:rsidR="00E51223" w:rsidRPr="00CC0663" w:rsidRDefault="00E51223" w:rsidP="00E4309F">
            <w:pPr>
              <w:pStyle w:val="Table0"/>
              <w:spacing w:before="60" w:after="60"/>
              <w:rPr>
                <w:rFonts w:ascii="Times New Roman" w:hAnsi="Times New Roman"/>
                <w:b/>
                <w:sz w:val="24"/>
                <w:lang w:val="en-AU"/>
              </w:rPr>
            </w:pPr>
            <w:r w:rsidRPr="00CC0663">
              <w:rPr>
                <w:rFonts w:ascii="Times New Roman" w:hAnsi="Times New Roman"/>
                <w:b/>
                <w:sz w:val="24"/>
                <w:lang w:val="en-AU"/>
              </w:rPr>
              <w:t>Respiratory, thoracic and mediastinal disorders</w:t>
            </w:r>
          </w:p>
        </w:tc>
      </w:tr>
      <w:tr w:rsidR="0036611B" w:rsidRPr="00057C4C">
        <w:tc>
          <w:tcPr>
            <w:tcW w:w="1985" w:type="dxa"/>
          </w:tcPr>
          <w:p w:rsidR="0036611B"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Uncommon:</w:t>
            </w:r>
          </w:p>
        </w:tc>
        <w:tc>
          <w:tcPr>
            <w:tcW w:w="7087" w:type="dxa"/>
          </w:tcPr>
          <w:p w:rsidR="0036611B" w:rsidRPr="00CC0663" w:rsidRDefault="00BB04AD" w:rsidP="00E4309F">
            <w:pPr>
              <w:pStyle w:val="Table0"/>
              <w:spacing w:before="60" w:after="60"/>
              <w:rPr>
                <w:rFonts w:ascii="Times New Roman" w:hAnsi="Times New Roman"/>
                <w:sz w:val="24"/>
                <w:lang w:val="en-AU"/>
              </w:rPr>
            </w:pPr>
            <w:r w:rsidRPr="00CC0663">
              <w:rPr>
                <w:rFonts w:ascii="Times New Roman" w:hAnsi="Times New Roman"/>
                <w:sz w:val="24"/>
                <w:lang w:val="en-AU"/>
              </w:rPr>
              <w:t>a</w:t>
            </w:r>
            <w:r w:rsidR="0036611B" w:rsidRPr="00CC0663">
              <w:rPr>
                <w:rFonts w:ascii="Times New Roman" w:hAnsi="Times New Roman"/>
                <w:sz w:val="24"/>
                <w:lang w:val="en-AU"/>
              </w:rPr>
              <w:t xml:space="preserve">cute respiratory failure </w:t>
            </w:r>
            <w:r w:rsidR="0036611B" w:rsidRPr="00CC0663">
              <w:rPr>
                <w:rFonts w:ascii="Times New Roman" w:hAnsi="Times New Roman"/>
                <w:sz w:val="24"/>
                <w:vertAlign w:val="superscript"/>
                <w:lang w:val="en-AU"/>
              </w:rPr>
              <w:t xml:space="preserve">1 </w:t>
            </w:r>
            <w:r w:rsidR="0036611B" w:rsidRPr="00CC0663">
              <w:rPr>
                <w:rFonts w:ascii="Times New Roman" w:hAnsi="Times New Roman"/>
                <w:sz w:val="24"/>
                <w:lang w:val="en-AU"/>
              </w:rPr>
              <w:t>, interstitial lung disease</w:t>
            </w:r>
          </w:p>
        </w:tc>
      </w:tr>
      <w:tr w:rsidR="00E51223" w:rsidRPr="00057C4C">
        <w:tc>
          <w:tcPr>
            <w:tcW w:w="9072" w:type="dxa"/>
            <w:gridSpan w:val="2"/>
          </w:tcPr>
          <w:p w:rsidR="00E51223" w:rsidRPr="00CC0663" w:rsidRDefault="00E51223" w:rsidP="00E4309F">
            <w:pPr>
              <w:pStyle w:val="Table0"/>
              <w:spacing w:before="60" w:after="60"/>
              <w:rPr>
                <w:rFonts w:ascii="Times New Roman" w:hAnsi="Times New Roman"/>
                <w:b/>
                <w:sz w:val="24"/>
                <w:lang w:val="en-AU"/>
              </w:rPr>
            </w:pPr>
            <w:r w:rsidRPr="00CC0663">
              <w:rPr>
                <w:rFonts w:ascii="Times New Roman" w:hAnsi="Times New Roman"/>
                <w:b/>
                <w:sz w:val="24"/>
                <w:lang w:val="en-AU"/>
              </w:rPr>
              <w:t>Gastrointestinal disorders</w:t>
            </w:r>
          </w:p>
        </w:tc>
      </w:tr>
      <w:tr w:rsidR="0036611B" w:rsidRPr="00057C4C">
        <w:tc>
          <w:tcPr>
            <w:tcW w:w="1985" w:type="dxa"/>
          </w:tcPr>
          <w:p w:rsidR="0036611B"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lastRenderedPageBreak/>
              <w:t>Uncommon:</w:t>
            </w:r>
          </w:p>
        </w:tc>
        <w:tc>
          <w:tcPr>
            <w:tcW w:w="7087" w:type="dxa"/>
          </w:tcPr>
          <w:p w:rsidR="0036611B" w:rsidRPr="00CC0663" w:rsidRDefault="00BB04AD" w:rsidP="00E4309F">
            <w:pPr>
              <w:pStyle w:val="Table0"/>
              <w:spacing w:before="60" w:after="60"/>
              <w:rPr>
                <w:rFonts w:ascii="Times New Roman" w:hAnsi="Times New Roman"/>
                <w:sz w:val="24"/>
                <w:lang w:val="en-AU"/>
              </w:rPr>
            </w:pPr>
            <w:r w:rsidRPr="00CC0663">
              <w:rPr>
                <w:rFonts w:ascii="Times New Roman" w:hAnsi="Times New Roman"/>
                <w:sz w:val="24"/>
                <w:lang w:val="en-AU"/>
              </w:rPr>
              <w:t>i</w:t>
            </w:r>
            <w:r w:rsidR="0036611B" w:rsidRPr="00CC0663">
              <w:rPr>
                <w:rFonts w:ascii="Times New Roman" w:hAnsi="Times New Roman"/>
                <w:sz w:val="24"/>
                <w:lang w:val="en-AU"/>
              </w:rPr>
              <w:t>leus/intestinal obstruction, tumo</w:t>
            </w:r>
            <w:r w:rsidR="00192C8C" w:rsidRPr="00CC0663">
              <w:rPr>
                <w:rFonts w:ascii="Times New Roman" w:hAnsi="Times New Roman"/>
                <w:sz w:val="24"/>
                <w:lang w:val="en-AU"/>
              </w:rPr>
              <w:t>u</w:t>
            </w:r>
            <w:r w:rsidR="0036611B" w:rsidRPr="00CC0663">
              <w:rPr>
                <w:rFonts w:ascii="Times New Roman" w:hAnsi="Times New Roman"/>
                <w:sz w:val="24"/>
                <w:lang w:val="en-AU"/>
              </w:rPr>
              <w:t>r haemorrhage/tumo</w:t>
            </w:r>
            <w:r w:rsidR="00247D68" w:rsidRPr="00CC0663">
              <w:rPr>
                <w:rFonts w:ascii="Times New Roman" w:hAnsi="Times New Roman"/>
                <w:sz w:val="24"/>
                <w:lang w:val="en-AU"/>
              </w:rPr>
              <w:t>u</w:t>
            </w:r>
            <w:r w:rsidR="0036611B" w:rsidRPr="00CC0663">
              <w:rPr>
                <w:rFonts w:ascii="Times New Roman" w:hAnsi="Times New Roman"/>
                <w:sz w:val="24"/>
                <w:lang w:val="en-AU"/>
              </w:rPr>
              <w:t xml:space="preserve">r necrosis, gastrointestinal perforation </w:t>
            </w:r>
            <w:r w:rsidR="0036611B" w:rsidRPr="00CC0663">
              <w:rPr>
                <w:rFonts w:ascii="Times New Roman" w:hAnsi="Times New Roman"/>
                <w:sz w:val="24"/>
                <w:vertAlign w:val="superscript"/>
                <w:lang w:val="en-AU"/>
              </w:rPr>
              <w:t>2</w:t>
            </w:r>
            <w:r w:rsidR="0036611B" w:rsidRPr="00CC0663">
              <w:rPr>
                <w:rFonts w:ascii="Times New Roman" w:hAnsi="Times New Roman"/>
                <w:sz w:val="24"/>
                <w:lang w:val="en-AU"/>
              </w:rPr>
              <w:t xml:space="preserve"> </w:t>
            </w:r>
          </w:p>
        </w:tc>
      </w:tr>
      <w:tr w:rsidR="0036611B" w:rsidRPr="00057C4C">
        <w:tc>
          <w:tcPr>
            <w:tcW w:w="1985" w:type="dxa"/>
          </w:tcPr>
          <w:p w:rsidR="0036611B"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Rare:</w:t>
            </w:r>
          </w:p>
        </w:tc>
        <w:tc>
          <w:tcPr>
            <w:tcW w:w="7087" w:type="dxa"/>
          </w:tcPr>
          <w:p w:rsidR="0036611B" w:rsidRPr="00CC0663" w:rsidRDefault="00BB04AD" w:rsidP="00E4309F">
            <w:pPr>
              <w:pStyle w:val="Table0"/>
              <w:spacing w:before="60" w:after="60"/>
              <w:rPr>
                <w:rFonts w:ascii="Times New Roman" w:hAnsi="Times New Roman"/>
                <w:sz w:val="24"/>
                <w:lang w:val="en-AU"/>
              </w:rPr>
            </w:pPr>
            <w:r w:rsidRPr="00CC0663">
              <w:rPr>
                <w:rFonts w:ascii="Times New Roman" w:hAnsi="Times New Roman"/>
                <w:sz w:val="24"/>
                <w:lang w:val="en-AU"/>
              </w:rPr>
              <w:t>d</w:t>
            </w:r>
            <w:r w:rsidR="0036611B" w:rsidRPr="00CC0663">
              <w:rPr>
                <w:rFonts w:ascii="Times New Roman" w:hAnsi="Times New Roman"/>
                <w:sz w:val="24"/>
                <w:lang w:val="en-AU"/>
              </w:rPr>
              <w:t>iverticulit</w:t>
            </w:r>
            <w:r w:rsidR="00136987" w:rsidRPr="00CC0663">
              <w:rPr>
                <w:rFonts w:ascii="Times New Roman" w:hAnsi="Times New Roman"/>
                <w:sz w:val="24"/>
                <w:lang w:val="en-AU"/>
              </w:rPr>
              <w:t>i</w:t>
            </w:r>
            <w:r w:rsidR="0036611B" w:rsidRPr="00CC0663">
              <w:rPr>
                <w:rFonts w:ascii="Times New Roman" w:hAnsi="Times New Roman"/>
                <w:sz w:val="24"/>
                <w:lang w:val="en-AU"/>
              </w:rPr>
              <w:t xml:space="preserve">s </w:t>
            </w:r>
          </w:p>
        </w:tc>
      </w:tr>
      <w:tr w:rsidR="00C44893" w:rsidRPr="00057C4C">
        <w:tc>
          <w:tcPr>
            <w:tcW w:w="9072" w:type="dxa"/>
            <w:gridSpan w:val="2"/>
          </w:tcPr>
          <w:p w:rsidR="00C44893" w:rsidRPr="00CC0663" w:rsidRDefault="00C44893" w:rsidP="00E4309F">
            <w:pPr>
              <w:pStyle w:val="Table0"/>
              <w:spacing w:before="60" w:after="60"/>
              <w:rPr>
                <w:rFonts w:ascii="Times New Roman" w:hAnsi="Times New Roman"/>
                <w:b/>
                <w:sz w:val="24"/>
                <w:lang w:val="en-AU"/>
              </w:rPr>
            </w:pPr>
            <w:r w:rsidRPr="00CC0663">
              <w:rPr>
                <w:rFonts w:ascii="Times New Roman" w:hAnsi="Times New Roman"/>
                <w:b/>
                <w:sz w:val="24"/>
                <w:lang w:val="en-AU"/>
              </w:rPr>
              <w:t>Skin and subcutaneous tissue disorders</w:t>
            </w:r>
          </w:p>
        </w:tc>
      </w:tr>
      <w:tr w:rsidR="00F141E6" w:rsidRPr="00057C4C">
        <w:tc>
          <w:tcPr>
            <w:tcW w:w="1985" w:type="dxa"/>
          </w:tcPr>
          <w:p w:rsidR="00F141E6" w:rsidRPr="00CC0663" w:rsidRDefault="00F141E6" w:rsidP="00E4309F">
            <w:pPr>
              <w:pStyle w:val="Table0"/>
              <w:spacing w:before="60" w:after="60"/>
              <w:rPr>
                <w:rFonts w:ascii="Times New Roman" w:hAnsi="Times New Roman"/>
                <w:sz w:val="24"/>
                <w:lang w:val="en-AU"/>
              </w:rPr>
            </w:pPr>
            <w:r w:rsidRPr="00CC0663">
              <w:rPr>
                <w:rFonts w:ascii="Times New Roman" w:hAnsi="Times New Roman"/>
                <w:sz w:val="24"/>
                <w:lang w:val="en-AU"/>
              </w:rPr>
              <w:t>Uncommon:</w:t>
            </w:r>
          </w:p>
        </w:tc>
        <w:tc>
          <w:tcPr>
            <w:tcW w:w="7087" w:type="dxa"/>
          </w:tcPr>
          <w:p w:rsidR="00F141E6" w:rsidRPr="00CC0663" w:rsidRDefault="00F141E6" w:rsidP="00E4309F">
            <w:pPr>
              <w:pStyle w:val="Table0"/>
              <w:spacing w:before="60" w:after="60"/>
              <w:rPr>
                <w:rFonts w:ascii="Times New Roman" w:hAnsi="Times New Roman"/>
                <w:sz w:val="24"/>
                <w:lang w:val="en-AU"/>
              </w:rPr>
            </w:pPr>
            <w:r w:rsidRPr="00CC0663">
              <w:rPr>
                <w:rFonts w:ascii="Times New Roman" w:hAnsi="Times New Roman"/>
                <w:sz w:val="24"/>
                <w:lang w:val="en-AU"/>
              </w:rPr>
              <w:t>Palmar-plantar erythrodysaesthesia syndrome</w:t>
            </w:r>
          </w:p>
        </w:tc>
      </w:tr>
      <w:tr w:rsidR="00C44893" w:rsidRPr="00057C4C">
        <w:tc>
          <w:tcPr>
            <w:tcW w:w="1985" w:type="dxa"/>
          </w:tcPr>
          <w:p w:rsidR="00C44893" w:rsidRPr="00CC0663" w:rsidRDefault="00C44893" w:rsidP="00E4309F">
            <w:pPr>
              <w:pStyle w:val="Table0"/>
              <w:spacing w:before="60" w:after="60"/>
              <w:rPr>
                <w:rFonts w:ascii="Times New Roman" w:hAnsi="Times New Roman"/>
                <w:sz w:val="24"/>
                <w:lang w:val="en-AU"/>
              </w:rPr>
            </w:pPr>
            <w:r w:rsidRPr="00CC0663">
              <w:rPr>
                <w:rFonts w:ascii="Times New Roman" w:hAnsi="Times New Roman"/>
                <w:sz w:val="24"/>
                <w:lang w:val="en-AU"/>
              </w:rPr>
              <w:t>Rare:</w:t>
            </w:r>
          </w:p>
        </w:tc>
        <w:tc>
          <w:tcPr>
            <w:tcW w:w="7087" w:type="dxa"/>
          </w:tcPr>
          <w:p w:rsidR="00C44893" w:rsidRPr="00CC0663" w:rsidRDefault="00C44893" w:rsidP="00E4309F">
            <w:pPr>
              <w:pStyle w:val="Table0"/>
              <w:spacing w:before="60" w:after="60"/>
              <w:rPr>
                <w:rFonts w:ascii="Times New Roman" w:hAnsi="Times New Roman"/>
                <w:sz w:val="24"/>
                <w:lang w:val="en-AU"/>
              </w:rPr>
            </w:pPr>
            <w:r w:rsidRPr="00CC0663">
              <w:rPr>
                <w:rFonts w:ascii="Times New Roman" w:hAnsi="Times New Roman"/>
                <w:sz w:val="24"/>
                <w:lang w:val="en-AU"/>
              </w:rPr>
              <w:t>Lichenoid keratosis, lichen planus</w:t>
            </w:r>
          </w:p>
        </w:tc>
      </w:tr>
      <w:tr w:rsidR="00C44893" w:rsidRPr="00057C4C">
        <w:tc>
          <w:tcPr>
            <w:tcW w:w="1985" w:type="dxa"/>
          </w:tcPr>
          <w:p w:rsidR="00C44893" w:rsidRPr="00CC0663" w:rsidRDefault="00C44893" w:rsidP="00E4309F">
            <w:pPr>
              <w:pStyle w:val="Table0"/>
              <w:spacing w:before="60" w:after="60"/>
              <w:rPr>
                <w:rFonts w:ascii="Times New Roman" w:hAnsi="Times New Roman"/>
                <w:sz w:val="24"/>
                <w:lang w:val="en-AU"/>
              </w:rPr>
            </w:pPr>
            <w:r w:rsidRPr="00CC0663">
              <w:rPr>
                <w:rFonts w:ascii="Times New Roman" w:hAnsi="Times New Roman"/>
                <w:sz w:val="24"/>
                <w:lang w:val="en-AU"/>
              </w:rPr>
              <w:t>Very rare:</w:t>
            </w:r>
          </w:p>
        </w:tc>
        <w:tc>
          <w:tcPr>
            <w:tcW w:w="7087" w:type="dxa"/>
          </w:tcPr>
          <w:p w:rsidR="00C44893" w:rsidRPr="00CC0663" w:rsidRDefault="00C44893" w:rsidP="00E4309F">
            <w:pPr>
              <w:pStyle w:val="Table0"/>
              <w:spacing w:before="60" w:after="60"/>
              <w:rPr>
                <w:rFonts w:ascii="Times New Roman" w:hAnsi="Times New Roman"/>
                <w:sz w:val="24"/>
                <w:lang w:val="en-AU"/>
              </w:rPr>
            </w:pPr>
            <w:r w:rsidRPr="00CC0663">
              <w:rPr>
                <w:rFonts w:ascii="Times New Roman" w:hAnsi="Times New Roman"/>
                <w:sz w:val="24"/>
                <w:lang w:val="en-AU"/>
              </w:rPr>
              <w:t>Toxic epidermal necrolysis</w:t>
            </w:r>
          </w:p>
        </w:tc>
      </w:tr>
      <w:tr w:rsidR="00E51223" w:rsidRPr="00057C4C">
        <w:tc>
          <w:tcPr>
            <w:tcW w:w="9072" w:type="dxa"/>
            <w:gridSpan w:val="2"/>
          </w:tcPr>
          <w:p w:rsidR="00E51223" w:rsidRPr="00CC0663" w:rsidRDefault="00E51223" w:rsidP="00E4309F">
            <w:pPr>
              <w:pStyle w:val="Table0"/>
              <w:spacing w:before="60" w:after="60"/>
              <w:rPr>
                <w:rFonts w:ascii="Times New Roman" w:hAnsi="Times New Roman"/>
                <w:b/>
                <w:sz w:val="24"/>
                <w:lang w:val="en-AU"/>
              </w:rPr>
            </w:pPr>
            <w:r w:rsidRPr="00CC0663">
              <w:rPr>
                <w:rFonts w:ascii="Times New Roman" w:hAnsi="Times New Roman"/>
                <w:b/>
                <w:sz w:val="24"/>
                <w:lang w:val="en-AU"/>
              </w:rPr>
              <w:t>Musculoskeletal and connective tissue disorders</w:t>
            </w:r>
          </w:p>
        </w:tc>
      </w:tr>
      <w:tr w:rsidR="0036611B" w:rsidRPr="00057C4C">
        <w:tc>
          <w:tcPr>
            <w:tcW w:w="1985" w:type="dxa"/>
          </w:tcPr>
          <w:p w:rsidR="0036611B"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Rare:</w:t>
            </w:r>
          </w:p>
          <w:p w:rsidR="007F0916" w:rsidRPr="00CC0663" w:rsidRDefault="007F0916" w:rsidP="00E4309F">
            <w:pPr>
              <w:pStyle w:val="Table0"/>
              <w:spacing w:before="60" w:after="60"/>
              <w:rPr>
                <w:rFonts w:ascii="Times New Roman" w:hAnsi="Times New Roman"/>
                <w:sz w:val="24"/>
                <w:lang w:val="en-AU"/>
              </w:rPr>
            </w:pPr>
            <w:r w:rsidRPr="00CC0663">
              <w:rPr>
                <w:rFonts w:ascii="Times New Roman" w:hAnsi="Times New Roman"/>
                <w:sz w:val="24"/>
                <w:lang w:val="en-AU"/>
              </w:rPr>
              <w:t>Unknown:</w:t>
            </w:r>
          </w:p>
        </w:tc>
        <w:tc>
          <w:tcPr>
            <w:tcW w:w="7087" w:type="dxa"/>
          </w:tcPr>
          <w:p w:rsidR="007F0916" w:rsidRPr="00CC0663" w:rsidRDefault="0036611B" w:rsidP="00E4309F">
            <w:pPr>
              <w:pStyle w:val="Table0"/>
              <w:spacing w:before="60" w:after="60"/>
              <w:rPr>
                <w:rFonts w:ascii="Times New Roman" w:hAnsi="Times New Roman"/>
                <w:sz w:val="24"/>
                <w:lang w:val="en-AU"/>
              </w:rPr>
            </w:pPr>
            <w:r w:rsidRPr="00CC0663">
              <w:rPr>
                <w:rFonts w:ascii="Times New Roman" w:hAnsi="Times New Roman"/>
                <w:sz w:val="24"/>
                <w:lang w:val="en-AU"/>
              </w:rPr>
              <w:t>Avascular necrosis/hip osteonecrosis</w:t>
            </w:r>
            <w:r w:rsidR="00A16635" w:rsidRPr="00CC0663">
              <w:rPr>
                <w:rFonts w:ascii="Times New Roman" w:hAnsi="Times New Roman"/>
                <w:sz w:val="24"/>
                <w:lang w:val="en-AU"/>
              </w:rPr>
              <w:t>, rhabdomyolysis/myopathy</w:t>
            </w:r>
          </w:p>
          <w:p w:rsidR="0036611B" w:rsidRPr="00CC0663" w:rsidRDefault="007F0916" w:rsidP="00E4309F">
            <w:pPr>
              <w:pStyle w:val="Table0"/>
              <w:spacing w:before="60" w:after="60"/>
              <w:rPr>
                <w:rFonts w:ascii="Times New Roman" w:hAnsi="Times New Roman"/>
                <w:sz w:val="24"/>
                <w:lang w:val="en-AU"/>
              </w:rPr>
            </w:pPr>
            <w:r w:rsidRPr="00CC0663">
              <w:rPr>
                <w:rFonts w:ascii="Times New Roman" w:hAnsi="Times New Roman"/>
                <w:sz w:val="24"/>
                <w:lang w:val="en-AU"/>
              </w:rPr>
              <w:t>Growth retardation in children</w:t>
            </w:r>
          </w:p>
        </w:tc>
      </w:tr>
      <w:tr w:rsidR="007F0916" w:rsidRPr="00057C4C" w:rsidTr="007F0916">
        <w:tc>
          <w:tcPr>
            <w:tcW w:w="9072" w:type="dxa"/>
            <w:gridSpan w:val="2"/>
          </w:tcPr>
          <w:p w:rsidR="007F0916" w:rsidRPr="00CC0663" w:rsidRDefault="007F0916" w:rsidP="007F0916">
            <w:pPr>
              <w:pStyle w:val="Table0"/>
              <w:spacing w:before="60" w:after="60"/>
              <w:rPr>
                <w:rFonts w:ascii="Times New Roman" w:hAnsi="Times New Roman"/>
                <w:b/>
                <w:bCs/>
                <w:sz w:val="24"/>
                <w:lang w:val="en-AU"/>
              </w:rPr>
            </w:pPr>
            <w:r w:rsidRPr="00CC0663">
              <w:rPr>
                <w:rFonts w:ascii="Times New Roman" w:hAnsi="Times New Roman"/>
                <w:b/>
                <w:bCs/>
                <w:sz w:val="24"/>
                <w:lang w:val="en-AU"/>
              </w:rPr>
              <w:t>Reproductive disorders</w:t>
            </w:r>
          </w:p>
        </w:tc>
      </w:tr>
      <w:tr w:rsidR="007F0916" w:rsidRPr="00057C4C" w:rsidTr="007F0916">
        <w:trPr>
          <w:trHeight w:val="447"/>
        </w:trPr>
        <w:tc>
          <w:tcPr>
            <w:tcW w:w="1985" w:type="dxa"/>
          </w:tcPr>
          <w:p w:rsidR="007F0916" w:rsidRPr="00CC0663" w:rsidRDefault="007F0916" w:rsidP="007F0916">
            <w:pPr>
              <w:pStyle w:val="Table0"/>
              <w:spacing w:before="60" w:after="60"/>
              <w:rPr>
                <w:rFonts w:ascii="Times New Roman" w:hAnsi="Times New Roman"/>
                <w:sz w:val="24"/>
                <w:lang w:val="en-AU"/>
              </w:rPr>
            </w:pPr>
            <w:r w:rsidRPr="00CC0663">
              <w:rPr>
                <w:rFonts w:ascii="Times New Roman" w:hAnsi="Times New Roman"/>
                <w:sz w:val="24"/>
                <w:lang w:val="en-AU"/>
              </w:rPr>
              <w:t>Very rare:</w:t>
            </w:r>
          </w:p>
        </w:tc>
        <w:tc>
          <w:tcPr>
            <w:tcW w:w="7087" w:type="dxa"/>
          </w:tcPr>
          <w:p w:rsidR="007F0916" w:rsidRPr="00CC0663" w:rsidRDefault="007F0916" w:rsidP="007F0916">
            <w:pPr>
              <w:pStyle w:val="Table0"/>
              <w:spacing w:before="60" w:after="60"/>
              <w:rPr>
                <w:rFonts w:ascii="Times New Roman" w:hAnsi="Times New Roman"/>
                <w:sz w:val="24"/>
                <w:lang w:val="en-AU"/>
              </w:rPr>
            </w:pPr>
            <w:r w:rsidRPr="00CC0663">
              <w:rPr>
                <w:rFonts w:ascii="Times New Roman" w:hAnsi="Times New Roman"/>
                <w:sz w:val="24"/>
                <w:lang w:val="en-AU"/>
              </w:rPr>
              <w:t>Haemorrhagic corpus luteum/haemorrhagic ovarian cyst</w:t>
            </w:r>
          </w:p>
        </w:tc>
      </w:tr>
      <w:tr w:rsidR="00A16635" w:rsidRPr="007C71D3">
        <w:tc>
          <w:tcPr>
            <w:tcW w:w="9072" w:type="dxa"/>
            <w:gridSpan w:val="2"/>
          </w:tcPr>
          <w:p w:rsidR="00A16635" w:rsidRPr="00CC0663" w:rsidRDefault="007F0916" w:rsidP="002D597F">
            <w:pPr>
              <w:pStyle w:val="Table0"/>
              <w:spacing w:before="60" w:after="60"/>
              <w:rPr>
                <w:rFonts w:ascii="Times New Roman" w:hAnsi="Times New Roman"/>
                <w:b/>
                <w:bCs/>
                <w:sz w:val="24"/>
                <w:lang w:val="en-AU"/>
              </w:rPr>
            </w:pPr>
            <w:r w:rsidRPr="00CC0663">
              <w:rPr>
                <w:rFonts w:ascii="Times New Roman" w:hAnsi="Times New Roman"/>
                <w:b/>
                <w:bCs/>
                <w:sz w:val="24"/>
                <w:lang w:val="en-AU"/>
              </w:rPr>
              <w:t>Neoplasm benign, malignant and unspecified (including cysts and polyps)</w:t>
            </w:r>
          </w:p>
        </w:tc>
      </w:tr>
      <w:tr w:rsidR="00A16635" w:rsidRPr="007C71D3">
        <w:trPr>
          <w:trHeight w:val="447"/>
        </w:trPr>
        <w:tc>
          <w:tcPr>
            <w:tcW w:w="1985" w:type="dxa"/>
          </w:tcPr>
          <w:p w:rsidR="00A16635" w:rsidRPr="00CC0663" w:rsidRDefault="007F0916" w:rsidP="002D597F">
            <w:pPr>
              <w:pStyle w:val="Table0"/>
              <w:spacing w:before="60" w:after="60"/>
              <w:rPr>
                <w:rFonts w:ascii="Times New Roman" w:hAnsi="Times New Roman"/>
                <w:sz w:val="24"/>
                <w:lang w:val="en-AU"/>
              </w:rPr>
            </w:pPr>
            <w:r w:rsidRPr="00CC0663">
              <w:rPr>
                <w:rFonts w:ascii="Times New Roman" w:hAnsi="Times New Roman"/>
                <w:sz w:val="24"/>
                <w:lang w:val="en-AU"/>
              </w:rPr>
              <w:t>Rare:</w:t>
            </w:r>
          </w:p>
        </w:tc>
        <w:tc>
          <w:tcPr>
            <w:tcW w:w="7087" w:type="dxa"/>
          </w:tcPr>
          <w:p w:rsidR="00A16635" w:rsidRPr="00CC0663" w:rsidRDefault="007F0916" w:rsidP="002D597F">
            <w:pPr>
              <w:pStyle w:val="Table0"/>
              <w:spacing w:before="60" w:after="60"/>
              <w:rPr>
                <w:rFonts w:ascii="Times New Roman" w:hAnsi="Times New Roman"/>
                <w:sz w:val="24"/>
                <w:lang w:val="en-AU"/>
              </w:rPr>
            </w:pPr>
            <w:r w:rsidRPr="00CC0663">
              <w:rPr>
                <w:rFonts w:ascii="Times New Roman" w:hAnsi="Times New Roman"/>
                <w:sz w:val="24"/>
                <w:lang w:val="en-AU"/>
              </w:rPr>
              <w:t>Tumour lysis syndrome</w:t>
            </w:r>
          </w:p>
        </w:tc>
      </w:tr>
    </w:tbl>
    <w:p w:rsidR="00E51223" w:rsidRPr="00057C4C" w:rsidRDefault="00E51223" w:rsidP="00E51223">
      <w:pPr>
        <w:pStyle w:val="Text"/>
        <w:rPr>
          <w:sz w:val="20"/>
        </w:rPr>
      </w:pPr>
      <w:r w:rsidRPr="00057C4C">
        <w:rPr>
          <w:sz w:val="20"/>
          <w:vertAlign w:val="superscript"/>
          <w:lang w:val="en-GB"/>
        </w:rPr>
        <w:t>1</w:t>
      </w:r>
      <w:r w:rsidRPr="00057C4C">
        <w:rPr>
          <w:sz w:val="20"/>
        </w:rPr>
        <w:t xml:space="preserve"> Fatal cases have been reported in patients with advanced disease, severe infections, severe neutropenia and other serious concomitant conditions</w:t>
      </w:r>
      <w:r w:rsidRPr="00057C4C">
        <w:rPr>
          <w:sz w:val="20"/>
          <w:vertAlign w:val="superscript"/>
        </w:rPr>
        <w:t>2</w:t>
      </w:r>
      <w:r w:rsidRPr="00057C4C">
        <w:rPr>
          <w:sz w:val="20"/>
        </w:rPr>
        <w:t xml:space="preserve"> Some fatal cases of gastrointestinal perforation have been reported</w:t>
      </w:r>
    </w:p>
    <w:p w:rsidR="00014579" w:rsidRPr="00057C4C" w:rsidRDefault="00014579" w:rsidP="00D71D4F">
      <w:pPr>
        <w:pStyle w:val="Heading1"/>
      </w:pPr>
      <w:r w:rsidRPr="00057C4C">
        <w:t>DOSAGE AND ADMINISTRATION</w:t>
      </w:r>
    </w:p>
    <w:p w:rsidR="00014579" w:rsidRPr="00057C4C" w:rsidRDefault="00014579" w:rsidP="00136987">
      <w:pPr>
        <w:pStyle w:val="Text"/>
        <w:spacing w:after="120"/>
        <w:jc w:val="left"/>
      </w:pPr>
      <w:r w:rsidRPr="00057C4C">
        <w:t xml:space="preserve">Therapy should be initiated by a physician experienced in the treatment of patients with </w:t>
      </w:r>
      <w:r w:rsidR="001B2C73" w:rsidRPr="00057C4C">
        <w:rPr>
          <w:lang w:val="en-GB"/>
        </w:rPr>
        <w:t>haematological malignancies and malignant sarcomas, as appropriate.</w:t>
      </w:r>
    </w:p>
    <w:p w:rsidR="00014579" w:rsidRPr="00057C4C" w:rsidRDefault="00014579" w:rsidP="00136987">
      <w:pPr>
        <w:pStyle w:val="Text"/>
        <w:spacing w:after="120"/>
        <w:jc w:val="left"/>
      </w:pPr>
      <w:r w:rsidRPr="00057C4C">
        <w:t>The prescribed dose should be administered orally, with a meal and a large glass of water</w:t>
      </w:r>
      <w:r w:rsidR="0076014D">
        <w:t xml:space="preserve"> </w:t>
      </w:r>
      <w:r w:rsidR="0076014D" w:rsidRPr="002F399B">
        <w:t>to minimise the risk of gastrointestinal disturbances</w:t>
      </w:r>
      <w:r w:rsidRPr="00057C4C">
        <w:t>.</w:t>
      </w:r>
      <w:r w:rsidR="00E627F0" w:rsidRPr="00057C4C">
        <w:t xml:space="preserve"> Doses of 400 mg or 600 mg should be administered once daily, whereas a daily dose of 800 mg should be administered as 400 mg twice a day, in the morning and in the evening.</w:t>
      </w:r>
      <w:r w:rsidRPr="00057C4C">
        <w:t xml:space="preserve">  </w:t>
      </w:r>
    </w:p>
    <w:p w:rsidR="00014579" w:rsidRPr="00057C4C" w:rsidRDefault="00014579" w:rsidP="00136987">
      <w:pPr>
        <w:pStyle w:val="Text"/>
        <w:spacing w:after="120"/>
        <w:jc w:val="left"/>
      </w:pPr>
      <w:r w:rsidRPr="00057C4C">
        <w:t>For patients unable to swallow the film-coated tablets, the tablets may be dispersed in a glass of water or apple juice. The required number of tablets should be placed in the appropriate volume of beverage (approximately 50 ml for a 100 mg tablet, and 200 ml for a 400 mg tablet) and stirred with a spoon. The suspension should be administered immediately after complete disintegration of the tablet(s).</w:t>
      </w:r>
    </w:p>
    <w:p w:rsidR="00043C63" w:rsidRPr="00057C4C" w:rsidRDefault="00014579" w:rsidP="00136987">
      <w:pPr>
        <w:pStyle w:val="Text"/>
        <w:spacing w:after="120"/>
        <w:jc w:val="left"/>
        <w:rPr>
          <w:b/>
          <w:u w:val="single"/>
        </w:rPr>
      </w:pPr>
      <w:r w:rsidRPr="00057C4C">
        <w:t xml:space="preserve">Treatment should be continued as long as the patient continues to benefit. </w:t>
      </w:r>
    </w:p>
    <w:p w:rsidR="00014579" w:rsidRPr="00057C4C" w:rsidRDefault="00014579" w:rsidP="00D71D4F">
      <w:pPr>
        <w:pStyle w:val="Heading2"/>
      </w:pPr>
      <w:r w:rsidRPr="00057C4C">
        <w:t>Dosage for CML</w:t>
      </w:r>
    </w:p>
    <w:p w:rsidR="00014579" w:rsidRPr="00057C4C" w:rsidRDefault="00014579" w:rsidP="00D71D4F">
      <w:pPr>
        <w:pStyle w:val="Heading3"/>
      </w:pPr>
      <w:r w:rsidRPr="00057C4C">
        <w:t>Adults:</w:t>
      </w:r>
    </w:p>
    <w:p w:rsidR="00014579" w:rsidRPr="00057C4C" w:rsidRDefault="00014579" w:rsidP="00136987">
      <w:pPr>
        <w:pStyle w:val="Text"/>
        <w:spacing w:after="120"/>
        <w:jc w:val="left"/>
      </w:pPr>
      <w:r w:rsidRPr="00057C4C">
        <w:t xml:space="preserve">The recommended dosage of Glivec is 400 mg/day for patients in chronic phase CML and 600 mg/day for patients in accelerated phase or blast crisis. An increase in dose from 400 mg to 600 mg in patients with chronic phase disease, or from 600 mg to 800 mg (given as 400 mg twice daily) in patients in accelerated phase or blast crisis may be considered in the absence of severe adverse drug reactions and severe non-leukaemia-related neutropenia or thrombocytopenia in the following circumstances: disease progression at any time; failure to achieve a satisfactory haematological response after at least 3 months of treatment; </w:t>
      </w:r>
      <w:r w:rsidR="00DD6219" w:rsidRPr="00057C4C">
        <w:t xml:space="preserve">failure to achieve a cytogenetic response after 12 months of treatment; or </w:t>
      </w:r>
      <w:r w:rsidRPr="00057C4C">
        <w:t xml:space="preserve">loss of a previously achieved haematological </w:t>
      </w:r>
      <w:r w:rsidR="00DD6219" w:rsidRPr="00057C4C">
        <w:t xml:space="preserve">and/or cytogenetic </w:t>
      </w:r>
      <w:r w:rsidRPr="00057C4C">
        <w:t xml:space="preserve">response. </w:t>
      </w:r>
    </w:p>
    <w:p w:rsidR="00014579" w:rsidRPr="00057C4C" w:rsidRDefault="00DD6219" w:rsidP="00136987">
      <w:pPr>
        <w:pStyle w:val="Text"/>
        <w:spacing w:after="120"/>
        <w:jc w:val="left"/>
      </w:pPr>
      <w:r w:rsidRPr="00057C4C">
        <w:lastRenderedPageBreak/>
        <w:t>If, in patients with chronic phase disease escalated to 600 mg per day, the dose was associated with no greater than mild toxicity during the initial 4 weeks, then further dose escalation to 800 mg per day may be considered (see “CLINICAL TRIALS”).</w:t>
      </w:r>
    </w:p>
    <w:p w:rsidR="00302721" w:rsidRPr="00A03D99" w:rsidRDefault="00302721" w:rsidP="00D71D4F">
      <w:pPr>
        <w:pStyle w:val="Heading2"/>
        <w:rPr>
          <w:lang w:val="en-GB"/>
        </w:rPr>
      </w:pPr>
      <w:r w:rsidRPr="00A03D99">
        <w:rPr>
          <w:lang w:val="en-GB"/>
        </w:rPr>
        <w:t>Dosage in Ph+ ALL</w:t>
      </w:r>
    </w:p>
    <w:p w:rsidR="001B2C73" w:rsidRPr="00A03D99" w:rsidRDefault="00302721" w:rsidP="00136987">
      <w:pPr>
        <w:pStyle w:val="Text"/>
        <w:spacing w:after="120"/>
        <w:jc w:val="left"/>
        <w:rPr>
          <w:lang w:val="en-GB"/>
        </w:rPr>
      </w:pPr>
      <w:r w:rsidRPr="00A03D99">
        <w:rPr>
          <w:lang w:val="en-GB"/>
        </w:rPr>
        <w:t>The recommended dose of Glivec is 600 mg/day for</w:t>
      </w:r>
      <w:r w:rsidR="00745513" w:rsidRPr="00A03D99">
        <w:rPr>
          <w:lang w:val="en-GB"/>
        </w:rPr>
        <w:t xml:space="preserve"> adult</w:t>
      </w:r>
      <w:r w:rsidRPr="00A03D99">
        <w:rPr>
          <w:lang w:val="en-GB"/>
        </w:rPr>
        <w:t xml:space="preserve"> patients with Ph+ ALL.</w:t>
      </w:r>
    </w:p>
    <w:p w:rsidR="001B2C73" w:rsidRPr="00A03D99" w:rsidRDefault="001B2C73" w:rsidP="00D71D4F">
      <w:pPr>
        <w:pStyle w:val="Heading2"/>
        <w:rPr>
          <w:lang w:val="en-GB"/>
        </w:rPr>
      </w:pPr>
      <w:r w:rsidRPr="00A03D99">
        <w:rPr>
          <w:lang w:val="en-GB"/>
        </w:rPr>
        <w:t>Dosage for MDS/MPD</w:t>
      </w:r>
    </w:p>
    <w:p w:rsidR="009169B3" w:rsidRPr="00A03D99" w:rsidRDefault="001B2C73" w:rsidP="00136987">
      <w:pPr>
        <w:pStyle w:val="Text"/>
        <w:spacing w:after="120"/>
        <w:jc w:val="left"/>
        <w:rPr>
          <w:lang w:val="en-GB"/>
        </w:rPr>
      </w:pPr>
      <w:r w:rsidRPr="00A03D99">
        <w:rPr>
          <w:lang w:val="en-GB"/>
        </w:rPr>
        <w:t xml:space="preserve">The recommended </w:t>
      </w:r>
      <w:r w:rsidR="00657FDF" w:rsidRPr="00A03D99">
        <w:rPr>
          <w:lang w:val="en-GB"/>
        </w:rPr>
        <w:t xml:space="preserve">initial </w:t>
      </w:r>
      <w:r w:rsidRPr="00A03D99">
        <w:rPr>
          <w:lang w:val="en-GB"/>
        </w:rPr>
        <w:t xml:space="preserve">dose of Glivec is 400 mg/day for </w:t>
      </w:r>
      <w:r w:rsidR="00745513" w:rsidRPr="00A03D99">
        <w:rPr>
          <w:lang w:val="en-GB"/>
        </w:rPr>
        <w:t xml:space="preserve">adult </w:t>
      </w:r>
      <w:r w:rsidRPr="00A03D99">
        <w:rPr>
          <w:lang w:val="en-GB"/>
        </w:rPr>
        <w:t>patients with MDS/MPD.</w:t>
      </w:r>
      <w:r w:rsidR="00657FDF" w:rsidRPr="00A03D99">
        <w:rPr>
          <w:lang w:val="en-GB"/>
        </w:rPr>
        <w:t xml:space="preserve"> An increase from 400 mg to 600 mg or 800 mg per day may be considered if response is inadequate.</w:t>
      </w:r>
    </w:p>
    <w:p w:rsidR="005A3260" w:rsidRPr="00A03D99" w:rsidRDefault="005A3260" w:rsidP="00D71D4F">
      <w:pPr>
        <w:pStyle w:val="Heading2"/>
        <w:rPr>
          <w:lang w:val="en-GB"/>
        </w:rPr>
      </w:pPr>
      <w:r w:rsidRPr="00A03D99">
        <w:rPr>
          <w:lang w:val="en-GB"/>
        </w:rPr>
        <w:t xml:space="preserve">Dosage for </w:t>
      </w:r>
      <w:r w:rsidR="00D43125" w:rsidRPr="00A03D99">
        <w:rPr>
          <w:lang w:val="en-GB"/>
        </w:rPr>
        <w:t>A</w:t>
      </w:r>
      <w:r w:rsidRPr="00A03D99">
        <w:rPr>
          <w:lang w:val="en-GB"/>
        </w:rPr>
        <w:t>SM</w:t>
      </w:r>
    </w:p>
    <w:p w:rsidR="005A3260" w:rsidRPr="00A03D99" w:rsidRDefault="005A3260" w:rsidP="00136987">
      <w:pPr>
        <w:pStyle w:val="Text"/>
        <w:spacing w:after="120"/>
        <w:jc w:val="left"/>
        <w:rPr>
          <w:lang w:val="en-GB"/>
        </w:rPr>
      </w:pPr>
      <w:r w:rsidRPr="00A03D99">
        <w:rPr>
          <w:lang w:val="en-GB"/>
        </w:rPr>
        <w:t xml:space="preserve">The recommended </w:t>
      </w:r>
      <w:r w:rsidR="00657FDF" w:rsidRPr="00A03D99">
        <w:rPr>
          <w:lang w:val="en-GB"/>
        </w:rPr>
        <w:t xml:space="preserve">initial </w:t>
      </w:r>
      <w:r w:rsidRPr="00A03D99">
        <w:rPr>
          <w:lang w:val="en-GB"/>
        </w:rPr>
        <w:t xml:space="preserve">dose of Glivec is 400 mg/day for </w:t>
      </w:r>
      <w:r w:rsidR="00745513" w:rsidRPr="00A03D99">
        <w:rPr>
          <w:lang w:val="en-GB"/>
        </w:rPr>
        <w:t xml:space="preserve">adult </w:t>
      </w:r>
      <w:r w:rsidRPr="00A03D99">
        <w:rPr>
          <w:lang w:val="en-GB"/>
        </w:rPr>
        <w:t xml:space="preserve">patients with </w:t>
      </w:r>
      <w:r w:rsidR="00D43125" w:rsidRPr="00A03D99">
        <w:rPr>
          <w:lang w:val="en-GB"/>
        </w:rPr>
        <w:t>A</w:t>
      </w:r>
      <w:r w:rsidRPr="00A03D99">
        <w:rPr>
          <w:lang w:val="en-GB"/>
        </w:rPr>
        <w:t>SM</w:t>
      </w:r>
      <w:r w:rsidR="0095084D" w:rsidRPr="00A03D99">
        <w:rPr>
          <w:lang w:val="en-GB"/>
        </w:rPr>
        <w:t>.</w:t>
      </w:r>
      <w:r w:rsidRPr="00A03D99">
        <w:rPr>
          <w:lang w:val="en-GB"/>
        </w:rPr>
        <w:t xml:space="preserve"> </w:t>
      </w:r>
      <w:r w:rsidR="00657FDF" w:rsidRPr="00A03D99">
        <w:rPr>
          <w:lang w:val="en-GB"/>
        </w:rPr>
        <w:t>An increase from 400 mg to 600 mg or 800 mg per day may be considered if response is inadequate.</w:t>
      </w:r>
    </w:p>
    <w:p w:rsidR="005A3260" w:rsidRPr="00057C4C" w:rsidRDefault="005A3260" w:rsidP="00136987">
      <w:pPr>
        <w:pStyle w:val="Text"/>
        <w:spacing w:after="120"/>
        <w:jc w:val="left"/>
      </w:pPr>
      <w:r w:rsidRPr="00A03D99">
        <w:rPr>
          <w:lang w:val="en-GB"/>
        </w:rPr>
        <w:t>For patients with SM associated with eosinophilia, a clonal haematological disease related to the fusion kinase FIP1L1-PDGFR</w:t>
      </w:r>
      <w:r w:rsidRPr="00A03D99">
        <w:rPr>
          <w:rFonts w:ascii="Symbol" w:hAnsi="Symbol"/>
          <w:lang w:val="en-GB"/>
        </w:rPr>
        <w:t></w:t>
      </w:r>
      <w:r w:rsidRPr="00A03D99">
        <w:rPr>
          <w:rFonts w:ascii="Symbol" w:hAnsi="Symbol"/>
          <w:lang w:val="en-GB"/>
        </w:rPr>
        <w:t></w:t>
      </w:r>
      <w:r w:rsidRPr="00A03D99">
        <w:rPr>
          <w:rFonts w:ascii="Symbol" w:hAnsi="Symbol"/>
          <w:lang w:val="en-GB"/>
        </w:rPr>
        <w:t></w:t>
      </w:r>
      <w:r w:rsidRPr="00A03D99">
        <w:rPr>
          <w:lang w:val="en-GB"/>
        </w:rPr>
        <w:t>a starting dose of 100 mg/day is</w:t>
      </w:r>
      <w:r w:rsidRPr="00057C4C">
        <w:rPr>
          <w:lang w:val="en-GB"/>
        </w:rPr>
        <w:t xml:space="preserve"> recommended. Dose increase from 100 mg to 400 mg for these patients may be considered in the absence of adverse drug reactions if assessments demonstrate an insufficient response to therapy.</w:t>
      </w:r>
    </w:p>
    <w:p w:rsidR="005A3260" w:rsidRPr="00057C4C" w:rsidRDefault="005A3260" w:rsidP="00D71D4F">
      <w:pPr>
        <w:pStyle w:val="Heading2"/>
        <w:rPr>
          <w:lang w:val="en-GB"/>
        </w:rPr>
      </w:pPr>
      <w:r w:rsidRPr="00057C4C">
        <w:rPr>
          <w:lang w:val="en-GB"/>
        </w:rPr>
        <w:t>Dosage for HES/CEL</w:t>
      </w:r>
    </w:p>
    <w:p w:rsidR="005A3260" w:rsidRPr="00A03D99" w:rsidRDefault="005A3260" w:rsidP="00136987">
      <w:pPr>
        <w:pStyle w:val="Text"/>
        <w:spacing w:after="120"/>
        <w:jc w:val="left"/>
        <w:rPr>
          <w:lang w:val="en-GB"/>
        </w:rPr>
      </w:pPr>
      <w:r w:rsidRPr="00057C4C">
        <w:rPr>
          <w:lang w:val="en-GB"/>
        </w:rPr>
        <w:t xml:space="preserve">The recommended </w:t>
      </w:r>
      <w:r w:rsidR="00657FDF" w:rsidRPr="00057C4C">
        <w:rPr>
          <w:lang w:val="en-GB"/>
        </w:rPr>
        <w:t xml:space="preserve">initial </w:t>
      </w:r>
      <w:r w:rsidRPr="00057C4C">
        <w:rPr>
          <w:lang w:val="en-GB"/>
        </w:rPr>
        <w:t>dose of Glivec is 400 mg/</w:t>
      </w:r>
      <w:r w:rsidRPr="00A03D99">
        <w:rPr>
          <w:lang w:val="en-GB"/>
        </w:rPr>
        <w:t xml:space="preserve">day for </w:t>
      </w:r>
      <w:r w:rsidR="00745513" w:rsidRPr="00A03D99">
        <w:rPr>
          <w:lang w:val="en-GB"/>
        </w:rPr>
        <w:t xml:space="preserve">adult </w:t>
      </w:r>
      <w:r w:rsidRPr="00A03D99">
        <w:rPr>
          <w:lang w:val="en-GB"/>
        </w:rPr>
        <w:t>patients with HES/CEL.</w:t>
      </w:r>
      <w:r w:rsidR="00657FDF" w:rsidRPr="00A03D99">
        <w:rPr>
          <w:lang w:val="en-GB"/>
        </w:rPr>
        <w:t xml:space="preserve"> An increase from 400 mg to 600 mg or 800 mg per day may be considered if response is inadequate.</w:t>
      </w:r>
    </w:p>
    <w:p w:rsidR="00014579" w:rsidRPr="00A03D99" w:rsidRDefault="005A3260" w:rsidP="00136987">
      <w:pPr>
        <w:pStyle w:val="Text"/>
        <w:spacing w:after="120"/>
        <w:jc w:val="left"/>
      </w:pPr>
      <w:r w:rsidRPr="00A03D99">
        <w:rPr>
          <w:lang w:val="en-GB"/>
        </w:rPr>
        <w:t>For HES/CEL patients with demonstrated FIP1L1-PDGFR</w:t>
      </w:r>
      <w:r w:rsidRPr="00A03D99">
        <w:rPr>
          <w:rFonts w:ascii="Symbol" w:hAnsi="Symbol"/>
          <w:lang w:val="en-GB"/>
        </w:rPr>
        <w:t></w:t>
      </w:r>
      <w:r w:rsidRPr="00A03D99">
        <w:rPr>
          <w:rFonts w:ascii="Symbol" w:hAnsi="Symbol"/>
          <w:lang w:val="en-GB"/>
        </w:rPr>
        <w:t></w:t>
      </w:r>
      <w:r w:rsidR="0095084D" w:rsidRPr="00A03D99">
        <w:rPr>
          <w:lang w:val="en-GB"/>
        </w:rPr>
        <w:t>fusion kinase, a</w:t>
      </w:r>
      <w:r w:rsidRPr="00A03D99">
        <w:rPr>
          <w:lang w:val="en-GB"/>
        </w:rPr>
        <w:t xml:space="preserve"> starting dose of 100 mg/day is recommended. Dose increase from 100mg to 400 mg for these patients may be considered in the absence of adverse drug reactions if assessments demonstrate an insufficient response to therapy.</w:t>
      </w:r>
    </w:p>
    <w:p w:rsidR="00014579" w:rsidRPr="00A03D99" w:rsidRDefault="00014579" w:rsidP="00D71D4F">
      <w:pPr>
        <w:pStyle w:val="Heading2"/>
      </w:pPr>
      <w:r w:rsidRPr="00A03D99">
        <w:t>Dosage for GIST</w:t>
      </w:r>
    </w:p>
    <w:p w:rsidR="001B2C73" w:rsidRPr="00A03D99" w:rsidRDefault="00014579" w:rsidP="001C5B77">
      <w:pPr>
        <w:pStyle w:val="Text"/>
        <w:spacing w:after="120"/>
        <w:jc w:val="left"/>
      </w:pPr>
      <w:r w:rsidRPr="00A03D99">
        <w:t xml:space="preserve">The recommended dose of Glivec is 400 mg/day or 600 mg/day for </w:t>
      </w:r>
      <w:r w:rsidR="00745513" w:rsidRPr="00A03D99">
        <w:t xml:space="preserve">adult </w:t>
      </w:r>
      <w:r w:rsidRPr="00A03D99">
        <w:t>patients with unresectable and/or metastatic, malignant GIST.</w:t>
      </w:r>
    </w:p>
    <w:p w:rsidR="001C5B77" w:rsidRPr="00A03D99" w:rsidRDefault="00536F4A" w:rsidP="001C5B77">
      <w:pPr>
        <w:pStyle w:val="Text"/>
        <w:spacing w:after="120"/>
        <w:rPr>
          <w:lang w:val="en-GB"/>
        </w:rPr>
      </w:pPr>
      <w:r w:rsidRPr="00A03D99">
        <w:rPr>
          <w:lang w:val="en-GB"/>
        </w:rPr>
        <w:t>For pa</w:t>
      </w:r>
      <w:r w:rsidR="00405DC9" w:rsidRPr="00A03D99">
        <w:rPr>
          <w:lang w:val="en-GB"/>
        </w:rPr>
        <w:t>t</w:t>
      </w:r>
      <w:r w:rsidRPr="00A03D99">
        <w:rPr>
          <w:lang w:val="en-GB"/>
        </w:rPr>
        <w:t>ients who develop disease progression while receiving 400mg/day, a dose increase to 800mg/day may be</w:t>
      </w:r>
      <w:r w:rsidR="000A31B7" w:rsidRPr="00A03D99">
        <w:rPr>
          <w:lang w:val="en-GB"/>
        </w:rPr>
        <w:t xml:space="preserve"> considered. There are limited data on the efficacy of increasing dose from 600 to 800mg/day. </w:t>
      </w:r>
      <w:r w:rsidR="001C5B77" w:rsidRPr="00A03D99">
        <w:rPr>
          <w:lang w:val="en-GB"/>
        </w:rPr>
        <w:t>Treatment with Glivec in GIST patients should be continued until disease progression.</w:t>
      </w:r>
    </w:p>
    <w:p w:rsidR="001C5B77" w:rsidRPr="00A03D99" w:rsidRDefault="001C5B77" w:rsidP="006C6662">
      <w:pPr>
        <w:autoSpaceDE w:val="0"/>
        <w:autoSpaceDN w:val="0"/>
        <w:adjustRightInd w:val="0"/>
        <w:rPr>
          <w:lang w:val="en-GB"/>
        </w:rPr>
      </w:pPr>
      <w:r w:rsidRPr="00A03D99">
        <w:rPr>
          <w:lang w:val="en-GB"/>
        </w:rPr>
        <w:t xml:space="preserve">The recommended dose of Glivec is 400 mg/day for the adjuvant treatment of </w:t>
      </w:r>
      <w:r w:rsidRPr="00A03D99">
        <w:t xml:space="preserve">adult patients following resection of GIST. </w:t>
      </w:r>
      <w:r w:rsidR="00E662E3" w:rsidRPr="00E856D9">
        <w:rPr>
          <w:lang w:val="en-GB"/>
        </w:rPr>
        <w:t xml:space="preserve">In clinical trials one year of Glivec and three years of Glivec were studied. In the patient population defined in Study </w:t>
      </w:r>
      <w:r w:rsidR="00E662E3" w:rsidRPr="00E856D9">
        <w:rPr>
          <w:lang w:eastAsia="ja-JP"/>
        </w:rPr>
        <w:t>SSG XVIII/AIO</w:t>
      </w:r>
      <w:r w:rsidR="00E662E3" w:rsidRPr="00E856D9">
        <w:rPr>
          <w:lang w:val="en-GB"/>
        </w:rPr>
        <w:t>, three years of Glivec is recommended (see Clinical Trials). The optimal treatment duration with Glivec is not known.</w:t>
      </w:r>
      <w:r w:rsidR="00E662E3">
        <w:rPr>
          <w:lang w:val="en-GB"/>
        </w:rPr>
        <w:t xml:space="preserve"> </w:t>
      </w:r>
    </w:p>
    <w:p w:rsidR="001B2C73" w:rsidRPr="00A03D99" w:rsidRDefault="001B2C73" w:rsidP="00D71D4F">
      <w:pPr>
        <w:pStyle w:val="Heading2"/>
        <w:rPr>
          <w:lang w:val="en-GB"/>
        </w:rPr>
      </w:pPr>
      <w:r w:rsidRPr="00A03D99">
        <w:rPr>
          <w:lang w:val="en-GB"/>
        </w:rPr>
        <w:t>Dosage for DFSP</w:t>
      </w:r>
    </w:p>
    <w:p w:rsidR="00E627F0" w:rsidRPr="00A03D99" w:rsidRDefault="001B2C73" w:rsidP="001C5B77">
      <w:pPr>
        <w:pStyle w:val="Text"/>
        <w:spacing w:after="120"/>
        <w:jc w:val="left"/>
      </w:pPr>
      <w:r w:rsidRPr="00A03D99">
        <w:rPr>
          <w:lang w:val="en-GB"/>
        </w:rPr>
        <w:t xml:space="preserve">The recommended dose of Glivec is 800 mg/day for </w:t>
      </w:r>
      <w:r w:rsidR="00745513" w:rsidRPr="00A03D99">
        <w:rPr>
          <w:lang w:val="en-GB"/>
        </w:rPr>
        <w:t xml:space="preserve">adult </w:t>
      </w:r>
      <w:r w:rsidRPr="00A03D99">
        <w:rPr>
          <w:lang w:val="en-GB"/>
        </w:rPr>
        <w:t>patients with DFSP.</w:t>
      </w:r>
    </w:p>
    <w:p w:rsidR="00014579" w:rsidRPr="00057C4C" w:rsidRDefault="00014579" w:rsidP="00D71D4F">
      <w:pPr>
        <w:pStyle w:val="Heading2"/>
      </w:pPr>
      <w:r w:rsidRPr="00A03D99">
        <w:lastRenderedPageBreak/>
        <w:t xml:space="preserve">Dose Adjustments for Adverse </w:t>
      </w:r>
      <w:r w:rsidR="00745513" w:rsidRPr="00A03D99">
        <w:t xml:space="preserve">Drug </w:t>
      </w:r>
      <w:r w:rsidRPr="00A03D99">
        <w:t>Reactions</w:t>
      </w:r>
    </w:p>
    <w:p w:rsidR="00014579" w:rsidRPr="00057C4C" w:rsidRDefault="00014579" w:rsidP="00D71D4F">
      <w:pPr>
        <w:pStyle w:val="Heading3"/>
      </w:pPr>
      <w:r w:rsidRPr="00057C4C">
        <w:t xml:space="preserve">Non-haematological adverse </w:t>
      </w:r>
      <w:r w:rsidR="00A642EF" w:rsidRPr="00BC6843">
        <w:t>drug</w:t>
      </w:r>
      <w:r w:rsidR="00A642EF">
        <w:t xml:space="preserve"> </w:t>
      </w:r>
      <w:r w:rsidRPr="00057C4C">
        <w:t>reactions:</w:t>
      </w:r>
    </w:p>
    <w:p w:rsidR="00014579" w:rsidRPr="00A03D99" w:rsidRDefault="00014579" w:rsidP="00D71D4F">
      <w:pPr>
        <w:pStyle w:val="Heading3"/>
      </w:pPr>
      <w:r w:rsidRPr="00057C4C">
        <w:t xml:space="preserve">If a severe non-haematological </w:t>
      </w:r>
      <w:r w:rsidRPr="00A03D99">
        <w:t xml:space="preserve">adverse </w:t>
      </w:r>
      <w:r w:rsidR="00745513" w:rsidRPr="00A03D99">
        <w:t xml:space="preserve">drug </w:t>
      </w:r>
      <w:r w:rsidRPr="00A03D99">
        <w:t>reaction develops (such as severe hepatotoxicity or severe fluid retention) Glivec should be withheld until the event has resolved. Thereafter, treatment can be resumed as appropriate depending on the initial severity of the event.</w:t>
      </w:r>
    </w:p>
    <w:p w:rsidR="00043C63" w:rsidRDefault="00014579" w:rsidP="001C5B77">
      <w:pPr>
        <w:pStyle w:val="Text"/>
        <w:spacing w:after="120"/>
        <w:jc w:val="left"/>
      </w:pPr>
      <w:r w:rsidRPr="00A03D99">
        <w:t>If elevations in bilirubin &gt; 3 x institutional upper limit of normal (IULN) or in liver transaminases &gt; 5 x IULN occur, Glivec should be withheld until bilirubin levels have returned to &lt;1.5 x IULN and transaminase levels to &lt;2.5 x IULN.  Treatment with Glivec may then be continued at a reduced daily dose. In adults the daily dose should be reduced from 400 mg to 300 mg or from 600 mg to 400 mg</w:t>
      </w:r>
      <w:r w:rsidR="001B2C73" w:rsidRPr="00A03D99">
        <w:t>,</w:t>
      </w:r>
      <w:r w:rsidR="001B2C73" w:rsidRPr="00A03D99">
        <w:rPr>
          <w:lang w:val="en-GB"/>
        </w:rPr>
        <w:t xml:space="preserve"> or from 800 mg to 600 mg</w:t>
      </w:r>
      <w:r w:rsidRPr="00A03D99">
        <w:t>. In children the daily dose should be reduced from 340 mg/m</w:t>
      </w:r>
      <w:r w:rsidRPr="00A03D99">
        <w:rPr>
          <w:vertAlign w:val="superscript"/>
        </w:rPr>
        <w:t xml:space="preserve">2 </w:t>
      </w:r>
      <w:r w:rsidRPr="00A03D99">
        <w:t>to 260 mg/m</w:t>
      </w:r>
      <w:r w:rsidRPr="00A03D99">
        <w:rPr>
          <w:vertAlign w:val="superscript"/>
        </w:rPr>
        <w:t>2</w:t>
      </w:r>
      <w:r w:rsidRPr="00A03D99">
        <w:t>.</w:t>
      </w:r>
    </w:p>
    <w:p w:rsidR="00F76CE3" w:rsidRPr="00A03D99" w:rsidRDefault="00F76CE3" w:rsidP="001C5B77">
      <w:pPr>
        <w:pStyle w:val="Text"/>
        <w:spacing w:after="120"/>
        <w:jc w:val="left"/>
      </w:pPr>
      <w:r>
        <w:t xml:space="preserve">In adjuvant GIST, if non haematological toxicity of grade 2 is experienced, imatinib should be withheld until the toxicity has resolved to ≤ grade 1. Treatment can be resumed at the previous dose, however, if grade 2 toxicity recurs, treatment should be withheld and then re-introduced at a reduced dose of 300 mg per day. </w:t>
      </w:r>
      <w:r w:rsidR="0047030D">
        <w:t xml:space="preserve">If grade 3/4 toxicity occurs, treatment is withheld until toxicity resolves to ≤ grade 1. The daily dose is resumed at a reduced dose of 300 mg per day. </w:t>
      </w:r>
    </w:p>
    <w:p w:rsidR="00014579" w:rsidRPr="00A03D99" w:rsidRDefault="00014579" w:rsidP="00D71D4F">
      <w:pPr>
        <w:pStyle w:val="Heading3"/>
      </w:pPr>
      <w:r w:rsidRPr="00A03D99">
        <w:t xml:space="preserve">Haematological adverse </w:t>
      </w:r>
      <w:r w:rsidR="00745513" w:rsidRPr="00A03D99">
        <w:t xml:space="preserve">drug </w:t>
      </w:r>
      <w:r w:rsidRPr="00A03D99">
        <w:t>reactions:</w:t>
      </w:r>
    </w:p>
    <w:p w:rsidR="00014579" w:rsidRPr="00A03D99" w:rsidRDefault="00014579" w:rsidP="00136987">
      <w:pPr>
        <w:pStyle w:val="Text"/>
        <w:spacing w:after="120"/>
        <w:jc w:val="left"/>
      </w:pPr>
      <w:r w:rsidRPr="00A03D99">
        <w:t>Dose reduction or treatment interruption for severe neutropenia and thrombocytopenia are recommended as indicated in the table below:</w:t>
      </w:r>
    </w:p>
    <w:p w:rsidR="00014579" w:rsidRPr="00A03D99" w:rsidRDefault="00014579" w:rsidP="00F56E80">
      <w:pPr>
        <w:pStyle w:val="Text"/>
        <w:spacing w:before="0" w:after="120"/>
        <w:jc w:val="center"/>
        <w:rPr>
          <w:b/>
        </w:rPr>
      </w:pPr>
      <w:r w:rsidRPr="00A03D99">
        <w:rPr>
          <w:b/>
        </w:rPr>
        <w:t>Dose adjustments for neutropenia and thrombocytopenia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57"/>
        <w:gridCol w:w="1978"/>
        <w:gridCol w:w="5204"/>
      </w:tblGrid>
      <w:tr w:rsidR="005A3260" w:rsidRPr="00A03D99">
        <w:tc>
          <w:tcPr>
            <w:tcW w:w="2457" w:type="dxa"/>
          </w:tcPr>
          <w:p w:rsidR="005A3260" w:rsidRPr="00CC0663" w:rsidRDefault="005A3260" w:rsidP="006D2FAB">
            <w:pPr>
              <w:pStyle w:val="Table0"/>
              <w:spacing w:before="60" w:after="60"/>
              <w:rPr>
                <w:rFonts w:ascii="Times New Roman" w:hAnsi="Times New Roman"/>
                <w:lang w:val="en-AU"/>
              </w:rPr>
            </w:pPr>
            <w:r w:rsidRPr="00CC0663">
              <w:rPr>
                <w:rFonts w:ascii="Times New Roman" w:hAnsi="Times New Roman"/>
                <w:lang w:val="en-AU"/>
              </w:rPr>
              <w:t xml:space="preserve">SM associated with eosinophilia or HES/CEL with </w:t>
            </w:r>
            <w:r w:rsidRPr="00A03D99">
              <w:rPr>
                <w:rFonts w:ascii="Times New Roman" w:hAnsi="Times New Roman"/>
                <w:lang w:val="en-GB"/>
              </w:rPr>
              <w:t>FIP1L1-PDGFR</w:t>
            </w:r>
            <w:r w:rsidRPr="00A03D99">
              <w:rPr>
                <w:rFonts w:ascii="Symbol" w:hAnsi="Symbol"/>
                <w:lang w:val="en-GB"/>
              </w:rPr>
              <w:t></w:t>
            </w:r>
            <w:r w:rsidRPr="00CC0663">
              <w:rPr>
                <w:rFonts w:ascii="Times New Roman" w:hAnsi="Times New Roman"/>
                <w:lang w:val="en-AU"/>
              </w:rPr>
              <w:t xml:space="preserve"> fusion kinase </w:t>
            </w:r>
            <w:r w:rsidR="006D2FAB" w:rsidRPr="00CC0663">
              <w:rPr>
                <w:rFonts w:ascii="Times New Roman" w:hAnsi="Times New Roman"/>
                <w:lang w:val="en-AU"/>
              </w:rPr>
              <w:br/>
            </w:r>
            <w:r w:rsidRPr="00CC0663">
              <w:rPr>
                <w:rFonts w:ascii="Times New Roman" w:hAnsi="Times New Roman"/>
                <w:lang w:val="en-AU"/>
              </w:rPr>
              <w:t>(starting dose 100 mg)</w:t>
            </w:r>
          </w:p>
        </w:tc>
        <w:tc>
          <w:tcPr>
            <w:tcW w:w="1978" w:type="dxa"/>
          </w:tcPr>
          <w:p w:rsidR="005A3260" w:rsidRPr="00CC0663" w:rsidRDefault="005A3260" w:rsidP="006D2FAB">
            <w:pPr>
              <w:pStyle w:val="Table0"/>
              <w:spacing w:before="60" w:after="60"/>
              <w:rPr>
                <w:rFonts w:ascii="Times New Roman" w:hAnsi="Times New Roman"/>
                <w:lang w:val="en-AU"/>
              </w:rPr>
            </w:pPr>
            <w:r w:rsidRPr="00CC0663">
              <w:rPr>
                <w:rFonts w:ascii="Times New Roman" w:hAnsi="Times New Roman"/>
                <w:lang w:val="en-AU"/>
              </w:rPr>
              <w:t>ANC &lt; 1.0 x10</w:t>
            </w:r>
            <w:r w:rsidRPr="00CC0663">
              <w:rPr>
                <w:rFonts w:ascii="Times New Roman" w:hAnsi="Times New Roman"/>
                <w:vertAlign w:val="superscript"/>
                <w:lang w:val="en-AU"/>
              </w:rPr>
              <w:t>9</w:t>
            </w:r>
            <w:r w:rsidRPr="00CC0663">
              <w:rPr>
                <w:rFonts w:ascii="Times New Roman" w:hAnsi="Times New Roman"/>
                <w:lang w:val="en-AU"/>
              </w:rPr>
              <w:t>/L</w:t>
            </w:r>
            <w:r w:rsidR="006D2FAB" w:rsidRPr="00CC0663">
              <w:rPr>
                <w:rFonts w:ascii="Times New Roman" w:hAnsi="Times New Roman"/>
                <w:lang w:val="en-AU"/>
              </w:rPr>
              <w:br/>
            </w:r>
            <w:r w:rsidRPr="00CC0663">
              <w:rPr>
                <w:rFonts w:ascii="Times New Roman" w:hAnsi="Times New Roman"/>
                <w:lang w:val="en-AU"/>
              </w:rPr>
              <w:t xml:space="preserve">and/or </w:t>
            </w:r>
            <w:r w:rsidR="006D2FAB" w:rsidRPr="00CC0663">
              <w:rPr>
                <w:rFonts w:ascii="Times New Roman" w:hAnsi="Times New Roman"/>
                <w:lang w:val="en-AU"/>
              </w:rPr>
              <w:br/>
            </w:r>
            <w:r w:rsidRPr="00CC0663">
              <w:rPr>
                <w:rFonts w:ascii="Times New Roman" w:hAnsi="Times New Roman"/>
                <w:lang w:val="en-AU"/>
              </w:rPr>
              <w:t>platelets</w:t>
            </w:r>
            <w:r w:rsidR="006D2FAB" w:rsidRPr="00CC0663">
              <w:rPr>
                <w:rFonts w:ascii="Times New Roman" w:hAnsi="Times New Roman"/>
                <w:lang w:val="en-AU"/>
              </w:rPr>
              <w:t xml:space="preserve"> </w:t>
            </w:r>
            <w:r w:rsidRPr="00CC0663">
              <w:rPr>
                <w:rFonts w:ascii="Times New Roman" w:hAnsi="Times New Roman"/>
                <w:lang w:val="en-AU"/>
              </w:rPr>
              <w:t>&lt; 50 x10</w:t>
            </w:r>
            <w:r w:rsidRPr="00CC0663">
              <w:rPr>
                <w:rFonts w:ascii="Times New Roman" w:hAnsi="Times New Roman"/>
                <w:vertAlign w:val="superscript"/>
                <w:lang w:val="en-AU"/>
              </w:rPr>
              <w:t>9</w:t>
            </w:r>
            <w:r w:rsidRPr="00CC0663">
              <w:rPr>
                <w:rFonts w:ascii="Times New Roman" w:hAnsi="Times New Roman"/>
                <w:lang w:val="en-AU"/>
              </w:rPr>
              <w:t>/L</w:t>
            </w:r>
          </w:p>
        </w:tc>
        <w:tc>
          <w:tcPr>
            <w:tcW w:w="5204" w:type="dxa"/>
          </w:tcPr>
          <w:p w:rsidR="005A3260" w:rsidRPr="00CC0663" w:rsidRDefault="005A3260" w:rsidP="006D2FAB">
            <w:pPr>
              <w:pStyle w:val="Table0"/>
              <w:numPr>
                <w:ilvl w:val="0"/>
                <w:numId w:val="27"/>
              </w:numPr>
              <w:tabs>
                <w:tab w:val="clear" w:pos="284"/>
              </w:tabs>
              <w:spacing w:before="60" w:after="60"/>
              <w:rPr>
                <w:rFonts w:ascii="Times New Roman" w:hAnsi="Times New Roman"/>
                <w:lang w:val="en-AU"/>
              </w:rPr>
            </w:pPr>
            <w:r w:rsidRPr="00CC0663">
              <w:rPr>
                <w:rFonts w:ascii="Times New Roman" w:hAnsi="Times New Roman"/>
                <w:lang w:val="en-AU"/>
              </w:rPr>
              <w:t xml:space="preserve">Stop Glivec until ANC </w:t>
            </w:r>
            <w:r w:rsidRPr="00CC0663">
              <w:rPr>
                <w:rFonts w:ascii="Times New Roman" w:hAnsi="Times New Roman"/>
                <w:lang w:val="en-AU"/>
              </w:rPr>
              <w:sym w:font="Symbol" w:char="F0B3"/>
            </w:r>
            <w:r w:rsidRPr="00CC0663">
              <w:rPr>
                <w:rFonts w:ascii="Times New Roman" w:hAnsi="Times New Roman"/>
                <w:lang w:val="en-AU"/>
              </w:rPr>
              <w:t xml:space="preserve"> 1.5 x10</w:t>
            </w:r>
            <w:r w:rsidRPr="00CC0663">
              <w:rPr>
                <w:rFonts w:ascii="Times New Roman" w:hAnsi="Times New Roman"/>
                <w:vertAlign w:val="superscript"/>
                <w:lang w:val="en-AU"/>
              </w:rPr>
              <w:t>9</w:t>
            </w:r>
            <w:r w:rsidRPr="00CC0663">
              <w:rPr>
                <w:rFonts w:ascii="Times New Roman" w:hAnsi="Times New Roman"/>
                <w:lang w:val="en-AU"/>
              </w:rPr>
              <w:t xml:space="preserve">/L and platelets </w:t>
            </w:r>
            <w:r w:rsidRPr="00CC0663">
              <w:rPr>
                <w:rFonts w:ascii="Times New Roman" w:hAnsi="Times New Roman"/>
                <w:lang w:val="en-AU"/>
              </w:rPr>
              <w:sym w:font="Symbol" w:char="F0B3"/>
            </w:r>
            <w:r w:rsidRPr="00CC0663">
              <w:rPr>
                <w:rFonts w:ascii="Times New Roman" w:hAnsi="Times New Roman"/>
                <w:lang w:val="en-AU"/>
              </w:rPr>
              <w:t xml:space="preserve"> 75 x10</w:t>
            </w:r>
            <w:r w:rsidRPr="00CC0663">
              <w:rPr>
                <w:rFonts w:ascii="Times New Roman" w:hAnsi="Times New Roman"/>
                <w:vertAlign w:val="superscript"/>
                <w:lang w:val="en-AU"/>
              </w:rPr>
              <w:t>9</w:t>
            </w:r>
            <w:r w:rsidRPr="00CC0663">
              <w:rPr>
                <w:rFonts w:ascii="Times New Roman" w:hAnsi="Times New Roman"/>
                <w:lang w:val="en-AU"/>
              </w:rPr>
              <w:t>/L.</w:t>
            </w:r>
          </w:p>
          <w:p w:rsidR="005A3260" w:rsidRPr="00CC0663" w:rsidRDefault="005A3260" w:rsidP="006D2FAB">
            <w:pPr>
              <w:pStyle w:val="Table0"/>
              <w:numPr>
                <w:ilvl w:val="0"/>
                <w:numId w:val="27"/>
              </w:numPr>
              <w:tabs>
                <w:tab w:val="clear" w:pos="284"/>
              </w:tabs>
              <w:spacing w:before="60" w:after="60"/>
              <w:rPr>
                <w:rFonts w:ascii="Times New Roman" w:hAnsi="Times New Roman"/>
                <w:lang w:val="en-AU"/>
              </w:rPr>
            </w:pPr>
            <w:r w:rsidRPr="00CC0663">
              <w:rPr>
                <w:rFonts w:ascii="Times New Roman" w:hAnsi="Times New Roman"/>
                <w:lang w:val="en-AU"/>
              </w:rPr>
              <w:t xml:space="preserve">Resume treatment with Glivec at the original starting dose (i.e. before severe adverse </w:t>
            </w:r>
            <w:r w:rsidR="00745513" w:rsidRPr="00CC0663">
              <w:rPr>
                <w:rFonts w:ascii="Times New Roman" w:hAnsi="Times New Roman"/>
                <w:lang w:val="en-AU"/>
              </w:rPr>
              <w:t xml:space="preserve">drug </w:t>
            </w:r>
            <w:r w:rsidRPr="00CC0663">
              <w:rPr>
                <w:rFonts w:ascii="Times New Roman" w:hAnsi="Times New Roman"/>
                <w:lang w:val="en-AU"/>
              </w:rPr>
              <w:t>reaction)</w:t>
            </w:r>
          </w:p>
        </w:tc>
      </w:tr>
      <w:tr w:rsidR="00014579" w:rsidRPr="00A03D99">
        <w:tc>
          <w:tcPr>
            <w:tcW w:w="2457" w:type="dxa"/>
          </w:tcPr>
          <w:p w:rsidR="001B2C73" w:rsidRPr="00CC0663" w:rsidRDefault="00014579" w:rsidP="006D2FAB">
            <w:pPr>
              <w:pStyle w:val="Table0"/>
              <w:spacing w:before="60" w:after="60"/>
              <w:rPr>
                <w:rFonts w:ascii="Times New Roman" w:hAnsi="Times New Roman"/>
                <w:lang w:val="en-AU"/>
              </w:rPr>
            </w:pPr>
            <w:r w:rsidRPr="00CC0663">
              <w:rPr>
                <w:rFonts w:ascii="Times New Roman" w:hAnsi="Times New Roman"/>
                <w:lang w:val="en-AU"/>
              </w:rPr>
              <w:t>Chronic phase CML (starting dose 400 mg in adults)</w:t>
            </w:r>
          </w:p>
          <w:p w:rsidR="00014579" w:rsidRPr="00CC0663" w:rsidRDefault="001B2C73" w:rsidP="006D2FAB">
            <w:pPr>
              <w:pStyle w:val="Table0"/>
              <w:spacing w:before="60" w:after="60"/>
              <w:rPr>
                <w:rFonts w:ascii="Times New Roman" w:hAnsi="Times New Roman"/>
                <w:lang w:val="en-AU"/>
              </w:rPr>
            </w:pPr>
            <w:r w:rsidRPr="00CC0663">
              <w:rPr>
                <w:rFonts w:ascii="Times New Roman" w:hAnsi="Times New Roman"/>
                <w:lang w:val="en-AU"/>
              </w:rPr>
              <w:t>MDS/MPD</w:t>
            </w:r>
            <w:r w:rsidR="005A3260" w:rsidRPr="00CC0663">
              <w:rPr>
                <w:rFonts w:ascii="Times New Roman" w:hAnsi="Times New Roman"/>
                <w:lang w:val="en-AU"/>
              </w:rPr>
              <w:t>, SM and HES/CML</w:t>
            </w:r>
            <w:r w:rsidRPr="00CC0663">
              <w:rPr>
                <w:rFonts w:ascii="Times New Roman" w:hAnsi="Times New Roman"/>
                <w:lang w:val="en-AU"/>
              </w:rPr>
              <w:t xml:space="preserve"> </w:t>
            </w:r>
            <w:r w:rsidR="006D2FAB" w:rsidRPr="00CC0663">
              <w:rPr>
                <w:rFonts w:ascii="Times New Roman" w:hAnsi="Times New Roman"/>
                <w:lang w:val="en-AU"/>
              </w:rPr>
              <w:br/>
            </w:r>
            <w:r w:rsidRPr="00CC0663">
              <w:rPr>
                <w:rFonts w:ascii="Times New Roman" w:hAnsi="Times New Roman"/>
                <w:lang w:val="en-AU"/>
              </w:rPr>
              <w:t>(starting dose 400 mg)</w:t>
            </w:r>
          </w:p>
          <w:p w:rsidR="00014579" w:rsidRPr="00CC0663" w:rsidRDefault="00014579" w:rsidP="006D2FAB">
            <w:pPr>
              <w:pStyle w:val="Table0"/>
              <w:spacing w:before="60" w:after="60"/>
              <w:rPr>
                <w:rFonts w:ascii="Times New Roman" w:hAnsi="Times New Roman"/>
                <w:lang w:val="en-AU"/>
              </w:rPr>
            </w:pPr>
            <w:r w:rsidRPr="00CC0663">
              <w:rPr>
                <w:rFonts w:ascii="Times New Roman" w:hAnsi="Times New Roman"/>
                <w:lang w:val="en-AU"/>
              </w:rPr>
              <w:t>GIST (starting dose either 400 mg or 600 mg)</w:t>
            </w:r>
          </w:p>
        </w:tc>
        <w:tc>
          <w:tcPr>
            <w:tcW w:w="1978" w:type="dxa"/>
          </w:tcPr>
          <w:p w:rsidR="00014579" w:rsidRPr="00CC0663" w:rsidRDefault="00014579" w:rsidP="006D2FAB">
            <w:pPr>
              <w:pStyle w:val="Table0"/>
              <w:spacing w:before="60" w:after="60"/>
              <w:rPr>
                <w:rFonts w:ascii="Times New Roman" w:hAnsi="Times New Roman"/>
                <w:lang w:val="en-AU"/>
              </w:rPr>
            </w:pPr>
            <w:r w:rsidRPr="00CC0663">
              <w:rPr>
                <w:rFonts w:ascii="Times New Roman" w:hAnsi="Times New Roman"/>
                <w:lang w:val="en-AU"/>
              </w:rPr>
              <w:t>ANC &lt; 1.0 x10</w:t>
            </w:r>
            <w:r w:rsidRPr="00CC0663">
              <w:rPr>
                <w:rFonts w:ascii="Times New Roman" w:hAnsi="Times New Roman"/>
                <w:vertAlign w:val="superscript"/>
                <w:lang w:val="en-AU"/>
              </w:rPr>
              <w:t>9</w:t>
            </w:r>
            <w:r w:rsidRPr="00CC0663">
              <w:rPr>
                <w:rFonts w:ascii="Times New Roman" w:hAnsi="Times New Roman"/>
                <w:lang w:val="en-AU"/>
              </w:rPr>
              <w:t>/L</w:t>
            </w:r>
            <w:r w:rsidR="006D2FAB" w:rsidRPr="00CC0663">
              <w:rPr>
                <w:rFonts w:ascii="Times New Roman" w:hAnsi="Times New Roman"/>
                <w:lang w:val="en-AU"/>
              </w:rPr>
              <w:t xml:space="preserve"> </w:t>
            </w:r>
            <w:r w:rsidRPr="00CC0663">
              <w:rPr>
                <w:rFonts w:ascii="Times New Roman" w:hAnsi="Times New Roman"/>
                <w:lang w:val="en-AU"/>
              </w:rPr>
              <w:t xml:space="preserve">and/or </w:t>
            </w:r>
            <w:r w:rsidR="006D2FAB" w:rsidRPr="00CC0663">
              <w:rPr>
                <w:rFonts w:ascii="Times New Roman" w:hAnsi="Times New Roman"/>
                <w:lang w:val="en-AU"/>
              </w:rPr>
              <w:br/>
            </w:r>
            <w:r w:rsidRPr="00CC0663">
              <w:rPr>
                <w:rFonts w:ascii="Times New Roman" w:hAnsi="Times New Roman"/>
                <w:lang w:val="en-AU"/>
              </w:rPr>
              <w:t>platelets</w:t>
            </w:r>
            <w:r w:rsidR="006D2FAB" w:rsidRPr="00CC0663">
              <w:rPr>
                <w:rFonts w:ascii="Times New Roman" w:hAnsi="Times New Roman"/>
                <w:lang w:val="en-AU"/>
              </w:rPr>
              <w:t xml:space="preserve"> </w:t>
            </w:r>
            <w:r w:rsidRPr="00CC0663">
              <w:rPr>
                <w:rFonts w:ascii="Times New Roman" w:hAnsi="Times New Roman"/>
                <w:lang w:val="en-AU"/>
              </w:rPr>
              <w:t>&lt; 50 x10</w:t>
            </w:r>
            <w:r w:rsidRPr="00CC0663">
              <w:rPr>
                <w:rFonts w:ascii="Times New Roman" w:hAnsi="Times New Roman"/>
                <w:vertAlign w:val="superscript"/>
                <w:lang w:val="en-AU"/>
              </w:rPr>
              <w:t>9</w:t>
            </w:r>
            <w:r w:rsidRPr="00CC0663">
              <w:rPr>
                <w:rFonts w:ascii="Times New Roman" w:hAnsi="Times New Roman"/>
                <w:lang w:val="en-AU"/>
              </w:rPr>
              <w:t>/L</w:t>
            </w:r>
          </w:p>
        </w:tc>
        <w:tc>
          <w:tcPr>
            <w:tcW w:w="5204" w:type="dxa"/>
          </w:tcPr>
          <w:p w:rsidR="00014579" w:rsidRPr="00CC0663" w:rsidRDefault="00014579" w:rsidP="006D2FAB">
            <w:pPr>
              <w:pStyle w:val="Table0"/>
              <w:numPr>
                <w:ilvl w:val="0"/>
                <w:numId w:val="28"/>
              </w:numPr>
              <w:tabs>
                <w:tab w:val="clear" w:pos="284"/>
              </w:tabs>
              <w:spacing w:before="60" w:after="60"/>
              <w:rPr>
                <w:rFonts w:ascii="Times New Roman" w:hAnsi="Times New Roman"/>
                <w:lang w:val="en-AU"/>
              </w:rPr>
            </w:pPr>
            <w:r w:rsidRPr="00CC0663">
              <w:rPr>
                <w:rFonts w:ascii="Times New Roman" w:hAnsi="Times New Roman"/>
                <w:lang w:val="en-AU"/>
              </w:rPr>
              <w:t xml:space="preserve">Stop Glivec until ANC </w:t>
            </w:r>
            <w:r w:rsidRPr="00CC0663">
              <w:rPr>
                <w:rFonts w:ascii="Times New Roman" w:hAnsi="Times New Roman"/>
                <w:lang w:val="en-AU"/>
              </w:rPr>
              <w:sym w:font="Symbol" w:char="F0B3"/>
            </w:r>
            <w:r w:rsidRPr="00CC0663">
              <w:rPr>
                <w:rFonts w:ascii="Times New Roman" w:hAnsi="Times New Roman"/>
                <w:lang w:val="en-AU"/>
              </w:rPr>
              <w:t xml:space="preserve"> 1.5 x10</w:t>
            </w:r>
            <w:r w:rsidRPr="00CC0663">
              <w:rPr>
                <w:rFonts w:ascii="Times New Roman" w:hAnsi="Times New Roman"/>
                <w:vertAlign w:val="superscript"/>
                <w:lang w:val="en-AU"/>
              </w:rPr>
              <w:t>9</w:t>
            </w:r>
            <w:r w:rsidRPr="00CC0663">
              <w:rPr>
                <w:rFonts w:ascii="Times New Roman" w:hAnsi="Times New Roman"/>
                <w:lang w:val="en-AU"/>
              </w:rPr>
              <w:t xml:space="preserve">/L and platelets </w:t>
            </w:r>
            <w:r w:rsidRPr="00CC0663">
              <w:rPr>
                <w:rFonts w:ascii="Times New Roman" w:hAnsi="Times New Roman"/>
                <w:lang w:val="en-AU"/>
              </w:rPr>
              <w:sym w:font="Symbol" w:char="F0B3"/>
            </w:r>
            <w:r w:rsidRPr="00CC0663">
              <w:rPr>
                <w:rFonts w:ascii="Times New Roman" w:hAnsi="Times New Roman"/>
                <w:lang w:val="en-AU"/>
              </w:rPr>
              <w:t xml:space="preserve"> 75 x10</w:t>
            </w:r>
            <w:r w:rsidRPr="00CC0663">
              <w:rPr>
                <w:rFonts w:ascii="Times New Roman" w:hAnsi="Times New Roman"/>
                <w:vertAlign w:val="superscript"/>
                <w:lang w:val="en-AU"/>
              </w:rPr>
              <w:t>9</w:t>
            </w:r>
            <w:r w:rsidRPr="00CC0663">
              <w:rPr>
                <w:rFonts w:ascii="Times New Roman" w:hAnsi="Times New Roman"/>
                <w:lang w:val="en-AU"/>
              </w:rPr>
              <w:t>/L.</w:t>
            </w:r>
          </w:p>
          <w:p w:rsidR="00014579" w:rsidRPr="00CC0663" w:rsidRDefault="005A3260" w:rsidP="006D2FAB">
            <w:pPr>
              <w:pStyle w:val="Table0"/>
              <w:numPr>
                <w:ilvl w:val="0"/>
                <w:numId w:val="28"/>
              </w:numPr>
              <w:tabs>
                <w:tab w:val="clear" w:pos="284"/>
                <w:tab w:val="clear" w:pos="360"/>
              </w:tabs>
              <w:spacing w:before="60" w:after="60"/>
              <w:rPr>
                <w:rFonts w:ascii="Times New Roman" w:hAnsi="Times New Roman"/>
                <w:lang w:val="en-AU"/>
              </w:rPr>
            </w:pPr>
            <w:r w:rsidRPr="00CC0663">
              <w:rPr>
                <w:rFonts w:ascii="Times New Roman" w:hAnsi="Times New Roman"/>
                <w:lang w:val="en-AU"/>
              </w:rPr>
              <w:t xml:space="preserve">Resume treatment with Glivec at the original starting dose (i.e. before severe adverse </w:t>
            </w:r>
            <w:r w:rsidR="00745513" w:rsidRPr="00CC0663">
              <w:rPr>
                <w:rFonts w:ascii="Times New Roman" w:hAnsi="Times New Roman"/>
                <w:lang w:val="en-AU"/>
              </w:rPr>
              <w:t xml:space="preserve">drug </w:t>
            </w:r>
            <w:r w:rsidRPr="00CC0663">
              <w:rPr>
                <w:rFonts w:ascii="Times New Roman" w:hAnsi="Times New Roman"/>
                <w:lang w:val="en-AU"/>
              </w:rPr>
              <w:t>reaction)</w:t>
            </w:r>
          </w:p>
          <w:p w:rsidR="00014579" w:rsidRPr="00CC0663" w:rsidRDefault="00014579" w:rsidP="006D2FAB">
            <w:pPr>
              <w:pStyle w:val="Table0"/>
              <w:numPr>
                <w:ilvl w:val="0"/>
                <w:numId w:val="28"/>
              </w:numPr>
              <w:tabs>
                <w:tab w:val="clear" w:pos="284"/>
                <w:tab w:val="clear" w:pos="360"/>
              </w:tabs>
              <w:spacing w:before="60" w:after="60"/>
              <w:rPr>
                <w:rFonts w:ascii="Times New Roman" w:hAnsi="Times New Roman"/>
                <w:lang w:val="en-AU"/>
              </w:rPr>
            </w:pPr>
            <w:r w:rsidRPr="00CC0663">
              <w:rPr>
                <w:rFonts w:ascii="Times New Roman" w:hAnsi="Times New Roman"/>
                <w:lang w:val="en-AU"/>
              </w:rPr>
              <w:t>In the event of recurrence of ANC &lt; 1.0 x10</w:t>
            </w:r>
            <w:r w:rsidRPr="00CC0663">
              <w:rPr>
                <w:rFonts w:ascii="Times New Roman" w:hAnsi="Times New Roman"/>
                <w:vertAlign w:val="superscript"/>
                <w:lang w:val="en-AU"/>
              </w:rPr>
              <w:t>9</w:t>
            </w:r>
            <w:r w:rsidRPr="00CC0663">
              <w:rPr>
                <w:rFonts w:ascii="Times New Roman" w:hAnsi="Times New Roman"/>
                <w:lang w:val="en-AU"/>
              </w:rPr>
              <w:t>/L and/or platelets &lt; 50 x10</w:t>
            </w:r>
            <w:r w:rsidRPr="00CC0663">
              <w:rPr>
                <w:rFonts w:ascii="Times New Roman" w:hAnsi="Times New Roman"/>
                <w:vertAlign w:val="superscript"/>
                <w:lang w:val="en-AU"/>
              </w:rPr>
              <w:t>9</w:t>
            </w:r>
            <w:r w:rsidRPr="00CC0663">
              <w:rPr>
                <w:rFonts w:ascii="Times New Roman" w:hAnsi="Times New Roman"/>
                <w:lang w:val="en-AU"/>
              </w:rPr>
              <w:t>/L, repeat step 1 and resume Glivec at a reduced dose for CML</w:t>
            </w:r>
            <w:r w:rsidR="005A3260" w:rsidRPr="00CC0663">
              <w:rPr>
                <w:rFonts w:ascii="Times New Roman" w:hAnsi="Times New Roman"/>
                <w:lang w:val="en-AU"/>
              </w:rPr>
              <w:t>, MDS/MPD, SM or HES/CEL</w:t>
            </w:r>
            <w:r w:rsidRPr="00CC0663">
              <w:rPr>
                <w:rFonts w:ascii="Times New Roman" w:hAnsi="Times New Roman"/>
                <w:lang w:val="en-AU"/>
              </w:rPr>
              <w:t xml:space="preserve"> of 300 mg in adults or 200 mg/m</w:t>
            </w:r>
            <w:r w:rsidRPr="00CC0663">
              <w:rPr>
                <w:rFonts w:ascii="Times New Roman" w:hAnsi="Times New Roman"/>
                <w:vertAlign w:val="superscript"/>
                <w:lang w:val="en-AU"/>
              </w:rPr>
              <w:t>2</w:t>
            </w:r>
            <w:r w:rsidRPr="00CC0663">
              <w:rPr>
                <w:rFonts w:ascii="Times New Roman" w:hAnsi="Times New Roman"/>
                <w:lang w:val="en-AU"/>
              </w:rPr>
              <w:t xml:space="preserve"> in children or for GIST of 300 mg if starting dose was </w:t>
            </w:r>
            <w:r w:rsidRPr="00CC0663">
              <w:rPr>
                <w:rFonts w:ascii="Times New Roman" w:hAnsi="Times New Roman"/>
                <w:vertAlign w:val="superscript"/>
                <w:lang w:val="en-AU"/>
              </w:rPr>
              <w:t xml:space="preserve"> </w:t>
            </w:r>
            <w:r w:rsidRPr="00CC0663">
              <w:rPr>
                <w:rFonts w:ascii="Times New Roman" w:hAnsi="Times New Roman"/>
                <w:lang w:val="en-AU"/>
              </w:rPr>
              <w:t>400 mg or 400 mg if starting dose was 600 mg.</w:t>
            </w:r>
          </w:p>
        </w:tc>
      </w:tr>
      <w:tr w:rsidR="00EA408F" w:rsidRPr="00A03D99">
        <w:tc>
          <w:tcPr>
            <w:tcW w:w="2457" w:type="dxa"/>
          </w:tcPr>
          <w:p w:rsidR="00EA408F" w:rsidRPr="00CC0663" w:rsidRDefault="00EA408F" w:rsidP="006D2FAB">
            <w:pPr>
              <w:pStyle w:val="Table0"/>
              <w:spacing w:before="60" w:after="60"/>
              <w:rPr>
                <w:rFonts w:ascii="Times New Roman" w:hAnsi="Times New Roman"/>
                <w:lang w:val="en-AU"/>
              </w:rPr>
            </w:pPr>
            <w:r w:rsidRPr="00CC0663">
              <w:rPr>
                <w:rFonts w:ascii="Times New Roman" w:hAnsi="Times New Roman"/>
                <w:lang w:val="en-AU"/>
              </w:rPr>
              <w:t>Adjuvant GIST</w:t>
            </w:r>
          </w:p>
          <w:p w:rsidR="00EA408F" w:rsidRPr="00CC0663" w:rsidRDefault="00EA408F" w:rsidP="006D2FAB">
            <w:pPr>
              <w:pStyle w:val="Table0"/>
              <w:spacing w:before="60" w:after="60"/>
              <w:rPr>
                <w:rFonts w:ascii="Times New Roman" w:hAnsi="Times New Roman"/>
                <w:lang w:val="en-AU"/>
              </w:rPr>
            </w:pPr>
          </w:p>
        </w:tc>
        <w:tc>
          <w:tcPr>
            <w:tcW w:w="1978" w:type="dxa"/>
          </w:tcPr>
          <w:p w:rsidR="00EA408F" w:rsidRPr="00CC0663" w:rsidRDefault="00EA408F" w:rsidP="006D2FAB">
            <w:pPr>
              <w:pStyle w:val="Table0"/>
              <w:spacing w:before="60" w:after="60"/>
              <w:rPr>
                <w:rFonts w:ascii="Times New Roman" w:hAnsi="Times New Roman"/>
                <w:lang w:val="en-AU"/>
              </w:rPr>
            </w:pPr>
            <w:r w:rsidRPr="00CC0663">
              <w:rPr>
                <w:rFonts w:ascii="Times New Roman" w:hAnsi="Times New Roman"/>
                <w:lang w:val="en-AU"/>
              </w:rPr>
              <w:t xml:space="preserve">ANC ≥ 1.0 </w:t>
            </w:r>
            <w:r w:rsidR="009A5434" w:rsidRPr="00CC0663">
              <w:rPr>
                <w:rFonts w:ascii="Times New Roman" w:hAnsi="Times New Roman"/>
                <w:lang w:val="en-AU"/>
              </w:rPr>
              <w:t>x10</w:t>
            </w:r>
            <w:r w:rsidR="009A5434" w:rsidRPr="00CC0663">
              <w:rPr>
                <w:rFonts w:ascii="Times New Roman" w:hAnsi="Times New Roman"/>
                <w:vertAlign w:val="superscript"/>
                <w:lang w:val="en-AU"/>
              </w:rPr>
              <w:t>9</w:t>
            </w:r>
            <w:r w:rsidR="009A5434" w:rsidRPr="00CC0663">
              <w:rPr>
                <w:rFonts w:ascii="Times New Roman" w:hAnsi="Times New Roman"/>
                <w:lang w:val="en-AU"/>
              </w:rPr>
              <w:t xml:space="preserve">/L </w:t>
            </w:r>
            <w:r w:rsidRPr="00CC0663">
              <w:rPr>
                <w:rFonts w:ascii="Times New Roman" w:hAnsi="Times New Roman"/>
                <w:lang w:val="en-AU"/>
              </w:rPr>
              <w:t>and platelet count ≥ 50 x 10</w:t>
            </w:r>
            <w:r w:rsidRPr="00CC0663">
              <w:rPr>
                <w:rFonts w:ascii="Times New Roman" w:hAnsi="Times New Roman"/>
                <w:vertAlign w:val="superscript"/>
                <w:lang w:val="en-AU"/>
              </w:rPr>
              <w:t>9</w:t>
            </w:r>
            <w:r w:rsidRPr="00CC0663">
              <w:rPr>
                <w:rFonts w:ascii="Times New Roman" w:hAnsi="Times New Roman"/>
                <w:lang w:val="en-AU"/>
              </w:rPr>
              <w:t>/L</w:t>
            </w:r>
          </w:p>
        </w:tc>
        <w:tc>
          <w:tcPr>
            <w:tcW w:w="5204" w:type="dxa"/>
          </w:tcPr>
          <w:p w:rsidR="00EA408F" w:rsidRPr="00CC0663" w:rsidRDefault="00EA408F" w:rsidP="00EA408F">
            <w:pPr>
              <w:pStyle w:val="Table0"/>
              <w:numPr>
                <w:ilvl w:val="0"/>
                <w:numId w:val="41"/>
              </w:numPr>
              <w:tabs>
                <w:tab w:val="clear" w:pos="284"/>
                <w:tab w:val="clear" w:pos="720"/>
                <w:tab w:val="num" w:pos="419"/>
              </w:tabs>
              <w:spacing w:before="60" w:after="60"/>
              <w:ind w:left="419" w:hanging="426"/>
              <w:rPr>
                <w:rFonts w:ascii="Times New Roman" w:hAnsi="Times New Roman"/>
                <w:lang w:val="en-AU"/>
              </w:rPr>
            </w:pPr>
            <w:r w:rsidRPr="00CC0663">
              <w:rPr>
                <w:rFonts w:ascii="Times New Roman" w:hAnsi="Times New Roman"/>
                <w:lang w:val="en-AU"/>
              </w:rPr>
              <w:t xml:space="preserve"> Stop Glivec until toxicity resolved to ≤ grade 2.</w:t>
            </w:r>
          </w:p>
          <w:p w:rsidR="00EA408F" w:rsidRPr="00CC0663" w:rsidRDefault="00EA408F" w:rsidP="00EA408F">
            <w:pPr>
              <w:pStyle w:val="Table0"/>
              <w:numPr>
                <w:ilvl w:val="0"/>
                <w:numId w:val="41"/>
              </w:numPr>
              <w:tabs>
                <w:tab w:val="clear" w:pos="284"/>
                <w:tab w:val="clear" w:pos="720"/>
                <w:tab w:val="num" w:pos="419"/>
              </w:tabs>
              <w:spacing w:before="60" w:after="60"/>
              <w:ind w:left="419" w:hanging="426"/>
              <w:rPr>
                <w:rFonts w:ascii="Times New Roman" w:hAnsi="Times New Roman"/>
                <w:lang w:val="en-AU"/>
              </w:rPr>
            </w:pPr>
            <w:r w:rsidRPr="00CC0663">
              <w:rPr>
                <w:rFonts w:ascii="Times New Roman" w:hAnsi="Times New Roman"/>
                <w:lang w:val="en-AU"/>
              </w:rPr>
              <w:t>Resume treatment with Glivec</w:t>
            </w:r>
            <w:r w:rsidR="009A5434" w:rsidRPr="00CC0663">
              <w:rPr>
                <w:rFonts w:ascii="Times New Roman" w:hAnsi="Times New Roman"/>
                <w:lang w:val="en-AU"/>
              </w:rPr>
              <w:t xml:space="preserve"> at pre</w:t>
            </w:r>
            <w:r w:rsidRPr="00CC0663">
              <w:rPr>
                <w:rFonts w:ascii="Times New Roman" w:hAnsi="Times New Roman"/>
                <w:lang w:val="en-AU"/>
              </w:rPr>
              <w:t xml:space="preserve">vious dose </w:t>
            </w:r>
            <w:r w:rsidRPr="00E856D9">
              <w:rPr>
                <w:rFonts w:ascii="Times New Roman" w:hAnsi="Times New Roman"/>
                <w:lang w:val="en-GB"/>
              </w:rPr>
              <w:t>(i.e. before severe adverse drug reaction)</w:t>
            </w:r>
          </w:p>
          <w:p w:rsidR="00EA408F" w:rsidRPr="00CC0663" w:rsidRDefault="00EA408F" w:rsidP="00EA408F">
            <w:pPr>
              <w:pStyle w:val="Table0"/>
              <w:numPr>
                <w:ilvl w:val="0"/>
                <w:numId w:val="41"/>
              </w:numPr>
              <w:tabs>
                <w:tab w:val="clear" w:pos="284"/>
                <w:tab w:val="clear" w:pos="720"/>
                <w:tab w:val="num" w:pos="419"/>
              </w:tabs>
              <w:spacing w:before="60" w:after="60"/>
              <w:ind w:left="419" w:hanging="426"/>
              <w:rPr>
                <w:rFonts w:ascii="Times New Roman" w:hAnsi="Times New Roman"/>
                <w:lang w:val="en-AU"/>
              </w:rPr>
            </w:pPr>
            <w:r w:rsidRPr="00E856D9">
              <w:rPr>
                <w:rFonts w:ascii="Times New Roman" w:hAnsi="Times New Roman"/>
                <w:lang w:val="en-GB"/>
              </w:rPr>
              <w:t>In the event of recurrence or persistence for longer than 2 weeks, repeat step 1 at r</w:t>
            </w:r>
            <w:r w:rsidR="00F76CE3" w:rsidRPr="00E856D9">
              <w:rPr>
                <w:rFonts w:ascii="Times New Roman" w:hAnsi="Times New Roman"/>
                <w:lang w:val="en-GB"/>
              </w:rPr>
              <w:t>e</w:t>
            </w:r>
            <w:r w:rsidRPr="00E856D9">
              <w:rPr>
                <w:rFonts w:ascii="Times New Roman" w:hAnsi="Times New Roman"/>
                <w:lang w:val="en-GB"/>
              </w:rPr>
              <w:t>duced dose of 300 mg once daily.</w:t>
            </w:r>
          </w:p>
          <w:p w:rsidR="0047030D" w:rsidRPr="00CC0663" w:rsidRDefault="00CB413C" w:rsidP="004127FC">
            <w:pPr>
              <w:pStyle w:val="Table0"/>
              <w:numPr>
                <w:ilvl w:val="0"/>
                <w:numId w:val="41"/>
              </w:numPr>
              <w:tabs>
                <w:tab w:val="clear" w:pos="284"/>
                <w:tab w:val="clear" w:pos="720"/>
                <w:tab w:val="num" w:pos="419"/>
              </w:tabs>
              <w:spacing w:before="60" w:after="60"/>
              <w:ind w:left="419" w:hanging="426"/>
              <w:rPr>
                <w:rFonts w:ascii="Times New Roman" w:hAnsi="Times New Roman"/>
                <w:lang w:val="en-AU"/>
              </w:rPr>
            </w:pPr>
            <w:r w:rsidRPr="00E856D9">
              <w:rPr>
                <w:rFonts w:ascii="Times New Roman" w:hAnsi="Times New Roman"/>
                <w:lang w:val="en-GB"/>
              </w:rPr>
              <w:t>If treatment was interrupted for 4 weeks or longer, then treatment should be discontinued.</w:t>
            </w:r>
          </w:p>
        </w:tc>
      </w:tr>
      <w:tr w:rsidR="00567F54" w:rsidRPr="00A03D99">
        <w:tc>
          <w:tcPr>
            <w:tcW w:w="2457" w:type="dxa"/>
          </w:tcPr>
          <w:p w:rsidR="00567F54" w:rsidRPr="00CC0663" w:rsidRDefault="00567F54" w:rsidP="006D2FAB">
            <w:pPr>
              <w:pStyle w:val="Table0"/>
              <w:spacing w:before="60" w:after="60"/>
              <w:rPr>
                <w:rFonts w:ascii="Times New Roman" w:hAnsi="Times New Roman"/>
                <w:lang w:val="en-AU"/>
              </w:rPr>
            </w:pPr>
            <w:r w:rsidRPr="00CC0663">
              <w:rPr>
                <w:rFonts w:ascii="Times New Roman" w:hAnsi="Times New Roman"/>
                <w:lang w:val="en-AU"/>
              </w:rPr>
              <w:t xml:space="preserve">Paediatric chronic phase CML </w:t>
            </w:r>
            <w:r w:rsidRPr="00CC0663">
              <w:rPr>
                <w:rFonts w:ascii="Times New Roman" w:hAnsi="Times New Roman"/>
                <w:lang w:val="en-AU"/>
              </w:rPr>
              <w:br/>
              <w:t>(at dose 340 mg/m</w:t>
            </w:r>
            <w:r w:rsidRPr="00CC0663">
              <w:rPr>
                <w:rFonts w:ascii="Times New Roman" w:hAnsi="Times New Roman"/>
                <w:vertAlign w:val="superscript"/>
                <w:lang w:val="en-AU"/>
              </w:rPr>
              <w:t>2</w:t>
            </w:r>
            <w:r w:rsidRPr="00CC0663">
              <w:rPr>
                <w:rFonts w:ascii="Times New Roman" w:hAnsi="Times New Roman"/>
                <w:lang w:val="en-AU"/>
              </w:rPr>
              <w:t>)</w:t>
            </w:r>
          </w:p>
        </w:tc>
        <w:tc>
          <w:tcPr>
            <w:tcW w:w="1978" w:type="dxa"/>
          </w:tcPr>
          <w:p w:rsidR="00567F54" w:rsidRPr="00CC0663" w:rsidRDefault="00567F54" w:rsidP="006D2FAB">
            <w:pPr>
              <w:pStyle w:val="Table0"/>
              <w:spacing w:before="60" w:after="60"/>
              <w:rPr>
                <w:rFonts w:ascii="Times New Roman" w:hAnsi="Times New Roman"/>
                <w:vertAlign w:val="superscript"/>
                <w:lang w:val="en-AU"/>
              </w:rPr>
            </w:pPr>
            <w:r w:rsidRPr="00CC0663">
              <w:rPr>
                <w:rFonts w:ascii="Times New Roman" w:hAnsi="Times New Roman"/>
                <w:lang w:val="en-AU"/>
              </w:rPr>
              <w:t>ANC &lt;1.0 x10</w:t>
            </w:r>
            <w:r w:rsidRPr="00CC0663">
              <w:rPr>
                <w:rFonts w:ascii="Times New Roman" w:hAnsi="Times New Roman"/>
                <w:vertAlign w:val="superscript"/>
                <w:lang w:val="en-AU"/>
              </w:rPr>
              <w:t>9</w:t>
            </w:r>
            <w:r w:rsidRPr="00CC0663">
              <w:rPr>
                <w:rFonts w:ascii="Times New Roman" w:hAnsi="Times New Roman"/>
                <w:lang w:val="en-AU"/>
              </w:rPr>
              <w:t xml:space="preserve">/L and/or platelets </w:t>
            </w:r>
            <w:r w:rsidRPr="00CC0663">
              <w:rPr>
                <w:rFonts w:ascii="Times New Roman" w:hAnsi="Times New Roman"/>
                <w:lang w:val="en-AU"/>
              </w:rPr>
              <w:br/>
              <w:t>&lt;50 x10</w:t>
            </w:r>
            <w:r w:rsidRPr="00CC0663">
              <w:rPr>
                <w:rFonts w:ascii="Times New Roman" w:hAnsi="Times New Roman"/>
                <w:vertAlign w:val="superscript"/>
                <w:lang w:val="en-AU"/>
              </w:rPr>
              <w:t>9</w:t>
            </w:r>
            <w:r w:rsidRPr="00CC0663">
              <w:rPr>
                <w:rFonts w:ascii="Times New Roman" w:hAnsi="Times New Roman"/>
                <w:lang w:val="en-AU"/>
              </w:rPr>
              <w:t>/L</w:t>
            </w:r>
          </w:p>
        </w:tc>
        <w:tc>
          <w:tcPr>
            <w:tcW w:w="5204" w:type="dxa"/>
          </w:tcPr>
          <w:p w:rsidR="00567F54" w:rsidRPr="00A03D99" w:rsidRDefault="00567F54" w:rsidP="00073C62">
            <w:pPr>
              <w:pStyle w:val="Table0"/>
              <w:numPr>
                <w:ilvl w:val="0"/>
                <w:numId w:val="30"/>
              </w:numPr>
              <w:tabs>
                <w:tab w:val="clear" w:pos="284"/>
              </w:tabs>
              <w:rPr>
                <w:rFonts w:ascii="Times New Roman" w:hAnsi="Times New Roman"/>
                <w:lang w:val="en-GB"/>
              </w:rPr>
            </w:pPr>
            <w:r w:rsidRPr="00A03D99">
              <w:rPr>
                <w:rFonts w:ascii="Times New Roman" w:hAnsi="Times New Roman"/>
                <w:lang w:val="en-GB"/>
              </w:rPr>
              <w:t xml:space="preserve">Stop Glivec until ANC </w:t>
            </w:r>
            <w:r w:rsidRPr="00A03D99">
              <w:rPr>
                <w:rFonts w:ascii="Times New Roman" w:hAnsi="Times New Roman"/>
                <w:lang w:val="en-GB"/>
              </w:rPr>
              <w:sym w:font="Symbol" w:char="F0B3"/>
            </w:r>
            <w:r w:rsidRPr="00A03D99">
              <w:rPr>
                <w:rFonts w:ascii="Times New Roman" w:hAnsi="Times New Roman"/>
                <w:lang w:val="en-GB"/>
              </w:rPr>
              <w:t>1.5 x10</w:t>
            </w:r>
            <w:r w:rsidRPr="00A03D99">
              <w:rPr>
                <w:rFonts w:ascii="Times New Roman" w:hAnsi="Times New Roman"/>
                <w:vertAlign w:val="superscript"/>
                <w:lang w:val="en-GB"/>
              </w:rPr>
              <w:t>9</w:t>
            </w:r>
            <w:r w:rsidRPr="00A03D99">
              <w:rPr>
                <w:rFonts w:ascii="Times New Roman" w:hAnsi="Times New Roman"/>
                <w:lang w:val="en-GB"/>
              </w:rPr>
              <w:t xml:space="preserve">/L and platelets </w:t>
            </w:r>
            <w:r w:rsidRPr="00A03D99">
              <w:rPr>
                <w:rFonts w:ascii="Times New Roman" w:hAnsi="Times New Roman"/>
                <w:lang w:val="en-GB"/>
              </w:rPr>
              <w:sym w:font="Symbol" w:char="F0B3"/>
            </w:r>
            <w:r w:rsidRPr="00A03D99">
              <w:rPr>
                <w:rFonts w:ascii="Times New Roman" w:hAnsi="Times New Roman"/>
                <w:lang w:val="en-GB"/>
              </w:rPr>
              <w:t>75 x10</w:t>
            </w:r>
            <w:r w:rsidRPr="00A03D99">
              <w:rPr>
                <w:rFonts w:ascii="Times New Roman" w:hAnsi="Times New Roman"/>
                <w:vertAlign w:val="superscript"/>
                <w:lang w:val="en-GB"/>
              </w:rPr>
              <w:t>9</w:t>
            </w:r>
            <w:r w:rsidRPr="00A03D99">
              <w:rPr>
                <w:rFonts w:ascii="Times New Roman" w:hAnsi="Times New Roman"/>
                <w:lang w:val="en-GB"/>
              </w:rPr>
              <w:t>/L.</w:t>
            </w:r>
          </w:p>
          <w:p w:rsidR="00567F54" w:rsidRPr="00A03D99" w:rsidRDefault="00567F54" w:rsidP="00073C62">
            <w:pPr>
              <w:pStyle w:val="Table0"/>
              <w:numPr>
                <w:ilvl w:val="0"/>
                <w:numId w:val="30"/>
              </w:numPr>
              <w:tabs>
                <w:tab w:val="clear" w:pos="284"/>
              </w:tabs>
              <w:rPr>
                <w:rFonts w:ascii="Times New Roman" w:hAnsi="Times New Roman"/>
                <w:lang w:val="en-GB"/>
              </w:rPr>
            </w:pPr>
            <w:r w:rsidRPr="00A03D99">
              <w:rPr>
                <w:rFonts w:ascii="Times New Roman" w:hAnsi="Times New Roman"/>
                <w:lang w:val="en-GB"/>
              </w:rPr>
              <w:t xml:space="preserve">Resume treatment with Glivec at previous dose (i.e. before severe adverse </w:t>
            </w:r>
            <w:r w:rsidR="00FD0074" w:rsidRPr="00A03D99">
              <w:rPr>
                <w:rFonts w:ascii="Times New Roman" w:hAnsi="Times New Roman"/>
                <w:lang w:val="en-GB"/>
              </w:rPr>
              <w:t xml:space="preserve">drug </w:t>
            </w:r>
            <w:r w:rsidRPr="00A03D99">
              <w:rPr>
                <w:rFonts w:ascii="Times New Roman" w:hAnsi="Times New Roman"/>
                <w:lang w:val="en-GB"/>
              </w:rPr>
              <w:t>reaction)</w:t>
            </w:r>
          </w:p>
          <w:p w:rsidR="00567F54" w:rsidRPr="00CC0663" w:rsidRDefault="00567F54" w:rsidP="00567F54">
            <w:pPr>
              <w:pStyle w:val="Table0"/>
              <w:numPr>
                <w:ilvl w:val="0"/>
                <w:numId w:val="30"/>
              </w:numPr>
              <w:tabs>
                <w:tab w:val="clear" w:pos="284"/>
              </w:tabs>
              <w:spacing w:before="60" w:after="60"/>
              <w:rPr>
                <w:rFonts w:ascii="Times New Roman" w:hAnsi="Times New Roman"/>
                <w:lang w:val="en-AU"/>
              </w:rPr>
            </w:pPr>
            <w:r w:rsidRPr="00A03D99">
              <w:rPr>
                <w:rFonts w:ascii="Times New Roman" w:hAnsi="Times New Roman"/>
                <w:lang w:val="en-GB"/>
              </w:rPr>
              <w:t xml:space="preserve">In the event of recurrence of ANC &lt; 1.0 x109/L and/or </w:t>
            </w:r>
            <w:r w:rsidRPr="00A03D99">
              <w:rPr>
                <w:rFonts w:ascii="Times New Roman" w:hAnsi="Times New Roman"/>
                <w:lang w:val="en-GB"/>
              </w:rPr>
              <w:lastRenderedPageBreak/>
              <w:t>platelets &lt; 50 x109/L, repeat step 1 and resume Glivec at reduced dose of 260 mg/m2.</w:t>
            </w:r>
          </w:p>
        </w:tc>
      </w:tr>
      <w:tr w:rsidR="00014579" w:rsidRPr="00A03D99">
        <w:tc>
          <w:tcPr>
            <w:tcW w:w="2457" w:type="dxa"/>
          </w:tcPr>
          <w:p w:rsidR="00014579" w:rsidRPr="00CC0663" w:rsidRDefault="00014579" w:rsidP="006D2FAB">
            <w:pPr>
              <w:pStyle w:val="Table0"/>
              <w:spacing w:before="60" w:after="60"/>
              <w:rPr>
                <w:rFonts w:ascii="Times New Roman" w:hAnsi="Times New Roman"/>
                <w:lang w:val="en-AU"/>
              </w:rPr>
            </w:pPr>
            <w:r w:rsidRPr="00CC0663">
              <w:rPr>
                <w:rFonts w:ascii="Times New Roman" w:hAnsi="Times New Roman"/>
                <w:lang w:val="en-AU"/>
              </w:rPr>
              <w:lastRenderedPageBreak/>
              <w:t>Accelerated phase CML</w:t>
            </w:r>
            <w:r w:rsidR="00702F45" w:rsidRPr="00CC0663">
              <w:rPr>
                <w:rFonts w:ascii="Times New Roman" w:hAnsi="Times New Roman"/>
                <w:lang w:val="en-AU"/>
              </w:rPr>
              <w:t>,</w:t>
            </w:r>
            <w:r w:rsidRPr="00CC0663">
              <w:rPr>
                <w:rFonts w:ascii="Times New Roman" w:hAnsi="Times New Roman"/>
                <w:lang w:val="en-AU"/>
              </w:rPr>
              <w:t xml:space="preserve"> blast crisis</w:t>
            </w:r>
            <w:r w:rsidR="00702F45" w:rsidRPr="00CC0663">
              <w:rPr>
                <w:rFonts w:ascii="Times New Roman" w:hAnsi="Times New Roman"/>
                <w:lang w:val="en-AU"/>
              </w:rPr>
              <w:t xml:space="preserve"> and Ph+ </w:t>
            </w:r>
            <w:smartTag w:uri="urn:schemas-microsoft-com:office:smarttags" w:element="stockticker">
              <w:r w:rsidR="00702F45" w:rsidRPr="00CC0663">
                <w:rPr>
                  <w:rFonts w:ascii="Times New Roman" w:hAnsi="Times New Roman"/>
                  <w:lang w:val="en-AU"/>
                </w:rPr>
                <w:t>ALL</w:t>
              </w:r>
            </w:smartTag>
            <w:r w:rsidR="006D2FAB" w:rsidRPr="00CC0663">
              <w:rPr>
                <w:rFonts w:ascii="Times New Roman" w:hAnsi="Times New Roman"/>
                <w:lang w:val="en-AU"/>
              </w:rPr>
              <w:br/>
            </w:r>
            <w:r w:rsidRPr="00CC0663">
              <w:rPr>
                <w:rFonts w:ascii="Times New Roman" w:hAnsi="Times New Roman"/>
                <w:lang w:val="en-AU"/>
              </w:rPr>
              <w:t>(starting dose 600 mg in adults or 340 mg/m</w:t>
            </w:r>
            <w:r w:rsidRPr="00CC0663">
              <w:rPr>
                <w:rFonts w:ascii="Times New Roman" w:hAnsi="Times New Roman"/>
                <w:vertAlign w:val="superscript"/>
                <w:lang w:val="en-AU"/>
              </w:rPr>
              <w:t>2</w:t>
            </w:r>
            <w:r w:rsidRPr="00CC0663">
              <w:rPr>
                <w:rFonts w:ascii="Times New Roman" w:hAnsi="Times New Roman"/>
                <w:lang w:val="en-AU"/>
              </w:rPr>
              <w:t xml:space="preserve"> in children</w:t>
            </w:r>
            <w:r w:rsidRPr="00CC0663">
              <w:rPr>
                <w:rFonts w:ascii="Times New Roman" w:hAnsi="Times New Roman"/>
                <w:vertAlign w:val="superscript"/>
                <w:lang w:val="en-AU"/>
              </w:rPr>
              <w:t xml:space="preserve"> </w:t>
            </w:r>
            <w:r w:rsidRPr="00CC0663">
              <w:rPr>
                <w:rFonts w:ascii="Times New Roman" w:hAnsi="Times New Roman"/>
                <w:lang w:val="en-AU"/>
              </w:rPr>
              <w:t>)</w:t>
            </w:r>
          </w:p>
          <w:p w:rsidR="00770F29" w:rsidRPr="00CC0663" w:rsidRDefault="00770F29" w:rsidP="006D2FAB">
            <w:pPr>
              <w:pStyle w:val="Table0"/>
              <w:spacing w:before="60" w:after="60"/>
              <w:rPr>
                <w:rFonts w:ascii="Times New Roman" w:hAnsi="Times New Roman"/>
                <w:lang w:val="en-AU"/>
              </w:rPr>
            </w:pPr>
          </w:p>
        </w:tc>
        <w:tc>
          <w:tcPr>
            <w:tcW w:w="1978" w:type="dxa"/>
          </w:tcPr>
          <w:p w:rsidR="00014579" w:rsidRPr="00CC0663" w:rsidRDefault="00014579" w:rsidP="006D2FAB">
            <w:pPr>
              <w:pStyle w:val="Table0"/>
              <w:spacing w:before="60" w:after="60"/>
              <w:rPr>
                <w:rFonts w:ascii="Times New Roman" w:hAnsi="Times New Roman"/>
                <w:lang w:val="en-AU"/>
              </w:rPr>
            </w:pPr>
            <w:r w:rsidRPr="00CC0663">
              <w:rPr>
                <w:rFonts w:ascii="Times New Roman" w:hAnsi="Times New Roman"/>
                <w:vertAlign w:val="superscript"/>
                <w:lang w:val="en-AU"/>
              </w:rPr>
              <w:t>1</w:t>
            </w:r>
            <w:r w:rsidRPr="00CC0663">
              <w:rPr>
                <w:rFonts w:ascii="Times New Roman" w:hAnsi="Times New Roman"/>
                <w:lang w:val="en-AU"/>
              </w:rPr>
              <w:t>ANC &lt; 0.5 x10</w:t>
            </w:r>
            <w:r w:rsidRPr="00CC0663">
              <w:rPr>
                <w:rFonts w:ascii="Times New Roman" w:hAnsi="Times New Roman"/>
                <w:vertAlign w:val="superscript"/>
                <w:lang w:val="en-AU"/>
              </w:rPr>
              <w:t>9</w:t>
            </w:r>
            <w:r w:rsidRPr="00CC0663">
              <w:rPr>
                <w:rFonts w:ascii="Times New Roman" w:hAnsi="Times New Roman"/>
                <w:lang w:val="en-AU"/>
              </w:rPr>
              <w:t>/L</w:t>
            </w:r>
            <w:r w:rsidR="006D2FAB" w:rsidRPr="00CC0663">
              <w:rPr>
                <w:rFonts w:ascii="Times New Roman" w:hAnsi="Times New Roman"/>
                <w:lang w:val="en-AU"/>
              </w:rPr>
              <w:br/>
            </w:r>
            <w:r w:rsidRPr="00CC0663">
              <w:rPr>
                <w:rFonts w:ascii="Times New Roman" w:hAnsi="Times New Roman"/>
                <w:lang w:val="en-AU"/>
              </w:rPr>
              <w:t xml:space="preserve">and/or </w:t>
            </w:r>
            <w:r w:rsidR="006D2FAB" w:rsidRPr="00CC0663">
              <w:rPr>
                <w:rFonts w:ascii="Times New Roman" w:hAnsi="Times New Roman"/>
                <w:lang w:val="en-AU"/>
              </w:rPr>
              <w:br/>
              <w:t xml:space="preserve">platelets </w:t>
            </w:r>
            <w:r w:rsidRPr="00CC0663">
              <w:rPr>
                <w:rFonts w:ascii="Times New Roman" w:hAnsi="Times New Roman"/>
                <w:lang w:val="en-AU"/>
              </w:rPr>
              <w:t>&lt; 10 x10</w:t>
            </w:r>
            <w:r w:rsidRPr="00CC0663">
              <w:rPr>
                <w:rFonts w:ascii="Times New Roman" w:hAnsi="Times New Roman"/>
                <w:vertAlign w:val="superscript"/>
                <w:lang w:val="en-AU"/>
              </w:rPr>
              <w:t>9</w:t>
            </w:r>
            <w:r w:rsidRPr="00CC0663">
              <w:rPr>
                <w:rFonts w:ascii="Times New Roman" w:hAnsi="Times New Roman"/>
                <w:lang w:val="en-AU"/>
              </w:rPr>
              <w:t>/L</w:t>
            </w:r>
          </w:p>
        </w:tc>
        <w:tc>
          <w:tcPr>
            <w:tcW w:w="5204" w:type="dxa"/>
          </w:tcPr>
          <w:p w:rsidR="00014579" w:rsidRPr="00CC0663" w:rsidRDefault="00014579" w:rsidP="006D2FAB">
            <w:pPr>
              <w:pStyle w:val="Table0"/>
              <w:numPr>
                <w:ilvl w:val="0"/>
                <w:numId w:val="29"/>
              </w:numPr>
              <w:tabs>
                <w:tab w:val="clear" w:pos="284"/>
                <w:tab w:val="clear" w:pos="360"/>
              </w:tabs>
              <w:spacing w:before="60" w:after="60"/>
              <w:rPr>
                <w:rFonts w:ascii="Times New Roman" w:hAnsi="Times New Roman"/>
                <w:lang w:val="en-AU"/>
              </w:rPr>
            </w:pPr>
            <w:r w:rsidRPr="00CC0663">
              <w:rPr>
                <w:rFonts w:ascii="Times New Roman" w:hAnsi="Times New Roman"/>
                <w:lang w:val="en-AU"/>
              </w:rPr>
              <w:t>Check whether cytopenia is related to leukaemia (marrow aspirate or biopsy).</w:t>
            </w:r>
          </w:p>
          <w:p w:rsidR="00014579" w:rsidRPr="00CC0663" w:rsidRDefault="00014579" w:rsidP="006D2FAB">
            <w:pPr>
              <w:pStyle w:val="Table0"/>
              <w:numPr>
                <w:ilvl w:val="0"/>
                <w:numId w:val="29"/>
              </w:numPr>
              <w:tabs>
                <w:tab w:val="clear" w:pos="284"/>
                <w:tab w:val="clear" w:pos="360"/>
              </w:tabs>
              <w:spacing w:before="60" w:after="60"/>
              <w:rPr>
                <w:rFonts w:ascii="Times New Roman" w:hAnsi="Times New Roman"/>
                <w:lang w:val="en-AU"/>
              </w:rPr>
            </w:pPr>
            <w:r w:rsidRPr="00CC0663">
              <w:rPr>
                <w:rFonts w:ascii="Times New Roman" w:hAnsi="Times New Roman"/>
                <w:lang w:val="en-AU"/>
              </w:rPr>
              <w:t>If cytopenia is unrelated to leukaemia, reduce dose of Glivec to 400 mg in adults or 260 mg/m</w:t>
            </w:r>
            <w:r w:rsidRPr="00CC0663">
              <w:rPr>
                <w:rFonts w:ascii="Times New Roman" w:hAnsi="Times New Roman"/>
                <w:vertAlign w:val="superscript"/>
                <w:lang w:val="en-AU"/>
              </w:rPr>
              <w:t>2</w:t>
            </w:r>
            <w:r w:rsidRPr="00CC0663">
              <w:rPr>
                <w:rFonts w:ascii="Times New Roman" w:hAnsi="Times New Roman"/>
                <w:lang w:val="en-AU"/>
              </w:rPr>
              <w:t xml:space="preserve"> in children.</w:t>
            </w:r>
          </w:p>
          <w:p w:rsidR="00014579" w:rsidRPr="00CC0663" w:rsidRDefault="00014579" w:rsidP="006D2FAB">
            <w:pPr>
              <w:pStyle w:val="Table0"/>
              <w:numPr>
                <w:ilvl w:val="0"/>
                <w:numId w:val="29"/>
              </w:numPr>
              <w:tabs>
                <w:tab w:val="clear" w:pos="284"/>
                <w:tab w:val="left" w:pos="318"/>
              </w:tabs>
              <w:spacing w:before="60" w:after="60"/>
              <w:rPr>
                <w:rFonts w:ascii="Times New Roman" w:hAnsi="Times New Roman"/>
                <w:lang w:val="en-AU"/>
              </w:rPr>
            </w:pPr>
            <w:r w:rsidRPr="00CC0663">
              <w:rPr>
                <w:rFonts w:ascii="Times New Roman" w:hAnsi="Times New Roman"/>
                <w:lang w:val="en-AU"/>
              </w:rPr>
              <w:t>If cytopenia persists for 2 weeks, reduce further to 300 mg in adults or 200 mg/m</w:t>
            </w:r>
            <w:r w:rsidRPr="00CC0663">
              <w:rPr>
                <w:rFonts w:ascii="Times New Roman" w:hAnsi="Times New Roman"/>
                <w:vertAlign w:val="superscript"/>
                <w:lang w:val="en-AU"/>
              </w:rPr>
              <w:t>2</w:t>
            </w:r>
            <w:r w:rsidRPr="00CC0663">
              <w:rPr>
                <w:rFonts w:ascii="Times New Roman" w:hAnsi="Times New Roman"/>
                <w:lang w:val="en-AU"/>
              </w:rPr>
              <w:t xml:space="preserve"> in children.</w:t>
            </w:r>
          </w:p>
          <w:p w:rsidR="00014579" w:rsidRPr="00CC0663" w:rsidRDefault="00014579" w:rsidP="006D2FAB">
            <w:pPr>
              <w:pStyle w:val="Table0"/>
              <w:numPr>
                <w:ilvl w:val="0"/>
                <w:numId w:val="29"/>
              </w:numPr>
              <w:tabs>
                <w:tab w:val="clear" w:pos="284"/>
                <w:tab w:val="left" w:pos="318"/>
              </w:tabs>
              <w:spacing w:before="60" w:after="60"/>
              <w:rPr>
                <w:rFonts w:ascii="Times New Roman" w:hAnsi="Times New Roman"/>
                <w:lang w:val="en-AU"/>
              </w:rPr>
            </w:pPr>
            <w:r w:rsidRPr="00CC0663">
              <w:rPr>
                <w:rFonts w:ascii="Times New Roman" w:hAnsi="Times New Roman"/>
                <w:lang w:val="en-AU"/>
              </w:rPr>
              <w:t xml:space="preserve">If cytopenia persists for 4 weeks and is still unrelated to leukaemia, stop Glivec until ANC </w:t>
            </w:r>
            <w:r w:rsidRPr="00CC0663">
              <w:rPr>
                <w:rFonts w:ascii="Times New Roman" w:hAnsi="Times New Roman"/>
                <w:lang w:val="en-AU"/>
              </w:rPr>
              <w:sym w:font="Symbol" w:char="F0B3"/>
            </w:r>
            <w:r w:rsidRPr="00CC0663">
              <w:rPr>
                <w:rFonts w:ascii="Times New Roman" w:hAnsi="Times New Roman"/>
                <w:lang w:val="en-AU"/>
              </w:rPr>
              <w:t xml:space="preserve"> 1 x10</w:t>
            </w:r>
            <w:r w:rsidRPr="00CC0663">
              <w:rPr>
                <w:rFonts w:ascii="Times New Roman" w:hAnsi="Times New Roman"/>
                <w:vertAlign w:val="superscript"/>
                <w:lang w:val="en-AU"/>
              </w:rPr>
              <w:t>9</w:t>
            </w:r>
            <w:r w:rsidRPr="00CC0663">
              <w:rPr>
                <w:rFonts w:ascii="Times New Roman" w:hAnsi="Times New Roman"/>
                <w:lang w:val="en-AU"/>
              </w:rPr>
              <w:t xml:space="preserve">/L and platelets </w:t>
            </w:r>
            <w:r w:rsidRPr="00CC0663">
              <w:rPr>
                <w:rFonts w:ascii="Times New Roman" w:hAnsi="Times New Roman"/>
                <w:lang w:val="en-AU"/>
              </w:rPr>
              <w:sym w:font="Symbol" w:char="F0B3"/>
            </w:r>
            <w:r w:rsidRPr="00CC0663">
              <w:rPr>
                <w:rFonts w:ascii="Times New Roman" w:hAnsi="Times New Roman"/>
                <w:lang w:val="en-AU"/>
              </w:rPr>
              <w:t xml:space="preserve"> 20 x10</w:t>
            </w:r>
            <w:r w:rsidRPr="00CC0663">
              <w:rPr>
                <w:rFonts w:ascii="Times New Roman" w:hAnsi="Times New Roman"/>
                <w:vertAlign w:val="superscript"/>
                <w:lang w:val="en-AU"/>
              </w:rPr>
              <w:t>9</w:t>
            </w:r>
            <w:r w:rsidRPr="00CC0663">
              <w:rPr>
                <w:rFonts w:ascii="Times New Roman" w:hAnsi="Times New Roman"/>
                <w:lang w:val="en-AU"/>
              </w:rPr>
              <w:t>/L, then resume treatment at 300 mg in adults or 200 mg/m</w:t>
            </w:r>
            <w:r w:rsidRPr="00CC0663">
              <w:rPr>
                <w:rFonts w:ascii="Times New Roman" w:hAnsi="Times New Roman"/>
                <w:vertAlign w:val="superscript"/>
                <w:lang w:val="en-AU"/>
              </w:rPr>
              <w:t>2</w:t>
            </w:r>
            <w:r w:rsidRPr="00CC0663">
              <w:rPr>
                <w:rFonts w:ascii="Times New Roman" w:hAnsi="Times New Roman"/>
                <w:lang w:val="en-AU"/>
              </w:rPr>
              <w:t xml:space="preserve"> in children.</w:t>
            </w:r>
          </w:p>
        </w:tc>
      </w:tr>
      <w:tr w:rsidR="001B2C73" w:rsidRPr="00A03D99">
        <w:tblPrEx>
          <w:tblBorders>
            <w:left w:val="none" w:sz="0" w:space="0" w:color="auto"/>
            <w:right w:val="none" w:sz="0" w:space="0" w:color="auto"/>
            <w:insideH w:val="none" w:sz="0" w:space="0" w:color="auto"/>
            <w:insideV w:val="none" w:sz="0" w:space="0" w:color="auto"/>
          </w:tblBorders>
        </w:tblPrEx>
        <w:tc>
          <w:tcPr>
            <w:tcW w:w="2457" w:type="dxa"/>
            <w:tcBorders>
              <w:top w:val="single" w:sz="4" w:space="0" w:color="auto"/>
              <w:left w:val="single" w:sz="4" w:space="0" w:color="auto"/>
              <w:bottom w:val="single" w:sz="4" w:space="0" w:color="auto"/>
              <w:right w:val="single" w:sz="4" w:space="0" w:color="auto"/>
            </w:tcBorders>
            <w:shd w:val="clear" w:color="auto" w:fill="auto"/>
          </w:tcPr>
          <w:p w:rsidR="001B2C73" w:rsidRPr="00A03D99" w:rsidRDefault="001B2C73" w:rsidP="006D2FAB">
            <w:pPr>
              <w:pStyle w:val="Table0"/>
              <w:spacing w:before="60" w:after="60"/>
              <w:rPr>
                <w:rFonts w:ascii="Times New Roman" w:hAnsi="Times New Roman"/>
                <w:lang w:val="en-GB"/>
              </w:rPr>
            </w:pPr>
            <w:r w:rsidRPr="00A03D99">
              <w:rPr>
                <w:rFonts w:ascii="Times New Roman" w:hAnsi="Times New Roman"/>
                <w:lang w:val="en-GB"/>
              </w:rPr>
              <w:t>DFSP</w:t>
            </w:r>
            <w:r w:rsidR="006D2FAB" w:rsidRPr="00A03D99">
              <w:rPr>
                <w:rFonts w:ascii="Times New Roman" w:hAnsi="Times New Roman"/>
                <w:lang w:val="en-GB"/>
              </w:rPr>
              <w:br/>
            </w:r>
            <w:r w:rsidRPr="00A03D99">
              <w:rPr>
                <w:rFonts w:ascii="Times New Roman" w:hAnsi="Times New Roman"/>
                <w:lang w:val="en-GB"/>
              </w:rPr>
              <w:t>(starting dose 800 mg)</w:t>
            </w:r>
          </w:p>
        </w:tc>
        <w:tc>
          <w:tcPr>
            <w:tcW w:w="1978" w:type="dxa"/>
            <w:tcBorders>
              <w:top w:val="single" w:sz="4" w:space="0" w:color="auto"/>
              <w:left w:val="single" w:sz="4" w:space="0" w:color="auto"/>
              <w:bottom w:val="single" w:sz="4" w:space="0" w:color="auto"/>
              <w:right w:val="single" w:sz="4" w:space="0" w:color="auto"/>
            </w:tcBorders>
            <w:shd w:val="clear" w:color="auto" w:fill="auto"/>
          </w:tcPr>
          <w:p w:rsidR="001B2C73" w:rsidRPr="00A03D99" w:rsidRDefault="001B2C73" w:rsidP="006D2FAB">
            <w:pPr>
              <w:pStyle w:val="Table0"/>
              <w:spacing w:before="60" w:after="60"/>
              <w:rPr>
                <w:rFonts w:ascii="Times New Roman" w:hAnsi="Times New Roman"/>
                <w:lang w:val="en-GB"/>
              </w:rPr>
            </w:pPr>
            <w:r w:rsidRPr="00A03D99">
              <w:rPr>
                <w:rFonts w:ascii="Times New Roman" w:hAnsi="Times New Roman"/>
                <w:lang w:val="en-GB"/>
              </w:rPr>
              <w:t>ANC &lt; 1.0 x10</w:t>
            </w:r>
            <w:r w:rsidRPr="00A03D99">
              <w:rPr>
                <w:rFonts w:ascii="Times New Roman" w:hAnsi="Times New Roman"/>
                <w:vertAlign w:val="superscript"/>
                <w:lang w:val="en-GB"/>
              </w:rPr>
              <w:t>9</w:t>
            </w:r>
            <w:r w:rsidRPr="00A03D99">
              <w:rPr>
                <w:rFonts w:ascii="Times New Roman" w:hAnsi="Times New Roman"/>
                <w:lang w:val="en-GB"/>
              </w:rPr>
              <w:t>/L</w:t>
            </w:r>
            <w:r w:rsidR="006D2FAB" w:rsidRPr="00A03D99">
              <w:rPr>
                <w:rFonts w:ascii="Times New Roman" w:hAnsi="Times New Roman"/>
                <w:lang w:val="en-GB"/>
              </w:rPr>
              <w:br/>
            </w:r>
            <w:r w:rsidRPr="00A03D99">
              <w:rPr>
                <w:rFonts w:ascii="Times New Roman" w:hAnsi="Times New Roman"/>
                <w:lang w:val="en-GB"/>
              </w:rPr>
              <w:t>and/or</w:t>
            </w:r>
            <w:r w:rsidR="006D2FAB" w:rsidRPr="00A03D99">
              <w:rPr>
                <w:rFonts w:ascii="Times New Roman" w:hAnsi="Times New Roman"/>
                <w:lang w:val="en-GB"/>
              </w:rPr>
              <w:br/>
            </w:r>
            <w:r w:rsidRPr="00A03D99">
              <w:rPr>
                <w:rFonts w:ascii="Times New Roman" w:hAnsi="Times New Roman"/>
                <w:lang w:val="en-GB"/>
              </w:rPr>
              <w:t>platelets &lt; 50 x10</w:t>
            </w:r>
            <w:r w:rsidRPr="00A03D99">
              <w:rPr>
                <w:rFonts w:ascii="Times New Roman" w:hAnsi="Times New Roman"/>
                <w:vertAlign w:val="superscript"/>
                <w:lang w:val="en-GB"/>
              </w:rPr>
              <w:t>9</w:t>
            </w:r>
            <w:r w:rsidRPr="00A03D99">
              <w:rPr>
                <w:rFonts w:ascii="Times New Roman" w:hAnsi="Times New Roman"/>
                <w:lang w:val="en-GB"/>
              </w:rPr>
              <w:t>/L</w:t>
            </w:r>
          </w:p>
        </w:tc>
        <w:tc>
          <w:tcPr>
            <w:tcW w:w="5204" w:type="dxa"/>
            <w:tcBorders>
              <w:top w:val="single" w:sz="4" w:space="0" w:color="auto"/>
              <w:left w:val="single" w:sz="4" w:space="0" w:color="auto"/>
              <w:bottom w:val="single" w:sz="4" w:space="0" w:color="auto"/>
              <w:right w:val="single" w:sz="4" w:space="0" w:color="auto"/>
            </w:tcBorders>
            <w:shd w:val="clear" w:color="auto" w:fill="auto"/>
          </w:tcPr>
          <w:p w:rsidR="001B2C73" w:rsidRPr="00A03D99" w:rsidRDefault="001B2C73" w:rsidP="006D2FAB">
            <w:pPr>
              <w:pStyle w:val="Table0"/>
              <w:numPr>
                <w:ilvl w:val="0"/>
                <w:numId w:val="21"/>
              </w:numPr>
              <w:tabs>
                <w:tab w:val="clear" w:pos="284"/>
                <w:tab w:val="clear" w:pos="360"/>
              </w:tabs>
              <w:spacing w:before="60" w:after="60"/>
              <w:rPr>
                <w:rFonts w:ascii="Times New Roman" w:hAnsi="Times New Roman"/>
                <w:lang w:val="en-GB"/>
              </w:rPr>
            </w:pPr>
            <w:r w:rsidRPr="00A03D99">
              <w:rPr>
                <w:rFonts w:ascii="Times New Roman" w:hAnsi="Times New Roman"/>
                <w:lang w:val="en-GB"/>
              </w:rPr>
              <w:t xml:space="preserve">Stop Glivec until ANC </w:t>
            </w:r>
            <w:r w:rsidRPr="00A03D99">
              <w:rPr>
                <w:rFonts w:ascii="Times New Roman" w:hAnsi="Times New Roman"/>
                <w:lang w:val="en-GB"/>
              </w:rPr>
              <w:sym w:font="Symbol" w:char="F0B3"/>
            </w:r>
            <w:r w:rsidRPr="00A03D99">
              <w:rPr>
                <w:rFonts w:ascii="Times New Roman" w:hAnsi="Times New Roman"/>
                <w:lang w:val="en-GB"/>
              </w:rPr>
              <w:t xml:space="preserve"> 1.5 x10</w:t>
            </w:r>
            <w:r w:rsidRPr="00A03D99">
              <w:rPr>
                <w:rFonts w:ascii="Times New Roman" w:hAnsi="Times New Roman"/>
                <w:vertAlign w:val="superscript"/>
                <w:lang w:val="en-GB"/>
              </w:rPr>
              <w:t>9</w:t>
            </w:r>
            <w:r w:rsidRPr="00A03D99">
              <w:rPr>
                <w:rFonts w:ascii="Times New Roman" w:hAnsi="Times New Roman"/>
                <w:lang w:val="en-GB"/>
              </w:rPr>
              <w:t xml:space="preserve">/L and platelets </w:t>
            </w:r>
            <w:r w:rsidRPr="00A03D99">
              <w:rPr>
                <w:rFonts w:ascii="Times New Roman" w:hAnsi="Times New Roman"/>
                <w:lang w:val="en-GB"/>
              </w:rPr>
              <w:sym w:font="Symbol" w:char="F0B3"/>
            </w:r>
            <w:r w:rsidRPr="00A03D99">
              <w:rPr>
                <w:rFonts w:ascii="Times New Roman" w:hAnsi="Times New Roman"/>
                <w:lang w:val="en-GB"/>
              </w:rPr>
              <w:t xml:space="preserve"> 75 x10</w:t>
            </w:r>
            <w:r w:rsidRPr="00A03D99">
              <w:rPr>
                <w:rFonts w:ascii="Times New Roman" w:hAnsi="Times New Roman"/>
                <w:vertAlign w:val="superscript"/>
                <w:lang w:val="en-GB"/>
              </w:rPr>
              <w:t>9</w:t>
            </w:r>
            <w:r w:rsidRPr="00A03D99">
              <w:rPr>
                <w:rFonts w:ascii="Times New Roman" w:hAnsi="Times New Roman"/>
                <w:lang w:val="en-GB"/>
              </w:rPr>
              <w:t>/L.</w:t>
            </w:r>
          </w:p>
          <w:p w:rsidR="001B2C73" w:rsidRPr="00A03D99" w:rsidRDefault="001B2C73" w:rsidP="006D2FAB">
            <w:pPr>
              <w:pStyle w:val="Table0"/>
              <w:numPr>
                <w:ilvl w:val="0"/>
                <w:numId w:val="21"/>
              </w:numPr>
              <w:tabs>
                <w:tab w:val="clear" w:pos="284"/>
                <w:tab w:val="clear" w:pos="360"/>
              </w:tabs>
              <w:spacing w:before="60" w:after="60"/>
              <w:rPr>
                <w:rFonts w:ascii="Times New Roman" w:hAnsi="Times New Roman"/>
                <w:lang w:val="en-GB"/>
              </w:rPr>
            </w:pPr>
            <w:r w:rsidRPr="00A03D99">
              <w:rPr>
                <w:rFonts w:ascii="Times New Roman" w:hAnsi="Times New Roman"/>
                <w:lang w:val="en-GB"/>
              </w:rPr>
              <w:t xml:space="preserve">Resume treatment with Glivec at 600 mg </w:t>
            </w:r>
          </w:p>
          <w:p w:rsidR="001B2C73" w:rsidRPr="00A03D99" w:rsidRDefault="001B2C73" w:rsidP="006D2FAB">
            <w:pPr>
              <w:pStyle w:val="Table0"/>
              <w:numPr>
                <w:ilvl w:val="0"/>
                <w:numId w:val="21"/>
              </w:numPr>
              <w:tabs>
                <w:tab w:val="clear" w:pos="284"/>
                <w:tab w:val="clear" w:pos="360"/>
              </w:tabs>
              <w:spacing w:before="60" w:after="60"/>
              <w:rPr>
                <w:rFonts w:ascii="Times New Roman" w:hAnsi="Times New Roman"/>
                <w:lang w:val="en-GB"/>
              </w:rPr>
            </w:pPr>
            <w:r w:rsidRPr="00A03D99">
              <w:rPr>
                <w:rFonts w:ascii="Times New Roman" w:hAnsi="Times New Roman"/>
                <w:lang w:val="en-GB"/>
              </w:rPr>
              <w:t>In the event of recurrence of ANC &lt; 1.0 x10</w:t>
            </w:r>
            <w:r w:rsidRPr="00A03D99">
              <w:rPr>
                <w:rFonts w:ascii="Times New Roman" w:hAnsi="Times New Roman"/>
                <w:vertAlign w:val="superscript"/>
                <w:lang w:val="en-GB"/>
              </w:rPr>
              <w:t>9</w:t>
            </w:r>
            <w:r w:rsidRPr="00A03D99">
              <w:rPr>
                <w:rFonts w:ascii="Times New Roman" w:hAnsi="Times New Roman"/>
                <w:lang w:val="en-GB"/>
              </w:rPr>
              <w:t>/L and/or platelets &lt; 50 x10</w:t>
            </w:r>
            <w:r w:rsidRPr="00A03D99">
              <w:rPr>
                <w:rFonts w:ascii="Times New Roman" w:hAnsi="Times New Roman"/>
                <w:vertAlign w:val="superscript"/>
                <w:lang w:val="en-GB"/>
              </w:rPr>
              <w:t>9</w:t>
            </w:r>
            <w:r w:rsidRPr="00A03D99">
              <w:rPr>
                <w:rFonts w:ascii="Times New Roman" w:hAnsi="Times New Roman"/>
                <w:lang w:val="en-GB"/>
              </w:rPr>
              <w:t>/L, repeat step 1 and resume Glivec at reduced dose of 400 mg.</w:t>
            </w:r>
          </w:p>
        </w:tc>
      </w:tr>
      <w:tr w:rsidR="00014579" w:rsidRPr="00A03D99">
        <w:trPr>
          <w:cantSplit/>
        </w:trPr>
        <w:tc>
          <w:tcPr>
            <w:tcW w:w="9639" w:type="dxa"/>
            <w:gridSpan w:val="3"/>
          </w:tcPr>
          <w:p w:rsidR="00014579" w:rsidRPr="00CC0663" w:rsidRDefault="00014579" w:rsidP="006D2FAB">
            <w:pPr>
              <w:pStyle w:val="Table0"/>
              <w:spacing w:before="60" w:after="60"/>
              <w:rPr>
                <w:rFonts w:ascii="Times New Roman" w:hAnsi="Times New Roman"/>
                <w:lang w:val="en-AU"/>
              </w:rPr>
            </w:pPr>
            <w:r w:rsidRPr="00CC0663">
              <w:rPr>
                <w:rFonts w:ascii="Times New Roman" w:hAnsi="Times New Roman"/>
                <w:lang w:val="en-AU"/>
              </w:rPr>
              <w:t>ANC = absolute neutrophil count</w:t>
            </w:r>
            <w:r w:rsidR="006D2FAB" w:rsidRPr="00CC0663">
              <w:rPr>
                <w:rFonts w:ascii="Times New Roman" w:hAnsi="Times New Roman"/>
                <w:lang w:val="en-AU"/>
              </w:rPr>
              <w:br/>
            </w:r>
            <w:r w:rsidRPr="00CC0663">
              <w:rPr>
                <w:rFonts w:ascii="Times New Roman" w:hAnsi="Times New Roman"/>
                <w:vertAlign w:val="superscript"/>
                <w:lang w:val="en-AU"/>
              </w:rPr>
              <w:t>1</w:t>
            </w:r>
            <w:r w:rsidRPr="00CC0663">
              <w:rPr>
                <w:rFonts w:ascii="Times New Roman" w:hAnsi="Times New Roman"/>
                <w:lang w:val="en-AU"/>
              </w:rPr>
              <w:t>occurring after at least 1 month of treatment</w:t>
            </w:r>
          </w:p>
        </w:tc>
      </w:tr>
    </w:tbl>
    <w:p w:rsidR="00FD0074" w:rsidRPr="00FD0074" w:rsidRDefault="00FD0074" w:rsidP="00D71D4F">
      <w:pPr>
        <w:pStyle w:val="Heading2"/>
      </w:pPr>
      <w:r w:rsidRPr="00A03D99">
        <w:t>Special populations:</w:t>
      </w:r>
    </w:p>
    <w:p w:rsidR="00FD0074" w:rsidRPr="00057C4C" w:rsidRDefault="00FD0074" w:rsidP="00D71D4F">
      <w:pPr>
        <w:pStyle w:val="Heading3"/>
      </w:pPr>
      <w:r w:rsidRPr="00057C4C">
        <w:t>Children:</w:t>
      </w:r>
    </w:p>
    <w:p w:rsidR="00FD0074" w:rsidRPr="00057C4C" w:rsidRDefault="00FD0074" w:rsidP="00FD0074">
      <w:pPr>
        <w:pStyle w:val="Text"/>
        <w:spacing w:after="120"/>
        <w:jc w:val="left"/>
      </w:pPr>
      <w:r w:rsidRPr="00057C4C">
        <w:t>Dosing for children should be on the basis of body surface area (mg/m</w:t>
      </w:r>
      <w:r w:rsidRPr="00057C4C">
        <w:rPr>
          <w:vertAlign w:val="superscript"/>
        </w:rPr>
        <w:t>2</w:t>
      </w:r>
      <w:r w:rsidRPr="00057C4C">
        <w:t>). The dose 340 mg/m</w:t>
      </w:r>
      <w:r w:rsidRPr="00057C4C">
        <w:rPr>
          <w:vertAlign w:val="superscript"/>
        </w:rPr>
        <w:t xml:space="preserve">2 </w:t>
      </w:r>
      <w:r w:rsidRPr="00057C4C">
        <w:t>daily is recommended for children with chronic phase CML and advanced phases of</w:t>
      </w:r>
      <w:r w:rsidRPr="00057C4C">
        <w:rPr>
          <w:vertAlign w:val="superscript"/>
        </w:rPr>
        <w:t xml:space="preserve">  </w:t>
      </w:r>
      <w:r w:rsidRPr="00057C4C">
        <w:t>CML (not to exceed the total dose of 600 mg daily).</w:t>
      </w:r>
    </w:p>
    <w:p w:rsidR="00FD0074" w:rsidRPr="00057C4C" w:rsidRDefault="00FD0074" w:rsidP="00FD0074">
      <w:pPr>
        <w:pStyle w:val="Text"/>
        <w:spacing w:after="120"/>
        <w:jc w:val="left"/>
      </w:pPr>
      <w:r w:rsidRPr="00057C4C">
        <w:t xml:space="preserve">Treatment can be given as a once-daily dose or, alternatively, the daily doses may be split into two administrations – one in the morning and one in the evening. </w:t>
      </w:r>
    </w:p>
    <w:p w:rsidR="00FD0074" w:rsidRDefault="00FD0074" w:rsidP="00FD0074">
      <w:pPr>
        <w:pStyle w:val="Text"/>
        <w:spacing w:after="120"/>
        <w:jc w:val="left"/>
      </w:pPr>
      <w:r w:rsidRPr="00057C4C">
        <w:t>The dosing recommendation is currently based on a small number of paediatric patients (see “Pharmacokinetics” and “CLINICAL TRIALS”). There is no experience with the treatment of children below two years of age.</w:t>
      </w:r>
    </w:p>
    <w:p w:rsidR="00FD0074" w:rsidRPr="00A03D99" w:rsidRDefault="00FD0074" w:rsidP="00FD0074">
      <w:pPr>
        <w:pStyle w:val="Text"/>
        <w:spacing w:after="120"/>
        <w:jc w:val="left"/>
      </w:pPr>
      <w:r w:rsidRPr="00A03D99">
        <w:rPr>
          <w:lang w:val="en-GB"/>
        </w:rPr>
        <w:t>There is very limited to no experience with the use of Glivec in children in other indications</w:t>
      </w:r>
      <w:r w:rsidR="00995917" w:rsidRPr="00A03D99">
        <w:rPr>
          <w:lang w:val="en-GB"/>
        </w:rPr>
        <w:t>.</w:t>
      </w:r>
      <w:r w:rsidR="009C1585">
        <w:rPr>
          <w:lang w:val="en-GB"/>
        </w:rPr>
        <w:t xml:space="preserve"> </w:t>
      </w:r>
    </w:p>
    <w:p w:rsidR="00A1295F" w:rsidRPr="00A03D99" w:rsidRDefault="00014579" w:rsidP="00136987">
      <w:pPr>
        <w:pStyle w:val="paragraph"/>
        <w:spacing w:after="120"/>
        <w:jc w:val="left"/>
      </w:pPr>
      <w:r w:rsidRPr="00A03D99">
        <w:t>Recommendations for dose reduction in children are extrapolations based on practice in adults, as data in children are extremely limited</w:t>
      </w:r>
      <w:r w:rsidR="00FD0074" w:rsidRPr="00A03D99">
        <w:t xml:space="preserve"> (refer to </w:t>
      </w:r>
      <w:r w:rsidR="00B83415" w:rsidRPr="00A03D99">
        <w:t xml:space="preserve">dosage </w:t>
      </w:r>
      <w:r w:rsidR="00FD0074" w:rsidRPr="00A03D99">
        <w:t>table</w:t>
      </w:r>
      <w:r w:rsidR="00B83415" w:rsidRPr="00A03D99">
        <w:t xml:space="preserve"> above</w:t>
      </w:r>
      <w:r w:rsidR="00FD0074" w:rsidRPr="00A03D99">
        <w:t>)</w:t>
      </w:r>
      <w:r w:rsidRPr="00A03D99">
        <w:t xml:space="preserve">. </w:t>
      </w:r>
    </w:p>
    <w:p w:rsidR="00567F54" w:rsidRPr="00A03D99" w:rsidRDefault="00FD0074" w:rsidP="00D71D4F">
      <w:pPr>
        <w:pStyle w:val="Heading2"/>
      </w:pPr>
      <w:r w:rsidRPr="00A03D99">
        <w:t>H</w:t>
      </w:r>
      <w:r w:rsidR="00567F54" w:rsidRPr="00A03D99">
        <w:t xml:space="preserve">epatic </w:t>
      </w:r>
      <w:r w:rsidRPr="00A03D99">
        <w:t>insufficiency</w:t>
      </w:r>
    </w:p>
    <w:p w:rsidR="00567F54" w:rsidRPr="00A03D99" w:rsidRDefault="00567F54" w:rsidP="00567F54">
      <w:pPr>
        <w:pStyle w:val="Text"/>
        <w:spacing w:after="120"/>
        <w:jc w:val="left"/>
      </w:pPr>
      <w:r w:rsidRPr="00A03D99">
        <w:t>Imatinib is metabolised through the liver. Patients with mild or moderate liver dysfunction should be given the minimum recommended dose of 400 mg daily, and patients with severe liver dysfunction should start at 300 mg daily (see “Pharmacokinetics”). The dose can be reduced if the patient develops unacceptable toxicity (see “Dose Adjustments for Adverse Reaction in CML and GIST patients”).</w:t>
      </w:r>
    </w:p>
    <w:p w:rsidR="00567F54" w:rsidRPr="00A03D99" w:rsidRDefault="00FD0074" w:rsidP="00D71D4F">
      <w:pPr>
        <w:pStyle w:val="Heading2"/>
      </w:pPr>
      <w:r w:rsidRPr="00A03D99">
        <w:t>R</w:t>
      </w:r>
      <w:r w:rsidR="00567F54" w:rsidRPr="00A03D99">
        <w:t xml:space="preserve">enal </w:t>
      </w:r>
      <w:r w:rsidRPr="00A03D99">
        <w:t>insufficiency</w:t>
      </w:r>
    </w:p>
    <w:p w:rsidR="00095A4A" w:rsidRDefault="00567F54" w:rsidP="0055428A">
      <w:pPr>
        <w:pStyle w:val="Text"/>
        <w:jc w:val="left"/>
        <w:rPr>
          <w:lang w:val="en-GB"/>
        </w:rPr>
      </w:pPr>
      <w:r w:rsidRPr="00A03D99">
        <w:rPr>
          <w:lang w:val="en-GB"/>
        </w:rPr>
        <w:t>Imatinib and its metabolites are not significantly excreted via the kidney. Patients</w:t>
      </w:r>
      <w:r w:rsidRPr="00A03D99">
        <w:rPr>
          <w:rFonts w:eastAsia="SimSun"/>
          <w:lang w:eastAsia="zh-CN"/>
        </w:rPr>
        <w:t xml:space="preserve"> with renal dysfunction</w:t>
      </w:r>
      <w:r w:rsidR="00FD0074" w:rsidRPr="00A03D99">
        <w:rPr>
          <w:rFonts w:eastAsia="SimSun"/>
          <w:lang w:eastAsia="zh-CN"/>
        </w:rPr>
        <w:t xml:space="preserve"> could</w:t>
      </w:r>
      <w:r w:rsidRPr="00A03D99">
        <w:rPr>
          <w:rFonts w:eastAsia="SimSun"/>
          <w:lang w:eastAsia="zh-CN"/>
        </w:rPr>
        <w:t xml:space="preserve"> be given the minimum recommended dose of 400 mg daily as starting dose (see “PHARMACOLOGY”</w:t>
      </w:r>
      <w:r w:rsidRPr="00A03D99">
        <w:rPr>
          <w:lang w:val="en-GB"/>
        </w:rPr>
        <w:t>)</w:t>
      </w:r>
      <w:r w:rsidRPr="00A03D99">
        <w:rPr>
          <w:rFonts w:eastAsia="SimSun"/>
          <w:lang w:eastAsia="zh-CN"/>
        </w:rPr>
        <w:t xml:space="preserve">. </w:t>
      </w:r>
      <w:r w:rsidRPr="00A03D99">
        <w:rPr>
          <w:lang w:val="en-GB"/>
        </w:rPr>
        <w:t>However, in these patients caution is recommended. The dose can be reduced if not tolerated</w:t>
      </w:r>
      <w:r w:rsidR="00FD0074" w:rsidRPr="00A03D99">
        <w:rPr>
          <w:lang w:val="en-GB"/>
        </w:rPr>
        <w:t>. If tolerated</w:t>
      </w:r>
      <w:r w:rsidRPr="00A03D99">
        <w:rPr>
          <w:lang w:val="en-GB"/>
        </w:rPr>
        <w:t>,</w:t>
      </w:r>
      <w:r w:rsidR="00FD0074" w:rsidRPr="00A03D99">
        <w:rPr>
          <w:lang w:val="en-GB"/>
        </w:rPr>
        <w:t xml:space="preserve"> the dose can be</w:t>
      </w:r>
      <w:r w:rsidRPr="00A03D99">
        <w:rPr>
          <w:lang w:val="en-GB"/>
        </w:rPr>
        <w:t xml:space="preserve"> increased for lack of efficacy (see “PRECAUTIONS”).</w:t>
      </w:r>
    </w:p>
    <w:p w:rsidR="00095A4A" w:rsidRPr="00A03D99" w:rsidRDefault="00095A4A" w:rsidP="00D71D4F">
      <w:pPr>
        <w:pStyle w:val="Heading2"/>
      </w:pPr>
      <w:r w:rsidRPr="00A03D99">
        <w:lastRenderedPageBreak/>
        <w:t>Elderly patients</w:t>
      </w:r>
    </w:p>
    <w:p w:rsidR="00095A4A" w:rsidRPr="00095A4A" w:rsidRDefault="00095A4A" w:rsidP="00095A4A">
      <w:pPr>
        <w:pStyle w:val="Text"/>
        <w:spacing w:after="120"/>
        <w:jc w:val="left"/>
      </w:pPr>
      <w:r w:rsidRPr="00A03D99">
        <w:t xml:space="preserve">No significant age related pharmacokinetic differences have been observed in adult patients in clinical trials </w:t>
      </w:r>
      <w:r w:rsidRPr="00CA7B85">
        <w:t xml:space="preserve">which included over 20% of patients age 65 and older. </w:t>
      </w:r>
      <w:r w:rsidR="00CA7B85">
        <w:t>Decrease in hemoglobin</w:t>
      </w:r>
      <w:r w:rsidR="00A642EF" w:rsidRPr="00CA7B85">
        <w:t xml:space="preserve"> and increased blood creatinine showed a different incidence with age in the adjuvant 36-month trial in GIST.</w:t>
      </w:r>
      <w:r w:rsidR="00A642EF">
        <w:t xml:space="preserve"> </w:t>
      </w:r>
      <w:r w:rsidRPr="00A03D99">
        <w:t>No specific dose recommendation is necessary in the elderly.</w:t>
      </w:r>
    </w:p>
    <w:p w:rsidR="00014579" w:rsidRPr="00057C4C" w:rsidRDefault="00014579" w:rsidP="00D71D4F">
      <w:pPr>
        <w:pStyle w:val="Heading2"/>
      </w:pPr>
      <w:r w:rsidRPr="00057C4C">
        <w:t>Patient Monitoring</w:t>
      </w:r>
    </w:p>
    <w:p w:rsidR="00DD6219" w:rsidRPr="00057C4C" w:rsidRDefault="00014579" w:rsidP="00136987">
      <w:pPr>
        <w:pStyle w:val="Text"/>
        <w:spacing w:after="120"/>
        <w:jc w:val="left"/>
      </w:pPr>
      <w:r w:rsidRPr="00057C4C">
        <w:t>Complete blood counts must be performed regularly during therapy with Glivec and liver function (transaminases, bilirubin, alkaline phosphatase) should also be monitored regularly (see "PRECAUTIONS - Haematological toxicity and Hepatotoxicity "). Patients should be weighed regularly (see "PRECAUTIONS - Fluid retention and oedema").</w:t>
      </w:r>
      <w:r w:rsidR="00241BF9" w:rsidRPr="00057C4C">
        <w:t xml:space="preserve"> </w:t>
      </w:r>
      <w:r w:rsidR="00E627F0" w:rsidRPr="00057C4C">
        <w:t>Patients with cardiac disease or risk factors for cardiac failure should be monitored carefully and any patient with signs or symptoms consistent with cardiac failure should be evaluated and treated.</w:t>
      </w:r>
    </w:p>
    <w:p w:rsidR="00014579" w:rsidRPr="00057C4C" w:rsidRDefault="00014579" w:rsidP="00D71D4F">
      <w:pPr>
        <w:pStyle w:val="Heading1"/>
      </w:pPr>
      <w:r w:rsidRPr="00057C4C">
        <w:t>OVERDOSAGE</w:t>
      </w:r>
    </w:p>
    <w:p w:rsidR="00881451" w:rsidRPr="00057C4C" w:rsidRDefault="00881451" w:rsidP="0055428A">
      <w:pPr>
        <w:pStyle w:val="Text"/>
        <w:spacing w:before="0" w:line="320" w:lineRule="atLeast"/>
        <w:jc w:val="left"/>
      </w:pPr>
      <w:r w:rsidRPr="00057C4C">
        <w:t>Experience with higher than therapeutic doses is limited. Isolated cases of Glivec overdosage have been reported spontaneously and in the literature. Generally the reported outcome in these cases was improvement or recovery. In the event of overdosage the patient should be observed and appropriate symptomatic treatment should be given.</w:t>
      </w:r>
    </w:p>
    <w:p w:rsidR="00881451" w:rsidRPr="00057C4C" w:rsidRDefault="00881451" w:rsidP="00D71D4F">
      <w:pPr>
        <w:pStyle w:val="Text"/>
        <w:spacing w:before="180" w:after="180" w:line="320" w:lineRule="atLeast"/>
        <w:jc w:val="left"/>
      </w:pPr>
      <w:r w:rsidRPr="00057C4C">
        <w:t>Events that have been reported at different dose ranges are as follows:</w:t>
      </w:r>
    </w:p>
    <w:p w:rsidR="00881451" w:rsidRPr="00057C4C" w:rsidRDefault="00881451" w:rsidP="0055428A">
      <w:pPr>
        <w:pStyle w:val="Text"/>
        <w:spacing w:before="0" w:line="320" w:lineRule="atLeast"/>
        <w:jc w:val="left"/>
      </w:pPr>
      <w:r w:rsidRPr="00057C4C">
        <w:rPr>
          <w:b/>
          <w:bCs/>
        </w:rPr>
        <w:t xml:space="preserve">Adult overdose: </w:t>
      </w:r>
      <w:r w:rsidRPr="00057C4C">
        <w:t xml:space="preserve">1,200 to 1,600 mg (duration varying between 1 to 10 days): Nausea, vomiting, diarrhoea, rash, erythema, oedema, swelling, fatigue, muscle spasms, thrombocytopenia, pancytopenia, abdominal pain, headache, decreased appetite. 1,800 to 3,200 mg (as high as 3,200 mg daily for 6 days): Weakness, myalgia, increased </w:t>
      </w:r>
      <w:smartTag w:uri="urn:schemas-microsoft-com:office:smarttags" w:element="stockticker">
        <w:r w:rsidRPr="00057C4C">
          <w:t>CPK</w:t>
        </w:r>
      </w:smartTag>
      <w:r w:rsidRPr="00057C4C">
        <w:t>, increased bilirubin, gastrointestinal pain. 6,400 mg (single dose): One case in the literature reported one patient who experienced nausea, vomiting, abdominal pain, pyrexia, facial swelling, neutrophil count decreased, increased transaminases.</w:t>
      </w:r>
    </w:p>
    <w:p w:rsidR="00881451" w:rsidRPr="00057C4C" w:rsidRDefault="00881451" w:rsidP="00D71D4F">
      <w:pPr>
        <w:pStyle w:val="Text"/>
        <w:spacing w:before="180" w:after="180" w:line="320" w:lineRule="atLeast"/>
        <w:jc w:val="left"/>
      </w:pPr>
      <w:r w:rsidRPr="00057C4C">
        <w:t>8 to 10 g (single dose): Vomiting and gastrointestinal pain have been reported.</w:t>
      </w:r>
    </w:p>
    <w:p w:rsidR="00881451" w:rsidRPr="00057C4C" w:rsidRDefault="00881451" w:rsidP="00D71D4F">
      <w:pPr>
        <w:pStyle w:val="Text"/>
        <w:spacing w:before="180" w:after="180" w:line="320" w:lineRule="atLeast"/>
        <w:jc w:val="left"/>
      </w:pPr>
      <w:r w:rsidRPr="00057C4C">
        <w:rPr>
          <w:b/>
          <w:bCs/>
        </w:rPr>
        <w:t>Paediatric overdose:</w:t>
      </w:r>
      <w:r w:rsidRPr="00057C4C">
        <w:t xml:space="preserve"> One 3 year-old male exposed to a single dose of 400 mg experienced vomiting, diarrhoea and anorexia and another 3 year old male exposed to a single dose of 980 mg dose experienced decreased white blood cell count and diarrhoea.</w:t>
      </w:r>
    </w:p>
    <w:p w:rsidR="00881451" w:rsidRPr="00057C4C" w:rsidRDefault="00881451" w:rsidP="0055428A">
      <w:pPr>
        <w:tabs>
          <w:tab w:val="left" w:pos="580"/>
          <w:tab w:val="left" w:pos="737"/>
          <w:tab w:val="left" w:pos="1474"/>
          <w:tab w:val="left" w:pos="2211"/>
          <w:tab w:val="left" w:pos="2948"/>
          <w:tab w:val="left" w:pos="3685"/>
          <w:tab w:val="left" w:pos="4422"/>
          <w:tab w:val="left" w:pos="5159"/>
          <w:tab w:val="left" w:pos="5896"/>
          <w:tab w:val="left" w:pos="6633"/>
          <w:tab w:val="left" w:pos="7370"/>
          <w:tab w:val="left" w:pos="8107"/>
          <w:tab w:val="left" w:pos="8844"/>
        </w:tabs>
        <w:spacing w:line="320" w:lineRule="atLeast"/>
        <w:rPr>
          <w:szCs w:val="24"/>
        </w:rPr>
      </w:pPr>
      <w:r w:rsidRPr="00057C4C">
        <w:rPr>
          <w:szCs w:val="24"/>
        </w:rPr>
        <w:t>Contact the Poisons Information Centre on 13 11 26 for advice on management.</w:t>
      </w:r>
    </w:p>
    <w:p w:rsidR="00830902" w:rsidRPr="00057C4C" w:rsidRDefault="009D4E28" w:rsidP="00D71D4F">
      <w:pPr>
        <w:pStyle w:val="Heading1"/>
      </w:pPr>
      <w:r>
        <w:br w:type="page"/>
      </w:r>
      <w:r w:rsidR="00014579" w:rsidRPr="00057C4C">
        <w:lastRenderedPageBreak/>
        <w:t>PRESENTATION</w:t>
      </w:r>
      <w:r w:rsidR="00AB4BD5">
        <w:t xml:space="preserve"> </w:t>
      </w:r>
      <w:r w:rsidR="00AB4BD5" w:rsidRPr="002F399B">
        <w:t>AND STORAGE CONDITIONS</w:t>
      </w:r>
    </w:p>
    <w:p w:rsidR="00830902" w:rsidRPr="00057C4C" w:rsidRDefault="00830902" w:rsidP="00136987">
      <w:pPr>
        <w:pStyle w:val="paragraph"/>
        <w:spacing w:after="120"/>
        <w:jc w:val="left"/>
        <w:rPr>
          <w:u w:val="single"/>
        </w:rPr>
      </w:pPr>
      <w:r w:rsidRPr="00057C4C">
        <w:rPr>
          <w:u w:val="single"/>
        </w:rPr>
        <w:t>Glivec 50 mg capsule</w:t>
      </w:r>
      <w:r w:rsidR="00550B77" w:rsidRPr="00057C4C">
        <w:rPr>
          <w:rStyle w:val="FootnoteReference"/>
          <w:u w:val="single"/>
        </w:rPr>
        <w:footnoteReference w:customMarkFollows="1" w:id="1"/>
        <w:sym w:font="Symbol" w:char="F02A"/>
      </w:r>
      <w:r w:rsidRPr="00057C4C">
        <w:t>: contains 50 mg imatinib (as mesylate) in a light yellow to orange-yellow opaque hard gelatin capsule, marked “NVR SH”.</w:t>
      </w:r>
      <w:r w:rsidR="006D2FAB" w:rsidRPr="00057C4C">
        <w:t xml:space="preserve"> </w:t>
      </w:r>
      <w:r w:rsidR="006D2FAB" w:rsidRPr="00057C4C">
        <w:br/>
      </w:r>
      <w:proofErr w:type="gramStart"/>
      <w:r w:rsidRPr="00057C4C">
        <w:t>Packs containing 30 capsules.</w:t>
      </w:r>
      <w:proofErr w:type="gramEnd"/>
    </w:p>
    <w:p w:rsidR="00830902" w:rsidRPr="00057C4C" w:rsidRDefault="00830902" w:rsidP="00136987">
      <w:pPr>
        <w:pStyle w:val="paragraph"/>
        <w:spacing w:after="120"/>
        <w:jc w:val="left"/>
        <w:rPr>
          <w:u w:val="single"/>
        </w:rPr>
      </w:pPr>
      <w:r w:rsidRPr="00057C4C">
        <w:rPr>
          <w:u w:val="single"/>
        </w:rPr>
        <w:t>Glivec 100 mg capsule</w:t>
      </w:r>
      <w:r w:rsidR="00550B77" w:rsidRPr="00057C4C">
        <w:rPr>
          <w:rStyle w:val="FootnoteReference"/>
          <w:u w:val="single"/>
        </w:rPr>
        <w:footnoteReference w:customMarkFollows="1" w:id="2"/>
        <w:sym w:font="Symbol" w:char="F02A"/>
      </w:r>
      <w:r w:rsidRPr="00057C4C">
        <w:rPr>
          <w:u w:val="single"/>
        </w:rPr>
        <w:t xml:space="preserve">: </w:t>
      </w:r>
      <w:r w:rsidRPr="00057C4C">
        <w:t>contains 100 mg imatinib (as mesylate) in an orange to grayish-orange opaque hard gelatin capsule, marked “NVR SI”.</w:t>
      </w:r>
      <w:r w:rsidR="006D2FAB" w:rsidRPr="00057C4C">
        <w:br/>
      </w:r>
      <w:proofErr w:type="gramStart"/>
      <w:r w:rsidRPr="00057C4C">
        <w:t>Packs containing 24, 48, 96, 120 and 180 capsules.</w:t>
      </w:r>
      <w:proofErr w:type="gramEnd"/>
    </w:p>
    <w:p w:rsidR="00014579" w:rsidRPr="00057C4C" w:rsidRDefault="00014579" w:rsidP="00136987">
      <w:pPr>
        <w:pStyle w:val="paragraph"/>
        <w:spacing w:after="120"/>
        <w:jc w:val="left"/>
        <w:rPr>
          <w:u w:val="single"/>
        </w:rPr>
      </w:pPr>
      <w:r w:rsidRPr="00057C4C">
        <w:rPr>
          <w:u w:val="single"/>
        </w:rPr>
        <w:t xml:space="preserve">Glivec 100 mg film-coated tablet: </w:t>
      </w:r>
      <w:r w:rsidRPr="00057C4C">
        <w:t>contains 100 mg imatinib (as mesylate) in a very dark yellow to brownish orange round tablet with imprint “NVR” on one side and “</w:t>
      </w:r>
      <w:r w:rsidR="00783F21" w:rsidRPr="00057C4C">
        <w:t>SA” and score on the other side.</w:t>
      </w:r>
      <w:r w:rsidR="006D2FAB" w:rsidRPr="00057C4C">
        <w:br/>
      </w:r>
      <w:proofErr w:type="gramStart"/>
      <w:r w:rsidRPr="00057C4C">
        <w:t>Packs containing 60 tablets.</w:t>
      </w:r>
      <w:proofErr w:type="gramEnd"/>
    </w:p>
    <w:p w:rsidR="00C36496" w:rsidRPr="00057C4C" w:rsidRDefault="00014579" w:rsidP="00136987">
      <w:pPr>
        <w:pStyle w:val="Text"/>
        <w:spacing w:after="120"/>
        <w:jc w:val="left"/>
      </w:pPr>
      <w:r w:rsidRPr="00057C4C">
        <w:rPr>
          <w:u w:val="single"/>
        </w:rPr>
        <w:t>Glivec 400 mg film-coated tablet:</w:t>
      </w:r>
      <w:r w:rsidRPr="00057C4C">
        <w:t xml:space="preserve">  contains 400 mg imatinib (as mesylate) in a very dark yellow to brownish orange, ovaloid, biconvex  tablet with “</w:t>
      </w:r>
      <w:r w:rsidR="00D56209" w:rsidRPr="00057C4C">
        <w:t>400</w:t>
      </w:r>
      <w:r w:rsidRPr="00057C4C">
        <w:t xml:space="preserve">” on one side and </w:t>
      </w:r>
      <w:r w:rsidR="00D56209" w:rsidRPr="00057C4C">
        <w:t xml:space="preserve">score on the other side and </w:t>
      </w:r>
      <w:r w:rsidRPr="00057C4C">
        <w:t xml:space="preserve">“SL” on </w:t>
      </w:r>
      <w:r w:rsidR="00D56209" w:rsidRPr="00057C4C">
        <w:t xml:space="preserve">each </w:t>
      </w:r>
      <w:r w:rsidRPr="00057C4C">
        <w:t>side</w:t>
      </w:r>
      <w:r w:rsidR="00D56209" w:rsidRPr="00057C4C">
        <w:t xml:space="preserve"> of the score</w:t>
      </w:r>
      <w:r w:rsidRPr="00057C4C">
        <w:t>.</w:t>
      </w:r>
      <w:r w:rsidR="006D2FAB" w:rsidRPr="00057C4C">
        <w:br/>
      </w:r>
      <w:r w:rsidRPr="00057C4C">
        <w:t xml:space="preserve">Packs containing 30 </w:t>
      </w:r>
      <w:r w:rsidR="000041B9" w:rsidRPr="00057C4C">
        <w:t>tablets</w:t>
      </w:r>
      <w:r w:rsidRPr="00057C4C">
        <w:t>.</w:t>
      </w:r>
    </w:p>
    <w:p w:rsidR="006D2FAB" w:rsidRPr="00057C4C" w:rsidRDefault="0025225F" w:rsidP="00136987">
      <w:pPr>
        <w:pStyle w:val="Text"/>
        <w:spacing w:after="120"/>
        <w:jc w:val="left"/>
        <w:rPr>
          <w:b/>
        </w:rPr>
      </w:pPr>
      <w:r>
        <w:rPr>
          <w:b/>
        </w:rPr>
        <w:t>Storage:</w:t>
      </w:r>
    </w:p>
    <w:p w:rsidR="00014579" w:rsidRPr="00057C4C" w:rsidRDefault="00014579" w:rsidP="00136987">
      <w:pPr>
        <w:pStyle w:val="Text"/>
        <w:spacing w:after="120"/>
        <w:jc w:val="left"/>
        <w:rPr>
          <w:b/>
        </w:rPr>
      </w:pPr>
      <w:r w:rsidRPr="00057C4C">
        <w:t>Store in the original package below 30</w:t>
      </w:r>
      <w:r w:rsidRPr="00057C4C">
        <w:sym w:font="Symbol" w:char="F0B0"/>
      </w:r>
      <w:r w:rsidRPr="00057C4C">
        <w:t>C</w:t>
      </w:r>
      <w:r w:rsidR="000041B9" w:rsidRPr="00057C4C">
        <w:t xml:space="preserve"> and protect from </w:t>
      </w:r>
      <w:r w:rsidR="006A7D87" w:rsidRPr="00057C4C">
        <w:t>moisture</w:t>
      </w:r>
      <w:r w:rsidRPr="00057C4C">
        <w:t xml:space="preserve">. </w:t>
      </w:r>
      <w:r w:rsidR="006D2FAB" w:rsidRPr="00057C4C">
        <w:rPr>
          <w:b/>
        </w:rPr>
        <w:br/>
      </w:r>
      <w:r w:rsidRPr="00057C4C">
        <w:t>Keep out of the reach of children.</w:t>
      </w:r>
    </w:p>
    <w:p w:rsidR="00014579" w:rsidRPr="00057C4C" w:rsidRDefault="00AB4BD5" w:rsidP="00D71D4F">
      <w:pPr>
        <w:pStyle w:val="Heading1"/>
      </w:pPr>
      <w:r w:rsidRPr="00FC1D74">
        <w:t>NAME AND ADDRESS OF THE</w:t>
      </w:r>
      <w:r>
        <w:t xml:space="preserve"> </w:t>
      </w:r>
      <w:r w:rsidR="00014579" w:rsidRPr="00057C4C">
        <w:t>SPONSOR</w:t>
      </w:r>
    </w:p>
    <w:p w:rsidR="00961F65" w:rsidRPr="00057C4C" w:rsidRDefault="00014579" w:rsidP="00961F65">
      <w:pPr>
        <w:pStyle w:val="paragraph"/>
        <w:spacing w:before="0" w:line="320" w:lineRule="atLeast"/>
        <w:jc w:val="left"/>
      </w:pPr>
      <w:r w:rsidRPr="00057C4C">
        <w:t>Novartis Pharmaceuticals Australia Pty Ltd</w:t>
      </w:r>
    </w:p>
    <w:p w:rsidR="00014579" w:rsidRPr="00057C4C" w:rsidRDefault="00961F65" w:rsidP="00961F65">
      <w:pPr>
        <w:pStyle w:val="paragraph"/>
        <w:spacing w:before="0" w:line="320" w:lineRule="atLeast"/>
        <w:jc w:val="left"/>
      </w:pPr>
      <w:r w:rsidRPr="00057C4C">
        <w:t>ABN 18 004 244 160</w:t>
      </w:r>
    </w:p>
    <w:p w:rsidR="00014579" w:rsidRPr="00057C4C" w:rsidRDefault="00014579">
      <w:pPr>
        <w:pStyle w:val="paragraph"/>
        <w:spacing w:before="0" w:line="320" w:lineRule="atLeast"/>
        <w:jc w:val="left"/>
      </w:pPr>
      <w:r w:rsidRPr="00057C4C">
        <w:t>54 Waterloo Road</w:t>
      </w:r>
    </w:p>
    <w:p w:rsidR="00014579" w:rsidRPr="00057C4C" w:rsidRDefault="00014579">
      <w:pPr>
        <w:pStyle w:val="paragraph"/>
        <w:spacing w:before="0" w:line="320" w:lineRule="atLeast"/>
        <w:jc w:val="left"/>
      </w:pPr>
      <w:r w:rsidRPr="00057C4C">
        <w:t>North Ryde NSW 2113</w:t>
      </w:r>
    </w:p>
    <w:p w:rsidR="00014579" w:rsidRPr="00057C4C" w:rsidRDefault="00014579">
      <w:pPr>
        <w:pStyle w:val="paragraph"/>
        <w:spacing w:before="0" w:line="320" w:lineRule="atLeast"/>
        <w:jc w:val="left"/>
      </w:pPr>
      <w:r w:rsidRPr="00057C4C">
        <w:sym w:font="Symbol" w:char="F0D2"/>
      </w:r>
      <w:r w:rsidRPr="00057C4C">
        <w:t xml:space="preserve"> = Registered Trademark</w:t>
      </w:r>
    </w:p>
    <w:p w:rsidR="00AB4BD5" w:rsidRPr="00FC1D74" w:rsidRDefault="00AB4BD5" w:rsidP="00D71D4F">
      <w:pPr>
        <w:pStyle w:val="Heading1"/>
      </w:pPr>
      <w:r w:rsidRPr="00FC1D74">
        <w:t>POISON SCHEDULE OF THE MEDICINE</w:t>
      </w:r>
    </w:p>
    <w:p w:rsidR="00AB4BD5" w:rsidRPr="002F399B" w:rsidRDefault="00AB4BD5">
      <w:pPr>
        <w:pStyle w:val="paragraph"/>
        <w:spacing w:before="0" w:line="320" w:lineRule="atLeast"/>
        <w:jc w:val="left"/>
      </w:pPr>
      <w:r w:rsidRPr="002F399B">
        <w:t>Prescription Only Medicine (Schedule 4)</w:t>
      </w:r>
    </w:p>
    <w:p w:rsidR="00BF776D" w:rsidRDefault="00BF776D" w:rsidP="00D71D4F">
      <w:pPr>
        <w:pStyle w:val="Heading1"/>
      </w:pPr>
      <w:r>
        <w:t>DATE OF FIRST INCLUSION IN THE AUSTRALIAN REGISTER OF THERAPEUTIC GOODS</w:t>
      </w:r>
      <w:r w:rsidR="00AB4BD5" w:rsidRPr="00BF776D">
        <w:t xml:space="preserve"> (the ARTG)</w:t>
      </w:r>
    </w:p>
    <w:p w:rsidR="00AB4BD5" w:rsidRPr="002F399B" w:rsidRDefault="00960CDF">
      <w:pPr>
        <w:pStyle w:val="paragraph"/>
        <w:spacing w:before="0" w:line="320" w:lineRule="atLeast"/>
        <w:jc w:val="left"/>
      </w:pPr>
      <w:r w:rsidRPr="00BF776D">
        <w:t>13</w:t>
      </w:r>
      <w:r w:rsidRPr="002F399B">
        <w:t xml:space="preserve"> August 2001</w:t>
      </w:r>
    </w:p>
    <w:p w:rsidR="00BF776D" w:rsidRPr="00BF776D" w:rsidRDefault="00BF776D" w:rsidP="00D71D4F">
      <w:pPr>
        <w:pStyle w:val="Heading1"/>
      </w:pPr>
      <w:r>
        <w:t>DATE OF MOST RECENT AMENDMENT</w:t>
      </w:r>
    </w:p>
    <w:p w:rsidR="00F141E6" w:rsidRPr="006C6662" w:rsidRDefault="00680E9F" w:rsidP="00F141E6">
      <w:pPr>
        <w:pStyle w:val="paragraph"/>
        <w:spacing w:before="0" w:line="320" w:lineRule="atLeast"/>
        <w:jc w:val="left"/>
      </w:pPr>
      <w:r>
        <w:t xml:space="preserve">29 </w:t>
      </w:r>
      <w:r w:rsidR="008A57F5">
        <w:t>November</w:t>
      </w:r>
      <w:r w:rsidR="00A642EF" w:rsidRPr="006C6662">
        <w:t xml:space="preserve"> 2012</w:t>
      </w:r>
    </w:p>
    <w:p w:rsidR="00C36496" w:rsidRPr="00057C4C" w:rsidRDefault="00C36496" w:rsidP="0025225F">
      <w:pPr>
        <w:pStyle w:val="paragraph"/>
        <w:pBdr>
          <w:bottom w:val="single" w:sz="12" w:space="1" w:color="auto"/>
        </w:pBdr>
        <w:spacing w:before="600" w:line="320" w:lineRule="atLeast"/>
        <w:jc w:val="left"/>
      </w:pPr>
    </w:p>
    <w:p w:rsidR="00AB6BF0" w:rsidRPr="00057C4C" w:rsidRDefault="00AB6BF0">
      <w:pPr>
        <w:pStyle w:val="paragraph"/>
        <w:spacing w:before="0" w:line="320" w:lineRule="atLeast"/>
        <w:jc w:val="left"/>
      </w:pPr>
      <w:r w:rsidRPr="00057C4C">
        <w:t>For internal use only:</w:t>
      </w:r>
    </w:p>
    <w:p w:rsidR="00AB6BF0" w:rsidRPr="006C6662" w:rsidRDefault="0046565B" w:rsidP="00AB6BF0">
      <w:pPr>
        <w:pStyle w:val="paragraph"/>
        <w:spacing w:before="0" w:line="320" w:lineRule="atLeast"/>
        <w:jc w:val="left"/>
      </w:pPr>
      <w:r w:rsidRPr="006C6662">
        <w:t>Gli</w:t>
      </w:r>
      <w:r w:rsidR="00925821" w:rsidRPr="006C6662">
        <w:t>14</w:t>
      </w:r>
      <w:r w:rsidR="0085432C" w:rsidRPr="006C6662">
        <w:t>09</w:t>
      </w:r>
      <w:r w:rsidR="00A642EF" w:rsidRPr="006C6662">
        <w:t>12</w:t>
      </w:r>
      <w:r w:rsidR="00C90BEC" w:rsidRPr="006C6662">
        <w:t>i</w:t>
      </w:r>
      <w:r w:rsidR="00AB6BF0" w:rsidRPr="006C6662">
        <w:t xml:space="preserve">.doc based on the </w:t>
      </w:r>
      <w:r w:rsidR="00960CDF" w:rsidRPr="006C6662">
        <w:t xml:space="preserve">CDS </w:t>
      </w:r>
      <w:r w:rsidR="00AB6BF0" w:rsidRPr="006C6662">
        <w:t xml:space="preserve">of </w:t>
      </w:r>
      <w:r w:rsidR="007F0916" w:rsidRPr="006C6662">
        <w:t>24 September 2010</w:t>
      </w:r>
      <w:r w:rsidR="007403C9" w:rsidRPr="006C6662">
        <w:t>; 21 June &amp; 14 July</w:t>
      </w:r>
      <w:r w:rsidR="00960CDF" w:rsidRPr="006C6662">
        <w:t xml:space="preserve"> 2011</w:t>
      </w:r>
      <w:r w:rsidR="008A57F5">
        <w:t>, 27 July 2012</w:t>
      </w:r>
      <w:r w:rsidR="00B52B97" w:rsidRPr="006C6662">
        <w:t xml:space="preserve"> &amp; responses to consolidated S31</w:t>
      </w:r>
      <w:r w:rsidR="00CB413C" w:rsidRPr="006C6662">
        <w:t xml:space="preserve"> &amp; Delegate’s Overview</w:t>
      </w:r>
      <w:r w:rsidR="009D4E28">
        <w:t>, and post-ACPM recommendations.</w:t>
      </w:r>
    </w:p>
    <w:sectPr w:rsidR="00AB6BF0" w:rsidRPr="006C6662" w:rsidSect="007B4138">
      <w:headerReference w:type="default" r:id="rId16"/>
      <w:footerReference w:type="default" r:id="rId17"/>
      <w:pgSz w:w="11923" w:h="16834" w:code="9"/>
      <w:pgMar w:top="993" w:right="1440" w:bottom="709" w:left="1440" w:header="720" w:footer="34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F88" w:rsidRDefault="00844F88">
      <w:r>
        <w:separator/>
      </w:r>
    </w:p>
  </w:endnote>
  <w:endnote w:type="continuationSeparator" w:id="0">
    <w:p w:rsidR="00844F88" w:rsidRDefault="00844F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ZapfDingbats">
    <w:panose1 w:val="00000000000000000000"/>
    <w:charset w:val="02"/>
    <w:family w:val="decorative"/>
    <w:notTrueType/>
    <w:pitch w:val="variable"/>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Sabon">
    <w:altName w:val="Constantia"/>
    <w:charset w:val="00"/>
    <w:family w:val="roman"/>
    <w:pitch w:val="variable"/>
    <w:sig w:usb0="00000001" w:usb1="00000000" w:usb2="00000000" w:usb3="00000000" w:csb0="0000009F" w:csb1="00000000"/>
  </w:font>
  <w:font w:name="TimesNewRomanPSMT">
    <w:altName w:val="MS Mincho"/>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7A" w:rsidRPr="0063750A" w:rsidRDefault="0047797A" w:rsidP="0063750A">
    <w:pPr>
      <w:pStyle w:val="Footer"/>
      <w:jc w:val="right"/>
      <w:rPr>
        <w:sz w:val="16"/>
        <w:szCs w:val="16"/>
      </w:rPr>
    </w:pPr>
    <w:r w:rsidRPr="0063750A">
      <w:rPr>
        <w:sz w:val="16"/>
        <w:szCs w:val="16"/>
      </w:rPr>
      <w:t xml:space="preserve">Page </w:t>
    </w:r>
    <w:r w:rsidR="00D355DC" w:rsidRPr="0063750A">
      <w:rPr>
        <w:sz w:val="16"/>
        <w:szCs w:val="16"/>
      </w:rPr>
      <w:fldChar w:fldCharType="begin"/>
    </w:r>
    <w:r w:rsidRPr="0063750A">
      <w:rPr>
        <w:sz w:val="16"/>
        <w:szCs w:val="16"/>
      </w:rPr>
      <w:instrText xml:space="preserve"> PAGE </w:instrText>
    </w:r>
    <w:r w:rsidR="00D355DC" w:rsidRPr="0063750A">
      <w:rPr>
        <w:sz w:val="16"/>
        <w:szCs w:val="16"/>
      </w:rPr>
      <w:fldChar w:fldCharType="separate"/>
    </w:r>
    <w:r w:rsidR="0025225F">
      <w:rPr>
        <w:noProof/>
        <w:sz w:val="16"/>
        <w:szCs w:val="16"/>
      </w:rPr>
      <w:t>47</w:t>
    </w:r>
    <w:r w:rsidR="00D355DC" w:rsidRPr="0063750A">
      <w:rPr>
        <w:sz w:val="16"/>
        <w:szCs w:val="16"/>
      </w:rPr>
      <w:fldChar w:fldCharType="end"/>
    </w:r>
    <w:r w:rsidRPr="0063750A">
      <w:rPr>
        <w:sz w:val="16"/>
        <w:szCs w:val="16"/>
      </w:rPr>
      <w:t xml:space="preserve"> of </w:t>
    </w:r>
    <w:r w:rsidR="00D355DC" w:rsidRPr="0063750A">
      <w:rPr>
        <w:sz w:val="16"/>
        <w:szCs w:val="16"/>
      </w:rPr>
      <w:fldChar w:fldCharType="begin"/>
    </w:r>
    <w:r w:rsidRPr="0063750A">
      <w:rPr>
        <w:sz w:val="16"/>
        <w:szCs w:val="16"/>
      </w:rPr>
      <w:instrText xml:space="preserve"> NUMPAGES </w:instrText>
    </w:r>
    <w:r w:rsidR="00D355DC" w:rsidRPr="0063750A">
      <w:rPr>
        <w:sz w:val="16"/>
        <w:szCs w:val="16"/>
      </w:rPr>
      <w:fldChar w:fldCharType="separate"/>
    </w:r>
    <w:r w:rsidR="0025225F">
      <w:rPr>
        <w:noProof/>
        <w:sz w:val="16"/>
        <w:szCs w:val="16"/>
      </w:rPr>
      <w:t>48</w:t>
    </w:r>
    <w:r w:rsidR="00D355DC" w:rsidRPr="0063750A">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F88" w:rsidRDefault="00844F88">
      <w:r>
        <w:separator/>
      </w:r>
    </w:p>
  </w:footnote>
  <w:footnote w:type="continuationSeparator" w:id="0">
    <w:p w:rsidR="00844F88" w:rsidRDefault="00844F88">
      <w:r>
        <w:continuationSeparator/>
      </w:r>
    </w:p>
  </w:footnote>
  <w:footnote w:id="1">
    <w:p w:rsidR="0047797A" w:rsidRDefault="0047797A">
      <w:pPr>
        <w:pStyle w:val="FootnoteText"/>
      </w:pPr>
      <w:r w:rsidRPr="00550B77">
        <w:rPr>
          <w:rStyle w:val="FootnoteReference"/>
        </w:rPr>
        <w:sym w:font="Symbol" w:char="F02A"/>
      </w:r>
      <w:r>
        <w:t xml:space="preserve"> This pack size is not available in </w:t>
      </w:r>
      <w:smartTag w:uri="urn:schemas-microsoft-com:office:smarttags" w:element="country-region">
        <w:smartTag w:uri="urn:schemas-microsoft-com:office:smarttags" w:element="place">
          <w:r>
            <w:t>Australia</w:t>
          </w:r>
        </w:smartTag>
      </w:smartTag>
    </w:p>
  </w:footnote>
  <w:footnote w:id="2">
    <w:p w:rsidR="0047797A" w:rsidRDefault="0047797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97A" w:rsidRPr="008706A7" w:rsidRDefault="0047797A" w:rsidP="008D51A1">
    <w:pPr>
      <w:pStyle w:val="Header"/>
      <w:pBdr>
        <w:top w:val="single" w:sz="4" w:space="1" w:color="auto"/>
        <w:left w:val="single" w:sz="4" w:space="4" w:color="auto"/>
        <w:bottom w:val="single" w:sz="4" w:space="1" w:color="auto"/>
        <w:right w:val="single" w:sz="4" w:space="4" w:color="auto"/>
      </w:pBdr>
      <w:shd w:val="clear" w:color="auto" w:fill="E4F2E0"/>
      <w:rPr>
        <w:rFonts w:ascii="Cambria" w:hAnsi="Cambria"/>
        <w:b/>
      </w:rPr>
    </w:pPr>
    <w:r w:rsidRPr="008706A7">
      <w:rPr>
        <w:rFonts w:ascii="Cambria" w:hAnsi="Cambria"/>
        <w:b/>
      </w:rPr>
      <w:t xml:space="preserve">Attachment 1: Product information for </w:t>
    </w:r>
    <w:r w:rsidR="008706A7" w:rsidRPr="008706A7">
      <w:rPr>
        <w:rFonts w:ascii="Cambria" w:hAnsi="Cambria"/>
        <w:b/>
      </w:rPr>
      <w:t xml:space="preserve">AusPAR Glivec Novartis Pharmaceuticals Australia Pty Ltd PM-2011-02797-3-4 Final </w:t>
    </w:r>
    <w:r w:rsidR="003A5232">
      <w:rPr>
        <w:rFonts w:ascii="Cambria" w:hAnsi="Cambria"/>
        <w:b/>
      </w:rPr>
      <w:t>4 June</w:t>
    </w:r>
    <w:r w:rsidR="008706A7" w:rsidRPr="008706A7">
      <w:rPr>
        <w:rFonts w:ascii="Cambria" w:hAnsi="Cambria"/>
        <w:b/>
      </w:rPr>
      <w:t xml:space="preserve"> 2013</w:t>
    </w:r>
    <w:r w:rsidRPr="008706A7">
      <w:rPr>
        <w:rFonts w:ascii="Cambria" w:hAnsi="Cambria"/>
        <w:b/>
      </w:rPr>
      <w:t>. This Product Information was approved at the time this AusPAR was published.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626924"/>
    <w:lvl w:ilvl="0">
      <w:start w:val="1"/>
      <w:numFmt w:val="decimal"/>
      <w:lvlText w:val="%1."/>
      <w:lvlJc w:val="left"/>
      <w:pPr>
        <w:tabs>
          <w:tab w:val="num" w:pos="1492"/>
        </w:tabs>
        <w:ind w:left="1492" w:hanging="360"/>
      </w:pPr>
    </w:lvl>
  </w:abstractNum>
  <w:abstractNum w:abstractNumId="1">
    <w:nsid w:val="FFFFFF7D"/>
    <w:multiLevelType w:val="singleLevel"/>
    <w:tmpl w:val="B9C09D26"/>
    <w:lvl w:ilvl="0">
      <w:start w:val="1"/>
      <w:numFmt w:val="decimal"/>
      <w:lvlText w:val="%1."/>
      <w:lvlJc w:val="left"/>
      <w:pPr>
        <w:tabs>
          <w:tab w:val="num" w:pos="1209"/>
        </w:tabs>
        <w:ind w:left="1209" w:hanging="360"/>
      </w:pPr>
    </w:lvl>
  </w:abstractNum>
  <w:abstractNum w:abstractNumId="2">
    <w:nsid w:val="FFFFFF7E"/>
    <w:multiLevelType w:val="singleLevel"/>
    <w:tmpl w:val="26D8737E"/>
    <w:lvl w:ilvl="0">
      <w:start w:val="1"/>
      <w:numFmt w:val="decimal"/>
      <w:lvlText w:val="%1."/>
      <w:lvlJc w:val="left"/>
      <w:pPr>
        <w:tabs>
          <w:tab w:val="num" w:pos="926"/>
        </w:tabs>
        <w:ind w:left="926" w:hanging="360"/>
      </w:pPr>
    </w:lvl>
  </w:abstractNum>
  <w:abstractNum w:abstractNumId="3">
    <w:nsid w:val="FFFFFF7F"/>
    <w:multiLevelType w:val="singleLevel"/>
    <w:tmpl w:val="F5C05402"/>
    <w:lvl w:ilvl="0">
      <w:start w:val="1"/>
      <w:numFmt w:val="decimal"/>
      <w:lvlText w:val="%1."/>
      <w:lvlJc w:val="left"/>
      <w:pPr>
        <w:tabs>
          <w:tab w:val="num" w:pos="643"/>
        </w:tabs>
        <w:ind w:left="643" w:hanging="360"/>
      </w:pPr>
    </w:lvl>
  </w:abstractNum>
  <w:abstractNum w:abstractNumId="4">
    <w:nsid w:val="FFFFFF80"/>
    <w:multiLevelType w:val="singleLevel"/>
    <w:tmpl w:val="F6BE79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F82093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BE6BD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1036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316C12A"/>
    <w:lvl w:ilvl="0">
      <w:start w:val="1"/>
      <w:numFmt w:val="decimal"/>
      <w:lvlText w:val="%1."/>
      <w:lvlJc w:val="left"/>
      <w:pPr>
        <w:tabs>
          <w:tab w:val="num" w:pos="360"/>
        </w:tabs>
        <w:ind w:left="360" w:hanging="360"/>
      </w:pPr>
    </w:lvl>
  </w:abstractNum>
  <w:abstractNum w:abstractNumId="9">
    <w:nsid w:val="FFFFFF89"/>
    <w:multiLevelType w:val="singleLevel"/>
    <w:tmpl w:val="335EF396"/>
    <w:lvl w:ilvl="0">
      <w:start w:val="1"/>
      <w:numFmt w:val="bullet"/>
      <w:lvlText w:val=""/>
      <w:lvlJc w:val="left"/>
      <w:pPr>
        <w:tabs>
          <w:tab w:val="num" w:pos="360"/>
        </w:tabs>
        <w:ind w:left="360" w:hanging="360"/>
      </w:pPr>
      <w:rPr>
        <w:rFonts w:ascii="Symbol" w:hAnsi="Symbol" w:hint="default"/>
      </w:rPr>
    </w:lvl>
  </w:abstractNum>
  <w:abstractNum w:abstractNumId="10">
    <w:nsid w:val="00B55C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0204016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02576E8D"/>
    <w:multiLevelType w:val="singleLevel"/>
    <w:tmpl w:val="0809000F"/>
    <w:lvl w:ilvl="0">
      <w:start w:val="1"/>
      <w:numFmt w:val="decimal"/>
      <w:lvlText w:val="%1."/>
      <w:lvlJc w:val="left"/>
      <w:pPr>
        <w:tabs>
          <w:tab w:val="num" w:pos="360"/>
        </w:tabs>
        <w:ind w:left="360" w:hanging="360"/>
      </w:pPr>
    </w:lvl>
  </w:abstractNum>
  <w:abstractNum w:abstractNumId="13">
    <w:nsid w:val="08F72FBE"/>
    <w:multiLevelType w:val="hybridMultilevel"/>
    <w:tmpl w:val="823A79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098859E4"/>
    <w:multiLevelType w:val="singleLevel"/>
    <w:tmpl w:val="4DE4A550"/>
    <w:lvl w:ilvl="0">
      <w:numFmt w:val="bullet"/>
      <w:lvlText w:val="-"/>
      <w:lvlJc w:val="left"/>
      <w:pPr>
        <w:tabs>
          <w:tab w:val="num" w:pos="384"/>
        </w:tabs>
        <w:ind w:left="384" w:hanging="384"/>
      </w:pPr>
      <w:rPr>
        <w:rFonts w:hint="default"/>
      </w:rPr>
    </w:lvl>
  </w:abstractNum>
  <w:abstractNum w:abstractNumId="15">
    <w:nsid w:val="1A487AE5"/>
    <w:multiLevelType w:val="hybridMultilevel"/>
    <w:tmpl w:val="E9AE5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7E7236"/>
    <w:multiLevelType w:val="hybridMultilevel"/>
    <w:tmpl w:val="44DE79B8"/>
    <w:lvl w:ilvl="0" w:tplc="F1A047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E8554B4"/>
    <w:multiLevelType w:val="singleLevel"/>
    <w:tmpl w:val="08090011"/>
    <w:lvl w:ilvl="0">
      <w:start w:val="2"/>
      <w:numFmt w:val="decimal"/>
      <w:lvlText w:val="%1)"/>
      <w:lvlJc w:val="left"/>
      <w:pPr>
        <w:tabs>
          <w:tab w:val="num" w:pos="360"/>
        </w:tabs>
        <w:ind w:left="360" w:hanging="360"/>
      </w:pPr>
      <w:rPr>
        <w:rFonts w:hint="default"/>
      </w:rPr>
    </w:lvl>
  </w:abstractNum>
  <w:abstractNum w:abstractNumId="18">
    <w:nsid w:val="30131509"/>
    <w:multiLevelType w:val="hybridMultilevel"/>
    <w:tmpl w:val="75C8FCF2"/>
    <w:lvl w:ilvl="0" w:tplc="2CAE9EE8">
      <w:start w:val="1"/>
      <w:numFmt w:val="bullet"/>
      <w:lvlText w:val=""/>
      <w:lvlJc w:val="left"/>
      <w:pPr>
        <w:tabs>
          <w:tab w:val="num" w:pos="0"/>
        </w:tabs>
        <w:ind w:left="170" w:hanging="17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9C2025"/>
    <w:multiLevelType w:val="hybridMultilevel"/>
    <w:tmpl w:val="B06E0B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B469C3"/>
    <w:multiLevelType w:val="hybridMultilevel"/>
    <w:tmpl w:val="557A98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6A34F7D"/>
    <w:multiLevelType w:val="singleLevel"/>
    <w:tmpl w:val="4DE4A550"/>
    <w:lvl w:ilvl="0">
      <w:numFmt w:val="bullet"/>
      <w:lvlText w:val="-"/>
      <w:lvlJc w:val="left"/>
      <w:pPr>
        <w:tabs>
          <w:tab w:val="num" w:pos="384"/>
        </w:tabs>
        <w:ind w:left="384" w:hanging="384"/>
      </w:pPr>
      <w:rPr>
        <w:rFonts w:hint="default"/>
      </w:rPr>
    </w:lvl>
  </w:abstractNum>
  <w:abstractNum w:abstractNumId="22">
    <w:nsid w:val="3ADE2954"/>
    <w:multiLevelType w:val="hybridMultilevel"/>
    <w:tmpl w:val="67CEEAD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3CD9003A"/>
    <w:multiLevelType w:val="singleLevel"/>
    <w:tmpl w:val="0809000F"/>
    <w:lvl w:ilvl="0">
      <w:start w:val="1"/>
      <w:numFmt w:val="decimal"/>
      <w:lvlText w:val="%1."/>
      <w:lvlJc w:val="left"/>
      <w:pPr>
        <w:tabs>
          <w:tab w:val="num" w:pos="360"/>
        </w:tabs>
        <w:ind w:left="360" w:hanging="360"/>
      </w:pPr>
    </w:lvl>
  </w:abstractNum>
  <w:abstractNum w:abstractNumId="24">
    <w:nsid w:val="41464F61"/>
    <w:multiLevelType w:val="singleLevel"/>
    <w:tmpl w:val="EDC05F18"/>
    <w:lvl w:ilvl="0">
      <w:start w:val="1"/>
      <w:numFmt w:val="decimal"/>
      <w:lvlText w:val="(%1)"/>
      <w:lvlJc w:val="left"/>
      <w:pPr>
        <w:tabs>
          <w:tab w:val="num" w:pos="360"/>
        </w:tabs>
        <w:ind w:left="360" w:hanging="360"/>
      </w:pPr>
      <w:rPr>
        <w:rFonts w:hint="default"/>
      </w:rPr>
    </w:lvl>
  </w:abstractNum>
  <w:abstractNum w:abstractNumId="25">
    <w:nsid w:val="438C14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43EF6A73"/>
    <w:multiLevelType w:val="singleLevel"/>
    <w:tmpl w:val="0809000F"/>
    <w:lvl w:ilvl="0">
      <w:start w:val="1"/>
      <w:numFmt w:val="decimal"/>
      <w:lvlText w:val="%1."/>
      <w:lvlJc w:val="left"/>
      <w:pPr>
        <w:tabs>
          <w:tab w:val="num" w:pos="360"/>
        </w:tabs>
        <w:ind w:left="360" w:hanging="360"/>
      </w:pPr>
    </w:lvl>
  </w:abstractNum>
  <w:abstractNum w:abstractNumId="27">
    <w:nsid w:val="46086326"/>
    <w:multiLevelType w:val="singleLevel"/>
    <w:tmpl w:val="4DE4A550"/>
    <w:lvl w:ilvl="0">
      <w:numFmt w:val="bullet"/>
      <w:lvlText w:val="-"/>
      <w:lvlJc w:val="left"/>
      <w:pPr>
        <w:tabs>
          <w:tab w:val="num" w:pos="384"/>
        </w:tabs>
        <w:ind w:left="384" w:hanging="384"/>
      </w:pPr>
      <w:rPr>
        <w:rFonts w:hint="default"/>
      </w:rPr>
    </w:lvl>
  </w:abstractNum>
  <w:abstractNum w:abstractNumId="28">
    <w:nsid w:val="4DDA6C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nsid w:val="51CC5079"/>
    <w:multiLevelType w:val="hybridMultilevel"/>
    <w:tmpl w:val="5C441414"/>
    <w:lvl w:ilvl="0" w:tplc="2F4CBBC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3B7591D"/>
    <w:multiLevelType w:val="hybridMultilevel"/>
    <w:tmpl w:val="F416BABE"/>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85344E"/>
    <w:multiLevelType w:val="hybridMultilevel"/>
    <w:tmpl w:val="7714B3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3FE441D"/>
    <w:multiLevelType w:val="singleLevel"/>
    <w:tmpl w:val="4DE4A550"/>
    <w:lvl w:ilvl="0">
      <w:numFmt w:val="bullet"/>
      <w:lvlText w:val="-"/>
      <w:lvlJc w:val="left"/>
      <w:pPr>
        <w:tabs>
          <w:tab w:val="num" w:pos="384"/>
        </w:tabs>
        <w:ind w:left="384" w:hanging="384"/>
      </w:pPr>
      <w:rPr>
        <w:rFonts w:hint="default"/>
      </w:rPr>
    </w:lvl>
  </w:abstractNum>
  <w:abstractNum w:abstractNumId="33">
    <w:nsid w:val="674A46AA"/>
    <w:multiLevelType w:val="hybridMultilevel"/>
    <w:tmpl w:val="8B140EA2"/>
    <w:lvl w:ilvl="0" w:tplc="B1663A8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723C12"/>
    <w:multiLevelType w:val="singleLevel"/>
    <w:tmpl w:val="0809000F"/>
    <w:lvl w:ilvl="0">
      <w:start w:val="1"/>
      <w:numFmt w:val="decimal"/>
      <w:lvlText w:val="%1."/>
      <w:lvlJc w:val="left"/>
      <w:pPr>
        <w:tabs>
          <w:tab w:val="num" w:pos="360"/>
        </w:tabs>
        <w:ind w:left="360" w:hanging="360"/>
      </w:pPr>
    </w:lvl>
  </w:abstractNum>
  <w:abstractNum w:abstractNumId="35">
    <w:nsid w:val="692D3C9A"/>
    <w:multiLevelType w:val="singleLevel"/>
    <w:tmpl w:val="0809000F"/>
    <w:lvl w:ilvl="0">
      <w:start w:val="1"/>
      <w:numFmt w:val="decimal"/>
      <w:lvlText w:val="%1."/>
      <w:lvlJc w:val="left"/>
      <w:pPr>
        <w:tabs>
          <w:tab w:val="num" w:pos="360"/>
        </w:tabs>
        <w:ind w:left="360" w:hanging="360"/>
      </w:pPr>
    </w:lvl>
  </w:abstractNum>
  <w:abstractNum w:abstractNumId="36">
    <w:nsid w:val="70622C09"/>
    <w:multiLevelType w:val="hybridMultilevel"/>
    <w:tmpl w:val="1E82B8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28531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nsid w:val="77D442C4"/>
    <w:multiLevelType w:val="hybridMultilevel"/>
    <w:tmpl w:val="11FE7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6874A9"/>
    <w:multiLevelType w:val="singleLevel"/>
    <w:tmpl w:val="0809000F"/>
    <w:lvl w:ilvl="0">
      <w:start w:val="1"/>
      <w:numFmt w:val="decimal"/>
      <w:lvlText w:val="%1."/>
      <w:lvlJc w:val="left"/>
      <w:pPr>
        <w:tabs>
          <w:tab w:val="num" w:pos="360"/>
        </w:tabs>
        <w:ind w:left="360" w:hanging="360"/>
      </w:pPr>
    </w:lvl>
  </w:abstractNum>
  <w:abstractNum w:abstractNumId="40">
    <w:nsid w:val="7E3D2CCD"/>
    <w:multiLevelType w:val="singleLevel"/>
    <w:tmpl w:val="0809000F"/>
    <w:lvl w:ilvl="0">
      <w:start w:val="1"/>
      <w:numFmt w:val="decimal"/>
      <w:lvlText w:val="%1."/>
      <w:lvlJc w:val="left"/>
      <w:pPr>
        <w:tabs>
          <w:tab w:val="num" w:pos="360"/>
        </w:tabs>
        <w:ind w:left="360" w:hanging="360"/>
      </w:pPr>
    </w:lvl>
  </w:abstractNum>
  <w:num w:numId="1">
    <w:abstractNumId w:val="11"/>
  </w:num>
  <w:num w:numId="2">
    <w:abstractNumId w:val="17"/>
  </w:num>
  <w:num w:numId="3">
    <w:abstractNumId w:val="25"/>
  </w:num>
  <w:num w:numId="4">
    <w:abstractNumId w:val="34"/>
  </w:num>
  <w:num w:numId="5">
    <w:abstractNumId w:val="26"/>
  </w:num>
  <w:num w:numId="6">
    <w:abstractNumId w:val="10"/>
  </w:num>
  <w:num w:numId="7">
    <w:abstractNumId w:val="39"/>
  </w:num>
  <w:num w:numId="8">
    <w:abstractNumId w:val="23"/>
  </w:num>
  <w:num w:numId="9">
    <w:abstractNumId w:val="21"/>
  </w:num>
  <w:num w:numId="10">
    <w:abstractNumId w:val="27"/>
  </w:num>
  <w:num w:numId="11">
    <w:abstractNumId w:val="32"/>
  </w:num>
  <w:num w:numId="12">
    <w:abstractNumId w:val="28"/>
  </w:num>
  <w:num w:numId="13">
    <w:abstractNumId w:val="37"/>
  </w:num>
  <w:num w:numId="14">
    <w:abstractNumId w:val="12"/>
  </w:num>
  <w:num w:numId="15">
    <w:abstractNumId w:val="14"/>
  </w:num>
  <w:num w:numId="16">
    <w:abstractNumId w:val="40"/>
  </w:num>
  <w:num w:numId="17">
    <w:abstractNumId w:val="35"/>
  </w:num>
  <w:num w:numId="18">
    <w:abstractNumId w:val="24"/>
  </w:num>
  <w:num w:numId="19">
    <w:abstractNumId w:val="33"/>
  </w:num>
  <w:num w:numId="20">
    <w:abstractNumId w:val="31"/>
  </w:num>
  <w:num w:numId="21">
    <w:abstractNumId w:val="29"/>
  </w:num>
  <w:num w:numId="22">
    <w:abstractNumId w:val="18"/>
  </w:num>
  <w:num w:numId="23">
    <w:abstractNumId w:val="36"/>
  </w:num>
  <w:num w:numId="24">
    <w:abstractNumId w:val="30"/>
  </w:num>
  <w:num w:numId="25">
    <w:abstractNumId w:val="19"/>
  </w:num>
  <w:num w:numId="26">
    <w:abstractNumId w:val="15"/>
  </w:num>
  <w:num w:numId="27">
    <w:abstractNumId w:val="22"/>
  </w:num>
  <w:num w:numId="28">
    <w:abstractNumId w:val="13"/>
  </w:num>
  <w:num w:numId="29">
    <w:abstractNumId w:val="20"/>
  </w:num>
  <w:num w:numId="30">
    <w:abstractNumId w:val="16"/>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embedSystemFonts/>
  <w:activeWritingStyle w:appName="MSWord" w:lang="en-US" w:vendorID="8" w:dllVersion="513" w:checkStyle="1"/>
  <w:activeWritingStyle w:appName="MSWord" w:lang="en-GB" w:vendorID="8" w:dllVersion="513" w:checkStyle="1"/>
  <w:proofState w:grammar="clean"/>
  <w:stylePaneFormatFilter w:val="3F04"/>
  <w:defaultTabStop w:val="561"/>
  <w:doNotHyphenateCaps/>
  <w:displayHorizontalDrawingGridEvery w:val="0"/>
  <w:displayVerticalDrawingGridEvery w:val="0"/>
  <w:doNotUseMarginsForDrawingGridOrigin/>
  <w:doNotShadeFormData/>
  <w:noPunctuationKerning/>
  <w:characterSpacingControl w:val="doNotCompress"/>
  <w:hdrShapeDefaults>
    <o:shapedefaults v:ext="edit" spidmax="15362"/>
  </w:hdrShapeDefaults>
  <w:footnotePr>
    <w:footnote w:id="-1"/>
    <w:footnote w:id="0"/>
  </w:footnotePr>
  <w:endnotePr>
    <w:endnote w:id="-1"/>
    <w:endnote w:id="0"/>
  </w:endnotePr>
  <w:compat/>
  <w:rsids>
    <w:rsidRoot w:val="000041B9"/>
    <w:rsid w:val="000011E2"/>
    <w:rsid w:val="000041B9"/>
    <w:rsid w:val="000056E7"/>
    <w:rsid w:val="000100EA"/>
    <w:rsid w:val="0001291D"/>
    <w:rsid w:val="000139BE"/>
    <w:rsid w:val="00014579"/>
    <w:rsid w:val="00025F69"/>
    <w:rsid w:val="000274D0"/>
    <w:rsid w:val="000275E2"/>
    <w:rsid w:val="000332EE"/>
    <w:rsid w:val="0003742C"/>
    <w:rsid w:val="0004281D"/>
    <w:rsid w:val="00043C63"/>
    <w:rsid w:val="00053D88"/>
    <w:rsid w:val="00057C4C"/>
    <w:rsid w:val="000609D7"/>
    <w:rsid w:val="00063DB9"/>
    <w:rsid w:val="00071998"/>
    <w:rsid w:val="00073C62"/>
    <w:rsid w:val="000747D3"/>
    <w:rsid w:val="00081BA7"/>
    <w:rsid w:val="000902DC"/>
    <w:rsid w:val="00092EB8"/>
    <w:rsid w:val="00095A4A"/>
    <w:rsid w:val="00095CDB"/>
    <w:rsid w:val="000A31B7"/>
    <w:rsid w:val="000A6535"/>
    <w:rsid w:val="000A6855"/>
    <w:rsid w:val="000A6AC0"/>
    <w:rsid w:val="000C01E3"/>
    <w:rsid w:val="000C392D"/>
    <w:rsid w:val="000D0E89"/>
    <w:rsid w:val="000D7627"/>
    <w:rsid w:val="000E72EE"/>
    <w:rsid w:val="00107CA4"/>
    <w:rsid w:val="0012077B"/>
    <w:rsid w:val="00125C8E"/>
    <w:rsid w:val="00136987"/>
    <w:rsid w:val="00150302"/>
    <w:rsid w:val="00151ACA"/>
    <w:rsid w:val="00156FDF"/>
    <w:rsid w:val="00165828"/>
    <w:rsid w:val="00167122"/>
    <w:rsid w:val="00173AE7"/>
    <w:rsid w:val="00192C8C"/>
    <w:rsid w:val="00196D23"/>
    <w:rsid w:val="001B2C73"/>
    <w:rsid w:val="001C4765"/>
    <w:rsid w:val="001C5B77"/>
    <w:rsid w:val="001D4DC6"/>
    <w:rsid w:val="001D59EB"/>
    <w:rsid w:val="001D678F"/>
    <w:rsid w:val="001E7123"/>
    <w:rsid w:val="001F0054"/>
    <w:rsid w:val="001F400E"/>
    <w:rsid w:val="001F7C8C"/>
    <w:rsid w:val="00202B37"/>
    <w:rsid w:val="00207902"/>
    <w:rsid w:val="00215743"/>
    <w:rsid w:val="00221692"/>
    <w:rsid w:val="00222BFA"/>
    <w:rsid w:val="0023181C"/>
    <w:rsid w:val="002321A0"/>
    <w:rsid w:val="0023250B"/>
    <w:rsid w:val="00234262"/>
    <w:rsid w:val="0023433E"/>
    <w:rsid w:val="002350E6"/>
    <w:rsid w:val="00235D89"/>
    <w:rsid w:val="00237327"/>
    <w:rsid w:val="002419FE"/>
    <w:rsid w:val="00241BF9"/>
    <w:rsid w:val="002427FF"/>
    <w:rsid w:val="00247D68"/>
    <w:rsid w:val="002504B2"/>
    <w:rsid w:val="00250B49"/>
    <w:rsid w:val="0025225F"/>
    <w:rsid w:val="002542C4"/>
    <w:rsid w:val="002565FE"/>
    <w:rsid w:val="00264489"/>
    <w:rsid w:val="002646D9"/>
    <w:rsid w:val="00265B42"/>
    <w:rsid w:val="00273382"/>
    <w:rsid w:val="0027788D"/>
    <w:rsid w:val="002921C2"/>
    <w:rsid w:val="002949EC"/>
    <w:rsid w:val="002958F3"/>
    <w:rsid w:val="00297F2F"/>
    <w:rsid w:val="002A442E"/>
    <w:rsid w:val="002B0B39"/>
    <w:rsid w:val="002B14EF"/>
    <w:rsid w:val="002B5154"/>
    <w:rsid w:val="002C7FF9"/>
    <w:rsid w:val="002D40EC"/>
    <w:rsid w:val="002D597F"/>
    <w:rsid w:val="002D5EAD"/>
    <w:rsid w:val="002D7C6F"/>
    <w:rsid w:val="002E442B"/>
    <w:rsid w:val="002F399B"/>
    <w:rsid w:val="00302721"/>
    <w:rsid w:val="0030405B"/>
    <w:rsid w:val="00304A51"/>
    <w:rsid w:val="0031201D"/>
    <w:rsid w:val="00312D91"/>
    <w:rsid w:val="003130AC"/>
    <w:rsid w:val="00317EEB"/>
    <w:rsid w:val="003227FC"/>
    <w:rsid w:val="0032577E"/>
    <w:rsid w:val="00327E41"/>
    <w:rsid w:val="0033005D"/>
    <w:rsid w:val="0033238D"/>
    <w:rsid w:val="00333FAD"/>
    <w:rsid w:val="00344245"/>
    <w:rsid w:val="003473B8"/>
    <w:rsid w:val="0035641C"/>
    <w:rsid w:val="0036611B"/>
    <w:rsid w:val="0037058C"/>
    <w:rsid w:val="003860E6"/>
    <w:rsid w:val="0038772A"/>
    <w:rsid w:val="00391A58"/>
    <w:rsid w:val="003971C1"/>
    <w:rsid w:val="003A1076"/>
    <w:rsid w:val="003A2415"/>
    <w:rsid w:val="003A4370"/>
    <w:rsid w:val="003A5232"/>
    <w:rsid w:val="003B3CCF"/>
    <w:rsid w:val="003C3ACE"/>
    <w:rsid w:val="003D12CD"/>
    <w:rsid w:val="003D4AF3"/>
    <w:rsid w:val="003E459A"/>
    <w:rsid w:val="003E7EDC"/>
    <w:rsid w:val="003F08F0"/>
    <w:rsid w:val="003F5659"/>
    <w:rsid w:val="003F7CB5"/>
    <w:rsid w:val="00404A38"/>
    <w:rsid w:val="00405DC9"/>
    <w:rsid w:val="004127FC"/>
    <w:rsid w:val="004132E6"/>
    <w:rsid w:val="004149E8"/>
    <w:rsid w:val="00416290"/>
    <w:rsid w:val="004166B4"/>
    <w:rsid w:val="00416A08"/>
    <w:rsid w:val="00416E9F"/>
    <w:rsid w:val="0043045C"/>
    <w:rsid w:val="004404A9"/>
    <w:rsid w:val="004518D4"/>
    <w:rsid w:val="00456103"/>
    <w:rsid w:val="00460115"/>
    <w:rsid w:val="00463290"/>
    <w:rsid w:val="00463ADA"/>
    <w:rsid w:val="0046565B"/>
    <w:rsid w:val="0047030D"/>
    <w:rsid w:val="0047368E"/>
    <w:rsid w:val="00473693"/>
    <w:rsid w:val="00476854"/>
    <w:rsid w:val="0047797A"/>
    <w:rsid w:val="004A6162"/>
    <w:rsid w:val="004B7B7B"/>
    <w:rsid w:val="004C4D5B"/>
    <w:rsid w:val="004C56F1"/>
    <w:rsid w:val="004D1CBE"/>
    <w:rsid w:val="004D7FC0"/>
    <w:rsid w:val="004E22ED"/>
    <w:rsid w:val="004F56EC"/>
    <w:rsid w:val="004F5AB2"/>
    <w:rsid w:val="004F7557"/>
    <w:rsid w:val="00502C8A"/>
    <w:rsid w:val="00512F9A"/>
    <w:rsid w:val="005130B9"/>
    <w:rsid w:val="00523C14"/>
    <w:rsid w:val="00533423"/>
    <w:rsid w:val="00534B0B"/>
    <w:rsid w:val="005352B7"/>
    <w:rsid w:val="00536967"/>
    <w:rsid w:val="00536F4A"/>
    <w:rsid w:val="00544E16"/>
    <w:rsid w:val="005477D7"/>
    <w:rsid w:val="00550B77"/>
    <w:rsid w:val="0055428A"/>
    <w:rsid w:val="00557EFE"/>
    <w:rsid w:val="00562516"/>
    <w:rsid w:val="00567F54"/>
    <w:rsid w:val="00576ABD"/>
    <w:rsid w:val="00577D66"/>
    <w:rsid w:val="00581AD9"/>
    <w:rsid w:val="00584303"/>
    <w:rsid w:val="005876EC"/>
    <w:rsid w:val="0059036C"/>
    <w:rsid w:val="0059401A"/>
    <w:rsid w:val="00597CD7"/>
    <w:rsid w:val="005A0283"/>
    <w:rsid w:val="005A0CC5"/>
    <w:rsid w:val="005A3260"/>
    <w:rsid w:val="005A67BC"/>
    <w:rsid w:val="005B41F7"/>
    <w:rsid w:val="005B66E0"/>
    <w:rsid w:val="005C4931"/>
    <w:rsid w:val="005D2747"/>
    <w:rsid w:val="005D4870"/>
    <w:rsid w:val="005E7491"/>
    <w:rsid w:val="006035FF"/>
    <w:rsid w:val="00614273"/>
    <w:rsid w:val="00614D2A"/>
    <w:rsid w:val="00616160"/>
    <w:rsid w:val="00624C59"/>
    <w:rsid w:val="00626081"/>
    <w:rsid w:val="00627940"/>
    <w:rsid w:val="00631826"/>
    <w:rsid w:val="00632165"/>
    <w:rsid w:val="00633B29"/>
    <w:rsid w:val="00633BD7"/>
    <w:rsid w:val="0063750A"/>
    <w:rsid w:val="006413C0"/>
    <w:rsid w:val="006434C5"/>
    <w:rsid w:val="00646DD1"/>
    <w:rsid w:val="00657AB9"/>
    <w:rsid w:val="00657FDF"/>
    <w:rsid w:val="00660727"/>
    <w:rsid w:val="00667369"/>
    <w:rsid w:val="00667EB8"/>
    <w:rsid w:val="006706F3"/>
    <w:rsid w:val="00680E9F"/>
    <w:rsid w:val="00683DC2"/>
    <w:rsid w:val="0069532A"/>
    <w:rsid w:val="006977FC"/>
    <w:rsid w:val="006A421E"/>
    <w:rsid w:val="006A7D87"/>
    <w:rsid w:val="006B50FB"/>
    <w:rsid w:val="006B7D26"/>
    <w:rsid w:val="006C2848"/>
    <w:rsid w:val="006C2C76"/>
    <w:rsid w:val="006C31FC"/>
    <w:rsid w:val="006C6662"/>
    <w:rsid w:val="006D2770"/>
    <w:rsid w:val="006D2CF6"/>
    <w:rsid w:val="006D2FAB"/>
    <w:rsid w:val="006D71F3"/>
    <w:rsid w:val="00702F45"/>
    <w:rsid w:val="00704136"/>
    <w:rsid w:val="00704BF4"/>
    <w:rsid w:val="007078B0"/>
    <w:rsid w:val="0071351D"/>
    <w:rsid w:val="00717DD6"/>
    <w:rsid w:val="00721E34"/>
    <w:rsid w:val="007241B0"/>
    <w:rsid w:val="007403C9"/>
    <w:rsid w:val="00742CAB"/>
    <w:rsid w:val="007443A8"/>
    <w:rsid w:val="00744F1D"/>
    <w:rsid w:val="00745513"/>
    <w:rsid w:val="00755549"/>
    <w:rsid w:val="0076014D"/>
    <w:rsid w:val="00760B30"/>
    <w:rsid w:val="007656E8"/>
    <w:rsid w:val="0076701A"/>
    <w:rsid w:val="0076795B"/>
    <w:rsid w:val="0077024A"/>
    <w:rsid w:val="00770F29"/>
    <w:rsid w:val="00772F0A"/>
    <w:rsid w:val="00773024"/>
    <w:rsid w:val="00776DA2"/>
    <w:rsid w:val="00783F21"/>
    <w:rsid w:val="0078601B"/>
    <w:rsid w:val="00787273"/>
    <w:rsid w:val="00791AB4"/>
    <w:rsid w:val="007928A1"/>
    <w:rsid w:val="007938F6"/>
    <w:rsid w:val="00794917"/>
    <w:rsid w:val="00795438"/>
    <w:rsid w:val="00797016"/>
    <w:rsid w:val="007A7ABF"/>
    <w:rsid w:val="007B4138"/>
    <w:rsid w:val="007C71D3"/>
    <w:rsid w:val="007D12A8"/>
    <w:rsid w:val="007D1432"/>
    <w:rsid w:val="007D303E"/>
    <w:rsid w:val="007D5F26"/>
    <w:rsid w:val="007D76D8"/>
    <w:rsid w:val="007D7CAC"/>
    <w:rsid w:val="007E4416"/>
    <w:rsid w:val="007F0916"/>
    <w:rsid w:val="007F17B4"/>
    <w:rsid w:val="007F697A"/>
    <w:rsid w:val="008015FA"/>
    <w:rsid w:val="00806832"/>
    <w:rsid w:val="00806FDA"/>
    <w:rsid w:val="00807868"/>
    <w:rsid w:val="00813B4E"/>
    <w:rsid w:val="0081650F"/>
    <w:rsid w:val="00820F8D"/>
    <w:rsid w:val="00830894"/>
    <w:rsid w:val="00830902"/>
    <w:rsid w:val="008317F8"/>
    <w:rsid w:val="008378BC"/>
    <w:rsid w:val="00841AFC"/>
    <w:rsid w:val="008424ED"/>
    <w:rsid w:val="00844F88"/>
    <w:rsid w:val="00845856"/>
    <w:rsid w:val="0085182E"/>
    <w:rsid w:val="0085432C"/>
    <w:rsid w:val="00861B5E"/>
    <w:rsid w:val="008701D0"/>
    <w:rsid w:val="008706A7"/>
    <w:rsid w:val="008772C5"/>
    <w:rsid w:val="00881451"/>
    <w:rsid w:val="00893B31"/>
    <w:rsid w:val="008963A1"/>
    <w:rsid w:val="008A534D"/>
    <w:rsid w:val="008A57F5"/>
    <w:rsid w:val="008C1E43"/>
    <w:rsid w:val="008C3A00"/>
    <w:rsid w:val="008C3B0B"/>
    <w:rsid w:val="008C7351"/>
    <w:rsid w:val="008C7365"/>
    <w:rsid w:val="008D51A1"/>
    <w:rsid w:val="008D5497"/>
    <w:rsid w:val="008D7B0F"/>
    <w:rsid w:val="008E2604"/>
    <w:rsid w:val="008E5060"/>
    <w:rsid w:val="008E7767"/>
    <w:rsid w:val="00904CDC"/>
    <w:rsid w:val="00905214"/>
    <w:rsid w:val="00905553"/>
    <w:rsid w:val="0091108A"/>
    <w:rsid w:val="00912217"/>
    <w:rsid w:val="009169B3"/>
    <w:rsid w:val="00917EF2"/>
    <w:rsid w:val="00922E59"/>
    <w:rsid w:val="00925821"/>
    <w:rsid w:val="00931D9F"/>
    <w:rsid w:val="0093684C"/>
    <w:rsid w:val="00944B19"/>
    <w:rsid w:val="0095084D"/>
    <w:rsid w:val="00952C39"/>
    <w:rsid w:val="009565A8"/>
    <w:rsid w:val="00960CD1"/>
    <w:rsid w:val="00960CDF"/>
    <w:rsid w:val="00961C39"/>
    <w:rsid w:val="00961F65"/>
    <w:rsid w:val="00962F31"/>
    <w:rsid w:val="00965AA7"/>
    <w:rsid w:val="00972EBB"/>
    <w:rsid w:val="00973535"/>
    <w:rsid w:val="00975418"/>
    <w:rsid w:val="009778CF"/>
    <w:rsid w:val="00992FFA"/>
    <w:rsid w:val="00995917"/>
    <w:rsid w:val="009A3F73"/>
    <w:rsid w:val="009A5434"/>
    <w:rsid w:val="009A5E19"/>
    <w:rsid w:val="009B0EBF"/>
    <w:rsid w:val="009B6D9A"/>
    <w:rsid w:val="009C1585"/>
    <w:rsid w:val="009C6F8D"/>
    <w:rsid w:val="009D43A1"/>
    <w:rsid w:val="009D4E28"/>
    <w:rsid w:val="009D52EB"/>
    <w:rsid w:val="009D7697"/>
    <w:rsid w:val="009E2D4F"/>
    <w:rsid w:val="009E3D7B"/>
    <w:rsid w:val="009E7387"/>
    <w:rsid w:val="009F05E5"/>
    <w:rsid w:val="00A000FB"/>
    <w:rsid w:val="00A03D99"/>
    <w:rsid w:val="00A06704"/>
    <w:rsid w:val="00A1295F"/>
    <w:rsid w:val="00A15457"/>
    <w:rsid w:val="00A155FC"/>
    <w:rsid w:val="00A16635"/>
    <w:rsid w:val="00A402D1"/>
    <w:rsid w:val="00A44A70"/>
    <w:rsid w:val="00A54123"/>
    <w:rsid w:val="00A54184"/>
    <w:rsid w:val="00A5613D"/>
    <w:rsid w:val="00A642EF"/>
    <w:rsid w:val="00A72E9D"/>
    <w:rsid w:val="00A84AA0"/>
    <w:rsid w:val="00A94325"/>
    <w:rsid w:val="00A946E1"/>
    <w:rsid w:val="00A952EB"/>
    <w:rsid w:val="00AA0CFA"/>
    <w:rsid w:val="00AA3337"/>
    <w:rsid w:val="00AA79C4"/>
    <w:rsid w:val="00AB3942"/>
    <w:rsid w:val="00AB4BD5"/>
    <w:rsid w:val="00AB6BF0"/>
    <w:rsid w:val="00AC0ACB"/>
    <w:rsid w:val="00AC350B"/>
    <w:rsid w:val="00AC46A8"/>
    <w:rsid w:val="00AD0AF6"/>
    <w:rsid w:val="00AD4521"/>
    <w:rsid w:val="00AD4753"/>
    <w:rsid w:val="00AD5E8B"/>
    <w:rsid w:val="00AD63FC"/>
    <w:rsid w:val="00AE6BDC"/>
    <w:rsid w:val="00AF2B62"/>
    <w:rsid w:val="00AF3AC6"/>
    <w:rsid w:val="00AF7804"/>
    <w:rsid w:val="00B0747A"/>
    <w:rsid w:val="00B17FF9"/>
    <w:rsid w:val="00B22291"/>
    <w:rsid w:val="00B26BD3"/>
    <w:rsid w:val="00B32295"/>
    <w:rsid w:val="00B34703"/>
    <w:rsid w:val="00B429AB"/>
    <w:rsid w:val="00B45156"/>
    <w:rsid w:val="00B51691"/>
    <w:rsid w:val="00B52B97"/>
    <w:rsid w:val="00B57036"/>
    <w:rsid w:val="00B61E94"/>
    <w:rsid w:val="00B62773"/>
    <w:rsid w:val="00B63A7A"/>
    <w:rsid w:val="00B70079"/>
    <w:rsid w:val="00B712C8"/>
    <w:rsid w:val="00B73433"/>
    <w:rsid w:val="00B81443"/>
    <w:rsid w:val="00B83415"/>
    <w:rsid w:val="00B854B5"/>
    <w:rsid w:val="00B85D07"/>
    <w:rsid w:val="00B92587"/>
    <w:rsid w:val="00B954F2"/>
    <w:rsid w:val="00BA193C"/>
    <w:rsid w:val="00BA25C3"/>
    <w:rsid w:val="00BB04AD"/>
    <w:rsid w:val="00BB5960"/>
    <w:rsid w:val="00BB7165"/>
    <w:rsid w:val="00BC6843"/>
    <w:rsid w:val="00BD37DF"/>
    <w:rsid w:val="00BD3C47"/>
    <w:rsid w:val="00BD4866"/>
    <w:rsid w:val="00BD5ED7"/>
    <w:rsid w:val="00BD72CF"/>
    <w:rsid w:val="00BD7C54"/>
    <w:rsid w:val="00BE2591"/>
    <w:rsid w:val="00BF776D"/>
    <w:rsid w:val="00C000BD"/>
    <w:rsid w:val="00C034D5"/>
    <w:rsid w:val="00C04A13"/>
    <w:rsid w:val="00C05203"/>
    <w:rsid w:val="00C05C8E"/>
    <w:rsid w:val="00C17674"/>
    <w:rsid w:val="00C253E3"/>
    <w:rsid w:val="00C32892"/>
    <w:rsid w:val="00C36496"/>
    <w:rsid w:val="00C44893"/>
    <w:rsid w:val="00C52C18"/>
    <w:rsid w:val="00C65B1E"/>
    <w:rsid w:val="00C72B9C"/>
    <w:rsid w:val="00C77E37"/>
    <w:rsid w:val="00C823AB"/>
    <w:rsid w:val="00C84CA0"/>
    <w:rsid w:val="00C85995"/>
    <w:rsid w:val="00C90BEC"/>
    <w:rsid w:val="00C934B4"/>
    <w:rsid w:val="00CA7B85"/>
    <w:rsid w:val="00CB413C"/>
    <w:rsid w:val="00CB51A6"/>
    <w:rsid w:val="00CC0663"/>
    <w:rsid w:val="00CD25E9"/>
    <w:rsid w:val="00CD26CD"/>
    <w:rsid w:val="00CD3517"/>
    <w:rsid w:val="00CD4F34"/>
    <w:rsid w:val="00CD7B09"/>
    <w:rsid w:val="00CE13E8"/>
    <w:rsid w:val="00CE32F3"/>
    <w:rsid w:val="00CE39A3"/>
    <w:rsid w:val="00CE41C0"/>
    <w:rsid w:val="00CF3403"/>
    <w:rsid w:val="00CF4EA0"/>
    <w:rsid w:val="00CF5E95"/>
    <w:rsid w:val="00CF61A5"/>
    <w:rsid w:val="00CF6AA6"/>
    <w:rsid w:val="00CF7690"/>
    <w:rsid w:val="00D052A6"/>
    <w:rsid w:val="00D05315"/>
    <w:rsid w:val="00D0792A"/>
    <w:rsid w:val="00D15091"/>
    <w:rsid w:val="00D165B8"/>
    <w:rsid w:val="00D1782F"/>
    <w:rsid w:val="00D22773"/>
    <w:rsid w:val="00D27337"/>
    <w:rsid w:val="00D355DC"/>
    <w:rsid w:val="00D43125"/>
    <w:rsid w:val="00D46498"/>
    <w:rsid w:val="00D46C9E"/>
    <w:rsid w:val="00D50A49"/>
    <w:rsid w:val="00D55B26"/>
    <w:rsid w:val="00D56209"/>
    <w:rsid w:val="00D63651"/>
    <w:rsid w:val="00D63D70"/>
    <w:rsid w:val="00D64C3B"/>
    <w:rsid w:val="00D67064"/>
    <w:rsid w:val="00D707D2"/>
    <w:rsid w:val="00D71D4F"/>
    <w:rsid w:val="00D74B3F"/>
    <w:rsid w:val="00D82772"/>
    <w:rsid w:val="00D82A97"/>
    <w:rsid w:val="00D8717F"/>
    <w:rsid w:val="00D912B5"/>
    <w:rsid w:val="00DA075C"/>
    <w:rsid w:val="00DA7562"/>
    <w:rsid w:val="00DB5FA2"/>
    <w:rsid w:val="00DC62AF"/>
    <w:rsid w:val="00DC78D6"/>
    <w:rsid w:val="00DD2067"/>
    <w:rsid w:val="00DD4C59"/>
    <w:rsid w:val="00DD6219"/>
    <w:rsid w:val="00DD64C1"/>
    <w:rsid w:val="00DD774C"/>
    <w:rsid w:val="00DE2E14"/>
    <w:rsid w:val="00DF2F5D"/>
    <w:rsid w:val="00E00A0D"/>
    <w:rsid w:val="00E06398"/>
    <w:rsid w:val="00E26ABA"/>
    <w:rsid w:val="00E307F7"/>
    <w:rsid w:val="00E32F95"/>
    <w:rsid w:val="00E33392"/>
    <w:rsid w:val="00E4309F"/>
    <w:rsid w:val="00E433C3"/>
    <w:rsid w:val="00E43A55"/>
    <w:rsid w:val="00E51223"/>
    <w:rsid w:val="00E548BA"/>
    <w:rsid w:val="00E60451"/>
    <w:rsid w:val="00E627F0"/>
    <w:rsid w:val="00E64754"/>
    <w:rsid w:val="00E656B1"/>
    <w:rsid w:val="00E661C9"/>
    <w:rsid w:val="00E662E3"/>
    <w:rsid w:val="00E707BB"/>
    <w:rsid w:val="00E7098F"/>
    <w:rsid w:val="00E83211"/>
    <w:rsid w:val="00E855AC"/>
    <w:rsid w:val="00E856D9"/>
    <w:rsid w:val="00E91A0A"/>
    <w:rsid w:val="00E94C59"/>
    <w:rsid w:val="00EA175A"/>
    <w:rsid w:val="00EA1C5F"/>
    <w:rsid w:val="00EA1FD9"/>
    <w:rsid w:val="00EA408F"/>
    <w:rsid w:val="00EB1C26"/>
    <w:rsid w:val="00EC0B88"/>
    <w:rsid w:val="00EC3EFA"/>
    <w:rsid w:val="00ED26A1"/>
    <w:rsid w:val="00EE135A"/>
    <w:rsid w:val="00EE3A9C"/>
    <w:rsid w:val="00EE5AF7"/>
    <w:rsid w:val="00EF1CC4"/>
    <w:rsid w:val="00EF330A"/>
    <w:rsid w:val="00F008AD"/>
    <w:rsid w:val="00F011C9"/>
    <w:rsid w:val="00F02B73"/>
    <w:rsid w:val="00F03465"/>
    <w:rsid w:val="00F06D7F"/>
    <w:rsid w:val="00F07334"/>
    <w:rsid w:val="00F141E6"/>
    <w:rsid w:val="00F21868"/>
    <w:rsid w:val="00F25FF4"/>
    <w:rsid w:val="00F26345"/>
    <w:rsid w:val="00F26B25"/>
    <w:rsid w:val="00F3322D"/>
    <w:rsid w:val="00F367A1"/>
    <w:rsid w:val="00F449AB"/>
    <w:rsid w:val="00F457C7"/>
    <w:rsid w:val="00F45F40"/>
    <w:rsid w:val="00F524DC"/>
    <w:rsid w:val="00F56E80"/>
    <w:rsid w:val="00F61B0A"/>
    <w:rsid w:val="00F62E58"/>
    <w:rsid w:val="00F72759"/>
    <w:rsid w:val="00F76BD3"/>
    <w:rsid w:val="00F76CE3"/>
    <w:rsid w:val="00F86F9E"/>
    <w:rsid w:val="00F92198"/>
    <w:rsid w:val="00F934C1"/>
    <w:rsid w:val="00F9430E"/>
    <w:rsid w:val="00FA0FBD"/>
    <w:rsid w:val="00FA2B8A"/>
    <w:rsid w:val="00FB35D9"/>
    <w:rsid w:val="00FB4944"/>
    <w:rsid w:val="00FC0B50"/>
    <w:rsid w:val="00FC1032"/>
    <w:rsid w:val="00FC1D74"/>
    <w:rsid w:val="00FD0074"/>
    <w:rsid w:val="00FD191B"/>
    <w:rsid w:val="00FD52EB"/>
    <w:rsid w:val="00FE569B"/>
    <w:rsid w:val="00FE6ABB"/>
    <w:rsid w:val="00FF5997"/>
    <w:rsid w:val="00FF687C"/>
    <w:rsid w:val="00FF798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D88"/>
    <w:rPr>
      <w:sz w:val="24"/>
      <w:lang w:eastAsia="en-US"/>
    </w:rPr>
  </w:style>
  <w:style w:type="paragraph" w:styleId="Heading1">
    <w:name w:val="heading 1"/>
    <w:basedOn w:val="Normal"/>
    <w:next w:val="paragraph"/>
    <w:autoRedefine/>
    <w:qFormat/>
    <w:rsid w:val="00D71D4F"/>
    <w:pPr>
      <w:keepNext/>
      <w:keepLines/>
      <w:spacing w:before="240"/>
      <w:ind w:left="907" w:right="567" w:hanging="907"/>
      <w:outlineLvl w:val="0"/>
    </w:pPr>
    <w:rPr>
      <w:b/>
      <w:sz w:val="30"/>
      <w:u w:val="single"/>
      <w:lang w:val="en-GB"/>
    </w:rPr>
  </w:style>
  <w:style w:type="paragraph" w:styleId="Heading2">
    <w:name w:val="heading 2"/>
    <w:basedOn w:val="Normal"/>
    <w:next w:val="paragraph"/>
    <w:autoRedefine/>
    <w:qFormat/>
    <w:rsid w:val="00053D88"/>
    <w:pPr>
      <w:keepNext/>
      <w:keepLines/>
      <w:spacing w:before="120" w:after="120"/>
      <w:outlineLvl w:val="1"/>
    </w:pPr>
    <w:rPr>
      <w:b/>
      <w:u w:val="single"/>
    </w:rPr>
  </w:style>
  <w:style w:type="paragraph" w:styleId="Heading3">
    <w:name w:val="heading 3"/>
    <w:basedOn w:val="Normal"/>
    <w:next w:val="paragraph"/>
    <w:autoRedefine/>
    <w:qFormat/>
    <w:rsid w:val="00D71D4F"/>
    <w:pPr>
      <w:keepNext/>
      <w:keepLines/>
      <w:spacing w:before="180"/>
      <w:ind w:right="567"/>
      <w:outlineLvl w:val="2"/>
    </w:pPr>
    <w:rPr>
      <w:b/>
    </w:rPr>
  </w:style>
  <w:style w:type="paragraph" w:styleId="Heading4">
    <w:name w:val="heading 4"/>
    <w:basedOn w:val="Text"/>
    <w:next w:val="paragraph"/>
    <w:qFormat/>
    <w:rsid w:val="00D71D4F"/>
    <w:pPr>
      <w:spacing w:after="120"/>
      <w:jc w:val="left"/>
      <w:outlineLvl w:val="3"/>
    </w:pPr>
    <w:rPr>
      <w:u w:val="single"/>
    </w:rPr>
  </w:style>
  <w:style w:type="paragraph" w:styleId="Heading5">
    <w:name w:val="heading 5"/>
    <w:basedOn w:val="Heading4"/>
    <w:next w:val="paragraph"/>
    <w:qFormat/>
    <w:rsid w:val="006B50FB"/>
    <w:pPr>
      <w:outlineLvl w:val="4"/>
    </w:pPr>
  </w:style>
  <w:style w:type="paragraph" w:styleId="Heading6">
    <w:name w:val="heading 6"/>
    <w:basedOn w:val="nottoc-headings"/>
    <w:next w:val="legend"/>
    <w:qFormat/>
    <w:rsid w:val="006B50FB"/>
    <w:pPr>
      <w:outlineLvl w:val="5"/>
    </w:pPr>
  </w:style>
  <w:style w:type="paragraph" w:styleId="Heading7">
    <w:name w:val="heading 7"/>
    <w:basedOn w:val="nottoc-headings"/>
    <w:next w:val="legend"/>
    <w:qFormat/>
    <w:rsid w:val="006B50FB"/>
    <w:pPr>
      <w:outlineLvl w:val="6"/>
    </w:pPr>
  </w:style>
  <w:style w:type="paragraph" w:styleId="Heading8">
    <w:name w:val="heading 8"/>
    <w:basedOn w:val="Normal"/>
    <w:qFormat/>
    <w:rsid w:val="006B50FB"/>
    <w:pPr>
      <w:ind w:left="720"/>
      <w:outlineLvl w:val="7"/>
    </w:pPr>
    <w:rPr>
      <w:i/>
      <w:sz w:val="20"/>
    </w:rPr>
  </w:style>
  <w:style w:type="paragraph" w:styleId="Heading9">
    <w:name w:val="heading 9"/>
    <w:basedOn w:val="Normal"/>
    <w:next w:val="Normal"/>
    <w:qFormat/>
    <w:rsid w:val="006B50FB"/>
    <w:pPr>
      <w:ind w:left="720"/>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6B50FB"/>
    <w:rPr>
      <w:sz w:val="16"/>
    </w:rPr>
  </w:style>
  <w:style w:type="paragraph" w:styleId="CommentText">
    <w:name w:val="annotation text"/>
    <w:basedOn w:val="Normal"/>
    <w:semiHidden/>
    <w:rsid w:val="006B50FB"/>
    <w:rPr>
      <w:sz w:val="20"/>
    </w:rPr>
  </w:style>
  <w:style w:type="paragraph" w:styleId="TOC8">
    <w:name w:val="toc 8"/>
    <w:basedOn w:val="Normal"/>
    <w:next w:val="Normal"/>
    <w:semiHidden/>
    <w:rsid w:val="006B50FB"/>
    <w:pPr>
      <w:tabs>
        <w:tab w:val="left" w:leader="dot" w:pos="8280"/>
        <w:tab w:val="right" w:pos="8640"/>
      </w:tabs>
      <w:ind w:left="5040" w:right="720"/>
    </w:pPr>
  </w:style>
  <w:style w:type="paragraph" w:styleId="TOC7">
    <w:name w:val="toc 7"/>
    <w:basedOn w:val="Normal"/>
    <w:semiHidden/>
    <w:rsid w:val="006B50FB"/>
    <w:pPr>
      <w:tabs>
        <w:tab w:val="right" w:leader="dot" w:pos="9072"/>
      </w:tabs>
      <w:spacing w:after="72"/>
      <w:ind w:left="1701" w:hanging="1701"/>
    </w:pPr>
  </w:style>
  <w:style w:type="paragraph" w:styleId="TOC6">
    <w:name w:val="toc 6"/>
    <w:basedOn w:val="Normal"/>
    <w:semiHidden/>
    <w:rsid w:val="006B50FB"/>
    <w:pPr>
      <w:tabs>
        <w:tab w:val="right" w:leader="dot" w:pos="9072"/>
      </w:tabs>
      <w:spacing w:after="72"/>
      <w:ind w:left="1701" w:hanging="1701"/>
    </w:pPr>
  </w:style>
  <w:style w:type="paragraph" w:styleId="TOC5">
    <w:name w:val="toc 5"/>
    <w:basedOn w:val="Normal"/>
    <w:next w:val="Normal"/>
    <w:semiHidden/>
    <w:rsid w:val="006B50FB"/>
    <w:pPr>
      <w:tabs>
        <w:tab w:val="left" w:leader="dot" w:pos="8280"/>
        <w:tab w:val="right" w:pos="8640"/>
      </w:tabs>
      <w:ind w:left="2880" w:right="720"/>
    </w:pPr>
  </w:style>
  <w:style w:type="paragraph" w:styleId="TOC4">
    <w:name w:val="toc 4"/>
    <w:basedOn w:val="Normal"/>
    <w:next w:val="Normal"/>
    <w:semiHidden/>
    <w:rsid w:val="006B50FB"/>
    <w:pPr>
      <w:tabs>
        <w:tab w:val="left" w:leader="dot" w:pos="8280"/>
        <w:tab w:val="right" w:pos="8640"/>
      </w:tabs>
      <w:ind w:left="2160" w:right="720"/>
    </w:pPr>
  </w:style>
  <w:style w:type="paragraph" w:styleId="TOC3">
    <w:name w:val="toc 3"/>
    <w:basedOn w:val="TOC2"/>
    <w:semiHidden/>
    <w:rsid w:val="006B50FB"/>
    <w:pPr>
      <w:ind w:left="2127" w:hanging="993"/>
    </w:pPr>
  </w:style>
  <w:style w:type="paragraph" w:styleId="TOC2">
    <w:name w:val="toc 2"/>
    <w:basedOn w:val="TOC1"/>
    <w:semiHidden/>
    <w:rsid w:val="006B50FB"/>
    <w:pPr>
      <w:ind w:left="1134" w:hanging="709"/>
    </w:pPr>
  </w:style>
  <w:style w:type="paragraph" w:styleId="TOC1">
    <w:name w:val="toc 1"/>
    <w:basedOn w:val="Normal"/>
    <w:semiHidden/>
    <w:rsid w:val="006B50FB"/>
    <w:pPr>
      <w:tabs>
        <w:tab w:val="right" w:leader="dot" w:pos="9073"/>
      </w:tabs>
      <w:spacing w:after="72"/>
      <w:ind w:left="426" w:hanging="426"/>
    </w:pPr>
  </w:style>
  <w:style w:type="paragraph" w:styleId="Index7">
    <w:name w:val="index 7"/>
    <w:basedOn w:val="Normal"/>
    <w:next w:val="Normal"/>
    <w:semiHidden/>
    <w:rsid w:val="006B50FB"/>
    <w:pPr>
      <w:ind w:left="2160"/>
    </w:pPr>
  </w:style>
  <w:style w:type="paragraph" w:styleId="Index6">
    <w:name w:val="index 6"/>
    <w:basedOn w:val="Normal"/>
    <w:next w:val="Normal"/>
    <w:semiHidden/>
    <w:rsid w:val="006B50FB"/>
    <w:pPr>
      <w:ind w:left="1800"/>
    </w:pPr>
  </w:style>
  <w:style w:type="paragraph" w:styleId="Index5">
    <w:name w:val="index 5"/>
    <w:basedOn w:val="Normal"/>
    <w:next w:val="Normal"/>
    <w:semiHidden/>
    <w:rsid w:val="006B50FB"/>
    <w:pPr>
      <w:ind w:left="1440"/>
    </w:pPr>
  </w:style>
  <w:style w:type="paragraph" w:styleId="Index4">
    <w:name w:val="index 4"/>
    <w:basedOn w:val="Normal"/>
    <w:next w:val="Normal"/>
    <w:semiHidden/>
    <w:rsid w:val="006B50FB"/>
    <w:pPr>
      <w:ind w:left="1080"/>
    </w:pPr>
  </w:style>
  <w:style w:type="paragraph" w:styleId="Index3">
    <w:name w:val="index 3"/>
    <w:basedOn w:val="Normal"/>
    <w:next w:val="Normal"/>
    <w:semiHidden/>
    <w:rsid w:val="006B50FB"/>
    <w:pPr>
      <w:ind w:left="720"/>
    </w:pPr>
  </w:style>
  <w:style w:type="paragraph" w:styleId="Index2">
    <w:name w:val="index 2"/>
    <w:basedOn w:val="Normal"/>
    <w:next w:val="Normal"/>
    <w:semiHidden/>
    <w:rsid w:val="006B50FB"/>
    <w:pPr>
      <w:ind w:left="360"/>
    </w:pPr>
  </w:style>
  <w:style w:type="paragraph" w:styleId="Index1">
    <w:name w:val="index 1"/>
    <w:basedOn w:val="Normal"/>
    <w:next w:val="Normal"/>
    <w:semiHidden/>
    <w:rsid w:val="006B50FB"/>
  </w:style>
  <w:style w:type="character" w:styleId="LineNumber">
    <w:name w:val="line number"/>
    <w:basedOn w:val="DefaultParagraphFont"/>
    <w:rsid w:val="006B50FB"/>
  </w:style>
  <w:style w:type="paragraph" w:styleId="IndexHeading">
    <w:name w:val="index heading"/>
    <w:basedOn w:val="Normal"/>
    <w:next w:val="Index1"/>
    <w:semiHidden/>
    <w:rsid w:val="006B50FB"/>
  </w:style>
  <w:style w:type="paragraph" w:styleId="Footer">
    <w:name w:val="footer"/>
    <w:basedOn w:val="Normal"/>
    <w:rsid w:val="006B50FB"/>
    <w:pPr>
      <w:tabs>
        <w:tab w:val="center" w:pos="6760"/>
        <w:tab w:val="right" w:pos="13540"/>
      </w:tabs>
    </w:pPr>
    <w:rPr>
      <w:rFonts w:ascii="Arial" w:hAnsi="Arial"/>
      <w:sz w:val="20"/>
    </w:rPr>
  </w:style>
  <w:style w:type="paragraph" w:styleId="Header">
    <w:name w:val="header"/>
    <w:basedOn w:val="Normal"/>
    <w:rsid w:val="006B50FB"/>
    <w:pPr>
      <w:tabs>
        <w:tab w:val="center" w:pos="4540"/>
        <w:tab w:val="right" w:pos="9080"/>
      </w:tabs>
    </w:pPr>
    <w:rPr>
      <w:rFonts w:ascii="Arial" w:hAnsi="Arial"/>
      <w:sz w:val="20"/>
    </w:rPr>
  </w:style>
  <w:style w:type="character" w:styleId="FootnoteReference">
    <w:name w:val="footnote reference"/>
    <w:semiHidden/>
    <w:rsid w:val="006B50FB"/>
    <w:rPr>
      <w:position w:val="6"/>
      <w:sz w:val="16"/>
    </w:rPr>
  </w:style>
  <w:style w:type="paragraph" w:styleId="FootnoteText">
    <w:name w:val="footnote text"/>
    <w:basedOn w:val="Normal"/>
    <w:semiHidden/>
    <w:rsid w:val="006B50FB"/>
    <w:rPr>
      <w:sz w:val="20"/>
    </w:rPr>
  </w:style>
  <w:style w:type="paragraph" w:styleId="NormalIndent">
    <w:name w:val="Normal Indent"/>
    <w:basedOn w:val="Normal"/>
    <w:rsid w:val="006B50FB"/>
    <w:pPr>
      <w:spacing w:before="80" w:after="60"/>
      <w:ind w:left="567"/>
      <w:jc w:val="both"/>
    </w:pPr>
  </w:style>
  <w:style w:type="paragraph" w:customStyle="1" w:styleId="paragraph">
    <w:name w:val="paragraph"/>
    <w:basedOn w:val="Normal"/>
    <w:rsid w:val="006B50FB"/>
    <w:pPr>
      <w:spacing w:before="120"/>
      <w:jc w:val="both"/>
    </w:pPr>
  </w:style>
  <w:style w:type="paragraph" w:customStyle="1" w:styleId="Titlepage">
    <w:name w:val="Titlepage"/>
    <w:basedOn w:val="Normal"/>
    <w:rsid w:val="006B50FB"/>
  </w:style>
  <w:style w:type="paragraph" w:customStyle="1" w:styleId="table">
    <w:name w:val="table"/>
    <w:basedOn w:val="Normal"/>
    <w:rsid w:val="006B50FB"/>
    <w:pPr>
      <w:keepNext/>
      <w:tabs>
        <w:tab w:val="left" w:pos="284"/>
      </w:tabs>
      <w:spacing w:before="60" w:after="60"/>
    </w:pPr>
    <w:rPr>
      <w:rFonts w:ascii="Arial" w:hAnsi="Arial"/>
      <w:sz w:val="20"/>
    </w:rPr>
  </w:style>
  <w:style w:type="paragraph" w:customStyle="1" w:styleId="nottoc-headings">
    <w:name w:val="not toc-headings"/>
    <w:basedOn w:val="Normal"/>
    <w:next w:val="legend"/>
    <w:rsid w:val="006B50FB"/>
    <w:pPr>
      <w:keepNext/>
      <w:keepLines/>
      <w:spacing w:before="240" w:after="120"/>
      <w:ind w:left="1701" w:hanging="1701"/>
    </w:pPr>
    <w:rPr>
      <w:rFonts w:ascii="Arial" w:hAnsi="Arial"/>
      <w:b/>
    </w:rPr>
  </w:style>
  <w:style w:type="paragraph" w:customStyle="1" w:styleId="reference">
    <w:name w:val="reference"/>
    <w:basedOn w:val="Normal"/>
    <w:rsid w:val="006B50FB"/>
    <w:pPr>
      <w:spacing w:before="80" w:after="60"/>
      <w:ind w:left="907" w:hanging="907"/>
    </w:pPr>
  </w:style>
  <w:style w:type="paragraph" w:customStyle="1" w:styleId="list">
    <w:name w:val="list"/>
    <w:basedOn w:val="Normal"/>
    <w:rsid w:val="006B50FB"/>
    <w:pPr>
      <w:spacing w:before="60" w:after="60"/>
      <w:ind w:left="567" w:hanging="567"/>
    </w:pPr>
  </w:style>
  <w:style w:type="paragraph" w:customStyle="1" w:styleId="comment">
    <w:name w:val="comment"/>
    <w:basedOn w:val="paragraph"/>
    <w:next w:val="paragraph"/>
    <w:rsid w:val="006B50FB"/>
    <w:pPr>
      <w:keepLines/>
    </w:pPr>
    <w:rPr>
      <w:i/>
      <w:color w:val="0000FF"/>
    </w:rPr>
  </w:style>
  <w:style w:type="paragraph" w:customStyle="1" w:styleId="legend">
    <w:name w:val="legend"/>
    <w:basedOn w:val="Normal"/>
    <w:next w:val="table"/>
    <w:rsid w:val="006B50FB"/>
    <w:pPr>
      <w:keepNext/>
      <w:keepLines/>
      <w:spacing w:after="120"/>
      <w:jc w:val="both"/>
    </w:pPr>
  </w:style>
  <w:style w:type="paragraph" w:customStyle="1" w:styleId="non-proportional">
    <w:name w:val="non-proportional"/>
    <w:basedOn w:val="Normal"/>
    <w:rsid w:val="006B50FB"/>
    <w:pPr>
      <w:spacing w:line="240" w:lineRule="atLeast"/>
      <w:jc w:val="both"/>
    </w:pPr>
    <w:rPr>
      <w:rFonts w:ascii="Courier New" w:hAnsi="Courier New"/>
      <w:spacing w:val="-10"/>
      <w:sz w:val="20"/>
    </w:rPr>
  </w:style>
  <w:style w:type="paragraph" w:customStyle="1" w:styleId="Auflistung">
    <w:name w:val="Auflistung"/>
    <w:basedOn w:val="Normal"/>
    <w:rsid w:val="006B50FB"/>
    <w:pPr>
      <w:tabs>
        <w:tab w:val="left" w:pos="284"/>
      </w:tabs>
      <w:spacing w:before="240"/>
      <w:ind w:left="709" w:hanging="709"/>
    </w:pPr>
    <w:rPr>
      <w:rFonts w:ascii="Helv" w:hAnsi="Helv"/>
      <w:sz w:val="20"/>
    </w:rPr>
  </w:style>
  <w:style w:type="paragraph" w:customStyle="1" w:styleId="Absender">
    <w:name w:val="Absender"/>
    <w:basedOn w:val="Normal"/>
    <w:rsid w:val="006B50FB"/>
    <w:pPr>
      <w:tabs>
        <w:tab w:val="left" w:pos="1276"/>
        <w:tab w:val="left" w:pos="5273"/>
      </w:tabs>
    </w:pPr>
    <w:rPr>
      <w:rFonts w:ascii="Helv" w:hAnsi="Helv"/>
      <w:sz w:val="20"/>
    </w:rPr>
  </w:style>
  <w:style w:type="paragraph" w:customStyle="1" w:styleId="Letterhead">
    <w:name w:val="Letterhead"/>
    <w:basedOn w:val="Normal"/>
    <w:rsid w:val="006B50FB"/>
    <w:rPr>
      <w:rFonts w:ascii="Helv" w:hAnsi="Helv"/>
      <w:sz w:val="16"/>
      <w:lang w:val="de-DE"/>
    </w:rPr>
  </w:style>
  <w:style w:type="paragraph" w:customStyle="1" w:styleId="litref">
    <w:name w:val="litref"/>
    <w:basedOn w:val="paragraph"/>
    <w:rsid w:val="006B50FB"/>
    <w:pPr>
      <w:framePr w:w="1985" w:wrap="auto" w:hAnchor="margin" w:x="7656"/>
      <w:jc w:val="left"/>
    </w:pPr>
    <w:rPr>
      <w:sz w:val="22"/>
      <w:lang w:val="en-GB"/>
    </w:rPr>
  </w:style>
  <w:style w:type="paragraph" w:customStyle="1" w:styleId="crossref">
    <w:name w:val="crossref"/>
    <w:basedOn w:val="paragraph"/>
    <w:rsid w:val="006B50FB"/>
    <w:pPr>
      <w:framePr w:w="1985" w:wrap="auto" w:hAnchor="margin" w:x="7656"/>
      <w:jc w:val="left"/>
    </w:pPr>
    <w:rPr>
      <w:i/>
      <w:sz w:val="22"/>
      <w:lang w:val="en-GB"/>
    </w:rPr>
  </w:style>
  <w:style w:type="paragraph" w:customStyle="1" w:styleId="referencelist">
    <w:name w:val="reference list"/>
    <w:basedOn w:val="Normal"/>
    <w:rsid w:val="006B50FB"/>
    <w:pPr>
      <w:keepLines/>
      <w:spacing w:before="72"/>
    </w:pPr>
    <w:rPr>
      <w:sz w:val="22"/>
      <w:lang w:val="en-GB"/>
    </w:rPr>
  </w:style>
  <w:style w:type="paragraph" w:customStyle="1" w:styleId="title">
    <w:name w:val="title"/>
    <w:basedOn w:val="Normal"/>
    <w:next w:val="author"/>
    <w:rsid w:val="006B50FB"/>
    <w:pPr>
      <w:spacing w:after="240"/>
      <w:jc w:val="center"/>
    </w:pPr>
    <w:rPr>
      <w:b/>
      <w:lang w:val="en-GB"/>
    </w:rPr>
  </w:style>
  <w:style w:type="paragraph" w:customStyle="1" w:styleId="author">
    <w:name w:val="author"/>
    <w:basedOn w:val="Normal"/>
    <w:next w:val="abstract"/>
    <w:rsid w:val="006B50FB"/>
    <w:pPr>
      <w:jc w:val="center"/>
    </w:pPr>
    <w:rPr>
      <w:sz w:val="18"/>
      <w:lang w:val="en-GB"/>
    </w:rPr>
  </w:style>
  <w:style w:type="paragraph" w:customStyle="1" w:styleId="equation">
    <w:name w:val="equation"/>
    <w:basedOn w:val="Normal"/>
    <w:rsid w:val="006B50FB"/>
    <w:pPr>
      <w:tabs>
        <w:tab w:val="center" w:pos="2325"/>
        <w:tab w:val="right" w:pos="4649"/>
      </w:tabs>
      <w:spacing w:before="74" w:after="74"/>
      <w:jc w:val="both"/>
    </w:pPr>
    <w:rPr>
      <w:sz w:val="18"/>
      <w:lang w:val="en-GB"/>
    </w:rPr>
  </w:style>
  <w:style w:type="paragraph" w:customStyle="1" w:styleId="abstract">
    <w:name w:val="abstract"/>
    <w:basedOn w:val="Normal"/>
    <w:rsid w:val="006B50FB"/>
    <w:pPr>
      <w:spacing w:before="240" w:after="240"/>
      <w:ind w:left="567" w:right="567"/>
      <w:jc w:val="both"/>
    </w:pPr>
    <w:rPr>
      <w:rFonts w:ascii="Helv" w:hAnsi="Helv"/>
      <w:sz w:val="18"/>
      <w:lang w:val="en-GB"/>
    </w:rPr>
  </w:style>
  <w:style w:type="paragraph" w:customStyle="1" w:styleId="list2">
    <w:name w:val="list2"/>
    <w:basedOn w:val="list"/>
    <w:rsid w:val="006B50FB"/>
    <w:pPr>
      <w:tabs>
        <w:tab w:val="left" w:pos="251"/>
      </w:tabs>
      <w:spacing w:before="46" w:after="0"/>
      <w:ind w:left="1134" w:hanging="1134"/>
      <w:jc w:val="both"/>
    </w:pPr>
    <w:rPr>
      <w:sz w:val="18"/>
      <w:lang w:val="en-GB"/>
    </w:rPr>
  </w:style>
  <w:style w:type="paragraph" w:customStyle="1" w:styleId="equation0">
    <w:name w:val="equation()"/>
    <w:basedOn w:val="equation"/>
    <w:next w:val="Normal"/>
    <w:rsid w:val="006B50FB"/>
    <w:pPr>
      <w:tabs>
        <w:tab w:val="clear" w:pos="2325"/>
        <w:tab w:val="clear" w:pos="4649"/>
      </w:tabs>
      <w:jc w:val="center"/>
    </w:pPr>
  </w:style>
  <w:style w:type="paragraph" w:customStyle="1" w:styleId="figure">
    <w:name w:val="figure"/>
    <w:basedOn w:val="Normal"/>
    <w:rsid w:val="006B50FB"/>
    <w:pPr>
      <w:keepNext/>
      <w:keepLines/>
      <w:jc w:val="both"/>
    </w:pPr>
    <w:rPr>
      <w:rFonts w:ascii="Helv" w:hAnsi="Helv"/>
      <w:sz w:val="16"/>
      <w:lang w:val="en-GB"/>
    </w:rPr>
  </w:style>
  <w:style w:type="paragraph" w:customStyle="1" w:styleId="symbol">
    <w:name w:val="symbol"/>
    <w:basedOn w:val="Normal"/>
    <w:rsid w:val="006B50FB"/>
    <w:pPr>
      <w:jc w:val="center"/>
    </w:pPr>
    <w:rPr>
      <w:rFonts w:ascii="Symbol" w:hAnsi="Symbol"/>
      <w:b/>
      <w:sz w:val="16"/>
      <w:lang w:val="en-GB"/>
    </w:rPr>
  </w:style>
  <w:style w:type="paragraph" w:customStyle="1" w:styleId="dingbats">
    <w:name w:val="dingbats"/>
    <w:basedOn w:val="symbol"/>
    <w:rsid w:val="006B50FB"/>
    <w:rPr>
      <w:rFonts w:ascii="ZapfDingbats" w:hAnsi="ZapfDingbats"/>
      <w:b w:val="0"/>
    </w:rPr>
  </w:style>
  <w:style w:type="paragraph" w:customStyle="1" w:styleId="distrib">
    <w:name w:val="distrib"/>
    <w:basedOn w:val="list"/>
    <w:rsid w:val="006B50FB"/>
    <w:pPr>
      <w:keepLines/>
      <w:tabs>
        <w:tab w:val="left" w:pos="567"/>
        <w:tab w:val="left" w:pos="6804"/>
      </w:tabs>
      <w:spacing w:before="720" w:after="0"/>
      <w:ind w:left="284" w:hanging="284"/>
      <w:jc w:val="both"/>
    </w:pPr>
    <w:rPr>
      <w:sz w:val="22"/>
      <w:u w:val="single"/>
    </w:rPr>
  </w:style>
  <w:style w:type="paragraph" w:customStyle="1" w:styleId="part">
    <w:name w:val="part"/>
    <w:basedOn w:val="Normal"/>
    <w:rsid w:val="006B50FB"/>
    <w:pPr>
      <w:framePr w:wrap="notBeside" w:vAnchor="page" w:hAnchor="page" w:x="7484" w:y="2553"/>
      <w:jc w:val="both"/>
    </w:pPr>
    <w:rPr>
      <w:rFonts w:ascii="Arial" w:hAnsi="Arial"/>
      <w:b/>
      <w:sz w:val="20"/>
    </w:rPr>
  </w:style>
  <w:style w:type="paragraph" w:customStyle="1" w:styleId="form">
    <w:name w:val="form"/>
    <w:basedOn w:val="Normal"/>
    <w:rsid w:val="006B50FB"/>
    <w:pPr>
      <w:framePr w:wrap="notBeside" w:vAnchor="page" w:hAnchor="page" w:x="7479" w:y="3273"/>
      <w:jc w:val="both"/>
    </w:pPr>
    <w:rPr>
      <w:rFonts w:ascii="Arial" w:hAnsi="Arial"/>
      <w:b/>
      <w:sz w:val="20"/>
    </w:rPr>
  </w:style>
  <w:style w:type="paragraph" w:customStyle="1" w:styleId="Normal0">
    <w:name w:val="Normal+"/>
    <w:basedOn w:val="Normal1"/>
    <w:rsid w:val="006B50FB"/>
    <w:pPr>
      <w:spacing w:after="57"/>
    </w:pPr>
  </w:style>
  <w:style w:type="paragraph" w:customStyle="1" w:styleId="Normal-">
    <w:name w:val="Normal-+"/>
    <w:basedOn w:val="Normal1"/>
    <w:rsid w:val="006B50FB"/>
    <w:pPr>
      <w:spacing w:before="57" w:after="57"/>
    </w:pPr>
  </w:style>
  <w:style w:type="paragraph" w:customStyle="1" w:styleId="Normal-0">
    <w:name w:val="Normal-"/>
    <w:basedOn w:val="Normal1"/>
    <w:rsid w:val="006B50FB"/>
    <w:pPr>
      <w:spacing w:before="57"/>
    </w:pPr>
  </w:style>
  <w:style w:type="paragraph" w:customStyle="1" w:styleId="Normal1">
    <w:name w:val="Normal*"/>
    <w:basedOn w:val="Normal"/>
    <w:rsid w:val="006B50FB"/>
    <w:rPr>
      <w:rFonts w:ascii="Helv" w:hAnsi="Helv"/>
      <w:sz w:val="18"/>
      <w:lang w:val="en-GB"/>
    </w:rPr>
  </w:style>
  <w:style w:type="paragraph" w:customStyle="1" w:styleId="Fix">
    <w:name w:val="Fix*"/>
    <w:basedOn w:val="Normal1"/>
    <w:rsid w:val="006B50FB"/>
    <w:rPr>
      <w:sz w:val="14"/>
    </w:rPr>
  </w:style>
  <w:style w:type="paragraph" w:customStyle="1" w:styleId="Fix-">
    <w:name w:val="Fix-"/>
    <w:basedOn w:val="Fix"/>
    <w:rsid w:val="006B50FB"/>
    <w:pPr>
      <w:spacing w:before="57"/>
    </w:pPr>
  </w:style>
  <w:style w:type="paragraph" w:customStyle="1" w:styleId="Fix0">
    <w:name w:val="Fix+"/>
    <w:basedOn w:val="Fix"/>
    <w:rsid w:val="006B50FB"/>
    <w:pPr>
      <w:spacing w:after="57"/>
    </w:pPr>
  </w:style>
  <w:style w:type="paragraph" w:customStyle="1" w:styleId="Fix-0">
    <w:name w:val="Fix-+"/>
    <w:basedOn w:val="Fix"/>
    <w:rsid w:val="006B50FB"/>
    <w:pPr>
      <w:spacing w:before="57" w:after="57"/>
    </w:pPr>
  </w:style>
  <w:style w:type="paragraph" w:customStyle="1" w:styleId="line">
    <w:name w:val="line"/>
    <w:basedOn w:val="Normal"/>
    <w:rsid w:val="006B50FB"/>
    <w:pPr>
      <w:tabs>
        <w:tab w:val="left" w:pos="1985"/>
      </w:tabs>
    </w:pPr>
    <w:rPr>
      <w:lang w:val="en-GB"/>
    </w:rPr>
  </w:style>
  <w:style w:type="paragraph" w:customStyle="1" w:styleId="normalindent4cm">
    <w:name w:val="normal indent 4 cm"/>
    <w:basedOn w:val="Normal"/>
    <w:next w:val="Normal"/>
    <w:rsid w:val="006B50FB"/>
    <w:pPr>
      <w:spacing w:after="120"/>
      <w:ind w:left="2268" w:hanging="2268"/>
      <w:jc w:val="both"/>
    </w:pPr>
    <w:rPr>
      <w:lang w:val="en-GB"/>
    </w:rPr>
  </w:style>
  <w:style w:type="paragraph" w:customStyle="1" w:styleId="subheading">
    <w:name w:val="subheading"/>
    <w:basedOn w:val="Normal"/>
    <w:next w:val="Normal"/>
    <w:autoRedefine/>
    <w:qFormat/>
    <w:rsid w:val="00053D88"/>
    <w:pPr>
      <w:keepNext/>
      <w:keepLines/>
      <w:tabs>
        <w:tab w:val="left" w:pos="907"/>
      </w:tabs>
      <w:spacing w:before="120" w:after="120"/>
    </w:pPr>
    <w:rPr>
      <w:b/>
      <w:sz w:val="28"/>
      <w:lang w:val="en-GB"/>
    </w:rPr>
  </w:style>
  <w:style w:type="paragraph" w:customStyle="1" w:styleId="paragraphSIF">
    <w:name w:val="paragraph SIF"/>
    <w:basedOn w:val="Normal"/>
    <w:rsid w:val="006B50FB"/>
    <w:pPr>
      <w:pBdr>
        <w:bottom w:val="single" w:sz="6" w:space="4" w:color="auto"/>
      </w:pBdr>
      <w:spacing w:after="120"/>
      <w:jc w:val="both"/>
    </w:pPr>
    <w:rPr>
      <w:sz w:val="22"/>
      <w:lang w:val="en-GB"/>
    </w:rPr>
  </w:style>
  <w:style w:type="paragraph" w:customStyle="1" w:styleId="headingSIF">
    <w:name w:val="heading SIF"/>
    <w:basedOn w:val="subheading"/>
    <w:next w:val="paragraphSIF"/>
    <w:rsid w:val="006B50FB"/>
    <w:pPr>
      <w:tabs>
        <w:tab w:val="clear" w:pos="907"/>
      </w:tabs>
      <w:spacing w:before="0"/>
    </w:pPr>
    <w:rPr>
      <w:sz w:val="22"/>
    </w:rPr>
  </w:style>
  <w:style w:type="paragraph" w:customStyle="1" w:styleId="TexteTableau">
    <w:name w:val="Texte Tableau"/>
    <w:basedOn w:val="Normal"/>
    <w:rsid w:val="006B50FB"/>
    <w:pPr>
      <w:jc w:val="both"/>
    </w:pPr>
    <w:rPr>
      <w:rFonts w:ascii="Helv" w:hAnsi="Helv"/>
      <w:sz w:val="20"/>
      <w:lang w:val="fr-FR"/>
    </w:rPr>
  </w:style>
  <w:style w:type="paragraph" w:customStyle="1" w:styleId="CourrierTableau">
    <w:name w:val="CourrierTableau"/>
    <w:basedOn w:val="Normal"/>
    <w:rsid w:val="006B50FB"/>
    <w:pPr>
      <w:jc w:val="both"/>
    </w:pPr>
    <w:rPr>
      <w:rFonts w:ascii="Courier" w:hAnsi="Courier"/>
      <w:sz w:val="20"/>
      <w:lang w:val="fr-FR"/>
    </w:rPr>
  </w:style>
  <w:style w:type="paragraph" w:customStyle="1" w:styleId="AbstracText">
    <w:name w:val="AbstracText"/>
    <w:basedOn w:val="Normal"/>
    <w:rsid w:val="006B50FB"/>
    <w:pPr>
      <w:tabs>
        <w:tab w:val="left" w:pos="1418"/>
      </w:tabs>
      <w:spacing w:after="240" w:line="240" w:lineRule="atLeast"/>
      <w:ind w:right="6"/>
      <w:jc w:val="both"/>
    </w:pPr>
    <w:rPr>
      <w:lang w:val="en-GB"/>
    </w:rPr>
  </w:style>
  <w:style w:type="paragraph" w:customStyle="1" w:styleId="S">
    <w:name w:val="S"/>
    <w:basedOn w:val="Normal"/>
    <w:rsid w:val="006B50FB"/>
    <w:pPr>
      <w:tabs>
        <w:tab w:val="left" w:pos="1134"/>
        <w:tab w:val="left" w:pos="1418"/>
      </w:tabs>
      <w:jc w:val="both"/>
    </w:pPr>
    <w:rPr>
      <w:sz w:val="22"/>
      <w:lang w:val="en-GB"/>
    </w:rPr>
  </w:style>
  <w:style w:type="paragraph" w:customStyle="1" w:styleId="table1">
    <w:name w:val="table1"/>
    <w:basedOn w:val="table"/>
    <w:rsid w:val="006B50FB"/>
    <w:pPr>
      <w:keepNext w:val="0"/>
      <w:tabs>
        <w:tab w:val="clear" w:pos="284"/>
      </w:tabs>
      <w:spacing w:before="0" w:after="0"/>
    </w:pPr>
    <w:rPr>
      <w:rFonts w:ascii="Times New Roman" w:hAnsi="Times New Roman"/>
      <w:b/>
      <w:i/>
      <w:sz w:val="24"/>
    </w:rPr>
  </w:style>
  <w:style w:type="paragraph" w:customStyle="1" w:styleId="Text">
    <w:name w:val="Text"/>
    <w:basedOn w:val="Normal"/>
    <w:link w:val="TextChar"/>
    <w:rsid w:val="006B50FB"/>
    <w:pPr>
      <w:spacing w:before="120"/>
      <w:jc w:val="both"/>
    </w:pPr>
    <w:rPr>
      <w:lang w:val="en-US"/>
    </w:rPr>
  </w:style>
  <w:style w:type="paragraph" w:customStyle="1" w:styleId="Nottoc-headings0">
    <w:name w:val="Not toc-headings"/>
    <w:basedOn w:val="Normal"/>
    <w:next w:val="Text"/>
    <w:link w:val="Nottoc-headingsChar"/>
    <w:rsid w:val="006B50FB"/>
    <w:pPr>
      <w:keepNext/>
      <w:keepLines/>
      <w:spacing w:before="240" w:after="60"/>
      <w:ind w:left="1701" w:hanging="1701"/>
    </w:pPr>
    <w:rPr>
      <w:rFonts w:ascii="Arial" w:hAnsi="Arial"/>
      <w:b/>
      <w:sz w:val="22"/>
      <w:lang w:val="en-US"/>
    </w:rPr>
  </w:style>
  <w:style w:type="paragraph" w:styleId="BodyTextIndent">
    <w:name w:val="Body Text Indent"/>
    <w:basedOn w:val="Normal"/>
    <w:link w:val="BodyTextIndentChar"/>
    <w:rsid w:val="006B50FB"/>
    <w:pPr>
      <w:ind w:left="284" w:hanging="284"/>
      <w:jc w:val="both"/>
    </w:pPr>
  </w:style>
  <w:style w:type="paragraph" w:customStyle="1" w:styleId="Table0">
    <w:name w:val="Table"/>
    <w:basedOn w:val="Nottoc-headings0"/>
    <w:link w:val="TableChar"/>
    <w:rsid w:val="006B50FB"/>
    <w:pPr>
      <w:keepNext w:val="0"/>
      <w:tabs>
        <w:tab w:val="left" w:pos="284"/>
      </w:tabs>
      <w:spacing w:before="40" w:after="20"/>
      <w:ind w:left="0" w:firstLine="0"/>
    </w:pPr>
    <w:rPr>
      <w:b w:val="0"/>
      <w:sz w:val="20"/>
    </w:rPr>
  </w:style>
  <w:style w:type="paragraph" w:styleId="EndnoteText">
    <w:name w:val="endnote text"/>
    <w:basedOn w:val="Normal"/>
    <w:semiHidden/>
    <w:rsid w:val="006B50FB"/>
    <w:pPr>
      <w:spacing w:before="80" w:after="60"/>
      <w:ind w:left="907" w:hanging="907"/>
    </w:pPr>
    <w:rPr>
      <w:lang w:val="en-GB"/>
    </w:rPr>
  </w:style>
  <w:style w:type="paragraph" w:styleId="BalloonText">
    <w:name w:val="Balloon Text"/>
    <w:basedOn w:val="Normal"/>
    <w:semiHidden/>
    <w:rsid w:val="000041B9"/>
    <w:rPr>
      <w:rFonts w:ascii="Tahoma" w:hAnsi="Tahoma" w:cs="Tahoma"/>
      <w:sz w:val="16"/>
      <w:szCs w:val="16"/>
    </w:rPr>
  </w:style>
  <w:style w:type="character" w:customStyle="1" w:styleId="TableChar">
    <w:name w:val="Table Char"/>
    <w:link w:val="Table0"/>
    <w:rsid w:val="009778CF"/>
    <w:rPr>
      <w:rFonts w:ascii="Arial" w:hAnsi="Arial"/>
      <w:lang w:val="en-US" w:eastAsia="en-US" w:bidi="ar-SA"/>
    </w:rPr>
  </w:style>
  <w:style w:type="character" w:customStyle="1" w:styleId="Nottoc-headingsChar">
    <w:name w:val="Not toc-headings Char"/>
    <w:link w:val="Nottoc-headings0"/>
    <w:rsid w:val="009778CF"/>
    <w:rPr>
      <w:rFonts w:ascii="Arial" w:hAnsi="Arial"/>
      <w:b/>
      <w:sz w:val="22"/>
      <w:lang w:val="en-US" w:eastAsia="en-US" w:bidi="ar-SA"/>
    </w:rPr>
  </w:style>
  <w:style w:type="character" w:customStyle="1" w:styleId="TextChar">
    <w:name w:val="Text Char"/>
    <w:link w:val="Text"/>
    <w:rsid w:val="00CD3517"/>
    <w:rPr>
      <w:sz w:val="24"/>
      <w:lang w:val="en-US" w:eastAsia="en-US" w:bidi="ar-SA"/>
    </w:rPr>
  </w:style>
  <w:style w:type="character" w:styleId="EndnoteReference">
    <w:name w:val="endnote reference"/>
    <w:semiHidden/>
    <w:rsid w:val="00265B42"/>
    <w:rPr>
      <w:vertAlign w:val="superscript"/>
    </w:rPr>
  </w:style>
  <w:style w:type="paragraph" w:styleId="CommentSubject">
    <w:name w:val="annotation subject"/>
    <w:basedOn w:val="CommentText"/>
    <w:next w:val="CommentText"/>
    <w:semiHidden/>
    <w:rsid w:val="00FE6ABB"/>
    <w:rPr>
      <w:b/>
      <w:bCs/>
    </w:rPr>
  </w:style>
  <w:style w:type="table" w:styleId="TableGrid">
    <w:name w:val="Table Grid"/>
    <w:basedOn w:val="TableNormal"/>
    <w:rsid w:val="00AB39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Title"/>
    <w:next w:val="Normal"/>
    <w:rsid w:val="00FB35D9"/>
    <w:pPr>
      <w:spacing w:before="60" w:after="60"/>
      <w:jc w:val="center"/>
    </w:pPr>
    <w:rPr>
      <w:b/>
      <w:sz w:val="16"/>
      <w:szCs w:val="24"/>
      <w:lang w:val="en-US" w:eastAsia="en-US"/>
    </w:rPr>
  </w:style>
  <w:style w:type="character" w:styleId="FollowedHyperlink">
    <w:name w:val="FollowedHyperlink"/>
    <w:rsid w:val="00BA25C3"/>
    <w:rPr>
      <w:color w:val="606420"/>
      <w:u w:val="single"/>
    </w:rPr>
  </w:style>
  <w:style w:type="paragraph" w:customStyle="1" w:styleId="CharCharCharCharChar1CharCharCharCharCharChar">
    <w:name w:val="Char Char Char Char Char1 Char Char Char Char Char Char"/>
    <w:basedOn w:val="Normal"/>
    <w:rsid w:val="00881451"/>
    <w:pPr>
      <w:spacing w:after="160" w:line="240" w:lineRule="exact"/>
    </w:pPr>
    <w:rPr>
      <w:rFonts w:ascii="Tahoma" w:hAnsi="Tahoma"/>
      <w:sz w:val="20"/>
      <w:lang w:val="en-US"/>
    </w:rPr>
  </w:style>
  <w:style w:type="paragraph" w:customStyle="1" w:styleId="StyleHeading1TimesNewRoman12ptUnderlineLeft0cmF">
    <w:name w:val="Style Heading 1 + Times New Roman 12 pt Underline Left:  0 cm F..."/>
    <w:basedOn w:val="Heading1"/>
    <w:autoRedefine/>
    <w:qFormat/>
    <w:rsid w:val="00053D88"/>
    <w:pPr>
      <w:spacing w:before="0" w:line="320" w:lineRule="atLeast"/>
      <w:ind w:left="0" w:right="0" w:firstLine="0"/>
    </w:pPr>
    <w:rPr>
      <w:bCs/>
    </w:rPr>
  </w:style>
  <w:style w:type="character" w:customStyle="1" w:styleId="BodyTextIndentChar">
    <w:name w:val="Body Text Indent Char"/>
    <w:link w:val="BodyTextIndent"/>
    <w:rsid w:val="00053D88"/>
    <w:rPr>
      <w:sz w:val="24"/>
      <w:lang w:val="en-AU"/>
    </w:rPr>
  </w:style>
  <w:style w:type="paragraph" w:styleId="Revision">
    <w:name w:val="Revision"/>
    <w:hidden/>
    <w:uiPriority w:val="99"/>
    <w:semiHidden/>
    <w:rsid w:val="00FD0074"/>
    <w:rPr>
      <w:sz w:val="24"/>
      <w:lang w:eastAsia="en-US"/>
    </w:rPr>
  </w:style>
  <w:style w:type="paragraph" w:customStyle="1" w:styleId="Comment0">
    <w:name w:val="Comment"/>
    <w:basedOn w:val="Normal"/>
    <w:next w:val="Text"/>
    <w:link w:val="CommentChar"/>
    <w:rsid w:val="003473B8"/>
    <w:pPr>
      <w:keepLines/>
      <w:spacing w:before="120"/>
      <w:jc w:val="both"/>
    </w:pPr>
    <w:rPr>
      <w:rFonts w:eastAsia="MS Mincho"/>
      <w:i/>
      <w:color w:val="BF30B5"/>
      <w:szCs w:val="24"/>
    </w:rPr>
  </w:style>
  <w:style w:type="character" w:customStyle="1" w:styleId="CommentChar">
    <w:name w:val="Comment Char"/>
    <w:link w:val="Comment0"/>
    <w:rsid w:val="003473B8"/>
    <w:rPr>
      <w:rFonts w:eastAsia="MS Mincho"/>
      <w:i/>
      <w:color w:val="BF30B5"/>
      <w:sz w:val="24"/>
      <w:szCs w:val="24"/>
    </w:rPr>
  </w:style>
  <w:style w:type="paragraph" w:customStyle="1" w:styleId="JPListlevel1">
    <w:name w:val="JP List level 1"/>
    <w:basedOn w:val="Normal"/>
    <w:rsid w:val="00744F1D"/>
    <w:pPr>
      <w:spacing w:line="360" w:lineRule="atLeast"/>
      <w:ind w:left="425" w:hanging="425"/>
    </w:pPr>
    <w:rPr>
      <w:rFonts w:eastAsia="MS Mincho"/>
      <w:sz w:val="21"/>
      <w:szCs w:val="21"/>
      <w:lang w:val="en-US" w:eastAsia="ja-JP"/>
    </w:rPr>
  </w:style>
  <w:style w:type="paragraph" w:styleId="ListParagraph">
    <w:name w:val="List Paragraph"/>
    <w:basedOn w:val="Normal"/>
    <w:uiPriority w:val="34"/>
    <w:qFormat/>
    <w:rsid w:val="00C72B9C"/>
    <w:pPr>
      <w:spacing w:after="200"/>
      <w:ind w:left="720"/>
      <w:contextualSpacing/>
    </w:pPr>
    <w:rPr>
      <w:rFonts w:ascii="Arial" w:eastAsia="Calibri" w:hAnsi="Arial"/>
      <w:sz w:val="22"/>
      <w:szCs w:val="22"/>
      <w:lang w:val="en-US"/>
    </w:rPr>
  </w:style>
  <w:style w:type="paragraph" w:styleId="BodyText">
    <w:name w:val="Body Text"/>
    <w:basedOn w:val="Normal"/>
    <w:link w:val="BodyTextChar"/>
    <w:uiPriority w:val="99"/>
    <w:semiHidden/>
    <w:unhideWhenUsed/>
    <w:rsid w:val="00787273"/>
    <w:pPr>
      <w:spacing w:after="120"/>
    </w:pPr>
  </w:style>
  <w:style w:type="character" w:customStyle="1" w:styleId="BodyTextChar">
    <w:name w:val="Body Text Char"/>
    <w:link w:val="BodyText"/>
    <w:uiPriority w:val="99"/>
    <w:semiHidden/>
    <w:rsid w:val="00787273"/>
    <w:rPr>
      <w:sz w:val="24"/>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image" Target="media/image7.wmf"/><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48</Pages>
  <Words>19523</Words>
  <Characters>105622</Characters>
  <Application>Microsoft Office Word</Application>
  <DocSecurity>0</DocSecurity>
  <Lines>1920</Lines>
  <Paragraphs>851</Paragraphs>
  <ScaleCrop>false</ScaleCrop>
  <HeadingPairs>
    <vt:vector size="2" baseType="variant">
      <vt:variant>
        <vt:lpstr>Title</vt:lpstr>
      </vt:variant>
      <vt:variant>
        <vt:i4>1</vt:i4>
      </vt:variant>
    </vt:vector>
  </HeadingPairs>
  <TitlesOfParts>
    <vt:vector size="1" baseType="lpstr">
      <vt:lpstr>Product Information for Glivec</vt:lpstr>
    </vt:vector>
  </TitlesOfParts>
  <Company>Novartis Pharmaceuticals Australia Pty Ltd</Company>
  <LinksUpToDate>false</LinksUpToDate>
  <CharactersWithSpaces>124294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Information for Glivec</dc:title>
  <dc:subject>prescription medicine regulation</dc:subject>
  <dc:creator>Novartis Pharmaceuticals Australia Pty Ltd</dc:creator>
  <cp:keywords>product information, pi, prescription, medicine, regulation, australia, glivec, imatinib</cp:keywords>
  <dc:description/>
  <cp:lastModifiedBy>Sheppard, Fran</cp:lastModifiedBy>
  <cp:revision>8</cp:revision>
  <cp:lastPrinted>2012-11-06T02:24:00Z</cp:lastPrinted>
  <dcterms:created xsi:type="dcterms:W3CDTF">2013-04-03T04:37:00Z</dcterms:created>
  <dcterms:modified xsi:type="dcterms:W3CDTF">2013-07-11T03:00:00Z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keted">
    <vt:lpwstr>1</vt:lpwstr>
  </property>
  <property fmtid="{D5CDD505-2E9C-101B-9397-08002B2CF9AE}" pid="3" name="Generic Name">
    <vt:lpwstr>imitinab as mesylate</vt:lpwstr>
  </property>
  <property fmtid="{D5CDD505-2E9C-101B-9397-08002B2CF9AE}" pid="4" name="PI Date">
    <vt:lpwstr>2011-08-17T01:00:00Z</vt:lpwstr>
  </property>
  <property fmtid="{D5CDD505-2E9C-101B-9397-08002B2CF9AE}" pid="5" name="Dosage Form">
    <vt:lpwstr>Tablet</vt:lpwstr>
  </property>
  <property fmtid="{D5CDD505-2E9C-101B-9397-08002B2CF9AE}" pid="6" name="ContentType">
    <vt:lpwstr>PI Document</vt:lpwstr>
  </property>
  <property fmtid="{D5CDD505-2E9C-101B-9397-08002B2CF9AE}" pid="7" name="Brand Name">
    <vt:lpwstr>Glivec</vt:lpwstr>
  </property>
  <property fmtid="{D5CDD505-2E9C-101B-9397-08002B2CF9AE}" pid="8" name="Image">
    <vt:lpwstr/>
  </property>
  <property fmtid="{D5CDD505-2E9C-101B-9397-08002B2CF9AE}" pid="9" name="Revision Flag">
    <vt:lpwstr/>
  </property>
</Properties>
</file>