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November 2017"/>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630C42" w:rsidP="00096AA7">
            <w:pPr>
              <w:rPr>
                <w:rFonts w:ascii="Arial" w:hAnsi="Arial" w:cs="Arial"/>
                <w:b/>
                <w:color w:val="002C47"/>
                <w:sz w:val="36"/>
                <w:szCs w:val="36"/>
              </w:rPr>
            </w:pPr>
            <w:r>
              <w:rPr>
                <w:rFonts w:ascii="Arial" w:hAnsi="Arial" w:cs="Arial"/>
                <w:b/>
                <w:color w:val="002C47"/>
                <w:sz w:val="36"/>
                <w:szCs w:val="36"/>
              </w:rPr>
              <w:t>November</w:t>
            </w:r>
            <w:r w:rsidR="00B35C34">
              <w:rPr>
                <w:rFonts w:ascii="Arial" w:hAnsi="Arial" w:cs="Arial"/>
                <w:b/>
                <w:color w:val="002C47"/>
                <w:sz w:val="36"/>
                <w:szCs w:val="36"/>
              </w:rPr>
              <w:t xml:space="preserve"> 2</w:t>
            </w:r>
            <w:r w:rsidR="00E838AE">
              <w:rPr>
                <w:rFonts w:ascii="Arial" w:hAnsi="Arial" w:cs="Arial"/>
                <w:b/>
                <w:color w:val="002C47"/>
                <w:sz w:val="36"/>
                <w:szCs w:val="36"/>
              </w:rPr>
              <w:t>017</w:t>
            </w:r>
          </w:p>
        </w:tc>
      </w:tr>
    </w:tbl>
    <w:tbl>
      <w:tblPr>
        <w:tblpPr w:leftFromText="180" w:rightFromText="180" w:vertAnchor="page" w:tblpY="3316"/>
        <w:tblW w:w="9079" w:type="dxa"/>
        <w:tblLayout w:type="fixed"/>
        <w:tblLook w:val="04A0" w:firstRow="1" w:lastRow="0" w:firstColumn="1" w:lastColumn="0" w:noHBand="0" w:noVBand="1"/>
        <w:tblDescription w:val="Australian Public Assessment Report for ibuprofen&#10;Proprietary Product Name: Pedea&#10;Sponsor: Emerge Health Pty Ltd&#10;"/>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Australian Pu</w:t>
            </w:r>
            <w:r w:rsidR="009C4503">
              <w:rPr>
                <w:color w:val="FFFFFF" w:themeColor="background1"/>
              </w:rPr>
              <w:t>blic Assessment Report for ibuprofen</w:t>
            </w:r>
          </w:p>
        </w:tc>
      </w:tr>
      <w:tr w:rsidR="0032583B" w:rsidRPr="00B64760" w:rsidTr="0032583B">
        <w:tc>
          <w:tcPr>
            <w:tcW w:w="9079" w:type="dxa"/>
          </w:tcPr>
          <w:p w:rsidR="0032583B" w:rsidRPr="008E7846" w:rsidRDefault="009C4503" w:rsidP="0032583B">
            <w:pPr>
              <w:pStyle w:val="Subtitle"/>
              <w:rPr>
                <w:color w:val="FFFFFF" w:themeColor="background1"/>
              </w:rPr>
            </w:pPr>
            <w:r>
              <w:rPr>
                <w:color w:val="FFFFFF" w:themeColor="background1"/>
              </w:rPr>
              <w:t>Proprietary Product Name: Pedea</w:t>
            </w:r>
          </w:p>
        </w:tc>
      </w:tr>
      <w:tr w:rsidR="0032583B" w:rsidRPr="00B64760" w:rsidTr="0032583B">
        <w:trPr>
          <w:trHeight w:val="486"/>
        </w:trPr>
        <w:tc>
          <w:tcPr>
            <w:tcW w:w="9079" w:type="dxa"/>
          </w:tcPr>
          <w:p w:rsidR="0032583B" w:rsidRPr="008E7846" w:rsidRDefault="00A05A0E" w:rsidP="0032583B">
            <w:pPr>
              <w:pStyle w:val="Subtitle"/>
              <w:rPr>
                <w:color w:val="FFFFFF" w:themeColor="background1"/>
              </w:rPr>
            </w:pPr>
            <w:r>
              <w:rPr>
                <w:color w:val="FFFFFF" w:themeColor="background1"/>
              </w:rPr>
              <w:t xml:space="preserve">Sponsor: </w:t>
            </w:r>
            <w:r w:rsidRPr="000C398C">
              <w:rPr>
                <w:color w:val="FFFFFF"/>
                <w:szCs w:val="36"/>
              </w:rPr>
              <w:t>Emerge Health</w:t>
            </w:r>
            <w:r>
              <w:rPr>
                <w:color w:val="FFFFFF"/>
                <w:szCs w:val="36"/>
              </w:rPr>
              <w:t xml:space="preserve">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4C5C61">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4C5C61">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4C5C61">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4C5C61">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C5C61">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B67C48">
      <w:pPr>
        <w:pStyle w:val="NonTOCHeading2"/>
      </w:pPr>
      <w:bookmarkStart w:id="0" w:name="_Toc434232633"/>
      <w:bookmarkStart w:id="1" w:name="_Toc495076563"/>
      <w:r>
        <w:t>About AusPARs</w:t>
      </w:r>
      <w:bookmarkEnd w:id="0"/>
      <w:bookmarkEnd w:id="1"/>
    </w:p>
    <w:p w:rsidR="008E7846" w:rsidRDefault="008E7846" w:rsidP="004C5C61">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4C5C61">
      <w:pPr>
        <w:pStyle w:val="ListBullet"/>
        <w:numPr>
          <w:ilvl w:val="0"/>
          <w:numId w:val="1"/>
        </w:numPr>
        <w:ind w:left="357" w:hanging="357"/>
      </w:pPr>
      <w:r>
        <w:t>AusPARs are prepared and published by the TGA.</w:t>
      </w:r>
    </w:p>
    <w:p w:rsidR="008E7846" w:rsidRDefault="008E7846" w:rsidP="004C5C61">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4C5C61">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4C5C61">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010C55">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1"/>
          <w:headerReference w:type="default" r:id="rId12"/>
          <w:footerReference w:type="even" r:id="rId13"/>
          <w:footerReference w:type="default" r:id="rId14"/>
          <w:headerReference w:type="first" r:id="rId15"/>
          <w:footerReference w:type="first" r:id="rId16"/>
          <w:pgSz w:w="11906" w:h="16838" w:code="9"/>
          <w:pgMar w:top="426" w:right="1701" w:bottom="0" w:left="1701" w:header="907" w:footer="142" w:gutter="0"/>
          <w:pgNumType w:fmt="lowerRoman" w:start="1"/>
          <w:cols w:space="708"/>
          <w:titlePg/>
          <w:docGrid w:linePitch="360"/>
        </w:sectPr>
      </w:pPr>
    </w:p>
    <w:bookmarkStart w:id="2" w:name="_Toc247691501" w:displacedByCustomXml="next"/>
    <w:bookmarkStart w:id="3"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bookmarkStart w:id="4" w:name="_GoBack"/>
        <w:bookmarkEnd w:id="4"/>
        <w:p w:rsidR="00843E69"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99196199" w:history="1">
            <w:r w:rsidR="00843E69" w:rsidRPr="00C76951">
              <w:rPr>
                <w:rStyle w:val="Hyperlink"/>
                <w:noProof/>
              </w:rPr>
              <w:t>Common abbreviations</w:t>
            </w:r>
            <w:r w:rsidR="00843E69">
              <w:rPr>
                <w:noProof/>
                <w:webHidden/>
              </w:rPr>
              <w:tab/>
            </w:r>
            <w:r w:rsidR="00843E69">
              <w:rPr>
                <w:noProof/>
                <w:webHidden/>
              </w:rPr>
              <w:fldChar w:fldCharType="begin"/>
            </w:r>
            <w:r w:rsidR="00843E69">
              <w:rPr>
                <w:noProof/>
                <w:webHidden/>
              </w:rPr>
              <w:instrText xml:space="preserve"> PAGEREF _Toc499196199 \h </w:instrText>
            </w:r>
            <w:r w:rsidR="00843E69">
              <w:rPr>
                <w:noProof/>
                <w:webHidden/>
              </w:rPr>
            </w:r>
            <w:r w:rsidR="00843E69">
              <w:rPr>
                <w:noProof/>
                <w:webHidden/>
              </w:rPr>
              <w:fldChar w:fldCharType="separate"/>
            </w:r>
            <w:r w:rsidR="00843E69">
              <w:rPr>
                <w:noProof/>
                <w:webHidden/>
              </w:rPr>
              <w:t>5</w:t>
            </w:r>
            <w:r w:rsidR="00843E69">
              <w:rPr>
                <w:noProof/>
                <w:webHidden/>
              </w:rPr>
              <w:fldChar w:fldCharType="end"/>
            </w:r>
          </w:hyperlink>
        </w:p>
        <w:p w:rsidR="00843E69" w:rsidRDefault="00843E69">
          <w:pPr>
            <w:pStyle w:val="TOC2"/>
            <w:rPr>
              <w:rFonts w:asciiTheme="minorHAnsi" w:eastAsiaTheme="minorEastAsia" w:hAnsiTheme="minorHAnsi" w:cstheme="minorBidi"/>
              <w:b w:val="0"/>
              <w:noProof/>
              <w:sz w:val="22"/>
              <w:lang w:eastAsia="en-AU"/>
            </w:rPr>
          </w:pPr>
          <w:hyperlink w:anchor="_Toc499196200" w:history="1">
            <w:r w:rsidRPr="00C76951">
              <w:rPr>
                <w:rStyle w:val="Hyperlink"/>
                <w:noProof/>
              </w:rPr>
              <w:t>I. Introduction to product submission</w:t>
            </w:r>
            <w:r>
              <w:rPr>
                <w:noProof/>
                <w:webHidden/>
              </w:rPr>
              <w:tab/>
            </w:r>
            <w:r>
              <w:rPr>
                <w:noProof/>
                <w:webHidden/>
              </w:rPr>
              <w:fldChar w:fldCharType="begin"/>
            </w:r>
            <w:r>
              <w:rPr>
                <w:noProof/>
                <w:webHidden/>
              </w:rPr>
              <w:instrText xml:space="preserve"> PAGEREF _Toc499196200 \h </w:instrText>
            </w:r>
            <w:r>
              <w:rPr>
                <w:noProof/>
                <w:webHidden/>
              </w:rPr>
            </w:r>
            <w:r>
              <w:rPr>
                <w:noProof/>
                <w:webHidden/>
              </w:rPr>
              <w:fldChar w:fldCharType="separate"/>
            </w:r>
            <w:r>
              <w:rPr>
                <w:noProof/>
                <w:webHidden/>
              </w:rPr>
              <w:t>9</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01" w:history="1">
            <w:r w:rsidRPr="00C76951">
              <w:rPr>
                <w:rStyle w:val="Hyperlink"/>
                <w:noProof/>
                <w:lang w:eastAsia="en-AU"/>
              </w:rPr>
              <w:t>Submission details</w:t>
            </w:r>
            <w:r>
              <w:rPr>
                <w:noProof/>
                <w:webHidden/>
              </w:rPr>
              <w:tab/>
            </w:r>
            <w:r>
              <w:rPr>
                <w:noProof/>
                <w:webHidden/>
              </w:rPr>
              <w:fldChar w:fldCharType="begin"/>
            </w:r>
            <w:r>
              <w:rPr>
                <w:noProof/>
                <w:webHidden/>
              </w:rPr>
              <w:instrText xml:space="preserve"> PAGEREF _Toc499196201 \h </w:instrText>
            </w:r>
            <w:r>
              <w:rPr>
                <w:noProof/>
                <w:webHidden/>
              </w:rPr>
            </w:r>
            <w:r>
              <w:rPr>
                <w:noProof/>
                <w:webHidden/>
              </w:rPr>
              <w:fldChar w:fldCharType="separate"/>
            </w:r>
            <w:r>
              <w:rPr>
                <w:noProof/>
                <w:webHidden/>
              </w:rPr>
              <w:t>9</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02" w:history="1">
            <w:r w:rsidRPr="00C76951">
              <w:rPr>
                <w:rStyle w:val="Hyperlink"/>
                <w:noProof/>
              </w:rPr>
              <w:t>Product background</w:t>
            </w:r>
            <w:r>
              <w:rPr>
                <w:noProof/>
                <w:webHidden/>
              </w:rPr>
              <w:tab/>
            </w:r>
            <w:r>
              <w:rPr>
                <w:noProof/>
                <w:webHidden/>
              </w:rPr>
              <w:fldChar w:fldCharType="begin"/>
            </w:r>
            <w:r>
              <w:rPr>
                <w:noProof/>
                <w:webHidden/>
              </w:rPr>
              <w:instrText xml:space="preserve"> PAGEREF _Toc499196202 \h </w:instrText>
            </w:r>
            <w:r>
              <w:rPr>
                <w:noProof/>
                <w:webHidden/>
              </w:rPr>
            </w:r>
            <w:r>
              <w:rPr>
                <w:noProof/>
                <w:webHidden/>
              </w:rPr>
              <w:fldChar w:fldCharType="separate"/>
            </w:r>
            <w:r>
              <w:rPr>
                <w:noProof/>
                <w:webHidden/>
              </w:rPr>
              <w:t>10</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03" w:history="1">
            <w:r w:rsidRPr="00C76951">
              <w:rPr>
                <w:rStyle w:val="Hyperlink"/>
                <w:noProof/>
              </w:rPr>
              <w:t>Regulatory status</w:t>
            </w:r>
            <w:r>
              <w:rPr>
                <w:noProof/>
                <w:webHidden/>
              </w:rPr>
              <w:tab/>
            </w:r>
            <w:r>
              <w:rPr>
                <w:noProof/>
                <w:webHidden/>
              </w:rPr>
              <w:fldChar w:fldCharType="begin"/>
            </w:r>
            <w:r>
              <w:rPr>
                <w:noProof/>
                <w:webHidden/>
              </w:rPr>
              <w:instrText xml:space="preserve"> PAGEREF _Toc499196203 \h </w:instrText>
            </w:r>
            <w:r>
              <w:rPr>
                <w:noProof/>
                <w:webHidden/>
              </w:rPr>
            </w:r>
            <w:r>
              <w:rPr>
                <w:noProof/>
                <w:webHidden/>
              </w:rPr>
              <w:fldChar w:fldCharType="separate"/>
            </w:r>
            <w:r>
              <w:rPr>
                <w:noProof/>
                <w:webHidden/>
              </w:rPr>
              <w:t>11</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04" w:history="1">
            <w:r w:rsidRPr="00C76951">
              <w:rPr>
                <w:rStyle w:val="Hyperlink"/>
                <w:noProof/>
              </w:rPr>
              <w:t>Product Information</w:t>
            </w:r>
            <w:r>
              <w:rPr>
                <w:noProof/>
                <w:webHidden/>
              </w:rPr>
              <w:tab/>
            </w:r>
            <w:r>
              <w:rPr>
                <w:noProof/>
                <w:webHidden/>
              </w:rPr>
              <w:fldChar w:fldCharType="begin"/>
            </w:r>
            <w:r>
              <w:rPr>
                <w:noProof/>
                <w:webHidden/>
              </w:rPr>
              <w:instrText xml:space="preserve"> PAGEREF _Toc499196204 \h </w:instrText>
            </w:r>
            <w:r>
              <w:rPr>
                <w:noProof/>
                <w:webHidden/>
              </w:rPr>
            </w:r>
            <w:r>
              <w:rPr>
                <w:noProof/>
                <w:webHidden/>
              </w:rPr>
              <w:fldChar w:fldCharType="separate"/>
            </w:r>
            <w:r>
              <w:rPr>
                <w:noProof/>
                <w:webHidden/>
              </w:rPr>
              <w:t>14</w:t>
            </w:r>
            <w:r>
              <w:rPr>
                <w:noProof/>
                <w:webHidden/>
              </w:rPr>
              <w:fldChar w:fldCharType="end"/>
            </w:r>
          </w:hyperlink>
        </w:p>
        <w:p w:rsidR="00843E69" w:rsidRDefault="00843E69">
          <w:pPr>
            <w:pStyle w:val="TOC2"/>
            <w:rPr>
              <w:rFonts w:asciiTheme="minorHAnsi" w:eastAsiaTheme="minorEastAsia" w:hAnsiTheme="minorHAnsi" w:cstheme="minorBidi"/>
              <w:b w:val="0"/>
              <w:noProof/>
              <w:sz w:val="22"/>
              <w:lang w:eastAsia="en-AU"/>
            </w:rPr>
          </w:pPr>
          <w:hyperlink w:anchor="_Toc499196205" w:history="1">
            <w:r w:rsidRPr="00C76951">
              <w:rPr>
                <w:rStyle w:val="Hyperlink"/>
                <w:noProof/>
              </w:rPr>
              <w:t>II. Quality findings</w:t>
            </w:r>
            <w:r>
              <w:rPr>
                <w:noProof/>
                <w:webHidden/>
              </w:rPr>
              <w:tab/>
            </w:r>
            <w:r>
              <w:rPr>
                <w:noProof/>
                <w:webHidden/>
              </w:rPr>
              <w:fldChar w:fldCharType="begin"/>
            </w:r>
            <w:r>
              <w:rPr>
                <w:noProof/>
                <w:webHidden/>
              </w:rPr>
              <w:instrText xml:space="preserve"> PAGEREF _Toc499196205 \h </w:instrText>
            </w:r>
            <w:r>
              <w:rPr>
                <w:noProof/>
                <w:webHidden/>
              </w:rPr>
            </w:r>
            <w:r>
              <w:rPr>
                <w:noProof/>
                <w:webHidden/>
              </w:rPr>
              <w:fldChar w:fldCharType="separate"/>
            </w:r>
            <w:r>
              <w:rPr>
                <w:noProof/>
                <w:webHidden/>
              </w:rPr>
              <w:t>14</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06" w:history="1">
            <w:r w:rsidRPr="00C76951">
              <w:rPr>
                <w:rStyle w:val="Hyperlink"/>
                <w:noProof/>
              </w:rPr>
              <w:t>Drug product</w:t>
            </w:r>
            <w:r>
              <w:rPr>
                <w:noProof/>
                <w:webHidden/>
              </w:rPr>
              <w:tab/>
            </w:r>
            <w:r>
              <w:rPr>
                <w:noProof/>
                <w:webHidden/>
              </w:rPr>
              <w:fldChar w:fldCharType="begin"/>
            </w:r>
            <w:r>
              <w:rPr>
                <w:noProof/>
                <w:webHidden/>
              </w:rPr>
              <w:instrText xml:space="preserve"> PAGEREF _Toc499196206 \h </w:instrText>
            </w:r>
            <w:r>
              <w:rPr>
                <w:noProof/>
                <w:webHidden/>
              </w:rPr>
            </w:r>
            <w:r>
              <w:rPr>
                <w:noProof/>
                <w:webHidden/>
              </w:rPr>
              <w:fldChar w:fldCharType="separate"/>
            </w:r>
            <w:r>
              <w:rPr>
                <w:noProof/>
                <w:webHidden/>
              </w:rPr>
              <w:t>14</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07" w:history="1">
            <w:r w:rsidRPr="00C76951">
              <w:rPr>
                <w:rStyle w:val="Hyperlink"/>
                <w:noProof/>
              </w:rPr>
              <w:t>Quality summary and conclusions</w:t>
            </w:r>
            <w:r>
              <w:rPr>
                <w:noProof/>
                <w:webHidden/>
              </w:rPr>
              <w:tab/>
            </w:r>
            <w:r>
              <w:rPr>
                <w:noProof/>
                <w:webHidden/>
              </w:rPr>
              <w:fldChar w:fldCharType="begin"/>
            </w:r>
            <w:r>
              <w:rPr>
                <w:noProof/>
                <w:webHidden/>
              </w:rPr>
              <w:instrText xml:space="preserve"> PAGEREF _Toc499196207 \h </w:instrText>
            </w:r>
            <w:r>
              <w:rPr>
                <w:noProof/>
                <w:webHidden/>
              </w:rPr>
            </w:r>
            <w:r>
              <w:rPr>
                <w:noProof/>
                <w:webHidden/>
              </w:rPr>
              <w:fldChar w:fldCharType="separate"/>
            </w:r>
            <w:r>
              <w:rPr>
                <w:noProof/>
                <w:webHidden/>
              </w:rPr>
              <w:t>15</w:t>
            </w:r>
            <w:r>
              <w:rPr>
                <w:noProof/>
                <w:webHidden/>
              </w:rPr>
              <w:fldChar w:fldCharType="end"/>
            </w:r>
          </w:hyperlink>
        </w:p>
        <w:p w:rsidR="00843E69" w:rsidRDefault="00843E69">
          <w:pPr>
            <w:pStyle w:val="TOC2"/>
            <w:rPr>
              <w:rFonts w:asciiTheme="minorHAnsi" w:eastAsiaTheme="minorEastAsia" w:hAnsiTheme="minorHAnsi" w:cstheme="minorBidi"/>
              <w:b w:val="0"/>
              <w:noProof/>
              <w:sz w:val="22"/>
              <w:lang w:eastAsia="en-AU"/>
            </w:rPr>
          </w:pPr>
          <w:hyperlink w:anchor="_Toc499196208" w:history="1">
            <w:r w:rsidRPr="00C76951">
              <w:rPr>
                <w:rStyle w:val="Hyperlink"/>
                <w:noProof/>
              </w:rPr>
              <w:t>III. Nonclinical findings</w:t>
            </w:r>
            <w:r>
              <w:rPr>
                <w:noProof/>
                <w:webHidden/>
              </w:rPr>
              <w:tab/>
            </w:r>
            <w:r>
              <w:rPr>
                <w:noProof/>
                <w:webHidden/>
              </w:rPr>
              <w:fldChar w:fldCharType="begin"/>
            </w:r>
            <w:r>
              <w:rPr>
                <w:noProof/>
                <w:webHidden/>
              </w:rPr>
              <w:instrText xml:space="preserve"> PAGEREF _Toc499196208 \h </w:instrText>
            </w:r>
            <w:r>
              <w:rPr>
                <w:noProof/>
                <w:webHidden/>
              </w:rPr>
            </w:r>
            <w:r>
              <w:rPr>
                <w:noProof/>
                <w:webHidden/>
              </w:rPr>
              <w:fldChar w:fldCharType="separate"/>
            </w:r>
            <w:r>
              <w:rPr>
                <w:noProof/>
                <w:webHidden/>
              </w:rPr>
              <w:t>15</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09" w:history="1">
            <w:r w:rsidRPr="00C76951">
              <w:rPr>
                <w:rStyle w:val="Hyperlink"/>
                <w:noProof/>
              </w:rPr>
              <w:t>Introduction</w:t>
            </w:r>
            <w:r>
              <w:rPr>
                <w:noProof/>
                <w:webHidden/>
              </w:rPr>
              <w:tab/>
            </w:r>
            <w:r>
              <w:rPr>
                <w:noProof/>
                <w:webHidden/>
              </w:rPr>
              <w:fldChar w:fldCharType="begin"/>
            </w:r>
            <w:r>
              <w:rPr>
                <w:noProof/>
                <w:webHidden/>
              </w:rPr>
              <w:instrText xml:space="preserve"> PAGEREF _Toc499196209 \h </w:instrText>
            </w:r>
            <w:r>
              <w:rPr>
                <w:noProof/>
                <w:webHidden/>
              </w:rPr>
            </w:r>
            <w:r>
              <w:rPr>
                <w:noProof/>
                <w:webHidden/>
              </w:rPr>
              <w:fldChar w:fldCharType="separate"/>
            </w:r>
            <w:r>
              <w:rPr>
                <w:noProof/>
                <w:webHidden/>
              </w:rPr>
              <w:t>15</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10" w:history="1">
            <w:r w:rsidRPr="00C76951">
              <w:rPr>
                <w:rStyle w:val="Hyperlink"/>
                <w:noProof/>
              </w:rPr>
              <w:t>Efficacy</w:t>
            </w:r>
            <w:r>
              <w:rPr>
                <w:noProof/>
                <w:webHidden/>
              </w:rPr>
              <w:tab/>
            </w:r>
            <w:r>
              <w:rPr>
                <w:noProof/>
                <w:webHidden/>
              </w:rPr>
              <w:fldChar w:fldCharType="begin"/>
            </w:r>
            <w:r>
              <w:rPr>
                <w:noProof/>
                <w:webHidden/>
              </w:rPr>
              <w:instrText xml:space="preserve"> PAGEREF _Toc499196210 \h </w:instrText>
            </w:r>
            <w:r>
              <w:rPr>
                <w:noProof/>
                <w:webHidden/>
              </w:rPr>
            </w:r>
            <w:r>
              <w:rPr>
                <w:noProof/>
                <w:webHidden/>
              </w:rPr>
              <w:fldChar w:fldCharType="separate"/>
            </w:r>
            <w:r>
              <w:rPr>
                <w:noProof/>
                <w:webHidden/>
              </w:rPr>
              <w:t>16</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11" w:history="1">
            <w:r w:rsidRPr="00C76951">
              <w:rPr>
                <w:rStyle w:val="Hyperlink"/>
                <w:noProof/>
              </w:rPr>
              <w:t>Safety</w:t>
            </w:r>
            <w:r>
              <w:rPr>
                <w:noProof/>
                <w:webHidden/>
              </w:rPr>
              <w:tab/>
            </w:r>
            <w:r>
              <w:rPr>
                <w:noProof/>
                <w:webHidden/>
              </w:rPr>
              <w:fldChar w:fldCharType="begin"/>
            </w:r>
            <w:r>
              <w:rPr>
                <w:noProof/>
                <w:webHidden/>
              </w:rPr>
              <w:instrText xml:space="preserve"> PAGEREF _Toc499196211 \h </w:instrText>
            </w:r>
            <w:r>
              <w:rPr>
                <w:noProof/>
                <w:webHidden/>
              </w:rPr>
            </w:r>
            <w:r>
              <w:rPr>
                <w:noProof/>
                <w:webHidden/>
              </w:rPr>
              <w:fldChar w:fldCharType="separate"/>
            </w:r>
            <w:r>
              <w:rPr>
                <w:noProof/>
                <w:webHidden/>
              </w:rPr>
              <w:t>16</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12" w:history="1">
            <w:r w:rsidRPr="00C76951">
              <w:rPr>
                <w:rStyle w:val="Hyperlink"/>
                <w:noProof/>
              </w:rPr>
              <w:t>Nonclinical summary and conclusions</w:t>
            </w:r>
            <w:r>
              <w:rPr>
                <w:noProof/>
                <w:webHidden/>
              </w:rPr>
              <w:tab/>
            </w:r>
            <w:r>
              <w:rPr>
                <w:noProof/>
                <w:webHidden/>
              </w:rPr>
              <w:fldChar w:fldCharType="begin"/>
            </w:r>
            <w:r>
              <w:rPr>
                <w:noProof/>
                <w:webHidden/>
              </w:rPr>
              <w:instrText xml:space="preserve"> PAGEREF _Toc499196212 \h </w:instrText>
            </w:r>
            <w:r>
              <w:rPr>
                <w:noProof/>
                <w:webHidden/>
              </w:rPr>
            </w:r>
            <w:r>
              <w:rPr>
                <w:noProof/>
                <w:webHidden/>
              </w:rPr>
              <w:fldChar w:fldCharType="separate"/>
            </w:r>
            <w:r>
              <w:rPr>
                <w:noProof/>
                <w:webHidden/>
              </w:rPr>
              <w:t>18</w:t>
            </w:r>
            <w:r>
              <w:rPr>
                <w:noProof/>
                <w:webHidden/>
              </w:rPr>
              <w:fldChar w:fldCharType="end"/>
            </w:r>
          </w:hyperlink>
        </w:p>
        <w:p w:rsidR="00843E69" w:rsidRDefault="00843E69">
          <w:pPr>
            <w:pStyle w:val="TOC2"/>
            <w:rPr>
              <w:rFonts w:asciiTheme="minorHAnsi" w:eastAsiaTheme="minorEastAsia" w:hAnsiTheme="minorHAnsi" w:cstheme="minorBidi"/>
              <w:b w:val="0"/>
              <w:noProof/>
              <w:sz w:val="22"/>
              <w:lang w:eastAsia="en-AU"/>
            </w:rPr>
          </w:pPr>
          <w:hyperlink w:anchor="_Toc499196213" w:history="1">
            <w:r w:rsidRPr="00C76951">
              <w:rPr>
                <w:rStyle w:val="Hyperlink"/>
                <w:noProof/>
              </w:rPr>
              <w:t>IV. Clinical findings</w:t>
            </w:r>
            <w:r>
              <w:rPr>
                <w:noProof/>
                <w:webHidden/>
              </w:rPr>
              <w:tab/>
            </w:r>
            <w:r>
              <w:rPr>
                <w:noProof/>
                <w:webHidden/>
              </w:rPr>
              <w:fldChar w:fldCharType="begin"/>
            </w:r>
            <w:r>
              <w:rPr>
                <w:noProof/>
                <w:webHidden/>
              </w:rPr>
              <w:instrText xml:space="preserve"> PAGEREF _Toc499196213 \h </w:instrText>
            </w:r>
            <w:r>
              <w:rPr>
                <w:noProof/>
                <w:webHidden/>
              </w:rPr>
            </w:r>
            <w:r>
              <w:rPr>
                <w:noProof/>
                <w:webHidden/>
              </w:rPr>
              <w:fldChar w:fldCharType="separate"/>
            </w:r>
            <w:r>
              <w:rPr>
                <w:noProof/>
                <w:webHidden/>
              </w:rPr>
              <w:t>18</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14" w:history="1">
            <w:r w:rsidRPr="00C76951">
              <w:rPr>
                <w:rStyle w:val="Hyperlink"/>
                <w:noProof/>
              </w:rPr>
              <w:t>Introduction</w:t>
            </w:r>
            <w:r>
              <w:rPr>
                <w:noProof/>
                <w:webHidden/>
              </w:rPr>
              <w:tab/>
            </w:r>
            <w:r>
              <w:rPr>
                <w:noProof/>
                <w:webHidden/>
              </w:rPr>
              <w:fldChar w:fldCharType="begin"/>
            </w:r>
            <w:r>
              <w:rPr>
                <w:noProof/>
                <w:webHidden/>
              </w:rPr>
              <w:instrText xml:space="preserve"> PAGEREF _Toc499196214 \h </w:instrText>
            </w:r>
            <w:r>
              <w:rPr>
                <w:noProof/>
                <w:webHidden/>
              </w:rPr>
            </w:r>
            <w:r>
              <w:rPr>
                <w:noProof/>
                <w:webHidden/>
              </w:rPr>
              <w:fldChar w:fldCharType="separate"/>
            </w:r>
            <w:r>
              <w:rPr>
                <w:noProof/>
                <w:webHidden/>
              </w:rPr>
              <w:t>19</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15" w:history="1">
            <w:r w:rsidRPr="00C76951">
              <w:rPr>
                <w:rStyle w:val="Hyperlink"/>
                <w:noProof/>
              </w:rPr>
              <w:t>Pharmacokinetics</w:t>
            </w:r>
            <w:r>
              <w:rPr>
                <w:noProof/>
                <w:webHidden/>
              </w:rPr>
              <w:tab/>
            </w:r>
            <w:r>
              <w:rPr>
                <w:noProof/>
                <w:webHidden/>
              </w:rPr>
              <w:fldChar w:fldCharType="begin"/>
            </w:r>
            <w:r>
              <w:rPr>
                <w:noProof/>
                <w:webHidden/>
              </w:rPr>
              <w:instrText xml:space="preserve"> PAGEREF _Toc499196215 \h </w:instrText>
            </w:r>
            <w:r>
              <w:rPr>
                <w:noProof/>
                <w:webHidden/>
              </w:rPr>
            </w:r>
            <w:r>
              <w:rPr>
                <w:noProof/>
                <w:webHidden/>
              </w:rPr>
              <w:fldChar w:fldCharType="separate"/>
            </w:r>
            <w:r>
              <w:rPr>
                <w:noProof/>
                <w:webHidden/>
              </w:rPr>
              <w:t>22</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16" w:history="1">
            <w:r w:rsidRPr="00C76951">
              <w:rPr>
                <w:rStyle w:val="Hyperlink"/>
                <w:noProof/>
              </w:rPr>
              <w:t>Pharmacodynamics</w:t>
            </w:r>
            <w:r>
              <w:rPr>
                <w:noProof/>
                <w:webHidden/>
              </w:rPr>
              <w:tab/>
            </w:r>
            <w:r>
              <w:rPr>
                <w:noProof/>
                <w:webHidden/>
              </w:rPr>
              <w:fldChar w:fldCharType="begin"/>
            </w:r>
            <w:r>
              <w:rPr>
                <w:noProof/>
                <w:webHidden/>
              </w:rPr>
              <w:instrText xml:space="preserve"> PAGEREF _Toc499196216 \h </w:instrText>
            </w:r>
            <w:r>
              <w:rPr>
                <w:noProof/>
                <w:webHidden/>
              </w:rPr>
            </w:r>
            <w:r>
              <w:rPr>
                <w:noProof/>
                <w:webHidden/>
              </w:rPr>
              <w:fldChar w:fldCharType="separate"/>
            </w:r>
            <w:r>
              <w:rPr>
                <w:noProof/>
                <w:webHidden/>
              </w:rPr>
              <w:t>23</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17" w:history="1">
            <w:r w:rsidRPr="00C76951">
              <w:rPr>
                <w:rStyle w:val="Hyperlink"/>
                <w:noProof/>
              </w:rPr>
              <w:t>Dosage selection for the pivotal studies</w:t>
            </w:r>
            <w:r>
              <w:rPr>
                <w:noProof/>
                <w:webHidden/>
              </w:rPr>
              <w:tab/>
            </w:r>
            <w:r>
              <w:rPr>
                <w:noProof/>
                <w:webHidden/>
              </w:rPr>
              <w:fldChar w:fldCharType="begin"/>
            </w:r>
            <w:r>
              <w:rPr>
                <w:noProof/>
                <w:webHidden/>
              </w:rPr>
              <w:instrText xml:space="preserve"> PAGEREF _Toc499196217 \h </w:instrText>
            </w:r>
            <w:r>
              <w:rPr>
                <w:noProof/>
                <w:webHidden/>
              </w:rPr>
            </w:r>
            <w:r>
              <w:rPr>
                <w:noProof/>
                <w:webHidden/>
              </w:rPr>
              <w:fldChar w:fldCharType="separate"/>
            </w:r>
            <w:r>
              <w:rPr>
                <w:noProof/>
                <w:webHidden/>
              </w:rPr>
              <w:t>24</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18" w:history="1">
            <w:r w:rsidRPr="00C76951">
              <w:rPr>
                <w:rStyle w:val="Hyperlink"/>
                <w:noProof/>
              </w:rPr>
              <w:t>Efficacy</w:t>
            </w:r>
            <w:r>
              <w:rPr>
                <w:noProof/>
                <w:webHidden/>
              </w:rPr>
              <w:tab/>
            </w:r>
            <w:r>
              <w:rPr>
                <w:noProof/>
                <w:webHidden/>
              </w:rPr>
              <w:fldChar w:fldCharType="begin"/>
            </w:r>
            <w:r>
              <w:rPr>
                <w:noProof/>
                <w:webHidden/>
              </w:rPr>
              <w:instrText xml:space="preserve"> PAGEREF _Toc499196218 \h </w:instrText>
            </w:r>
            <w:r>
              <w:rPr>
                <w:noProof/>
                <w:webHidden/>
              </w:rPr>
            </w:r>
            <w:r>
              <w:rPr>
                <w:noProof/>
                <w:webHidden/>
              </w:rPr>
              <w:fldChar w:fldCharType="separate"/>
            </w:r>
            <w:r>
              <w:rPr>
                <w:noProof/>
                <w:webHidden/>
              </w:rPr>
              <w:t>25</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19" w:history="1">
            <w:r w:rsidRPr="00C76951">
              <w:rPr>
                <w:rStyle w:val="Hyperlink"/>
                <w:noProof/>
              </w:rPr>
              <w:t>Safety</w:t>
            </w:r>
            <w:r>
              <w:rPr>
                <w:noProof/>
                <w:webHidden/>
              </w:rPr>
              <w:tab/>
            </w:r>
            <w:r>
              <w:rPr>
                <w:noProof/>
                <w:webHidden/>
              </w:rPr>
              <w:fldChar w:fldCharType="begin"/>
            </w:r>
            <w:r>
              <w:rPr>
                <w:noProof/>
                <w:webHidden/>
              </w:rPr>
              <w:instrText xml:space="preserve"> PAGEREF _Toc499196219 \h </w:instrText>
            </w:r>
            <w:r>
              <w:rPr>
                <w:noProof/>
                <w:webHidden/>
              </w:rPr>
            </w:r>
            <w:r>
              <w:rPr>
                <w:noProof/>
                <w:webHidden/>
              </w:rPr>
              <w:fldChar w:fldCharType="separate"/>
            </w:r>
            <w:r>
              <w:rPr>
                <w:noProof/>
                <w:webHidden/>
              </w:rPr>
              <w:t>26</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20" w:history="1">
            <w:r w:rsidRPr="00C76951">
              <w:rPr>
                <w:rStyle w:val="Hyperlink"/>
                <w:noProof/>
              </w:rPr>
              <w:t>First round benefit-risk assessment</w:t>
            </w:r>
            <w:r>
              <w:rPr>
                <w:noProof/>
                <w:webHidden/>
              </w:rPr>
              <w:tab/>
            </w:r>
            <w:r>
              <w:rPr>
                <w:noProof/>
                <w:webHidden/>
              </w:rPr>
              <w:fldChar w:fldCharType="begin"/>
            </w:r>
            <w:r>
              <w:rPr>
                <w:noProof/>
                <w:webHidden/>
              </w:rPr>
              <w:instrText xml:space="preserve"> PAGEREF _Toc499196220 \h </w:instrText>
            </w:r>
            <w:r>
              <w:rPr>
                <w:noProof/>
                <w:webHidden/>
              </w:rPr>
            </w:r>
            <w:r>
              <w:rPr>
                <w:noProof/>
                <w:webHidden/>
              </w:rPr>
              <w:fldChar w:fldCharType="separate"/>
            </w:r>
            <w:r>
              <w:rPr>
                <w:noProof/>
                <w:webHidden/>
              </w:rPr>
              <w:t>34</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21" w:history="1">
            <w:r w:rsidRPr="00C76951">
              <w:rPr>
                <w:rStyle w:val="Hyperlink"/>
                <w:noProof/>
              </w:rPr>
              <w:t>First round recommendation regarding authorisation</w:t>
            </w:r>
            <w:r>
              <w:rPr>
                <w:noProof/>
                <w:webHidden/>
              </w:rPr>
              <w:tab/>
            </w:r>
            <w:r>
              <w:rPr>
                <w:noProof/>
                <w:webHidden/>
              </w:rPr>
              <w:fldChar w:fldCharType="begin"/>
            </w:r>
            <w:r>
              <w:rPr>
                <w:noProof/>
                <w:webHidden/>
              </w:rPr>
              <w:instrText xml:space="preserve"> PAGEREF _Toc499196221 \h </w:instrText>
            </w:r>
            <w:r>
              <w:rPr>
                <w:noProof/>
                <w:webHidden/>
              </w:rPr>
            </w:r>
            <w:r>
              <w:rPr>
                <w:noProof/>
                <w:webHidden/>
              </w:rPr>
              <w:fldChar w:fldCharType="separate"/>
            </w:r>
            <w:r>
              <w:rPr>
                <w:noProof/>
                <w:webHidden/>
              </w:rPr>
              <w:t>35</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22" w:history="1">
            <w:r w:rsidRPr="00C76951">
              <w:rPr>
                <w:rStyle w:val="Hyperlink"/>
                <w:noProof/>
              </w:rPr>
              <w:t>Clinical questions</w:t>
            </w:r>
            <w:r>
              <w:rPr>
                <w:noProof/>
                <w:webHidden/>
              </w:rPr>
              <w:tab/>
            </w:r>
            <w:r>
              <w:rPr>
                <w:noProof/>
                <w:webHidden/>
              </w:rPr>
              <w:fldChar w:fldCharType="begin"/>
            </w:r>
            <w:r>
              <w:rPr>
                <w:noProof/>
                <w:webHidden/>
              </w:rPr>
              <w:instrText xml:space="preserve"> PAGEREF _Toc499196222 \h </w:instrText>
            </w:r>
            <w:r>
              <w:rPr>
                <w:noProof/>
                <w:webHidden/>
              </w:rPr>
            </w:r>
            <w:r>
              <w:rPr>
                <w:noProof/>
                <w:webHidden/>
              </w:rPr>
              <w:fldChar w:fldCharType="separate"/>
            </w:r>
            <w:r>
              <w:rPr>
                <w:noProof/>
                <w:webHidden/>
              </w:rPr>
              <w:t>36</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23" w:history="1">
            <w:r w:rsidRPr="00C76951">
              <w:rPr>
                <w:rStyle w:val="Hyperlink"/>
                <w:noProof/>
              </w:rPr>
              <w:t>Second round evaluation</w:t>
            </w:r>
            <w:r>
              <w:rPr>
                <w:noProof/>
                <w:webHidden/>
              </w:rPr>
              <w:tab/>
            </w:r>
            <w:r>
              <w:rPr>
                <w:noProof/>
                <w:webHidden/>
              </w:rPr>
              <w:fldChar w:fldCharType="begin"/>
            </w:r>
            <w:r>
              <w:rPr>
                <w:noProof/>
                <w:webHidden/>
              </w:rPr>
              <w:instrText xml:space="preserve"> PAGEREF _Toc499196223 \h </w:instrText>
            </w:r>
            <w:r>
              <w:rPr>
                <w:noProof/>
                <w:webHidden/>
              </w:rPr>
            </w:r>
            <w:r>
              <w:rPr>
                <w:noProof/>
                <w:webHidden/>
              </w:rPr>
              <w:fldChar w:fldCharType="separate"/>
            </w:r>
            <w:r>
              <w:rPr>
                <w:noProof/>
                <w:webHidden/>
              </w:rPr>
              <w:t>36</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24" w:history="1">
            <w:r w:rsidRPr="00C76951">
              <w:rPr>
                <w:rStyle w:val="Hyperlink"/>
                <w:noProof/>
              </w:rPr>
              <w:t>Second round benefit-risk assessment</w:t>
            </w:r>
            <w:r>
              <w:rPr>
                <w:noProof/>
                <w:webHidden/>
              </w:rPr>
              <w:tab/>
            </w:r>
            <w:r>
              <w:rPr>
                <w:noProof/>
                <w:webHidden/>
              </w:rPr>
              <w:fldChar w:fldCharType="begin"/>
            </w:r>
            <w:r>
              <w:rPr>
                <w:noProof/>
                <w:webHidden/>
              </w:rPr>
              <w:instrText xml:space="preserve"> PAGEREF _Toc499196224 \h </w:instrText>
            </w:r>
            <w:r>
              <w:rPr>
                <w:noProof/>
                <w:webHidden/>
              </w:rPr>
            </w:r>
            <w:r>
              <w:rPr>
                <w:noProof/>
                <w:webHidden/>
              </w:rPr>
              <w:fldChar w:fldCharType="separate"/>
            </w:r>
            <w:r>
              <w:rPr>
                <w:noProof/>
                <w:webHidden/>
              </w:rPr>
              <w:t>36</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25" w:history="1">
            <w:r w:rsidRPr="00C76951">
              <w:rPr>
                <w:rStyle w:val="Hyperlink"/>
                <w:noProof/>
              </w:rPr>
              <w:t>Second round recommendation regarding authorisation</w:t>
            </w:r>
            <w:r>
              <w:rPr>
                <w:noProof/>
                <w:webHidden/>
              </w:rPr>
              <w:tab/>
            </w:r>
            <w:r>
              <w:rPr>
                <w:noProof/>
                <w:webHidden/>
              </w:rPr>
              <w:fldChar w:fldCharType="begin"/>
            </w:r>
            <w:r>
              <w:rPr>
                <w:noProof/>
                <w:webHidden/>
              </w:rPr>
              <w:instrText xml:space="preserve"> PAGEREF _Toc499196225 \h </w:instrText>
            </w:r>
            <w:r>
              <w:rPr>
                <w:noProof/>
                <w:webHidden/>
              </w:rPr>
            </w:r>
            <w:r>
              <w:rPr>
                <w:noProof/>
                <w:webHidden/>
              </w:rPr>
              <w:fldChar w:fldCharType="separate"/>
            </w:r>
            <w:r>
              <w:rPr>
                <w:noProof/>
                <w:webHidden/>
              </w:rPr>
              <w:t>36</w:t>
            </w:r>
            <w:r>
              <w:rPr>
                <w:noProof/>
                <w:webHidden/>
              </w:rPr>
              <w:fldChar w:fldCharType="end"/>
            </w:r>
          </w:hyperlink>
        </w:p>
        <w:p w:rsidR="00843E69" w:rsidRDefault="00843E69">
          <w:pPr>
            <w:pStyle w:val="TOC2"/>
            <w:rPr>
              <w:rFonts w:asciiTheme="minorHAnsi" w:eastAsiaTheme="minorEastAsia" w:hAnsiTheme="minorHAnsi" w:cstheme="minorBidi"/>
              <w:b w:val="0"/>
              <w:noProof/>
              <w:sz w:val="22"/>
              <w:lang w:eastAsia="en-AU"/>
            </w:rPr>
          </w:pPr>
          <w:hyperlink w:anchor="_Toc499196226" w:history="1">
            <w:r w:rsidRPr="00C76951">
              <w:rPr>
                <w:rStyle w:val="Hyperlink"/>
                <w:noProof/>
              </w:rPr>
              <w:t>V. Pharmacovigilance findings</w:t>
            </w:r>
            <w:r>
              <w:rPr>
                <w:noProof/>
                <w:webHidden/>
              </w:rPr>
              <w:tab/>
            </w:r>
            <w:r>
              <w:rPr>
                <w:noProof/>
                <w:webHidden/>
              </w:rPr>
              <w:fldChar w:fldCharType="begin"/>
            </w:r>
            <w:r>
              <w:rPr>
                <w:noProof/>
                <w:webHidden/>
              </w:rPr>
              <w:instrText xml:space="preserve"> PAGEREF _Toc499196226 \h </w:instrText>
            </w:r>
            <w:r>
              <w:rPr>
                <w:noProof/>
                <w:webHidden/>
              </w:rPr>
            </w:r>
            <w:r>
              <w:rPr>
                <w:noProof/>
                <w:webHidden/>
              </w:rPr>
              <w:fldChar w:fldCharType="separate"/>
            </w:r>
            <w:r>
              <w:rPr>
                <w:noProof/>
                <w:webHidden/>
              </w:rPr>
              <w:t>37</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27" w:history="1">
            <w:r w:rsidRPr="00C76951">
              <w:rPr>
                <w:rStyle w:val="Hyperlink"/>
                <w:noProof/>
                <w:lang w:eastAsia="en-AU"/>
              </w:rPr>
              <w:t>Risk management plan</w:t>
            </w:r>
            <w:r>
              <w:rPr>
                <w:noProof/>
                <w:webHidden/>
              </w:rPr>
              <w:tab/>
            </w:r>
            <w:r>
              <w:rPr>
                <w:noProof/>
                <w:webHidden/>
              </w:rPr>
              <w:fldChar w:fldCharType="begin"/>
            </w:r>
            <w:r>
              <w:rPr>
                <w:noProof/>
                <w:webHidden/>
              </w:rPr>
              <w:instrText xml:space="preserve"> PAGEREF _Toc499196227 \h </w:instrText>
            </w:r>
            <w:r>
              <w:rPr>
                <w:noProof/>
                <w:webHidden/>
              </w:rPr>
            </w:r>
            <w:r>
              <w:rPr>
                <w:noProof/>
                <w:webHidden/>
              </w:rPr>
              <w:fldChar w:fldCharType="separate"/>
            </w:r>
            <w:r>
              <w:rPr>
                <w:noProof/>
                <w:webHidden/>
              </w:rPr>
              <w:t>37</w:t>
            </w:r>
            <w:r>
              <w:rPr>
                <w:noProof/>
                <w:webHidden/>
              </w:rPr>
              <w:fldChar w:fldCharType="end"/>
            </w:r>
          </w:hyperlink>
        </w:p>
        <w:p w:rsidR="00843E69" w:rsidRDefault="00843E69">
          <w:pPr>
            <w:pStyle w:val="TOC2"/>
            <w:rPr>
              <w:rFonts w:asciiTheme="minorHAnsi" w:eastAsiaTheme="minorEastAsia" w:hAnsiTheme="minorHAnsi" w:cstheme="minorBidi"/>
              <w:b w:val="0"/>
              <w:noProof/>
              <w:sz w:val="22"/>
              <w:lang w:eastAsia="en-AU"/>
            </w:rPr>
          </w:pPr>
          <w:hyperlink w:anchor="_Toc499196228" w:history="1">
            <w:r w:rsidRPr="00C76951">
              <w:rPr>
                <w:rStyle w:val="Hyperlink"/>
                <w:noProof/>
              </w:rPr>
              <w:t>VI. Overall conclusion and risk/benefit assessment</w:t>
            </w:r>
            <w:r>
              <w:rPr>
                <w:noProof/>
                <w:webHidden/>
              </w:rPr>
              <w:tab/>
            </w:r>
            <w:r>
              <w:rPr>
                <w:noProof/>
                <w:webHidden/>
              </w:rPr>
              <w:fldChar w:fldCharType="begin"/>
            </w:r>
            <w:r>
              <w:rPr>
                <w:noProof/>
                <w:webHidden/>
              </w:rPr>
              <w:instrText xml:space="preserve"> PAGEREF _Toc499196228 \h </w:instrText>
            </w:r>
            <w:r>
              <w:rPr>
                <w:noProof/>
                <w:webHidden/>
              </w:rPr>
            </w:r>
            <w:r>
              <w:rPr>
                <w:noProof/>
                <w:webHidden/>
              </w:rPr>
              <w:fldChar w:fldCharType="separate"/>
            </w:r>
            <w:r>
              <w:rPr>
                <w:noProof/>
                <w:webHidden/>
              </w:rPr>
              <w:t>38</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29" w:history="1">
            <w:r w:rsidRPr="00C76951">
              <w:rPr>
                <w:rStyle w:val="Hyperlink"/>
                <w:noProof/>
              </w:rPr>
              <w:t>Quality</w:t>
            </w:r>
            <w:r>
              <w:rPr>
                <w:noProof/>
                <w:webHidden/>
              </w:rPr>
              <w:tab/>
            </w:r>
            <w:r>
              <w:rPr>
                <w:noProof/>
                <w:webHidden/>
              </w:rPr>
              <w:fldChar w:fldCharType="begin"/>
            </w:r>
            <w:r>
              <w:rPr>
                <w:noProof/>
                <w:webHidden/>
              </w:rPr>
              <w:instrText xml:space="preserve"> PAGEREF _Toc499196229 \h </w:instrText>
            </w:r>
            <w:r>
              <w:rPr>
                <w:noProof/>
                <w:webHidden/>
              </w:rPr>
            </w:r>
            <w:r>
              <w:rPr>
                <w:noProof/>
                <w:webHidden/>
              </w:rPr>
              <w:fldChar w:fldCharType="separate"/>
            </w:r>
            <w:r>
              <w:rPr>
                <w:noProof/>
                <w:webHidden/>
              </w:rPr>
              <w:t>38</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30" w:history="1">
            <w:r w:rsidRPr="00C76951">
              <w:rPr>
                <w:rStyle w:val="Hyperlink"/>
                <w:noProof/>
              </w:rPr>
              <w:t>Nonclinical</w:t>
            </w:r>
            <w:r>
              <w:rPr>
                <w:noProof/>
                <w:webHidden/>
              </w:rPr>
              <w:tab/>
            </w:r>
            <w:r>
              <w:rPr>
                <w:noProof/>
                <w:webHidden/>
              </w:rPr>
              <w:fldChar w:fldCharType="begin"/>
            </w:r>
            <w:r>
              <w:rPr>
                <w:noProof/>
                <w:webHidden/>
              </w:rPr>
              <w:instrText xml:space="preserve"> PAGEREF _Toc499196230 \h </w:instrText>
            </w:r>
            <w:r>
              <w:rPr>
                <w:noProof/>
                <w:webHidden/>
              </w:rPr>
            </w:r>
            <w:r>
              <w:rPr>
                <w:noProof/>
                <w:webHidden/>
              </w:rPr>
              <w:fldChar w:fldCharType="separate"/>
            </w:r>
            <w:r>
              <w:rPr>
                <w:noProof/>
                <w:webHidden/>
              </w:rPr>
              <w:t>38</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31" w:history="1">
            <w:r w:rsidRPr="00C76951">
              <w:rPr>
                <w:rStyle w:val="Hyperlink"/>
                <w:noProof/>
              </w:rPr>
              <w:t>Clinical</w:t>
            </w:r>
            <w:r>
              <w:rPr>
                <w:noProof/>
                <w:webHidden/>
              </w:rPr>
              <w:tab/>
            </w:r>
            <w:r>
              <w:rPr>
                <w:noProof/>
                <w:webHidden/>
              </w:rPr>
              <w:fldChar w:fldCharType="begin"/>
            </w:r>
            <w:r>
              <w:rPr>
                <w:noProof/>
                <w:webHidden/>
              </w:rPr>
              <w:instrText xml:space="preserve"> PAGEREF _Toc499196231 \h </w:instrText>
            </w:r>
            <w:r>
              <w:rPr>
                <w:noProof/>
                <w:webHidden/>
              </w:rPr>
            </w:r>
            <w:r>
              <w:rPr>
                <w:noProof/>
                <w:webHidden/>
              </w:rPr>
              <w:fldChar w:fldCharType="separate"/>
            </w:r>
            <w:r>
              <w:rPr>
                <w:noProof/>
                <w:webHidden/>
              </w:rPr>
              <w:t>39</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32" w:history="1">
            <w:r w:rsidRPr="00C76951">
              <w:rPr>
                <w:rStyle w:val="Hyperlink"/>
                <w:noProof/>
                <w:lang w:eastAsia="en-AU"/>
              </w:rPr>
              <w:t>Risk management plan</w:t>
            </w:r>
            <w:r>
              <w:rPr>
                <w:noProof/>
                <w:webHidden/>
              </w:rPr>
              <w:tab/>
            </w:r>
            <w:r>
              <w:rPr>
                <w:noProof/>
                <w:webHidden/>
              </w:rPr>
              <w:fldChar w:fldCharType="begin"/>
            </w:r>
            <w:r>
              <w:rPr>
                <w:noProof/>
                <w:webHidden/>
              </w:rPr>
              <w:instrText xml:space="preserve"> PAGEREF _Toc499196232 \h </w:instrText>
            </w:r>
            <w:r>
              <w:rPr>
                <w:noProof/>
                <w:webHidden/>
              </w:rPr>
            </w:r>
            <w:r>
              <w:rPr>
                <w:noProof/>
                <w:webHidden/>
              </w:rPr>
              <w:fldChar w:fldCharType="separate"/>
            </w:r>
            <w:r>
              <w:rPr>
                <w:noProof/>
                <w:webHidden/>
              </w:rPr>
              <w:t>43</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33" w:history="1">
            <w:r w:rsidRPr="00C76951">
              <w:rPr>
                <w:rStyle w:val="Hyperlink"/>
                <w:noProof/>
              </w:rPr>
              <w:t>Risk-benefit analysis</w:t>
            </w:r>
            <w:r>
              <w:rPr>
                <w:noProof/>
                <w:webHidden/>
              </w:rPr>
              <w:tab/>
            </w:r>
            <w:r>
              <w:rPr>
                <w:noProof/>
                <w:webHidden/>
              </w:rPr>
              <w:fldChar w:fldCharType="begin"/>
            </w:r>
            <w:r>
              <w:rPr>
                <w:noProof/>
                <w:webHidden/>
              </w:rPr>
              <w:instrText xml:space="preserve"> PAGEREF _Toc499196233 \h </w:instrText>
            </w:r>
            <w:r>
              <w:rPr>
                <w:noProof/>
                <w:webHidden/>
              </w:rPr>
            </w:r>
            <w:r>
              <w:rPr>
                <w:noProof/>
                <w:webHidden/>
              </w:rPr>
              <w:fldChar w:fldCharType="separate"/>
            </w:r>
            <w:r>
              <w:rPr>
                <w:noProof/>
                <w:webHidden/>
              </w:rPr>
              <w:t>43</w:t>
            </w:r>
            <w:r>
              <w:rPr>
                <w:noProof/>
                <w:webHidden/>
              </w:rPr>
              <w:fldChar w:fldCharType="end"/>
            </w:r>
          </w:hyperlink>
        </w:p>
        <w:p w:rsidR="00843E69" w:rsidRDefault="00843E69">
          <w:pPr>
            <w:pStyle w:val="TOC3"/>
            <w:rPr>
              <w:rFonts w:asciiTheme="minorHAnsi" w:eastAsiaTheme="minorEastAsia" w:hAnsiTheme="minorHAnsi" w:cstheme="minorBidi"/>
              <w:noProof/>
              <w:lang w:eastAsia="en-AU"/>
            </w:rPr>
          </w:pPr>
          <w:hyperlink w:anchor="_Toc499196234" w:history="1">
            <w:r w:rsidRPr="00C76951">
              <w:rPr>
                <w:rStyle w:val="Hyperlink"/>
                <w:noProof/>
              </w:rPr>
              <w:t>Outcome</w:t>
            </w:r>
            <w:r>
              <w:rPr>
                <w:noProof/>
                <w:webHidden/>
              </w:rPr>
              <w:tab/>
            </w:r>
            <w:r>
              <w:rPr>
                <w:noProof/>
                <w:webHidden/>
              </w:rPr>
              <w:fldChar w:fldCharType="begin"/>
            </w:r>
            <w:r>
              <w:rPr>
                <w:noProof/>
                <w:webHidden/>
              </w:rPr>
              <w:instrText xml:space="preserve"> PAGEREF _Toc499196234 \h </w:instrText>
            </w:r>
            <w:r>
              <w:rPr>
                <w:noProof/>
                <w:webHidden/>
              </w:rPr>
            </w:r>
            <w:r>
              <w:rPr>
                <w:noProof/>
                <w:webHidden/>
              </w:rPr>
              <w:fldChar w:fldCharType="separate"/>
            </w:r>
            <w:r>
              <w:rPr>
                <w:noProof/>
                <w:webHidden/>
              </w:rPr>
              <w:t>47</w:t>
            </w:r>
            <w:r>
              <w:rPr>
                <w:noProof/>
                <w:webHidden/>
              </w:rPr>
              <w:fldChar w:fldCharType="end"/>
            </w:r>
          </w:hyperlink>
        </w:p>
        <w:p w:rsidR="00843E69" w:rsidRDefault="00843E69">
          <w:pPr>
            <w:pStyle w:val="TOC2"/>
            <w:rPr>
              <w:rFonts w:asciiTheme="minorHAnsi" w:eastAsiaTheme="minorEastAsia" w:hAnsiTheme="minorHAnsi" w:cstheme="minorBidi"/>
              <w:b w:val="0"/>
              <w:noProof/>
              <w:sz w:val="22"/>
              <w:lang w:eastAsia="en-AU"/>
            </w:rPr>
          </w:pPr>
          <w:hyperlink w:anchor="_Toc499196235" w:history="1">
            <w:r w:rsidRPr="00C76951">
              <w:rPr>
                <w:rStyle w:val="Hyperlink"/>
                <w:noProof/>
              </w:rPr>
              <w:t>Attachment 1. Product Information</w:t>
            </w:r>
            <w:r>
              <w:rPr>
                <w:noProof/>
                <w:webHidden/>
              </w:rPr>
              <w:tab/>
            </w:r>
            <w:r>
              <w:rPr>
                <w:noProof/>
                <w:webHidden/>
              </w:rPr>
              <w:fldChar w:fldCharType="begin"/>
            </w:r>
            <w:r>
              <w:rPr>
                <w:noProof/>
                <w:webHidden/>
              </w:rPr>
              <w:instrText xml:space="preserve"> PAGEREF _Toc499196235 \h </w:instrText>
            </w:r>
            <w:r>
              <w:rPr>
                <w:noProof/>
                <w:webHidden/>
              </w:rPr>
            </w:r>
            <w:r>
              <w:rPr>
                <w:noProof/>
                <w:webHidden/>
              </w:rPr>
              <w:fldChar w:fldCharType="separate"/>
            </w:r>
            <w:r>
              <w:rPr>
                <w:noProof/>
                <w:webHidden/>
              </w:rPr>
              <w:t>47</w:t>
            </w:r>
            <w:r>
              <w:rPr>
                <w:noProof/>
                <w:webHidden/>
              </w:rPr>
              <w:fldChar w:fldCharType="end"/>
            </w:r>
          </w:hyperlink>
        </w:p>
        <w:p w:rsidR="00843E69" w:rsidRDefault="00843E69">
          <w:pPr>
            <w:pStyle w:val="TOC2"/>
            <w:rPr>
              <w:rFonts w:asciiTheme="minorHAnsi" w:eastAsiaTheme="minorEastAsia" w:hAnsiTheme="minorHAnsi" w:cstheme="minorBidi"/>
              <w:b w:val="0"/>
              <w:noProof/>
              <w:sz w:val="22"/>
              <w:lang w:eastAsia="en-AU"/>
            </w:rPr>
          </w:pPr>
          <w:hyperlink w:anchor="_Toc499196236" w:history="1">
            <w:r w:rsidRPr="00C76951">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_Toc499196236 \h </w:instrText>
            </w:r>
            <w:r>
              <w:rPr>
                <w:noProof/>
                <w:webHidden/>
              </w:rPr>
            </w:r>
            <w:r>
              <w:rPr>
                <w:noProof/>
                <w:webHidden/>
              </w:rPr>
              <w:fldChar w:fldCharType="separate"/>
            </w:r>
            <w:r>
              <w:rPr>
                <w:noProof/>
                <w:webHidden/>
              </w:rPr>
              <w:t>47</w:t>
            </w:r>
            <w:r>
              <w:rPr>
                <w:noProof/>
                <w:webHidden/>
              </w:rPr>
              <w:fldChar w:fldCharType="end"/>
            </w:r>
          </w:hyperlink>
        </w:p>
        <w:p w:rsidR="003A7F6C" w:rsidRPr="00B811C6" w:rsidRDefault="00DB6124" w:rsidP="00B811C6">
          <w:pPr>
            <w:pStyle w:val="TOC2"/>
          </w:pPr>
          <w:r>
            <w:fldChar w:fldCharType="end"/>
          </w:r>
        </w:p>
      </w:sdtContent>
    </w:sdt>
    <w:bookmarkStart w:id="5" w:name="_Toc314842482" w:displacedByCustomXml="prev"/>
    <w:p w:rsidR="00FD119B" w:rsidRPr="00FD119B" w:rsidRDefault="00441C3F" w:rsidP="00843E69">
      <w:pPr>
        <w:pStyle w:val="Heading2"/>
        <w:pageBreakBefore/>
      </w:pPr>
      <w:bookmarkStart w:id="6" w:name="_Toc351716269"/>
      <w:bookmarkStart w:id="7" w:name="_Toc351718881"/>
      <w:bookmarkStart w:id="8" w:name="_Toc355338616"/>
      <w:bookmarkStart w:id="9" w:name="_Toc356306144"/>
      <w:bookmarkStart w:id="10" w:name="_Toc499196199"/>
      <w:r>
        <w:t>Common</w:t>
      </w:r>
      <w:r w:rsidR="00FD119B" w:rsidRPr="00FD119B">
        <w:t xml:space="preserve"> abbreviations</w:t>
      </w:r>
      <w:bookmarkEnd w:id="6"/>
      <w:bookmarkEnd w:id="7"/>
      <w:bookmarkEnd w:id="8"/>
      <w:bookmarkEnd w:id="9"/>
      <w:bookmarkEnd w:id="10"/>
    </w:p>
    <w:tbl>
      <w:tblPr>
        <w:tblStyle w:val="TableTGAblue"/>
        <w:tblW w:w="8720" w:type="dxa"/>
        <w:tblLook w:val="04A0" w:firstRow="1" w:lastRow="0" w:firstColumn="1" w:lastColumn="0" w:noHBand="0" w:noVBand="1"/>
        <w:tblDescription w:val="Common abbreviations"/>
      </w:tblPr>
      <w:tblGrid>
        <w:gridCol w:w="1809"/>
        <w:gridCol w:w="142"/>
        <w:gridCol w:w="6769"/>
      </w:tblGrid>
      <w:tr w:rsidR="00FD119B" w:rsidRPr="00FD119B" w:rsidTr="00A30405">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gridSpan w:val="2"/>
          </w:tcPr>
          <w:p w:rsidR="00FD119B" w:rsidRPr="00FD119B" w:rsidRDefault="00FD119B" w:rsidP="00FD119B">
            <w:pPr>
              <w:keepNext w:val="0"/>
              <w:ind w:left="0" w:right="0"/>
              <w:rPr>
                <w:szCs w:val="22"/>
                <w:lang w:eastAsia="en-US"/>
              </w:rPr>
            </w:pPr>
            <w:r w:rsidRPr="00FD119B">
              <w:rPr>
                <w:szCs w:val="22"/>
                <w:lang w:eastAsia="en-US"/>
              </w:rPr>
              <w:t>Meaning</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ABR</w:t>
            </w:r>
          </w:p>
        </w:tc>
        <w:tc>
          <w:tcPr>
            <w:tcW w:w="6769" w:type="dxa"/>
          </w:tcPr>
          <w:p w:rsidR="00A30405" w:rsidRPr="000C398C" w:rsidRDefault="00A30405" w:rsidP="00686B7A">
            <w:pPr>
              <w:rPr>
                <w:lang w:eastAsia="ja-JP"/>
              </w:rPr>
            </w:pPr>
            <w:r w:rsidRPr="000C398C">
              <w:rPr>
                <w:lang w:eastAsia="ja-JP"/>
              </w:rPr>
              <w:t>Auditory Brainstem Responses</w:t>
            </w:r>
          </w:p>
        </w:tc>
      </w:tr>
      <w:tr w:rsidR="00A30405" w:rsidRPr="000C398C" w:rsidTr="00686B7A">
        <w:tc>
          <w:tcPr>
            <w:tcW w:w="1951" w:type="dxa"/>
            <w:gridSpan w:val="2"/>
          </w:tcPr>
          <w:p w:rsidR="00A30405" w:rsidRPr="000C398C" w:rsidRDefault="00A30405" w:rsidP="00686B7A">
            <w:pPr>
              <w:rPr>
                <w:lang w:eastAsia="ja-JP"/>
              </w:rPr>
            </w:pPr>
            <w:r>
              <w:rPr>
                <w:lang w:eastAsia="ja-JP"/>
              </w:rPr>
              <w:t>ACM</w:t>
            </w:r>
          </w:p>
        </w:tc>
        <w:tc>
          <w:tcPr>
            <w:tcW w:w="6769" w:type="dxa"/>
          </w:tcPr>
          <w:p w:rsidR="00A30405" w:rsidRPr="000C398C" w:rsidRDefault="00A30405" w:rsidP="00686B7A">
            <w:pPr>
              <w:rPr>
                <w:lang w:eastAsia="ja-JP"/>
              </w:rPr>
            </w:pPr>
            <w:r>
              <w:rPr>
                <w:lang w:eastAsia="ja-JP"/>
              </w:rPr>
              <w:t>Advisory Committee on Medicines</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AE</w:t>
            </w:r>
          </w:p>
        </w:tc>
        <w:tc>
          <w:tcPr>
            <w:tcW w:w="6769" w:type="dxa"/>
          </w:tcPr>
          <w:p w:rsidR="00A30405" w:rsidRPr="000C398C" w:rsidRDefault="00A30405" w:rsidP="00686B7A">
            <w:pPr>
              <w:rPr>
                <w:lang w:eastAsia="ja-JP"/>
              </w:rPr>
            </w:pPr>
            <w:r w:rsidRPr="000C398C">
              <w:rPr>
                <w:lang w:eastAsia="ja-JP"/>
              </w:rPr>
              <w:t>Adverse Event</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AFF</w:t>
            </w:r>
          </w:p>
        </w:tc>
        <w:tc>
          <w:tcPr>
            <w:tcW w:w="6769" w:type="dxa"/>
          </w:tcPr>
          <w:p w:rsidR="00A30405" w:rsidRPr="000C398C" w:rsidRDefault="00A30405" w:rsidP="00686B7A">
            <w:pPr>
              <w:rPr>
                <w:lang w:eastAsia="ja-JP"/>
              </w:rPr>
            </w:pPr>
            <w:r w:rsidRPr="000C398C">
              <w:rPr>
                <w:lang w:eastAsia="ja-JP"/>
              </w:rPr>
              <w:t>Atrial filling fraction</w:t>
            </w:r>
          </w:p>
        </w:tc>
      </w:tr>
      <w:tr w:rsidR="00A30405" w:rsidRPr="000C398C" w:rsidTr="00A30405">
        <w:tc>
          <w:tcPr>
            <w:tcW w:w="1951" w:type="dxa"/>
            <w:gridSpan w:val="2"/>
          </w:tcPr>
          <w:p w:rsidR="00A30405" w:rsidRPr="000C398C" w:rsidRDefault="00A30405" w:rsidP="00686B7A">
            <w:pPr>
              <w:rPr>
                <w:lang w:eastAsia="ja-JP"/>
              </w:rPr>
            </w:pPr>
            <w:proofErr w:type="spellStart"/>
            <w:r w:rsidRPr="000C398C">
              <w:rPr>
                <w:lang w:eastAsia="ja-JP"/>
              </w:rPr>
              <w:t>Ao</w:t>
            </w:r>
            <w:proofErr w:type="spellEnd"/>
          </w:p>
        </w:tc>
        <w:tc>
          <w:tcPr>
            <w:tcW w:w="6769" w:type="dxa"/>
          </w:tcPr>
          <w:p w:rsidR="00A30405" w:rsidRPr="000C398C" w:rsidRDefault="00A30405" w:rsidP="00686B7A">
            <w:pPr>
              <w:rPr>
                <w:lang w:eastAsia="ja-JP"/>
              </w:rPr>
            </w:pPr>
            <w:r w:rsidRPr="000C398C">
              <w:rPr>
                <w:lang w:eastAsia="ja-JP"/>
              </w:rPr>
              <w:t>Aorta</w:t>
            </w:r>
          </w:p>
        </w:tc>
      </w:tr>
      <w:tr w:rsidR="00A30405" w:rsidRPr="000C398C" w:rsidTr="00A30405">
        <w:tc>
          <w:tcPr>
            <w:tcW w:w="1951" w:type="dxa"/>
            <w:gridSpan w:val="2"/>
          </w:tcPr>
          <w:p w:rsidR="00A30405" w:rsidRPr="000C398C" w:rsidRDefault="00A30405" w:rsidP="00686B7A">
            <w:pPr>
              <w:rPr>
                <w:lang w:eastAsia="ja-JP"/>
              </w:rPr>
            </w:pPr>
            <w:proofErr w:type="spellStart"/>
            <w:r w:rsidRPr="000C398C">
              <w:rPr>
                <w:lang w:eastAsia="ja-JP"/>
              </w:rPr>
              <w:t>Ao</w:t>
            </w:r>
            <w:proofErr w:type="spellEnd"/>
            <w:r w:rsidRPr="000C398C">
              <w:rPr>
                <w:lang w:eastAsia="ja-JP"/>
              </w:rPr>
              <w:t xml:space="preserve"> VTI</w:t>
            </w:r>
          </w:p>
        </w:tc>
        <w:tc>
          <w:tcPr>
            <w:tcW w:w="6769" w:type="dxa"/>
          </w:tcPr>
          <w:p w:rsidR="00A30405" w:rsidRPr="000C398C" w:rsidRDefault="00A30405" w:rsidP="00686B7A">
            <w:pPr>
              <w:rPr>
                <w:lang w:eastAsia="ja-JP"/>
              </w:rPr>
            </w:pPr>
            <w:r w:rsidRPr="000C398C">
              <w:rPr>
                <w:lang w:eastAsia="ja-JP"/>
              </w:rPr>
              <w:t>Aortic velocity time integral</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AUC</w:t>
            </w:r>
          </w:p>
        </w:tc>
        <w:tc>
          <w:tcPr>
            <w:tcW w:w="6769" w:type="dxa"/>
          </w:tcPr>
          <w:p w:rsidR="00A30405" w:rsidRPr="000C398C" w:rsidRDefault="00A30405" w:rsidP="00686B7A">
            <w:pPr>
              <w:rPr>
                <w:lang w:eastAsia="ja-JP"/>
              </w:rPr>
            </w:pPr>
            <w:r w:rsidRPr="000C398C">
              <w:rPr>
                <w:lang w:eastAsia="ja-JP"/>
              </w:rPr>
              <w:t>Area under the plasma drug concentration-time curve over one dosing interval</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AUC0-t</w:t>
            </w:r>
          </w:p>
        </w:tc>
        <w:tc>
          <w:tcPr>
            <w:tcW w:w="6769" w:type="dxa"/>
          </w:tcPr>
          <w:p w:rsidR="00A30405" w:rsidRPr="000C398C" w:rsidRDefault="00A30405" w:rsidP="00686B7A">
            <w:pPr>
              <w:rPr>
                <w:lang w:eastAsia="ja-JP"/>
              </w:rPr>
            </w:pPr>
            <w:r w:rsidRPr="000C398C">
              <w:rPr>
                <w:lang w:eastAsia="ja-JP"/>
              </w:rPr>
              <w:t>Area under the plasma drug concentration versus time curve from time zero to the time (t) corresponding to the last quantifiable concentration</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AUC0-∞</w:t>
            </w:r>
          </w:p>
        </w:tc>
        <w:tc>
          <w:tcPr>
            <w:tcW w:w="6769" w:type="dxa"/>
          </w:tcPr>
          <w:p w:rsidR="00A30405" w:rsidRPr="000C398C" w:rsidRDefault="00A30405" w:rsidP="00686B7A">
            <w:pPr>
              <w:rPr>
                <w:lang w:eastAsia="ja-JP"/>
              </w:rPr>
            </w:pPr>
            <w:r w:rsidRPr="000C398C">
              <w:rPr>
                <w:lang w:eastAsia="ja-JP"/>
              </w:rPr>
              <w:t>Area under the concentration-time curve from time zero to infinity</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BP</w:t>
            </w:r>
          </w:p>
        </w:tc>
        <w:tc>
          <w:tcPr>
            <w:tcW w:w="6769" w:type="dxa"/>
          </w:tcPr>
          <w:p w:rsidR="00A30405" w:rsidRPr="000C398C" w:rsidRDefault="00A30405" w:rsidP="00686B7A">
            <w:pPr>
              <w:rPr>
                <w:lang w:eastAsia="ja-JP"/>
              </w:rPr>
            </w:pPr>
            <w:r w:rsidRPr="000C398C">
              <w:rPr>
                <w:lang w:eastAsia="ja-JP"/>
              </w:rPr>
              <w:t>Blood pressure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BPD</w:t>
            </w:r>
          </w:p>
        </w:tc>
        <w:tc>
          <w:tcPr>
            <w:tcW w:w="6769" w:type="dxa"/>
          </w:tcPr>
          <w:p w:rsidR="00A30405" w:rsidRPr="000C398C" w:rsidRDefault="00A30405" w:rsidP="00686B7A">
            <w:pPr>
              <w:rPr>
                <w:lang w:eastAsia="ja-JP"/>
              </w:rPr>
            </w:pPr>
            <w:proofErr w:type="spellStart"/>
            <w:r w:rsidRPr="000C398C">
              <w:rPr>
                <w:lang w:eastAsia="ja-JP"/>
              </w:rPr>
              <w:t>Broncopulmonary</w:t>
            </w:r>
            <w:proofErr w:type="spellEnd"/>
            <w:r w:rsidRPr="000C398C">
              <w:rPr>
                <w:lang w:eastAsia="ja-JP"/>
              </w:rPr>
              <w:t xml:space="preserve"> dysplasia</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BW</w:t>
            </w:r>
          </w:p>
        </w:tc>
        <w:tc>
          <w:tcPr>
            <w:tcW w:w="6769" w:type="dxa"/>
          </w:tcPr>
          <w:p w:rsidR="00A30405" w:rsidRPr="000C398C" w:rsidRDefault="00A30405" w:rsidP="00686B7A">
            <w:pPr>
              <w:rPr>
                <w:lang w:eastAsia="ja-JP"/>
              </w:rPr>
            </w:pPr>
            <w:r w:rsidRPr="000C398C">
              <w:rPr>
                <w:lang w:eastAsia="ja-JP"/>
              </w:rPr>
              <w:t>Birth weight</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CBF</w:t>
            </w:r>
          </w:p>
        </w:tc>
        <w:tc>
          <w:tcPr>
            <w:tcW w:w="6769" w:type="dxa"/>
          </w:tcPr>
          <w:p w:rsidR="00A30405" w:rsidRPr="000C398C" w:rsidRDefault="00A30405" w:rsidP="00686B7A">
            <w:pPr>
              <w:rPr>
                <w:lang w:eastAsia="ja-JP"/>
              </w:rPr>
            </w:pPr>
            <w:r w:rsidRPr="000C398C">
              <w:rPr>
                <w:lang w:eastAsia="ja-JP"/>
              </w:rPr>
              <w:t>Cerebral blood flow</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CHMP</w:t>
            </w:r>
          </w:p>
        </w:tc>
        <w:tc>
          <w:tcPr>
            <w:tcW w:w="6769" w:type="dxa"/>
          </w:tcPr>
          <w:p w:rsidR="00A30405" w:rsidRPr="000C398C" w:rsidRDefault="00A30405" w:rsidP="00686B7A">
            <w:pPr>
              <w:rPr>
                <w:lang w:eastAsia="ja-JP"/>
              </w:rPr>
            </w:pPr>
            <w:r w:rsidRPr="000C398C">
              <w:rPr>
                <w:lang w:eastAsia="ja-JP"/>
              </w:rPr>
              <w:t>Committee for Medicinal Products for Human Use (EU)</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Cmax</w:t>
            </w:r>
          </w:p>
        </w:tc>
        <w:tc>
          <w:tcPr>
            <w:tcW w:w="6769" w:type="dxa"/>
          </w:tcPr>
          <w:p w:rsidR="00A30405" w:rsidRPr="000C398C" w:rsidRDefault="00A30405" w:rsidP="00686B7A">
            <w:pPr>
              <w:rPr>
                <w:lang w:eastAsia="ja-JP"/>
              </w:rPr>
            </w:pPr>
            <w:r w:rsidRPr="000C398C">
              <w:rPr>
                <w:lang w:eastAsia="ja-JP"/>
              </w:rPr>
              <w:t>Maximum plasma drug concentration</w:t>
            </w:r>
          </w:p>
        </w:tc>
      </w:tr>
      <w:tr w:rsidR="00C75B48" w:rsidRPr="000C398C" w:rsidTr="00686B7A">
        <w:tc>
          <w:tcPr>
            <w:tcW w:w="1951" w:type="dxa"/>
            <w:gridSpan w:val="2"/>
          </w:tcPr>
          <w:p w:rsidR="00C75B48" w:rsidRPr="000C398C" w:rsidRDefault="00C75B48" w:rsidP="00686B7A">
            <w:pPr>
              <w:rPr>
                <w:lang w:eastAsia="ja-JP"/>
              </w:rPr>
            </w:pPr>
            <w:r>
              <w:rPr>
                <w:lang w:eastAsia="ja-JP"/>
              </w:rPr>
              <w:t>CMI</w:t>
            </w:r>
          </w:p>
        </w:tc>
        <w:tc>
          <w:tcPr>
            <w:tcW w:w="6769" w:type="dxa"/>
          </w:tcPr>
          <w:p w:rsidR="00C75B48" w:rsidRPr="000C398C" w:rsidRDefault="00C75B48" w:rsidP="00686B7A">
            <w:pPr>
              <w:rPr>
                <w:lang w:eastAsia="ja-JP"/>
              </w:rPr>
            </w:pPr>
            <w:r>
              <w:rPr>
                <w:lang w:eastAsia="ja-JP"/>
              </w:rPr>
              <w:t>Consumer Medicine</w:t>
            </w:r>
            <w:r w:rsidR="005401ED">
              <w:rPr>
                <w:lang w:eastAsia="ja-JP"/>
              </w:rPr>
              <w:t>s</w:t>
            </w:r>
            <w:r>
              <w:rPr>
                <w:lang w:eastAsia="ja-JP"/>
              </w:rPr>
              <w:t xml:space="preserve"> Information</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CNS</w:t>
            </w:r>
          </w:p>
        </w:tc>
        <w:tc>
          <w:tcPr>
            <w:tcW w:w="6769" w:type="dxa"/>
          </w:tcPr>
          <w:p w:rsidR="00A30405" w:rsidRPr="000C398C" w:rsidRDefault="00A30405" w:rsidP="00686B7A">
            <w:pPr>
              <w:rPr>
                <w:lang w:eastAsia="ja-JP"/>
              </w:rPr>
            </w:pPr>
            <w:r w:rsidRPr="000C398C">
              <w:rPr>
                <w:lang w:eastAsia="ja-JP"/>
              </w:rPr>
              <w:t>Central nervous system</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CO</w:t>
            </w:r>
          </w:p>
        </w:tc>
        <w:tc>
          <w:tcPr>
            <w:tcW w:w="6769" w:type="dxa"/>
          </w:tcPr>
          <w:p w:rsidR="00A30405" w:rsidRPr="000C398C" w:rsidRDefault="00A30405" w:rsidP="00686B7A">
            <w:pPr>
              <w:rPr>
                <w:lang w:eastAsia="ja-JP"/>
              </w:rPr>
            </w:pPr>
            <w:r w:rsidRPr="000C398C">
              <w:rPr>
                <w:lang w:eastAsia="ja-JP"/>
              </w:rPr>
              <w:t>Cardiac output</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COMP</w:t>
            </w:r>
          </w:p>
        </w:tc>
        <w:tc>
          <w:tcPr>
            <w:tcW w:w="6769" w:type="dxa"/>
          </w:tcPr>
          <w:p w:rsidR="00A30405" w:rsidRPr="000C398C" w:rsidRDefault="00A30405" w:rsidP="00686B7A">
            <w:pPr>
              <w:rPr>
                <w:lang w:eastAsia="ja-JP"/>
              </w:rPr>
            </w:pPr>
            <w:r w:rsidRPr="000C398C">
              <w:rPr>
                <w:lang w:eastAsia="ja-JP"/>
              </w:rPr>
              <w:t>Committee for Orphan Medicinal Products</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COX</w:t>
            </w:r>
          </w:p>
        </w:tc>
        <w:tc>
          <w:tcPr>
            <w:tcW w:w="6769" w:type="dxa"/>
          </w:tcPr>
          <w:p w:rsidR="00A30405" w:rsidRPr="000C398C" w:rsidRDefault="00A30405" w:rsidP="00686B7A">
            <w:pPr>
              <w:rPr>
                <w:lang w:eastAsia="ja-JP"/>
              </w:rPr>
            </w:pPr>
            <w:r w:rsidRPr="000C398C">
              <w:rPr>
                <w:lang w:eastAsia="ja-JP"/>
              </w:rPr>
              <w:t>Cyclooxygenase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CP</w:t>
            </w:r>
          </w:p>
        </w:tc>
        <w:tc>
          <w:tcPr>
            <w:tcW w:w="6769" w:type="dxa"/>
          </w:tcPr>
          <w:p w:rsidR="00A30405" w:rsidRPr="000C398C" w:rsidRDefault="00A30405" w:rsidP="00686B7A">
            <w:pPr>
              <w:rPr>
                <w:lang w:eastAsia="ja-JP"/>
              </w:rPr>
            </w:pPr>
            <w:r w:rsidRPr="000C398C">
              <w:rPr>
                <w:lang w:eastAsia="ja-JP"/>
              </w:rPr>
              <w:t>Cerebral palsy</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CRIB</w:t>
            </w:r>
          </w:p>
        </w:tc>
        <w:tc>
          <w:tcPr>
            <w:tcW w:w="6769" w:type="dxa"/>
          </w:tcPr>
          <w:p w:rsidR="00A30405" w:rsidRPr="000C398C" w:rsidRDefault="00A30405" w:rsidP="00686B7A">
            <w:pPr>
              <w:rPr>
                <w:lang w:eastAsia="ja-JP"/>
              </w:rPr>
            </w:pPr>
            <w:r w:rsidRPr="000C398C">
              <w:rPr>
                <w:lang w:eastAsia="ja-JP"/>
              </w:rPr>
              <w:t>Clinical risk index for babies</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CPAP</w:t>
            </w:r>
          </w:p>
        </w:tc>
        <w:tc>
          <w:tcPr>
            <w:tcW w:w="6769" w:type="dxa"/>
          </w:tcPr>
          <w:p w:rsidR="00A30405" w:rsidRPr="000C398C" w:rsidRDefault="00A30405" w:rsidP="00686B7A">
            <w:pPr>
              <w:rPr>
                <w:lang w:eastAsia="ja-JP"/>
              </w:rPr>
            </w:pPr>
            <w:r w:rsidRPr="000C398C">
              <w:rPr>
                <w:lang w:eastAsia="ja-JP"/>
              </w:rPr>
              <w:t>Continuous positive airway pressure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lastRenderedPageBreak/>
              <w:t>CSR</w:t>
            </w:r>
          </w:p>
        </w:tc>
        <w:tc>
          <w:tcPr>
            <w:tcW w:w="6769" w:type="dxa"/>
          </w:tcPr>
          <w:p w:rsidR="00A30405" w:rsidRPr="000C398C" w:rsidRDefault="00A30405" w:rsidP="00686B7A">
            <w:pPr>
              <w:rPr>
                <w:lang w:eastAsia="ja-JP"/>
              </w:rPr>
            </w:pPr>
            <w:r w:rsidRPr="000C398C">
              <w:rPr>
                <w:lang w:eastAsia="ja-JP"/>
              </w:rPr>
              <w:t>Clinical study report</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CYP</w:t>
            </w:r>
          </w:p>
        </w:tc>
        <w:tc>
          <w:tcPr>
            <w:tcW w:w="6769" w:type="dxa"/>
          </w:tcPr>
          <w:p w:rsidR="00A30405" w:rsidRPr="000C398C" w:rsidRDefault="00A30405" w:rsidP="00686B7A">
            <w:pPr>
              <w:rPr>
                <w:lang w:eastAsia="ja-JP"/>
              </w:rPr>
            </w:pPr>
            <w:r w:rsidRPr="000C398C">
              <w:rPr>
                <w:lang w:eastAsia="ja-JP"/>
              </w:rPr>
              <w:t>Cytochrome P450</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DA</w:t>
            </w:r>
          </w:p>
        </w:tc>
        <w:tc>
          <w:tcPr>
            <w:tcW w:w="6769" w:type="dxa"/>
          </w:tcPr>
          <w:p w:rsidR="00A30405" w:rsidRPr="000C398C" w:rsidRDefault="00A30405" w:rsidP="00686B7A">
            <w:pPr>
              <w:rPr>
                <w:lang w:eastAsia="ja-JP"/>
              </w:rPr>
            </w:pPr>
            <w:r w:rsidRPr="000C398C">
              <w:rPr>
                <w:lang w:eastAsia="ja-JP"/>
              </w:rPr>
              <w:t>Ductus arteriosus</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DIC</w:t>
            </w:r>
          </w:p>
        </w:tc>
        <w:tc>
          <w:tcPr>
            <w:tcW w:w="6769" w:type="dxa"/>
          </w:tcPr>
          <w:p w:rsidR="00A30405" w:rsidRPr="000C398C" w:rsidRDefault="00A30405" w:rsidP="00686B7A">
            <w:pPr>
              <w:rPr>
                <w:lang w:eastAsia="ja-JP"/>
              </w:rPr>
            </w:pPr>
            <w:r w:rsidRPr="000C398C">
              <w:rPr>
                <w:lang w:eastAsia="ja-JP"/>
              </w:rPr>
              <w:t>Disseminated coagulation disorder</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DBP</w:t>
            </w:r>
          </w:p>
        </w:tc>
        <w:tc>
          <w:tcPr>
            <w:tcW w:w="6769" w:type="dxa"/>
          </w:tcPr>
          <w:p w:rsidR="00A30405" w:rsidRPr="000C398C" w:rsidRDefault="00A30405" w:rsidP="00686B7A">
            <w:pPr>
              <w:rPr>
                <w:lang w:eastAsia="ja-JP"/>
              </w:rPr>
            </w:pPr>
            <w:r w:rsidRPr="000C398C">
              <w:rPr>
                <w:lang w:eastAsia="ja-JP"/>
              </w:rPr>
              <w:t>Diastolic blood pressure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EMPP</w:t>
            </w:r>
          </w:p>
        </w:tc>
        <w:tc>
          <w:tcPr>
            <w:tcW w:w="6769" w:type="dxa"/>
          </w:tcPr>
          <w:p w:rsidR="00A30405" w:rsidRPr="000C398C" w:rsidRDefault="00A30405" w:rsidP="00686B7A">
            <w:pPr>
              <w:rPr>
                <w:lang w:eastAsia="ja-JP"/>
              </w:rPr>
            </w:pPr>
            <w:r w:rsidRPr="000C398C">
              <w:rPr>
                <w:lang w:eastAsia="ja-JP"/>
              </w:rPr>
              <w:t>Early motor pattern profile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Fi02</w:t>
            </w:r>
          </w:p>
        </w:tc>
        <w:tc>
          <w:tcPr>
            <w:tcW w:w="6769" w:type="dxa"/>
          </w:tcPr>
          <w:p w:rsidR="00A30405" w:rsidRPr="000C398C" w:rsidRDefault="00A30405" w:rsidP="00686B7A">
            <w:pPr>
              <w:rPr>
                <w:lang w:eastAsia="ja-JP"/>
              </w:rPr>
            </w:pPr>
            <w:r w:rsidRPr="000C398C">
              <w:rPr>
                <w:lang w:eastAsia="ja-JP"/>
              </w:rPr>
              <w:t>Fraction of inspired oxygen</w:t>
            </w:r>
          </w:p>
        </w:tc>
      </w:tr>
      <w:tr w:rsidR="00A30405" w:rsidRPr="000C398C" w:rsidTr="00A30405">
        <w:tc>
          <w:tcPr>
            <w:tcW w:w="1951" w:type="dxa"/>
            <w:gridSpan w:val="2"/>
          </w:tcPr>
          <w:p w:rsidR="00A30405" w:rsidRPr="000C398C" w:rsidRDefault="00A30405" w:rsidP="00686B7A">
            <w:pPr>
              <w:rPr>
                <w:lang w:eastAsia="ja-JP"/>
              </w:rPr>
            </w:pPr>
            <w:proofErr w:type="spellStart"/>
            <w:r w:rsidRPr="000C398C">
              <w:rPr>
                <w:lang w:eastAsia="ja-JP"/>
              </w:rPr>
              <w:t>Frel</w:t>
            </w:r>
            <w:proofErr w:type="spellEnd"/>
          </w:p>
        </w:tc>
        <w:tc>
          <w:tcPr>
            <w:tcW w:w="6769" w:type="dxa"/>
          </w:tcPr>
          <w:p w:rsidR="00A30405" w:rsidRPr="000C398C" w:rsidRDefault="00A30405" w:rsidP="00686B7A">
            <w:pPr>
              <w:rPr>
                <w:lang w:eastAsia="ja-JP"/>
              </w:rPr>
            </w:pPr>
            <w:r w:rsidRPr="000C398C">
              <w:rPr>
                <w:lang w:eastAsia="ja-JP"/>
              </w:rPr>
              <w:t>Relative bioavailability</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GA</w:t>
            </w:r>
          </w:p>
        </w:tc>
        <w:tc>
          <w:tcPr>
            <w:tcW w:w="6769" w:type="dxa"/>
          </w:tcPr>
          <w:p w:rsidR="00A30405" w:rsidRPr="000C398C" w:rsidRDefault="00A30405" w:rsidP="00686B7A">
            <w:pPr>
              <w:rPr>
                <w:lang w:eastAsia="ja-JP"/>
              </w:rPr>
            </w:pPr>
            <w:r w:rsidRPr="000C398C">
              <w:rPr>
                <w:lang w:eastAsia="ja-JP"/>
              </w:rPr>
              <w:t>Gestational age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GCP</w:t>
            </w:r>
          </w:p>
        </w:tc>
        <w:tc>
          <w:tcPr>
            <w:tcW w:w="6769" w:type="dxa"/>
          </w:tcPr>
          <w:p w:rsidR="00A30405" w:rsidRPr="000C398C" w:rsidRDefault="00A30405" w:rsidP="00686B7A">
            <w:pPr>
              <w:rPr>
                <w:lang w:eastAsia="ja-JP"/>
              </w:rPr>
            </w:pPr>
            <w:r w:rsidRPr="000C398C">
              <w:rPr>
                <w:lang w:eastAsia="ja-JP"/>
              </w:rPr>
              <w:t>Good Clinical Practice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HFO</w:t>
            </w:r>
          </w:p>
        </w:tc>
        <w:tc>
          <w:tcPr>
            <w:tcW w:w="6769" w:type="dxa"/>
          </w:tcPr>
          <w:p w:rsidR="00A30405" w:rsidRPr="000C398C" w:rsidRDefault="00A30405" w:rsidP="00686B7A">
            <w:pPr>
              <w:rPr>
                <w:lang w:eastAsia="ja-JP"/>
              </w:rPr>
            </w:pPr>
            <w:r w:rsidRPr="000C398C">
              <w:rPr>
                <w:lang w:eastAsia="ja-JP"/>
              </w:rPr>
              <w:t>High frequency oscillatory</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HMD</w:t>
            </w:r>
          </w:p>
        </w:tc>
        <w:tc>
          <w:tcPr>
            <w:tcW w:w="6769" w:type="dxa"/>
          </w:tcPr>
          <w:p w:rsidR="00A30405" w:rsidRPr="000C398C" w:rsidRDefault="00A30405" w:rsidP="00686B7A">
            <w:pPr>
              <w:rPr>
                <w:lang w:eastAsia="ja-JP"/>
              </w:rPr>
            </w:pPr>
            <w:r w:rsidRPr="000C398C">
              <w:rPr>
                <w:lang w:eastAsia="ja-JP"/>
              </w:rPr>
              <w:t>Hyaline membrane disease</w:t>
            </w:r>
          </w:p>
        </w:tc>
      </w:tr>
      <w:tr w:rsidR="00A30405" w:rsidRPr="000C398C" w:rsidTr="00A30405">
        <w:tc>
          <w:tcPr>
            <w:tcW w:w="1951" w:type="dxa"/>
            <w:gridSpan w:val="2"/>
          </w:tcPr>
          <w:p w:rsidR="00A30405" w:rsidRPr="000C398C" w:rsidRDefault="00A30405" w:rsidP="00686B7A">
            <w:pPr>
              <w:rPr>
                <w:lang w:eastAsia="ja-JP"/>
              </w:rPr>
            </w:pPr>
            <w:proofErr w:type="spellStart"/>
            <w:r w:rsidRPr="000C398C">
              <w:rPr>
                <w:lang w:eastAsia="ja-JP"/>
              </w:rPr>
              <w:t>HsPDA</w:t>
            </w:r>
            <w:proofErr w:type="spellEnd"/>
          </w:p>
        </w:tc>
        <w:tc>
          <w:tcPr>
            <w:tcW w:w="6769" w:type="dxa"/>
          </w:tcPr>
          <w:p w:rsidR="00A30405" w:rsidRPr="000C398C" w:rsidRDefault="00A30405" w:rsidP="00686B7A">
            <w:pPr>
              <w:rPr>
                <w:lang w:eastAsia="ja-JP"/>
              </w:rPr>
            </w:pPr>
            <w:proofErr w:type="spellStart"/>
            <w:r w:rsidRPr="000C398C">
              <w:rPr>
                <w:lang w:eastAsia="ja-JP"/>
              </w:rPr>
              <w:t>Haemodynamically</w:t>
            </w:r>
            <w:proofErr w:type="spellEnd"/>
            <w:r w:rsidRPr="000C398C">
              <w:rPr>
                <w:lang w:eastAsia="ja-JP"/>
              </w:rPr>
              <w:t xml:space="preserve"> significant patent ductus </w:t>
            </w:r>
            <w:proofErr w:type="spellStart"/>
            <w:r w:rsidRPr="000C398C">
              <w:rPr>
                <w:lang w:eastAsia="ja-JP"/>
              </w:rPr>
              <w:t>arteriosis</w:t>
            </w:r>
            <w:proofErr w:type="spellEnd"/>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HPLC</w:t>
            </w:r>
          </w:p>
        </w:tc>
        <w:tc>
          <w:tcPr>
            <w:tcW w:w="6769" w:type="dxa"/>
          </w:tcPr>
          <w:p w:rsidR="00A30405" w:rsidRPr="000C398C" w:rsidRDefault="00A30405" w:rsidP="00686B7A">
            <w:pPr>
              <w:rPr>
                <w:lang w:eastAsia="ja-JP"/>
              </w:rPr>
            </w:pPr>
            <w:r w:rsidRPr="000C398C">
              <w:rPr>
                <w:lang w:eastAsia="ja-JP"/>
              </w:rPr>
              <w:t>High-performance liquid chromatographic</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IM</w:t>
            </w:r>
          </w:p>
        </w:tc>
        <w:tc>
          <w:tcPr>
            <w:tcW w:w="6769" w:type="dxa"/>
          </w:tcPr>
          <w:p w:rsidR="00A30405" w:rsidRPr="000C398C" w:rsidRDefault="00A30405" w:rsidP="00686B7A">
            <w:pPr>
              <w:rPr>
                <w:lang w:eastAsia="ja-JP"/>
              </w:rPr>
            </w:pPr>
            <w:r w:rsidRPr="000C398C">
              <w:rPr>
                <w:lang w:eastAsia="ja-JP"/>
              </w:rPr>
              <w:t>Intramuscular</w:t>
            </w:r>
          </w:p>
        </w:tc>
      </w:tr>
      <w:tr w:rsidR="00090960" w:rsidRPr="000C398C" w:rsidTr="00DD5F12">
        <w:tc>
          <w:tcPr>
            <w:tcW w:w="1951" w:type="dxa"/>
            <w:gridSpan w:val="2"/>
          </w:tcPr>
          <w:p w:rsidR="00090960" w:rsidRPr="000C398C" w:rsidRDefault="00090960" w:rsidP="00DD5F12">
            <w:pPr>
              <w:rPr>
                <w:lang w:eastAsia="ja-JP"/>
              </w:rPr>
            </w:pPr>
            <w:r>
              <w:rPr>
                <w:lang w:eastAsia="ja-JP"/>
              </w:rPr>
              <w:t>IV</w:t>
            </w:r>
          </w:p>
        </w:tc>
        <w:tc>
          <w:tcPr>
            <w:tcW w:w="6769" w:type="dxa"/>
          </w:tcPr>
          <w:p w:rsidR="00090960" w:rsidRPr="000C398C" w:rsidRDefault="00090960" w:rsidP="00DD5F12">
            <w:pPr>
              <w:rPr>
                <w:lang w:eastAsia="ja-JP"/>
              </w:rPr>
            </w:pPr>
            <w:r>
              <w:rPr>
                <w:lang w:eastAsia="ja-JP"/>
              </w:rPr>
              <w:t>Intravenous</w:t>
            </w:r>
          </w:p>
        </w:tc>
      </w:tr>
      <w:tr w:rsidR="00913F88" w:rsidRPr="000C398C" w:rsidTr="00DD5F12">
        <w:tc>
          <w:tcPr>
            <w:tcW w:w="1951" w:type="dxa"/>
            <w:gridSpan w:val="2"/>
          </w:tcPr>
          <w:p w:rsidR="00913F88" w:rsidRPr="000C398C" w:rsidRDefault="00913F88" w:rsidP="00DD5F12">
            <w:pPr>
              <w:rPr>
                <w:lang w:eastAsia="ja-JP"/>
              </w:rPr>
            </w:pPr>
            <w:r w:rsidRPr="000C398C">
              <w:rPr>
                <w:lang w:eastAsia="ja-JP"/>
              </w:rPr>
              <w:t>IVH</w:t>
            </w:r>
          </w:p>
        </w:tc>
        <w:tc>
          <w:tcPr>
            <w:tcW w:w="6769" w:type="dxa"/>
          </w:tcPr>
          <w:p w:rsidR="00913F88" w:rsidRPr="000C398C" w:rsidRDefault="00913F88" w:rsidP="00DD5F12">
            <w:pPr>
              <w:rPr>
                <w:lang w:eastAsia="ja-JP"/>
              </w:rPr>
            </w:pPr>
            <w:r w:rsidRPr="000C398C">
              <w:rPr>
                <w:lang w:eastAsia="ja-JP"/>
              </w:rPr>
              <w:t>Intraventricular haemorrhage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LA</w:t>
            </w:r>
          </w:p>
        </w:tc>
        <w:tc>
          <w:tcPr>
            <w:tcW w:w="6769" w:type="dxa"/>
          </w:tcPr>
          <w:p w:rsidR="00A30405" w:rsidRPr="000C398C" w:rsidRDefault="00A30405" w:rsidP="00686B7A">
            <w:pPr>
              <w:rPr>
                <w:lang w:eastAsia="ja-JP"/>
              </w:rPr>
            </w:pPr>
            <w:r w:rsidRPr="000C398C">
              <w:rPr>
                <w:lang w:eastAsia="ja-JP"/>
              </w:rPr>
              <w:t>Left atrium</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LA/</w:t>
            </w:r>
            <w:proofErr w:type="spellStart"/>
            <w:r w:rsidRPr="000C398C">
              <w:rPr>
                <w:lang w:eastAsia="ja-JP"/>
              </w:rPr>
              <w:t>Ao</w:t>
            </w:r>
            <w:proofErr w:type="spellEnd"/>
          </w:p>
        </w:tc>
        <w:tc>
          <w:tcPr>
            <w:tcW w:w="6769" w:type="dxa"/>
          </w:tcPr>
          <w:p w:rsidR="00A30405" w:rsidRPr="000C398C" w:rsidRDefault="00A30405" w:rsidP="00686B7A">
            <w:pPr>
              <w:rPr>
                <w:lang w:eastAsia="ja-JP"/>
              </w:rPr>
            </w:pPr>
            <w:r w:rsidRPr="000C398C">
              <w:rPr>
                <w:lang w:eastAsia="ja-JP"/>
              </w:rPr>
              <w:t>Left atrium / Aortic root ratio</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LLOQ</w:t>
            </w:r>
          </w:p>
        </w:tc>
        <w:tc>
          <w:tcPr>
            <w:tcW w:w="6769" w:type="dxa"/>
          </w:tcPr>
          <w:p w:rsidR="00A30405" w:rsidRPr="000C398C" w:rsidRDefault="00A30405" w:rsidP="00686B7A">
            <w:pPr>
              <w:rPr>
                <w:lang w:eastAsia="ja-JP"/>
              </w:rPr>
            </w:pPr>
            <w:r w:rsidRPr="000C398C">
              <w:rPr>
                <w:lang w:eastAsia="ja-JP"/>
              </w:rPr>
              <w:t>Lower limit of quantification</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LVD</w:t>
            </w:r>
          </w:p>
        </w:tc>
        <w:tc>
          <w:tcPr>
            <w:tcW w:w="6769" w:type="dxa"/>
          </w:tcPr>
          <w:p w:rsidR="00A30405" w:rsidRPr="000C398C" w:rsidRDefault="00A30405" w:rsidP="00686B7A">
            <w:pPr>
              <w:rPr>
                <w:lang w:eastAsia="ja-JP"/>
              </w:rPr>
            </w:pPr>
            <w:r w:rsidRPr="000C398C">
              <w:rPr>
                <w:lang w:eastAsia="ja-JP"/>
              </w:rPr>
              <w:t>Left ventricular diameter in diastole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L</w:t>
            </w:r>
            <w:r w:rsidR="002E6FAF">
              <w:rPr>
                <w:lang w:eastAsia="ja-JP"/>
              </w:rPr>
              <w:t>VERSUS</w:t>
            </w:r>
          </w:p>
        </w:tc>
        <w:tc>
          <w:tcPr>
            <w:tcW w:w="6769" w:type="dxa"/>
          </w:tcPr>
          <w:p w:rsidR="00A30405" w:rsidRPr="000C398C" w:rsidRDefault="00A30405" w:rsidP="00686B7A">
            <w:pPr>
              <w:rPr>
                <w:lang w:eastAsia="ja-JP"/>
              </w:rPr>
            </w:pPr>
            <w:r w:rsidRPr="000C398C">
              <w:rPr>
                <w:lang w:eastAsia="ja-JP"/>
              </w:rPr>
              <w:t>Left ventricular diameter in systole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NIRS</w:t>
            </w:r>
          </w:p>
        </w:tc>
        <w:tc>
          <w:tcPr>
            <w:tcW w:w="6769" w:type="dxa"/>
          </w:tcPr>
          <w:p w:rsidR="00A30405" w:rsidRPr="000C398C" w:rsidRDefault="00A30405" w:rsidP="00686B7A">
            <w:pPr>
              <w:rPr>
                <w:lang w:eastAsia="ja-JP"/>
              </w:rPr>
            </w:pPr>
            <w:r w:rsidRPr="000C398C">
              <w:rPr>
                <w:lang w:eastAsia="ja-JP"/>
              </w:rPr>
              <w:t>Near Infrared spectroscopy</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NSAIDs</w:t>
            </w:r>
          </w:p>
        </w:tc>
        <w:tc>
          <w:tcPr>
            <w:tcW w:w="6769" w:type="dxa"/>
          </w:tcPr>
          <w:p w:rsidR="00A30405" w:rsidRPr="000C398C" w:rsidRDefault="00A30405" w:rsidP="00686B7A">
            <w:pPr>
              <w:rPr>
                <w:lang w:eastAsia="ja-JP"/>
              </w:rPr>
            </w:pPr>
            <w:r w:rsidRPr="000C398C">
              <w:rPr>
                <w:lang w:eastAsia="ja-JP"/>
              </w:rPr>
              <w:t>Nonsteroidal anti-inflammatory drugs</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MED</w:t>
            </w:r>
          </w:p>
        </w:tc>
        <w:tc>
          <w:tcPr>
            <w:tcW w:w="6769" w:type="dxa"/>
          </w:tcPr>
          <w:p w:rsidR="00A30405" w:rsidRPr="000C398C" w:rsidRDefault="00A30405" w:rsidP="00686B7A">
            <w:pPr>
              <w:rPr>
                <w:lang w:eastAsia="ja-JP"/>
              </w:rPr>
            </w:pPr>
            <w:r w:rsidRPr="000C398C">
              <w:rPr>
                <w:lang w:eastAsia="ja-JP"/>
              </w:rPr>
              <w:t>Minimal effective dose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NEC</w:t>
            </w:r>
          </w:p>
        </w:tc>
        <w:tc>
          <w:tcPr>
            <w:tcW w:w="6769" w:type="dxa"/>
          </w:tcPr>
          <w:p w:rsidR="00A30405" w:rsidRPr="000C398C" w:rsidRDefault="00A30405" w:rsidP="00686B7A">
            <w:pPr>
              <w:rPr>
                <w:lang w:eastAsia="ja-JP"/>
              </w:rPr>
            </w:pPr>
            <w:r w:rsidRPr="000C398C">
              <w:rPr>
                <w:lang w:eastAsia="ja-JP"/>
              </w:rPr>
              <w:t>Necrotising enterocolitis</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lastRenderedPageBreak/>
              <w:t>PaO2</w:t>
            </w:r>
          </w:p>
        </w:tc>
        <w:tc>
          <w:tcPr>
            <w:tcW w:w="6769" w:type="dxa"/>
          </w:tcPr>
          <w:p w:rsidR="00A30405" w:rsidRPr="000C398C" w:rsidRDefault="00A30405" w:rsidP="00686B7A">
            <w:pPr>
              <w:rPr>
                <w:lang w:eastAsia="ja-JP"/>
              </w:rPr>
            </w:pPr>
            <w:r w:rsidRPr="000C398C">
              <w:rPr>
                <w:lang w:eastAsia="ja-JP"/>
              </w:rPr>
              <w:t>Partial arterial pressure of oxygen</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PaCO2</w:t>
            </w:r>
          </w:p>
        </w:tc>
        <w:tc>
          <w:tcPr>
            <w:tcW w:w="6769" w:type="dxa"/>
          </w:tcPr>
          <w:p w:rsidR="00A30405" w:rsidRPr="000C398C" w:rsidRDefault="00A30405" w:rsidP="00686B7A">
            <w:pPr>
              <w:rPr>
                <w:lang w:eastAsia="ja-JP"/>
              </w:rPr>
            </w:pPr>
            <w:r w:rsidRPr="000C398C">
              <w:rPr>
                <w:lang w:eastAsia="ja-JP"/>
              </w:rPr>
              <w:t>Partial arterial pressure of carbon dioxide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PCA</w:t>
            </w:r>
          </w:p>
        </w:tc>
        <w:tc>
          <w:tcPr>
            <w:tcW w:w="6769" w:type="dxa"/>
          </w:tcPr>
          <w:p w:rsidR="00A30405" w:rsidRPr="000C398C" w:rsidRDefault="00A30405" w:rsidP="00686B7A">
            <w:pPr>
              <w:rPr>
                <w:lang w:eastAsia="ja-JP"/>
              </w:rPr>
            </w:pPr>
            <w:r w:rsidRPr="000C398C">
              <w:rPr>
                <w:lang w:eastAsia="ja-JP"/>
              </w:rPr>
              <w:t>Post-</w:t>
            </w:r>
            <w:proofErr w:type="spellStart"/>
            <w:r w:rsidRPr="000C398C">
              <w:rPr>
                <w:lang w:eastAsia="ja-JP"/>
              </w:rPr>
              <w:t>conceptional</w:t>
            </w:r>
            <w:proofErr w:type="spellEnd"/>
            <w:r w:rsidRPr="000C398C">
              <w:rPr>
                <w:lang w:eastAsia="ja-JP"/>
              </w:rPr>
              <w:t xml:space="preserve"> age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PDA</w:t>
            </w:r>
          </w:p>
        </w:tc>
        <w:tc>
          <w:tcPr>
            <w:tcW w:w="6769" w:type="dxa"/>
          </w:tcPr>
          <w:p w:rsidR="00A30405" w:rsidRPr="000C398C" w:rsidRDefault="00A30405" w:rsidP="00686B7A">
            <w:pPr>
              <w:rPr>
                <w:lang w:eastAsia="ja-JP"/>
              </w:rPr>
            </w:pPr>
            <w:r w:rsidRPr="000C398C">
              <w:rPr>
                <w:lang w:eastAsia="ja-JP"/>
              </w:rPr>
              <w:t>Patent ductus arteriosus</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PD</w:t>
            </w:r>
          </w:p>
        </w:tc>
        <w:tc>
          <w:tcPr>
            <w:tcW w:w="6769" w:type="dxa"/>
          </w:tcPr>
          <w:p w:rsidR="00A30405" w:rsidRPr="000C398C" w:rsidRDefault="00A30405" w:rsidP="00686B7A">
            <w:pPr>
              <w:rPr>
                <w:lang w:eastAsia="ja-JP"/>
              </w:rPr>
            </w:pPr>
            <w:r w:rsidRPr="000C398C">
              <w:rPr>
                <w:lang w:eastAsia="ja-JP"/>
              </w:rPr>
              <w:t>Pharmacodynamics</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PG</w:t>
            </w:r>
          </w:p>
        </w:tc>
        <w:tc>
          <w:tcPr>
            <w:tcW w:w="6769" w:type="dxa"/>
          </w:tcPr>
          <w:p w:rsidR="00A30405" w:rsidRPr="000C398C" w:rsidRDefault="00A30405" w:rsidP="00686B7A">
            <w:pPr>
              <w:rPr>
                <w:lang w:eastAsia="ja-JP"/>
              </w:rPr>
            </w:pPr>
            <w:r w:rsidRPr="000C398C">
              <w:rPr>
                <w:lang w:eastAsia="ja-JP"/>
              </w:rPr>
              <w:t>Prostaglandin</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PGE1/PGE2</w:t>
            </w:r>
          </w:p>
        </w:tc>
        <w:tc>
          <w:tcPr>
            <w:tcW w:w="6769" w:type="dxa"/>
          </w:tcPr>
          <w:p w:rsidR="00A30405" w:rsidRPr="000C398C" w:rsidRDefault="00A30405" w:rsidP="00686B7A">
            <w:pPr>
              <w:rPr>
                <w:lang w:eastAsia="ja-JP"/>
              </w:rPr>
            </w:pPr>
            <w:r w:rsidRPr="000C398C">
              <w:rPr>
                <w:lang w:eastAsia="ja-JP"/>
              </w:rPr>
              <w:t xml:space="preserve">Prostaglandin E1, E2 </w:t>
            </w:r>
            <w:proofErr w:type="spellStart"/>
            <w:r w:rsidRPr="000C398C">
              <w:rPr>
                <w:lang w:eastAsia="ja-JP"/>
              </w:rPr>
              <w:t>etc</w:t>
            </w:r>
            <w:proofErr w:type="spellEnd"/>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PHT</w:t>
            </w:r>
          </w:p>
        </w:tc>
        <w:tc>
          <w:tcPr>
            <w:tcW w:w="6769" w:type="dxa"/>
          </w:tcPr>
          <w:p w:rsidR="00A30405" w:rsidRPr="000C398C" w:rsidRDefault="00A30405" w:rsidP="00686B7A">
            <w:pPr>
              <w:rPr>
                <w:lang w:eastAsia="ja-JP"/>
              </w:rPr>
            </w:pPr>
            <w:r w:rsidRPr="000C398C">
              <w:rPr>
                <w:lang w:eastAsia="ja-JP"/>
              </w:rPr>
              <w:t>Pulmonary hypertension</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PK</w:t>
            </w:r>
          </w:p>
        </w:tc>
        <w:tc>
          <w:tcPr>
            <w:tcW w:w="6769" w:type="dxa"/>
          </w:tcPr>
          <w:p w:rsidR="00A30405" w:rsidRPr="000C398C" w:rsidRDefault="00A30405" w:rsidP="00686B7A">
            <w:pPr>
              <w:rPr>
                <w:lang w:eastAsia="ja-JP"/>
              </w:rPr>
            </w:pPr>
            <w:r w:rsidRPr="000C398C">
              <w:rPr>
                <w:lang w:eastAsia="ja-JP"/>
              </w:rPr>
              <w:t>Pharmacokinetics</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PFO</w:t>
            </w:r>
          </w:p>
        </w:tc>
        <w:tc>
          <w:tcPr>
            <w:tcW w:w="6769" w:type="dxa"/>
          </w:tcPr>
          <w:p w:rsidR="00A30405" w:rsidRPr="000C398C" w:rsidRDefault="00A30405" w:rsidP="00686B7A">
            <w:pPr>
              <w:rPr>
                <w:lang w:eastAsia="ja-JP"/>
              </w:rPr>
            </w:pPr>
            <w:r w:rsidRPr="000C398C">
              <w:rPr>
                <w:lang w:eastAsia="ja-JP"/>
              </w:rPr>
              <w:t xml:space="preserve">Persistent foramen </w:t>
            </w:r>
            <w:proofErr w:type="spellStart"/>
            <w:r w:rsidRPr="000C398C">
              <w:rPr>
                <w:lang w:eastAsia="ja-JP"/>
              </w:rPr>
              <w:t>ovale</w:t>
            </w:r>
            <w:proofErr w:type="spellEnd"/>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PI</w:t>
            </w:r>
          </w:p>
        </w:tc>
        <w:tc>
          <w:tcPr>
            <w:tcW w:w="6769" w:type="dxa"/>
          </w:tcPr>
          <w:p w:rsidR="00A30405" w:rsidRPr="000C398C" w:rsidRDefault="00A30405" w:rsidP="00686B7A">
            <w:pPr>
              <w:rPr>
                <w:lang w:eastAsia="ja-JP"/>
              </w:rPr>
            </w:pPr>
            <w:r w:rsidRPr="000C398C">
              <w:rPr>
                <w:lang w:eastAsia="ja-JP"/>
              </w:rPr>
              <w:t>Product Information</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PPHN</w:t>
            </w:r>
          </w:p>
        </w:tc>
        <w:tc>
          <w:tcPr>
            <w:tcW w:w="6769" w:type="dxa"/>
          </w:tcPr>
          <w:p w:rsidR="00A30405" w:rsidRPr="000C398C" w:rsidRDefault="00A30405" w:rsidP="00686B7A">
            <w:pPr>
              <w:rPr>
                <w:lang w:eastAsia="ja-JP"/>
              </w:rPr>
            </w:pPr>
            <w:r w:rsidRPr="000C398C">
              <w:rPr>
                <w:lang w:eastAsia="ja-JP"/>
              </w:rPr>
              <w:t>Persistent pulmonary hypertension of the newborn</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PPV</w:t>
            </w:r>
          </w:p>
        </w:tc>
        <w:tc>
          <w:tcPr>
            <w:tcW w:w="6769" w:type="dxa"/>
          </w:tcPr>
          <w:p w:rsidR="00A30405" w:rsidRPr="000C398C" w:rsidRDefault="00A30405" w:rsidP="00686B7A">
            <w:pPr>
              <w:rPr>
                <w:lang w:eastAsia="ja-JP"/>
              </w:rPr>
            </w:pPr>
            <w:r w:rsidRPr="000C398C">
              <w:rPr>
                <w:lang w:eastAsia="ja-JP"/>
              </w:rPr>
              <w:t>Positive pressure ventilation</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PSUR</w:t>
            </w:r>
          </w:p>
        </w:tc>
        <w:tc>
          <w:tcPr>
            <w:tcW w:w="6769" w:type="dxa"/>
          </w:tcPr>
          <w:p w:rsidR="00A30405" w:rsidRPr="000C398C" w:rsidRDefault="00A30405" w:rsidP="00686B7A">
            <w:pPr>
              <w:rPr>
                <w:lang w:eastAsia="ja-JP"/>
              </w:rPr>
            </w:pPr>
            <w:r w:rsidRPr="000C398C">
              <w:rPr>
                <w:lang w:eastAsia="ja-JP"/>
              </w:rPr>
              <w:t>Periodic safety update report</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PVL/PVLM</w:t>
            </w:r>
          </w:p>
        </w:tc>
        <w:tc>
          <w:tcPr>
            <w:tcW w:w="6769" w:type="dxa"/>
          </w:tcPr>
          <w:p w:rsidR="00A30405" w:rsidRPr="000C398C" w:rsidRDefault="00A30405" w:rsidP="00686B7A">
            <w:pPr>
              <w:rPr>
                <w:lang w:eastAsia="ja-JP"/>
              </w:rPr>
            </w:pPr>
            <w:r w:rsidRPr="000C398C">
              <w:rPr>
                <w:lang w:eastAsia="ja-JP"/>
              </w:rPr>
              <w:t>Periventricular leukomalacia</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PVR</w:t>
            </w:r>
          </w:p>
        </w:tc>
        <w:tc>
          <w:tcPr>
            <w:tcW w:w="6769" w:type="dxa"/>
          </w:tcPr>
          <w:p w:rsidR="00A30405" w:rsidRPr="000C398C" w:rsidRDefault="00A30405" w:rsidP="00686B7A">
            <w:pPr>
              <w:rPr>
                <w:lang w:eastAsia="ja-JP"/>
              </w:rPr>
            </w:pPr>
            <w:r w:rsidRPr="000C398C">
              <w:rPr>
                <w:lang w:eastAsia="ja-JP"/>
              </w:rPr>
              <w:t>Peripheral vascular resistance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PV VTI</w:t>
            </w:r>
          </w:p>
        </w:tc>
        <w:tc>
          <w:tcPr>
            <w:tcW w:w="6769" w:type="dxa"/>
          </w:tcPr>
          <w:p w:rsidR="00A30405" w:rsidRPr="000C398C" w:rsidRDefault="00A30405" w:rsidP="00686B7A">
            <w:pPr>
              <w:rPr>
                <w:lang w:eastAsia="ja-JP"/>
              </w:rPr>
            </w:pPr>
            <w:r w:rsidRPr="000C398C">
              <w:rPr>
                <w:lang w:eastAsia="ja-JP"/>
              </w:rPr>
              <w:t>Pulmonary valve flow velocity time integral</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RDS</w:t>
            </w:r>
          </w:p>
        </w:tc>
        <w:tc>
          <w:tcPr>
            <w:tcW w:w="6769" w:type="dxa"/>
          </w:tcPr>
          <w:p w:rsidR="00A30405" w:rsidRPr="000C398C" w:rsidRDefault="00A30405" w:rsidP="00686B7A">
            <w:pPr>
              <w:rPr>
                <w:lang w:eastAsia="ja-JP"/>
              </w:rPr>
            </w:pPr>
            <w:r w:rsidRPr="000C398C">
              <w:rPr>
                <w:lang w:eastAsia="ja-JP"/>
              </w:rPr>
              <w:t>Respiratory distress syndrome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RI</w:t>
            </w:r>
          </w:p>
        </w:tc>
        <w:tc>
          <w:tcPr>
            <w:tcW w:w="6769" w:type="dxa"/>
          </w:tcPr>
          <w:p w:rsidR="00A30405" w:rsidRPr="000C398C" w:rsidRDefault="00A30405" w:rsidP="00686B7A">
            <w:pPr>
              <w:rPr>
                <w:lang w:eastAsia="ja-JP"/>
              </w:rPr>
            </w:pPr>
            <w:r w:rsidRPr="000C398C">
              <w:rPr>
                <w:lang w:eastAsia="ja-JP"/>
              </w:rPr>
              <w:t>Resistance index</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RSVP</w:t>
            </w:r>
          </w:p>
        </w:tc>
        <w:tc>
          <w:tcPr>
            <w:tcW w:w="6769" w:type="dxa"/>
          </w:tcPr>
          <w:p w:rsidR="00A30405" w:rsidRPr="000C398C" w:rsidRDefault="00A30405" w:rsidP="00686B7A">
            <w:pPr>
              <w:rPr>
                <w:lang w:eastAsia="ja-JP"/>
              </w:rPr>
            </w:pPr>
            <w:r w:rsidRPr="000C398C">
              <w:rPr>
                <w:lang w:eastAsia="ja-JP"/>
              </w:rPr>
              <w:t>Right systolic ventricular pressure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SAE</w:t>
            </w:r>
          </w:p>
        </w:tc>
        <w:tc>
          <w:tcPr>
            <w:tcW w:w="6769" w:type="dxa"/>
          </w:tcPr>
          <w:p w:rsidR="00A30405" w:rsidRPr="000C398C" w:rsidRDefault="00A30405" w:rsidP="00686B7A">
            <w:pPr>
              <w:rPr>
                <w:lang w:eastAsia="ja-JP"/>
              </w:rPr>
            </w:pPr>
            <w:r w:rsidRPr="000C398C">
              <w:rPr>
                <w:lang w:eastAsia="ja-JP"/>
              </w:rPr>
              <w:t>Serious adverse event</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SD</w:t>
            </w:r>
          </w:p>
        </w:tc>
        <w:tc>
          <w:tcPr>
            <w:tcW w:w="6769" w:type="dxa"/>
          </w:tcPr>
          <w:p w:rsidR="00A30405" w:rsidRPr="000C398C" w:rsidRDefault="00A30405" w:rsidP="00686B7A">
            <w:pPr>
              <w:rPr>
                <w:lang w:eastAsia="ja-JP"/>
              </w:rPr>
            </w:pPr>
            <w:r w:rsidRPr="000C398C">
              <w:rPr>
                <w:lang w:eastAsia="ja-JP"/>
              </w:rPr>
              <w:t>Standard deviation</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SIDS</w:t>
            </w:r>
          </w:p>
        </w:tc>
        <w:tc>
          <w:tcPr>
            <w:tcW w:w="6769" w:type="dxa"/>
          </w:tcPr>
          <w:p w:rsidR="00A30405" w:rsidRPr="000C398C" w:rsidRDefault="00A30405" w:rsidP="00686B7A">
            <w:pPr>
              <w:rPr>
                <w:lang w:eastAsia="ja-JP"/>
              </w:rPr>
            </w:pPr>
            <w:r w:rsidRPr="000C398C">
              <w:rPr>
                <w:lang w:eastAsia="ja-JP"/>
              </w:rPr>
              <w:t>Sudden infant death syndrome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SmPC</w:t>
            </w:r>
          </w:p>
        </w:tc>
        <w:tc>
          <w:tcPr>
            <w:tcW w:w="6769" w:type="dxa"/>
          </w:tcPr>
          <w:p w:rsidR="00A30405" w:rsidRPr="000C398C" w:rsidRDefault="00A30405" w:rsidP="00686B7A">
            <w:pPr>
              <w:rPr>
                <w:lang w:eastAsia="ja-JP"/>
              </w:rPr>
            </w:pPr>
            <w:r w:rsidRPr="000C398C">
              <w:rPr>
                <w:lang w:eastAsia="ja-JP"/>
              </w:rPr>
              <w:t>Summary of Product Characteristics (EU)</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T½</w:t>
            </w:r>
          </w:p>
        </w:tc>
        <w:tc>
          <w:tcPr>
            <w:tcW w:w="6769" w:type="dxa"/>
          </w:tcPr>
          <w:p w:rsidR="00A30405" w:rsidRPr="000C398C" w:rsidRDefault="00A30405" w:rsidP="00686B7A">
            <w:pPr>
              <w:rPr>
                <w:lang w:eastAsia="ja-JP"/>
              </w:rPr>
            </w:pPr>
            <w:r w:rsidRPr="000C398C">
              <w:rPr>
                <w:lang w:eastAsia="ja-JP"/>
              </w:rPr>
              <w:t>Terminal plasma half life</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Tmax</w:t>
            </w:r>
          </w:p>
        </w:tc>
        <w:tc>
          <w:tcPr>
            <w:tcW w:w="6769" w:type="dxa"/>
          </w:tcPr>
          <w:p w:rsidR="00A30405" w:rsidRPr="000C398C" w:rsidRDefault="00A30405" w:rsidP="00686B7A">
            <w:pPr>
              <w:rPr>
                <w:lang w:eastAsia="ja-JP"/>
              </w:rPr>
            </w:pPr>
            <w:r w:rsidRPr="000C398C">
              <w:rPr>
                <w:lang w:eastAsia="ja-JP"/>
              </w:rPr>
              <w:t>Time to reach Cmax</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lastRenderedPageBreak/>
              <w:t>TB</w:t>
            </w:r>
          </w:p>
        </w:tc>
        <w:tc>
          <w:tcPr>
            <w:tcW w:w="6769" w:type="dxa"/>
          </w:tcPr>
          <w:p w:rsidR="00A30405" w:rsidRPr="000C398C" w:rsidRDefault="00A30405" w:rsidP="00686B7A">
            <w:pPr>
              <w:rPr>
                <w:lang w:eastAsia="ja-JP"/>
              </w:rPr>
            </w:pPr>
            <w:r w:rsidRPr="000C398C">
              <w:rPr>
                <w:lang w:eastAsia="ja-JP"/>
              </w:rPr>
              <w:t>Total bilirubin</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UB</w:t>
            </w:r>
          </w:p>
        </w:tc>
        <w:tc>
          <w:tcPr>
            <w:tcW w:w="6769" w:type="dxa"/>
          </w:tcPr>
          <w:p w:rsidR="00A30405" w:rsidRPr="000C398C" w:rsidRDefault="00A30405" w:rsidP="00686B7A">
            <w:pPr>
              <w:rPr>
                <w:lang w:eastAsia="ja-JP"/>
              </w:rPr>
            </w:pPr>
            <w:r w:rsidRPr="000C398C">
              <w:rPr>
                <w:lang w:eastAsia="ja-JP"/>
              </w:rPr>
              <w:t>Unbound bilirubin</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VLBW</w:t>
            </w:r>
          </w:p>
        </w:tc>
        <w:tc>
          <w:tcPr>
            <w:tcW w:w="6769" w:type="dxa"/>
          </w:tcPr>
          <w:p w:rsidR="00A30405" w:rsidRPr="000C398C" w:rsidRDefault="00A30405" w:rsidP="00686B7A">
            <w:pPr>
              <w:rPr>
                <w:lang w:eastAsia="ja-JP"/>
              </w:rPr>
            </w:pPr>
            <w:r w:rsidRPr="000C398C">
              <w:rPr>
                <w:lang w:eastAsia="ja-JP"/>
              </w:rPr>
              <w:t>Very low birth weight</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Vmax PFO</w:t>
            </w:r>
          </w:p>
        </w:tc>
        <w:tc>
          <w:tcPr>
            <w:tcW w:w="6769" w:type="dxa"/>
          </w:tcPr>
          <w:p w:rsidR="00A30405" w:rsidRPr="000C398C" w:rsidRDefault="00A30405" w:rsidP="00686B7A">
            <w:pPr>
              <w:rPr>
                <w:lang w:eastAsia="ja-JP"/>
              </w:rPr>
            </w:pPr>
            <w:r w:rsidRPr="000C398C">
              <w:rPr>
                <w:lang w:eastAsia="ja-JP"/>
              </w:rPr>
              <w:t xml:space="preserve">Maximum flow velocity through the persistent foramen </w:t>
            </w:r>
            <w:proofErr w:type="spellStart"/>
            <w:r w:rsidRPr="000C398C">
              <w:rPr>
                <w:lang w:eastAsia="ja-JP"/>
              </w:rPr>
              <w:t>ovale</w:t>
            </w:r>
            <w:proofErr w:type="spellEnd"/>
          </w:p>
        </w:tc>
      </w:tr>
      <w:tr w:rsidR="00A30405" w:rsidRPr="000C398C" w:rsidTr="00A30405">
        <w:tc>
          <w:tcPr>
            <w:tcW w:w="1951" w:type="dxa"/>
            <w:gridSpan w:val="2"/>
          </w:tcPr>
          <w:p w:rsidR="00A30405" w:rsidRPr="000C398C" w:rsidRDefault="00A30405" w:rsidP="00686B7A">
            <w:pPr>
              <w:rPr>
                <w:lang w:eastAsia="ja-JP"/>
              </w:rPr>
            </w:pPr>
            <w:proofErr w:type="spellStart"/>
            <w:r w:rsidRPr="000C398C">
              <w:rPr>
                <w:lang w:eastAsia="ja-JP"/>
              </w:rPr>
              <w:t>Vmean</w:t>
            </w:r>
            <w:proofErr w:type="spellEnd"/>
            <w:r w:rsidRPr="000C398C">
              <w:rPr>
                <w:lang w:eastAsia="ja-JP"/>
              </w:rPr>
              <w:t xml:space="preserve"> PFO</w:t>
            </w:r>
          </w:p>
        </w:tc>
        <w:tc>
          <w:tcPr>
            <w:tcW w:w="6769" w:type="dxa"/>
          </w:tcPr>
          <w:p w:rsidR="00A30405" w:rsidRPr="000C398C" w:rsidRDefault="00A30405" w:rsidP="00686B7A">
            <w:pPr>
              <w:rPr>
                <w:lang w:eastAsia="ja-JP"/>
              </w:rPr>
            </w:pPr>
            <w:r w:rsidRPr="000C398C">
              <w:rPr>
                <w:lang w:eastAsia="ja-JP"/>
              </w:rPr>
              <w:t xml:space="preserve">Mean flow velocity through the persistent foramen </w:t>
            </w:r>
            <w:proofErr w:type="spellStart"/>
            <w:r w:rsidRPr="000C398C">
              <w:rPr>
                <w:lang w:eastAsia="ja-JP"/>
              </w:rPr>
              <w:t>ovale</w:t>
            </w:r>
            <w:proofErr w:type="spellEnd"/>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Vmax TI</w:t>
            </w:r>
          </w:p>
        </w:tc>
        <w:tc>
          <w:tcPr>
            <w:tcW w:w="6769" w:type="dxa"/>
          </w:tcPr>
          <w:p w:rsidR="00A30405" w:rsidRPr="000C398C" w:rsidRDefault="00A30405" w:rsidP="00686B7A">
            <w:pPr>
              <w:rPr>
                <w:lang w:eastAsia="ja-JP"/>
              </w:rPr>
            </w:pPr>
            <w:r w:rsidRPr="000C398C">
              <w:rPr>
                <w:lang w:eastAsia="ja-JP"/>
              </w:rPr>
              <w:t>Maximum flow velocity of the tricuspid valve regurgitation</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V</w:t>
            </w:r>
          </w:p>
        </w:tc>
        <w:tc>
          <w:tcPr>
            <w:tcW w:w="6769" w:type="dxa"/>
          </w:tcPr>
          <w:p w:rsidR="00A30405" w:rsidRPr="000C398C" w:rsidRDefault="00A30405" w:rsidP="00686B7A">
            <w:pPr>
              <w:rPr>
                <w:lang w:eastAsia="ja-JP"/>
              </w:rPr>
            </w:pPr>
            <w:r w:rsidRPr="000C398C">
              <w:rPr>
                <w:lang w:eastAsia="ja-JP"/>
              </w:rPr>
              <w:t>Flow velocity</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VTI</w:t>
            </w:r>
          </w:p>
        </w:tc>
        <w:tc>
          <w:tcPr>
            <w:tcW w:w="6769" w:type="dxa"/>
          </w:tcPr>
          <w:p w:rsidR="00A30405" w:rsidRPr="000C398C" w:rsidRDefault="00A30405" w:rsidP="00686B7A">
            <w:pPr>
              <w:rPr>
                <w:lang w:eastAsia="ja-JP"/>
              </w:rPr>
            </w:pPr>
            <w:r w:rsidRPr="000C398C">
              <w:rPr>
                <w:lang w:eastAsia="ja-JP"/>
              </w:rPr>
              <w:t>Flow velocity time integral</w:t>
            </w:r>
          </w:p>
        </w:tc>
      </w:tr>
      <w:tr w:rsidR="00A30405" w:rsidRPr="000C398C" w:rsidTr="00A30405">
        <w:tc>
          <w:tcPr>
            <w:tcW w:w="1951" w:type="dxa"/>
            <w:gridSpan w:val="2"/>
          </w:tcPr>
          <w:p w:rsidR="00A30405" w:rsidRPr="000C398C" w:rsidRDefault="00A30405" w:rsidP="00686B7A">
            <w:pPr>
              <w:rPr>
                <w:lang w:eastAsia="ja-JP"/>
              </w:rPr>
            </w:pPr>
            <w:r w:rsidRPr="000C398C">
              <w:rPr>
                <w:lang w:eastAsia="ja-JP"/>
              </w:rPr>
              <w:t>WGA</w:t>
            </w:r>
          </w:p>
        </w:tc>
        <w:tc>
          <w:tcPr>
            <w:tcW w:w="6769" w:type="dxa"/>
          </w:tcPr>
          <w:p w:rsidR="00A30405" w:rsidRPr="000C398C" w:rsidRDefault="00A30405" w:rsidP="00686B7A">
            <w:pPr>
              <w:rPr>
                <w:lang w:eastAsia="ja-JP"/>
              </w:rPr>
            </w:pPr>
            <w:r w:rsidRPr="000C398C">
              <w:rPr>
                <w:lang w:eastAsia="ja-JP"/>
              </w:rPr>
              <w:t>Weeks of gestational age</w:t>
            </w:r>
          </w:p>
        </w:tc>
      </w:tr>
    </w:tbl>
    <w:p w:rsidR="008E7846" w:rsidRDefault="00F53C07" w:rsidP="00843E69">
      <w:pPr>
        <w:pStyle w:val="Heading2"/>
        <w:pageBreakBefore/>
      </w:pPr>
      <w:bookmarkStart w:id="11" w:name="_Toc499196200"/>
      <w:r>
        <w:t>I.</w:t>
      </w:r>
      <w:r w:rsidR="008E7846">
        <w:t xml:space="preserve"> Introduction to product submission</w:t>
      </w:r>
      <w:bookmarkEnd w:id="5"/>
      <w:bookmarkEnd w:id="2"/>
      <w:bookmarkEnd w:id="11"/>
    </w:p>
    <w:p w:rsidR="008E7846" w:rsidRDefault="008E7846" w:rsidP="008E7846">
      <w:pPr>
        <w:pStyle w:val="Heading3"/>
        <w:rPr>
          <w:lang w:eastAsia="en-AU"/>
        </w:rPr>
      </w:pPr>
      <w:bookmarkStart w:id="12" w:name="_Toc247691502"/>
      <w:bookmarkStart w:id="13" w:name="_Toc314842483"/>
      <w:bookmarkStart w:id="14" w:name="_Toc499196201"/>
      <w:r>
        <w:rPr>
          <w:lang w:eastAsia="en-AU"/>
        </w:rPr>
        <w:t>Submission details</w:t>
      </w:r>
      <w:bookmarkEnd w:id="12"/>
      <w:bookmarkEnd w:id="13"/>
      <w:bookmarkEnd w:id="14"/>
    </w:p>
    <w:tbl>
      <w:tblPr>
        <w:tblW w:w="9497" w:type="dxa"/>
        <w:tblInd w:w="108" w:type="dxa"/>
        <w:tblLook w:val="01E0" w:firstRow="1" w:lastRow="1" w:firstColumn="1" w:lastColumn="1" w:noHBand="0" w:noVBand="0"/>
        <w:tblDescription w:val="Submission details"/>
      </w:tblPr>
      <w:tblGrid>
        <w:gridCol w:w="2907"/>
        <w:gridCol w:w="6307"/>
        <w:gridCol w:w="283"/>
      </w:tblGrid>
      <w:tr w:rsidR="008E7846" w:rsidRPr="003D1E62" w:rsidTr="00CF7973">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72124C" w:rsidP="001B5C90">
            <w:r>
              <w:t>Extension of indications</w:t>
            </w:r>
          </w:p>
        </w:tc>
      </w:tr>
      <w:tr w:rsidR="008E7846" w:rsidRPr="003D1E62" w:rsidTr="00CF7973">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E16D9A" w:rsidP="00E16D9A">
            <w:r>
              <w:t>Approved</w:t>
            </w:r>
          </w:p>
        </w:tc>
      </w:tr>
      <w:tr w:rsidR="008E7846" w:rsidRPr="003D1E62" w:rsidTr="00CF7973">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E16D9A" w:rsidP="001B5C90">
            <w:r>
              <w:t>8 March 2017</w:t>
            </w:r>
          </w:p>
        </w:tc>
      </w:tr>
      <w:tr w:rsidR="00ED2922" w:rsidRPr="003D1E62" w:rsidTr="00CF7973">
        <w:trPr>
          <w:trHeight w:hRule="exact" w:val="454"/>
        </w:trPr>
        <w:tc>
          <w:tcPr>
            <w:tcW w:w="2907" w:type="dxa"/>
          </w:tcPr>
          <w:p w:rsidR="00ED2922" w:rsidRPr="00441C3F" w:rsidRDefault="00ED2922" w:rsidP="001B5C90">
            <w:pPr>
              <w:rPr>
                <w:i/>
              </w:rPr>
            </w:pPr>
            <w:r w:rsidRPr="00441C3F">
              <w:rPr>
                <w:i/>
              </w:rPr>
              <w:t>Date of entry onto ARTG</w:t>
            </w:r>
          </w:p>
        </w:tc>
        <w:tc>
          <w:tcPr>
            <w:tcW w:w="6590" w:type="dxa"/>
            <w:gridSpan w:val="2"/>
          </w:tcPr>
          <w:p w:rsidR="00ED2922" w:rsidRPr="00441C3F" w:rsidRDefault="00E838AE" w:rsidP="00EC463D">
            <w:pPr>
              <w:rPr>
                <w:i/>
              </w:rPr>
            </w:pPr>
            <w:r>
              <w:t>14 March 2017</w:t>
            </w:r>
          </w:p>
        </w:tc>
      </w:tr>
      <w:tr w:rsidR="008E7846" w:rsidRPr="00487162" w:rsidTr="00CF7973">
        <w:trPr>
          <w:gridAfter w:val="1"/>
          <w:wAfter w:w="283" w:type="dxa"/>
        </w:trPr>
        <w:tc>
          <w:tcPr>
            <w:tcW w:w="2907" w:type="dxa"/>
          </w:tcPr>
          <w:p w:rsidR="008E7846" w:rsidRPr="00487162" w:rsidRDefault="0072124C" w:rsidP="0072124C">
            <w:pPr>
              <w:rPr>
                <w:i/>
              </w:rPr>
            </w:pPr>
            <w:r>
              <w:rPr>
                <w:i/>
              </w:rPr>
              <w:t>Active ingredient</w:t>
            </w:r>
            <w:r w:rsidR="001B5C90">
              <w:rPr>
                <w:i/>
              </w:rPr>
              <w:t>:</w:t>
            </w:r>
          </w:p>
        </w:tc>
        <w:tc>
          <w:tcPr>
            <w:tcW w:w="6307" w:type="dxa"/>
          </w:tcPr>
          <w:p w:rsidR="008E7846" w:rsidRPr="00487162" w:rsidRDefault="00DD461B" w:rsidP="00E45619">
            <w:r>
              <w:t>Ibuprofen</w:t>
            </w:r>
          </w:p>
        </w:tc>
      </w:tr>
      <w:tr w:rsidR="008E7846" w:rsidRPr="00487162" w:rsidTr="00CF7973">
        <w:trPr>
          <w:gridAfter w:val="1"/>
          <w:wAfter w:w="283" w:type="dxa"/>
        </w:trPr>
        <w:tc>
          <w:tcPr>
            <w:tcW w:w="2907" w:type="dxa"/>
          </w:tcPr>
          <w:p w:rsidR="008E7846" w:rsidRPr="00487162" w:rsidRDefault="008E7846" w:rsidP="001B5C90">
            <w:pPr>
              <w:rPr>
                <w:i/>
              </w:rPr>
            </w:pPr>
            <w:r w:rsidRPr="00487162">
              <w:rPr>
                <w:i/>
              </w:rPr>
              <w:t>Product</w:t>
            </w:r>
            <w:r w:rsidR="0072124C">
              <w:rPr>
                <w:i/>
              </w:rPr>
              <w:t xml:space="preserve"> name</w:t>
            </w:r>
            <w:r w:rsidR="001B5C90">
              <w:rPr>
                <w:i/>
              </w:rPr>
              <w:t>:</w:t>
            </w:r>
          </w:p>
        </w:tc>
        <w:tc>
          <w:tcPr>
            <w:tcW w:w="6307" w:type="dxa"/>
          </w:tcPr>
          <w:p w:rsidR="008E7846" w:rsidRPr="00487162" w:rsidRDefault="00DD461B" w:rsidP="00E45619">
            <w:r>
              <w:t>Pedea</w:t>
            </w:r>
          </w:p>
        </w:tc>
      </w:tr>
      <w:tr w:rsidR="008E7846" w:rsidRPr="00487162" w:rsidTr="00CF7973">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72124C" w:rsidRDefault="0072124C" w:rsidP="0072124C">
            <w:r>
              <w:t>Emerge Health Pty Ltd</w:t>
            </w:r>
          </w:p>
          <w:p w:rsidR="0072124C" w:rsidRDefault="0072124C" w:rsidP="0072124C">
            <w:r>
              <w:t>Suite 3, Level 1</w:t>
            </w:r>
          </w:p>
          <w:p w:rsidR="0072124C" w:rsidRDefault="0072124C" w:rsidP="0072124C">
            <w:r>
              <w:t>2 Theatre Place</w:t>
            </w:r>
          </w:p>
          <w:p w:rsidR="008E7846" w:rsidRPr="00487162" w:rsidRDefault="0072124C" w:rsidP="0072124C">
            <w:r w:rsidRPr="0072124C">
              <w:t>Canterbury VIC 3126</w:t>
            </w:r>
          </w:p>
        </w:tc>
      </w:tr>
      <w:tr w:rsidR="008E7846" w:rsidRPr="00487162" w:rsidTr="00CF7973">
        <w:trPr>
          <w:gridAfter w:val="1"/>
          <w:wAfter w:w="283" w:type="dxa"/>
        </w:trPr>
        <w:tc>
          <w:tcPr>
            <w:tcW w:w="2907" w:type="dxa"/>
          </w:tcPr>
          <w:p w:rsidR="008E7846" w:rsidRPr="00487162" w:rsidRDefault="00686B7A" w:rsidP="00E45619">
            <w:pPr>
              <w:rPr>
                <w:i/>
              </w:rPr>
            </w:pPr>
            <w:r>
              <w:rPr>
                <w:i/>
              </w:rPr>
              <w:t>Dose form</w:t>
            </w:r>
            <w:r w:rsidR="001B5C90">
              <w:rPr>
                <w:i/>
              </w:rPr>
              <w:t>:</w:t>
            </w:r>
          </w:p>
        </w:tc>
        <w:tc>
          <w:tcPr>
            <w:tcW w:w="6307" w:type="dxa"/>
          </w:tcPr>
          <w:p w:rsidR="008E7846" w:rsidRPr="00487162" w:rsidRDefault="00FE1292" w:rsidP="00E45619">
            <w:r w:rsidRPr="00FE1292">
              <w:t xml:space="preserve">Intravenous </w:t>
            </w:r>
            <w:r>
              <w:t xml:space="preserve">(IV) </w:t>
            </w:r>
            <w:r w:rsidRPr="00FE1292">
              <w:t>infusion</w:t>
            </w:r>
          </w:p>
        </w:tc>
      </w:tr>
      <w:tr w:rsidR="008E7846" w:rsidRPr="00487162" w:rsidTr="00CF7973">
        <w:trPr>
          <w:gridAfter w:val="1"/>
          <w:wAfter w:w="283" w:type="dxa"/>
        </w:trPr>
        <w:tc>
          <w:tcPr>
            <w:tcW w:w="2907" w:type="dxa"/>
          </w:tcPr>
          <w:p w:rsidR="008E7846" w:rsidRPr="00487162" w:rsidRDefault="00686B7A" w:rsidP="00E45619">
            <w:pPr>
              <w:rPr>
                <w:i/>
              </w:rPr>
            </w:pPr>
            <w:r>
              <w:rPr>
                <w:i/>
              </w:rPr>
              <w:t>Strength</w:t>
            </w:r>
            <w:r w:rsidR="008E7846" w:rsidRPr="00487162">
              <w:rPr>
                <w:i/>
              </w:rPr>
              <w:t xml:space="preserve">: </w:t>
            </w:r>
          </w:p>
        </w:tc>
        <w:tc>
          <w:tcPr>
            <w:tcW w:w="6307" w:type="dxa"/>
          </w:tcPr>
          <w:p w:rsidR="008E7846" w:rsidRPr="00487162" w:rsidRDefault="00686B7A" w:rsidP="00E45619">
            <w:r w:rsidRPr="00686B7A">
              <w:t>10 mg / 2 mL</w:t>
            </w:r>
          </w:p>
        </w:tc>
      </w:tr>
      <w:tr w:rsidR="008E7846" w:rsidRPr="00487162" w:rsidTr="00CF7973">
        <w:trPr>
          <w:gridAfter w:val="1"/>
          <w:wAfter w:w="283" w:type="dxa"/>
        </w:trPr>
        <w:tc>
          <w:tcPr>
            <w:tcW w:w="2907" w:type="dxa"/>
          </w:tcPr>
          <w:p w:rsidR="008E7846" w:rsidRPr="00487162" w:rsidRDefault="00686B7A" w:rsidP="00E45619">
            <w:pPr>
              <w:rPr>
                <w:i/>
              </w:rPr>
            </w:pPr>
            <w:r>
              <w:rPr>
                <w:i/>
              </w:rPr>
              <w:t>Container</w:t>
            </w:r>
            <w:r w:rsidR="008E7846" w:rsidRPr="00487162">
              <w:rPr>
                <w:i/>
              </w:rPr>
              <w:t>:</w:t>
            </w:r>
          </w:p>
        </w:tc>
        <w:tc>
          <w:tcPr>
            <w:tcW w:w="6307" w:type="dxa"/>
          </w:tcPr>
          <w:p w:rsidR="008E7846" w:rsidRPr="00487162" w:rsidRDefault="00686B7A" w:rsidP="00E45619">
            <w:r w:rsidRPr="00686B7A">
              <w:t>Glass ampoule</w:t>
            </w:r>
          </w:p>
        </w:tc>
      </w:tr>
      <w:tr w:rsidR="008E7846" w:rsidRPr="00487162" w:rsidTr="00CF7973">
        <w:trPr>
          <w:gridAfter w:val="1"/>
          <w:wAfter w:w="283" w:type="dxa"/>
        </w:trPr>
        <w:tc>
          <w:tcPr>
            <w:tcW w:w="2907" w:type="dxa"/>
          </w:tcPr>
          <w:p w:rsidR="008E7846" w:rsidRPr="00487162" w:rsidRDefault="00686B7A" w:rsidP="00686B7A">
            <w:pPr>
              <w:rPr>
                <w:i/>
              </w:rPr>
            </w:pPr>
            <w:r>
              <w:rPr>
                <w:i/>
              </w:rPr>
              <w:t>Pack size</w:t>
            </w:r>
            <w:r w:rsidR="008E7846" w:rsidRPr="00487162">
              <w:rPr>
                <w:i/>
              </w:rPr>
              <w:t>:</w:t>
            </w:r>
          </w:p>
        </w:tc>
        <w:tc>
          <w:tcPr>
            <w:tcW w:w="6307" w:type="dxa"/>
          </w:tcPr>
          <w:p w:rsidR="008E7846" w:rsidRPr="00487162" w:rsidRDefault="00686B7A" w:rsidP="00E45619">
            <w:r w:rsidRPr="00686B7A">
              <w:t>4 x 2 mL ampoules per carton</w:t>
            </w:r>
          </w:p>
        </w:tc>
      </w:tr>
      <w:tr w:rsidR="008E7846" w:rsidRPr="00487162" w:rsidTr="00CF7973">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487162" w:rsidRDefault="00E838AE" w:rsidP="00E45619">
            <w:pPr>
              <w:rPr>
                <w:rFonts w:eastAsia="MS Mincho"/>
                <w:lang w:eastAsia="ja-JP"/>
              </w:rPr>
            </w:pPr>
            <w:r>
              <w:t>Pedea</w:t>
            </w:r>
            <w:r w:rsidRPr="00E838AE">
              <w:rPr>
                <w:lang w:eastAsia="ja-JP"/>
              </w:rPr>
              <w:t xml:space="preserve"> is indicated for the treatment of </w:t>
            </w:r>
            <w:proofErr w:type="spellStart"/>
            <w:r w:rsidRPr="00E838AE">
              <w:rPr>
                <w:lang w:eastAsia="ja-JP"/>
              </w:rPr>
              <w:t>haemodynamically</w:t>
            </w:r>
            <w:proofErr w:type="spellEnd"/>
            <w:r w:rsidRPr="00E838AE">
              <w:rPr>
                <w:lang w:eastAsia="ja-JP"/>
              </w:rPr>
              <w:t xml:space="preserve"> significant patent ductus arteriosus in preterm newborn infants less than 34 weeks of gestational age</w:t>
            </w:r>
          </w:p>
        </w:tc>
      </w:tr>
      <w:tr w:rsidR="008E7846" w:rsidRPr="00487162" w:rsidTr="00CF7973">
        <w:trPr>
          <w:gridAfter w:val="1"/>
          <w:wAfter w:w="283" w:type="dxa"/>
        </w:trPr>
        <w:tc>
          <w:tcPr>
            <w:tcW w:w="2907" w:type="dxa"/>
          </w:tcPr>
          <w:p w:rsidR="008E7846" w:rsidRPr="00487162" w:rsidRDefault="00686B7A" w:rsidP="00E45619">
            <w:pPr>
              <w:rPr>
                <w:i/>
              </w:rPr>
            </w:pPr>
            <w:r>
              <w:rPr>
                <w:i/>
              </w:rPr>
              <w:t>Route</w:t>
            </w:r>
            <w:r w:rsidR="008E7846" w:rsidRPr="00487162">
              <w:rPr>
                <w:i/>
              </w:rPr>
              <w:t xml:space="preserve"> of administration:</w:t>
            </w:r>
          </w:p>
        </w:tc>
        <w:tc>
          <w:tcPr>
            <w:tcW w:w="6307" w:type="dxa"/>
          </w:tcPr>
          <w:p w:rsidR="008E7846" w:rsidRPr="00487162" w:rsidRDefault="00686B7A" w:rsidP="00E45619">
            <w:r>
              <w:t xml:space="preserve">IV </w:t>
            </w:r>
            <w:r w:rsidRPr="00FE1292">
              <w:t>infusion</w:t>
            </w:r>
          </w:p>
        </w:tc>
      </w:tr>
      <w:tr w:rsidR="008E7846" w:rsidRPr="00487162" w:rsidTr="00CF7973">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DA3744" w:rsidRDefault="00374A9F" w:rsidP="00DA3744">
            <w:r>
              <w:t xml:space="preserve">Proposed dosage is that treatment </w:t>
            </w:r>
            <w:r w:rsidRPr="00956690">
              <w:t>should only be carried out in a neonatal intensive care unit under the supervision o</w:t>
            </w:r>
            <w:r>
              <w:t>f an experienced neonatologist.</w:t>
            </w:r>
            <w:r w:rsidR="00E24331">
              <w:t xml:space="preserve"> </w:t>
            </w:r>
            <w:r w:rsidRPr="00956690">
              <w:t xml:space="preserve">A course of therapy is defined as three </w:t>
            </w:r>
            <w:r w:rsidR="00E24331">
              <w:t>IV</w:t>
            </w:r>
            <w:r w:rsidRPr="00956690">
              <w:t xml:space="preserve"> injections </w:t>
            </w:r>
            <w:r>
              <w:t>of Pedea</w:t>
            </w:r>
            <w:r w:rsidR="00290984">
              <w:t xml:space="preserve"> given at 24 h</w:t>
            </w:r>
            <w:r w:rsidRPr="00956690">
              <w:t xml:space="preserve"> intervals. The first injection should be given a</w:t>
            </w:r>
            <w:r w:rsidR="00290984">
              <w:t>fter the first 6 h</w:t>
            </w:r>
            <w:r>
              <w:t xml:space="preserve"> of life.</w:t>
            </w:r>
            <w:r w:rsidR="00290984">
              <w:t xml:space="preserve"> </w:t>
            </w:r>
            <w:r w:rsidRPr="00956690">
              <w:t>The ibuprofen dose is adjusted</w:t>
            </w:r>
            <w:r w:rsidR="00DA3744">
              <w:t xml:space="preserve"> to the body weight as follows:</w:t>
            </w:r>
          </w:p>
          <w:p w:rsidR="00DA3744" w:rsidRDefault="00DA3744" w:rsidP="00DA3744">
            <w:pPr>
              <w:pStyle w:val="ListBullet"/>
            </w:pPr>
            <w:r>
              <w:t>1st injection: 10mg/kg</w:t>
            </w:r>
          </w:p>
          <w:p w:rsidR="00DA3744" w:rsidRDefault="00374A9F" w:rsidP="00DA3744">
            <w:pPr>
              <w:pStyle w:val="ListBullet"/>
            </w:pPr>
            <w:r w:rsidRPr="00956690">
              <w:t xml:space="preserve">2nd and 3rd </w:t>
            </w:r>
            <w:r w:rsidR="00DA3744">
              <w:t>injections: 5mg/kg</w:t>
            </w:r>
          </w:p>
          <w:p w:rsidR="008E7846" w:rsidRPr="00487162" w:rsidRDefault="00374A9F" w:rsidP="00290984">
            <w:r w:rsidRPr="00956690">
              <w:t xml:space="preserve">If anuria or manifest oliguria occurs after the </w:t>
            </w:r>
            <w:r w:rsidR="00290984">
              <w:t>1</w:t>
            </w:r>
            <w:r w:rsidRPr="00956690">
              <w:t xml:space="preserve">st or </w:t>
            </w:r>
            <w:r w:rsidR="00290984">
              <w:t>2</w:t>
            </w:r>
            <w:r w:rsidRPr="00956690">
              <w:t>nd dose, the next dose should be withheld until urine output returns to normal levels. If the ductus ar</w:t>
            </w:r>
            <w:r w:rsidR="00DA3744">
              <w:t>teriosus does not close 48 h</w:t>
            </w:r>
            <w:r w:rsidRPr="00956690">
              <w:t xml:space="preserve"> after the last injection or if it re-opens, a second course of 3</w:t>
            </w:r>
            <w:r>
              <w:t xml:space="preserve"> doses, as above, may be given</w:t>
            </w:r>
            <w:r w:rsidR="00DA3744">
              <w:t>.</w:t>
            </w:r>
          </w:p>
        </w:tc>
      </w:tr>
      <w:tr w:rsidR="008E7846" w:rsidRPr="00487162" w:rsidTr="00CF7973">
        <w:trPr>
          <w:gridAfter w:val="1"/>
          <w:wAfter w:w="283" w:type="dxa"/>
        </w:trPr>
        <w:tc>
          <w:tcPr>
            <w:tcW w:w="2907" w:type="dxa"/>
          </w:tcPr>
          <w:p w:rsidR="008E7846" w:rsidRPr="00487162" w:rsidRDefault="008E7846" w:rsidP="001B5C90">
            <w:pPr>
              <w:rPr>
                <w:i/>
              </w:rPr>
            </w:pPr>
            <w:r w:rsidRPr="00487162">
              <w:rPr>
                <w:i/>
              </w:rPr>
              <w:t xml:space="preserve">ARTG </w:t>
            </w:r>
            <w:r w:rsidR="001B5C90">
              <w:rPr>
                <w:i/>
              </w:rPr>
              <w:t>n</w:t>
            </w:r>
            <w:r w:rsidR="00090960">
              <w:rPr>
                <w:i/>
              </w:rPr>
              <w:t>umber</w:t>
            </w:r>
            <w:r w:rsidR="001B5C90">
              <w:rPr>
                <w:i/>
              </w:rPr>
              <w:t>:</w:t>
            </w:r>
          </w:p>
        </w:tc>
        <w:tc>
          <w:tcPr>
            <w:tcW w:w="6307" w:type="dxa"/>
          </w:tcPr>
          <w:p w:rsidR="008E7846" w:rsidRPr="00487162" w:rsidRDefault="00090960" w:rsidP="00E45619">
            <w:r w:rsidRPr="00090960">
              <w:t>273093</w:t>
            </w:r>
          </w:p>
        </w:tc>
      </w:tr>
    </w:tbl>
    <w:p w:rsidR="008E7846" w:rsidRDefault="008E7846" w:rsidP="008E7846">
      <w:pPr>
        <w:pStyle w:val="Heading3"/>
      </w:pPr>
      <w:bookmarkStart w:id="15" w:name="_Toc247691503"/>
      <w:bookmarkStart w:id="16" w:name="_Toc314842484"/>
      <w:bookmarkStart w:id="17" w:name="_Toc499196202"/>
      <w:r>
        <w:lastRenderedPageBreak/>
        <w:t>Product background</w:t>
      </w:r>
      <w:bookmarkEnd w:id="15"/>
      <w:bookmarkEnd w:id="16"/>
      <w:bookmarkEnd w:id="17"/>
    </w:p>
    <w:p w:rsidR="00E054FA" w:rsidRPr="008D29EF" w:rsidRDefault="00C97218" w:rsidP="008D29EF">
      <w:r w:rsidRPr="00EA2C57">
        <w:t>This AusPAR describes the application by Emerge Health Pty Ltd to extend the indications for ibuprofen (tradename: Pedea)</w:t>
      </w:r>
      <w:r>
        <w:t>.</w:t>
      </w:r>
      <w:r w:rsidRPr="00EA2C57">
        <w:t xml:space="preserve"> Ibuprofen is a non-steroidal anti-inflammatory drug first marketed in Australia in 1969. It is registered for use in many tablet, capsule</w:t>
      </w:r>
      <w:r w:rsidR="00E02602">
        <w:t>,</w:t>
      </w:r>
      <w:r w:rsidRPr="00EA2C57">
        <w:t xml:space="preserve"> and oral solution formulations, where it is used for</w:t>
      </w:r>
      <w:r>
        <w:t xml:space="preserve"> the temporary relief of pain in the patient population 6 months or older. </w:t>
      </w:r>
      <w:r w:rsidRPr="00EA2C57">
        <w:t>P</w:t>
      </w:r>
      <w:r>
        <w:t>edea</w:t>
      </w:r>
      <w:r w:rsidRPr="00EA2C57">
        <w:t xml:space="preserve"> is proposed for</w:t>
      </w:r>
      <w:r>
        <w:t xml:space="preserve"> a</w:t>
      </w:r>
      <w:r w:rsidRPr="00EA2C57">
        <w:t xml:space="preserve"> </w:t>
      </w:r>
      <w:r>
        <w:t xml:space="preserve">novel </w:t>
      </w:r>
      <w:r w:rsidRPr="00EA2C57">
        <w:t xml:space="preserve">use </w:t>
      </w:r>
      <w:r>
        <w:t xml:space="preserve">and novel population </w:t>
      </w:r>
      <w:r w:rsidRPr="00EA2C57">
        <w:t xml:space="preserve">in the </w:t>
      </w:r>
      <w:r>
        <w:t>orphan indication</w:t>
      </w:r>
      <w:r w:rsidRPr="00EA2C57">
        <w:t xml:space="preserve"> </w:t>
      </w:r>
      <w:r>
        <w:t xml:space="preserve">of </w:t>
      </w:r>
      <w:r w:rsidRPr="00EA2C57">
        <w:t xml:space="preserve">hemodynamically significant patent ductus arteriosus </w:t>
      </w:r>
      <w:r>
        <w:t xml:space="preserve">(PDA) </w:t>
      </w:r>
      <w:r w:rsidRPr="00EA2C57">
        <w:t xml:space="preserve">in preterm newborn infants less than 34 weeks of gestational age. </w:t>
      </w:r>
      <w:r w:rsidRPr="008D29EF">
        <w:t>The proposed new indication is</w:t>
      </w:r>
      <w:r w:rsidR="00E054FA" w:rsidRPr="008D29EF">
        <w:t>:</w:t>
      </w:r>
    </w:p>
    <w:p w:rsidR="00232FFE" w:rsidRPr="00232FFE" w:rsidRDefault="00E054FA" w:rsidP="00232FFE">
      <w:pPr>
        <w:ind w:left="720"/>
        <w:rPr>
          <w:i/>
        </w:rPr>
      </w:pPr>
      <w:r w:rsidRPr="008D29EF">
        <w:rPr>
          <w:i/>
        </w:rPr>
        <w:t xml:space="preserve">Pedea is indicated for the treatment of </w:t>
      </w:r>
      <w:proofErr w:type="spellStart"/>
      <w:r w:rsidRPr="008D29EF">
        <w:rPr>
          <w:i/>
        </w:rPr>
        <w:t>haemodynamically</w:t>
      </w:r>
      <w:proofErr w:type="spellEnd"/>
      <w:r w:rsidRPr="008D29EF">
        <w:rPr>
          <w:i/>
        </w:rPr>
        <w:t xml:space="preserve"> significant patent ductus arteriosus in preterm newborn infants less than 34 weeks of gestational age.</w:t>
      </w:r>
    </w:p>
    <w:p w:rsidR="00232FFE" w:rsidRPr="00232FFE" w:rsidRDefault="008E0E6C" w:rsidP="00232FFE">
      <w:r w:rsidRPr="00232FFE">
        <w:t>Multiple ibuprofen formulations for oral administration (tablet, caps</w:t>
      </w:r>
      <w:r>
        <w:t xml:space="preserve">ule, liquid suspensions; as over-the-counter </w:t>
      </w:r>
      <w:r w:rsidR="00E02602">
        <w:t>[OTC]</w:t>
      </w:r>
      <w:r>
        <w:t xml:space="preserve"> </w:t>
      </w:r>
      <w:r w:rsidRPr="00232FFE">
        <w:t xml:space="preserve">products) are approved in Australia (in respect of a large number of sponsors) for the treatment of acute mild to moderate pain and inflammation and in combination with codeine for strong pain or inflammation. </w:t>
      </w:r>
      <w:r>
        <w:t xml:space="preserve">None of these, however, is approved for the PDA indication proposed in the preterm newborn population. </w:t>
      </w:r>
      <w:r w:rsidRPr="00232FFE">
        <w:t>For example, indications for oral ibuprofen (</w:t>
      </w:r>
      <w:proofErr w:type="spellStart"/>
      <w:r w:rsidRPr="00232FFE">
        <w:t>Brufen</w:t>
      </w:r>
      <w:proofErr w:type="spellEnd"/>
      <w:r w:rsidRPr="00232FFE">
        <w:t>) are</w:t>
      </w:r>
      <w:r w:rsidR="00232FFE" w:rsidRPr="00232FFE">
        <w:t>:</w:t>
      </w:r>
    </w:p>
    <w:p w:rsidR="00232FFE" w:rsidRPr="00232FFE" w:rsidRDefault="00232FFE" w:rsidP="00232FFE">
      <w:pPr>
        <w:pStyle w:val="ListBullet3"/>
        <w:rPr>
          <w:i/>
        </w:rPr>
      </w:pPr>
      <w:r w:rsidRPr="00232FFE">
        <w:rPr>
          <w:i/>
        </w:rPr>
        <w:t>Rheumatoid arthritis</w:t>
      </w:r>
    </w:p>
    <w:p w:rsidR="00232FFE" w:rsidRPr="00232FFE" w:rsidRDefault="00232FFE" w:rsidP="00232FFE">
      <w:pPr>
        <w:pStyle w:val="ListBullet3"/>
        <w:rPr>
          <w:i/>
        </w:rPr>
      </w:pPr>
      <w:r w:rsidRPr="00232FFE">
        <w:rPr>
          <w:i/>
        </w:rPr>
        <w:t>Osteoarthritis</w:t>
      </w:r>
    </w:p>
    <w:p w:rsidR="00232FFE" w:rsidRPr="00232FFE" w:rsidRDefault="00232FFE" w:rsidP="00232FFE">
      <w:pPr>
        <w:pStyle w:val="ListBullet3"/>
        <w:rPr>
          <w:i/>
        </w:rPr>
      </w:pPr>
      <w:r w:rsidRPr="00232FFE">
        <w:rPr>
          <w:i/>
        </w:rPr>
        <w:t>Juvenile rheumatoid arthritis</w:t>
      </w:r>
    </w:p>
    <w:p w:rsidR="00232FFE" w:rsidRPr="00232FFE" w:rsidRDefault="00232FFE" w:rsidP="00232FFE">
      <w:pPr>
        <w:pStyle w:val="ListBullet3"/>
        <w:rPr>
          <w:i/>
        </w:rPr>
      </w:pPr>
      <w:r w:rsidRPr="00232FFE">
        <w:rPr>
          <w:i/>
        </w:rPr>
        <w:t>Primary dysmenorrhoea</w:t>
      </w:r>
    </w:p>
    <w:p w:rsidR="00232FFE" w:rsidRPr="00232FFE" w:rsidRDefault="00232FFE" w:rsidP="00232FFE">
      <w:pPr>
        <w:pStyle w:val="ListBullet3"/>
        <w:rPr>
          <w:i/>
        </w:rPr>
      </w:pPr>
      <w:r w:rsidRPr="00232FFE">
        <w:rPr>
          <w:i/>
        </w:rPr>
        <w:t>Pyrexia</w:t>
      </w:r>
    </w:p>
    <w:p w:rsidR="00232FFE" w:rsidRPr="00232FFE" w:rsidRDefault="00232FFE" w:rsidP="00232FFE">
      <w:pPr>
        <w:pStyle w:val="ListBullet3"/>
        <w:rPr>
          <w:i/>
        </w:rPr>
      </w:pPr>
      <w:proofErr w:type="spellStart"/>
      <w:r w:rsidRPr="00232FFE">
        <w:rPr>
          <w:i/>
        </w:rPr>
        <w:t>Brufen</w:t>
      </w:r>
      <w:proofErr w:type="spellEnd"/>
      <w:r w:rsidRPr="00232FFE">
        <w:rPr>
          <w:i/>
        </w:rPr>
        <w:t xml:space="preserve"> is also indicated for the relief of acute and/or chronic pain states in which there is an inflammatory component.</w:t>
      </w:r>
    </w:p>
    <w:p w:rsidR="00232FFE" w:rsidRDefault="00657A91" w:rsidP="00657A91">
      <w:r>
        <w:t>A different formulation of ibuprofen for IV injection is also approved in adults as a 100 mg/mL</w:t>
      </w:r>
      <w:r w:rsidRPr="00030D71">
        <w:t xml:space="preserve"> </w:t>
      </w:r>
      <w:r>
        <w:t>concentrated injection for the following indications</w:t>
      </w:r>
      <w:r w:rsidR="00232FFE">
        <w:t>:</w:t>
      </w:r>
    </w:p>
    <w:p w:rsidR="00232FFE" w:rsidRPr="00232FFE" w:rsidRDefault="00232FFE" w:rsidP="00232FFE">
      <w:pPr>
        <w:ind w:left="720"/>
        <w:rPr>
          <w:i/>
        </w:rPr>
      </w:pPr>
      <w:proofErr w:type="spellStart"/>
      <w:r w:rsidRPr="00232FFE">
        <w:rPr>
          <w:i/>
        </w:rPr>
        <w:t>Caldolor</w:t>
      </w:r>
      <w:proofErr w:type="spellEnd"/>
      <w:r w:rsidRPr="00232FFE">
        <w:rPr>
          <w:i/>
        </w:rPr>
        <w:t xml:space="preserve"> is indicated in adults for the management of acute mild to moderate post-operative pain and moderate to severe post-operative pain with adjunctive reduced morphine dosage, where an intravenous route of administration is considered clinically necessary.</w:t>
      </w:r>
    </w:p>
    <w:p w:rsidR="00232FFE" w:rsidRPr="00232FFE" w:rsidRDefault="00232FFE" w:rsidP="00232FFE">
      <w:pPr>
        <w:ind w:left="720"/>
      </w:pPr>
      <w:proofErr w:type="spellStart"/>
      <w:r w:rsidRPr="00232FFE">
        <w:rPr>
          <w:i/>
        </w:rPr>
        <w:t>Caldolor</w:t>
      </w:r>
      <w:proofErr w:type="spellEnd"/>
      <w:r w:rsidRPr="00232FFE">
        <w:rPr>
          <w:i/>
        </w:rPr>
        <w:t xml:space="preserve"> is indicated for the reduction of fever in adults where an intravenous route of administration is considered clinically necessary.</w:t>
      </w:r>
    </w:p>
    <w:p w:rsidR="00657A91" w:rsidRDefault="00B8457E" w:rsidP="00657A91">
      <w:r>
        <w:t xml:space="preserve">However, </w:t>
      </w:r>
      <w:proofErr w:type="spellStart"/>
      <w:r w:rsidR="00657A91">
        <w:t>Caldolor</w:t>
      </w:r>
      <w:proofErr w:type="spellEnd"/>
      <w:r w:rsidR="00657A91">
        <w:t xml:space="preserve"> is only approved in the adult population for the above indications</w:t>
      </w:r>
      <w:r>
        <w:t xml:space="preserve">; it </w:t>
      </w:r>
      <w:r w:rsidR="00657A91">
        <w:t>is not approved for the PDA indication</w:t>
      </w:r>
      <w:r>
        <w:t xml:space="preserve">, and nor is it approved </w:t>
      </w:r>
      <w:r w:rsidR="00657A91">
        <w:t>in the preterm newborn population proposed.</w:t>
      </w:r>
      <w:r>
        <w:t xml:space="preserve"> </w:t>
      </w:r>
      <w:r w:rsidR="00657A91">
        <w:t xml:space="preserve">The </w:t>
      </w:r>
      <w:proofErr w:type="spellStart"/>
      <w:r w:rsidR="00657A91">
        <w:t>Caldolor</w:t>
      </w:r>
      <w:proofErr w:type="spellEnd"/>
      <w:r w:rsidR="00657A91">
        <w:t xml:space="preserve"> formulation also </w:t>
      </w:r>
      <w:r>
        <w:t xml:space="preserve">differs from </w:t>
      </w:r>
      <w:proofErr w:type="spellStart"/>
      <w:r>
        <w:t>Pedea</w:t>
      </w:r>
      <w:proofErr w:type="spellEnd"/>
      <w:r w:rsidR="00657A91">
        <w:t xml:space="preserve">, as </w:t>
      </w:r>
      <w:proofErr w:type="spellStart"/>
      <w:r w:rsidR="00657A91">
        <w:t>Caldolor</w:t>
      </w:r>
      <w:proofErr w:type="spellEnd"/>
      <w:r w:rsidR="00657A91">
        <w:t xml:space="preserve"> contains arginine, an excipient not found in </w:t>
      </w:r>
      <w:r>
        <w:t>Pedea</w:t>
      </w:r>
      <w:r w:rsidR="00657A91">
        <w:t>.</w:t>
      </w:r>
    </w:p>
    <w:p w:rsidR="00232FFE" w:rsidRPr="00232FFE" w:rsidRDefault="00657A91" w:rsidP="00657A91">
      <w:r w:rsidRPr="00232FFE">
        <w:t xml:space="preserve">The current approved dose for </w:t>
      </w:r>
      <w:proofErr w:type="spellStart"/>
      <w:r w:rsidRPr="00232FFE">
        <w:t>Brufen</w:t>
      </w:r>
      <w:proofErr w:type="spellEnd"/>
      <w:r w:rsidRPr="00232FFE">
        <w:t xml:space="preserve"> in adults is 1200-1600 mg daily in three or four divided doses, with a maximum of 2400 mg daily. The dose in children (6 months to 12 years) is 20-40 mg/kg daily. The approved dose for </w:t>
      </w:r>
      <w:proofErr w:type="spellStart"/>
      <w:r w:rsidRPr="00232FFE">
        <w:t>Caldolor</w:t>
      </w:r>
      <w:proofErr w:type="spellEnd"/>
      <w:r>
        <w:t xml:space="preserve"> in adults</w:t>
      </w:r>
      <w:r w:rsidR="00E02602">
        <w:t xml:space="preserve"> is 400 mg every 4 to 6 h</w:t>
      </w:r>
      <w:r w:rsidRPr="00232FFE">
        <w:t xml:space="preserve"> for fev</w:t>
      </w:r>
      <w:r w:rsidR="00E02602">
        <w:t>er, and 400-800 mg every 6 h</w:t>
      </w:r>
      <w:r w:rsidRPr="00232FFE">
        <w:t xml:space="preserve"> for analgesia (maximum 3200 mg daily</w:t>
      </w:r>
      <w:r w:rsidR="00232FFE" w:rsidRPr="00232FFE">
        <w:t>).</w:t>
      </w:r>
    </w:p>
    <w:p w:rsidR="00232FFE" w:rsidRPr="00232FFE" w:rsidRDefault="00232FFE" w:rsidP="00232FFE">
      <w:r w:rsidRPr="00232FFE">
        <w:t xml:space="preserve">The </w:t>
      </w:r>
      <w:r w:rsidR="009D5461">
        <w:t>DA</w:t>
      </w:r>
      <w:r w:rsidRPr="00232FFE">
        <w:t xml:space="preserve"> is a blood vessel that connects the pulmonary artery with the aorta during </w:t>
      </w:r>
      <w:proofErr w:type="spellStart"/>
      <w:r w:rsidRPr="00232FFE">
        <w:t>fetal</w:t>
      </w:r>
      <w:proofErr w:type="spellEnd"/>
      <w:r w:rsidRPr="00232FFE">
        <w:t xml:space="preserve"> life, shunting the majority of right ventricular output directly to the descending aorta and bypassing the pulmonary vascular bed. At birth, the ductus constricts in response to rising oxygen saturation and falling prostaglandin levels, redirecting blood flow to the lungs. Complete spontaneous closure is usually achieved within 48 hours in full term infants.</w:t>
      </w:r>
    </w:p>
    <w:p w:rsidR="00232FFE" w:rsidRPr="00232FFE" w:rsidRDefault="00232FFE" w:rsidP="00232FFE">
      <w:r w:rsidRPr="00232FFE">
        <w:t xml:space="preserve">About 70-80% of infants under 1,250 g birthweight have a </w:t>
      </w:r>
      <w:r w:rsidR="009D5461">
        <w:t>PDA</w:t>
      </w:r>
      <w:r w:rsidRPr="00232FFE">
        <w:t xml:space="preserve">. The incidence of PDA in preterm newborns is inversely correlated to gestational age and birth weight. The current </w:t>
      </w:r>
      <w:r w:rsidRPr="00232FFE">
        <w:lastRenderedPageBreak/>
        <w:t>treatment options include supportive therapy, medical treatment (including indomethacin) and surgery.</w:t>
      </w:r>
    </w:p>
    <w:p w:rsidR="00232FFE" w:rsidRPr="00232FFE" w:rsidRDefault="00232FFE" w:rsidP="00232FFE">
      <w:r w:rsidRPr="00232FFE">
        <w:t>Associated risks of prematurity include respiratory (bronchopulmonary dysplasia), gastrointestinal (necrotising enterocolitis) and neurological (intraventricular haemorrhage, cerebral palsy) complications.</w:t>
      </w:r>
    </w:p>
    <w:p w:rsidR="00232FFE" w:rsidRPr="00232FFE" w:rsidRDefault="00232FFE" w:rsidP="00232FFE">
      <w:r w:rsidRPr="00232FFE">
        <w:t>Indomethacin IV Mylan is currently available in Australia with the indication:</w:t>
      </w:r>
    </w:p>
    <w:p w:rsidR="00232FFE" w:rsidRPr="00232FFE" w:rsidRDefault="00232FFE" w:rsidP="00232FFE">
      <w:pPr>
        <w:ind w:left="720"/>
        <w:rPr>
          <w:i/>
        </w:rPr>
      </w:pPr>
      <w:r w:rsidRPr="00232FFE">
        <w:rPr>
          <w:i/>
        </w:rPr>
        <w:t xml:space="preserve">Indomethacin IV Mylan is indicated for the closure of patent ductus arteriosus in premature babies. Clear-cut clinical evidence of a </w:t>
      </w:r>
      <w:proofErr w:type="spellStart"/>
      <w:r w:rsidRPr="00232FFE">
        <w:rPr>
          <w:i/>
        </w:rPr>
        <w:t>haemodynamically</w:t>
      </w:r>
      <w:proofErr w:type="spellEnd"/>
      <w:r w:rsidRPr="00232FFE">
        <w:rPr>
          <w:i/>
        </w:rPr>
        <w:t xml:space="preserve"> significant patent ductus arteriosus should be present, such as respiratory distress, a continuous murmur, a hyperactive precordium, cardiomegaly and pulmonary plethora on chest x-ray. Indomethacin IV Mylan should only be used in a hospital under supervision of a specialist neonatologist.</w:t>
      </w:r>
    </w:p>
    <w:p w:rsidR="00053A6D" w:rsidRPr="00053A6D" w:rsidRDefault="00232FFE" w:rsidP="00053A6D">
      <w:r w:rsidRPr="00053A6D">
        <w:t>Pedea was granted orphan drug designation in Australia on 29 May 2013. In Europe</w:t>
      </w:r>
      <w:r w:rsidR="00053A6D">
        <w:t>,</w:t>
      </w:r>
      <w:r w:rsidRPr="00053A6D">
        <w:t xml:space="preserve"> the sponsor obtained orphan designation in February 2001 and marketing approval on 22 April 2004. The approved indication in Europe is</w:t>
      </w:r>
      <w:r w:rsidR="00053A6D" w:rsidRPr="00053A6D">
        <w:t>:</w:t>
      </w:r>
    </w:p>
    <w:p w:rsidR="00053A6D" w:rsidRPr="00053A6D" w:rsidRDefault="00232FFE" w:rsidP="00053A6D">
      <w:pPr>
        <w:ind w:left="720"/>
        <w:rPr>
          <w:i/>
        </w:rPr>
      </w:pPr>
      <w:proofErr w:type="gramStart"/>
      <w:r w:rsidRPr="00053A6D">
        <w:rPr>
          <w:i/>
        </w:rPr>
        <w:t xml:space="preserve">Treatment of a </w:t>
      </w:r>
      <w:proofErr w:type="spellStart"/>
      <w:r w:rsidRPr="00053A6D">
        <w:rPr>
          <w:i/>
        </w:rPr>
        <w:t>haemodynamically</w:t>
      </w:r>
      <w:proofErr w:type="spellEnd"/>
      <w:r w:rsidRPr="00053A6D">
        <w:rPr>
          <w:i/>
        </w:rPr>
        <w:t xml:space="preserve"> significant patent ductus arteriosus in preterm newborn infants less than 34 weeks of gestational age.</w:t>
      </w:r>
      <w:proofErr w:type="gramEnd"/>
    </w:p>
    <w:p w:rsidR="00232FFE" w:rsidRPr="00053A6D" w:rsidRDefault="00053A6D" w:rsidP="00053A6D">
      <w:r>
        <w:t>At time of submission to TGA, n</w:t>
      </w:r>
      <w:r w:rsidR="00232FFE" w:rsidRPr="00053A6D">
        <w:t>o submission ha</w:t>
      </w:r>
      <w:r w:rsidR="002B0EDE">
        <w:t>d</w:t>
      </w:r>
      <w:r w:rsidR="00232FFE" w:rsidRPr="00053A6D">
        <w:t xml:space="preserve"> bee</w:t>
      </w:r>
      <w:r>
        <w:t>n made by the sponsor in the US</w:t>
      </w:r>
      <w:r w:rsidR="00232FFE" w:rsidRPr="00053A6D">
        <w:t>. No information was provided regarding regulatory status in Canada or New Zealand.</w:t>
      </w:r>
    </w:p>
    <w:p w:rsidR="00232FFE" w:rsidRPr="00053A6D" w:rsidRDefault="00232FFE" w:rsidP="00053A6D">
      <w:r w:rsidRPr="00053A6D">
        <w:t>To support the initial approval of Pedea in the EU, Orphan Europe submitted a mixed submission including both clinical study data and published literature to support clinical efficacy and safety. The Australian application relies solely on the clinical trial data, with the literature included as supportive evidence only.</w:t>
      </w:r>
    </w:p>
    <w:p w:rsidR="00232FFE" w:rsidRPr="00053A6D" w:rsidRDefault="00232FFE" w:rsidP="00053A6D">
      <w:r w:rsidRPr="00053A6D">
        <w:t xml:space="preserve">Ibuprofen for this indication has not been </w:t>
      </w:r>
      <w:r w:rsidR="002B0EDE">
        <w:t>previously considered by the AC</w:t>
      </w:r>
      <w:r w:rsidRPr="00053A6D">
        <w:t>M.</w:t>
      </w:r>
    </w:p>
    <w:p w:rsidR="008E7846" w:rsidRPr="003F31A2" w:rsidRDefault="00386150" w:rsidP="008E7846">
      <w:pPr>
        <w:pStyle w:val="Heading3"/>
      </w:pPr>
      <w:bookmarkStart w:id="18" w:name="_Toc314842485"/>
      <w:bookmarkStart w:id="19" w:name="_Toc247691504"/>
      <w:bookmarkStart w:id="20" w:name="_Toc499196203"/>
      <w:r>
        <w:t>Regulatory s</w:t>
      </w:r>
      <w:r w:rsidR="008E7846">
        <w:t>tatus</w:t>
      </w:r>
      <w:bookmarkEnd w:id="18"/>
      <w:bookmarkEnd w:id="20"/>
      <w:r w:rsidR="008E7846">
        <w:t xml:space="preserve"> </w:t>
      </w:r>
      <w:bookmarkEnd w:id="19"/>
    </w:p>
    <w:p w:rsidR="000B442F" w:rsidRDefault="000B442F" w:rsidP="000B442F">
      <w:bookmarkStart w:id="21" w:name="_Toc247691505"/>
      <w:bookmarkStart w:id="22" w:name="_Toc314842486"/>
      <w:r>
        <w:t xml:space="preserve">The international </w:t>
      </w:r>
      <w:r w:rsidRPr="009A6DCB">
        <w:t xml:space="preserve">regulatory status </w:t>
      </w:r>
      <w:r>
        <w:t>at the time of submission</w:t>
      </w:r>
      <w:r w:rsidRPr="009A6DCB">
        <w:t xml:space="preserve"> is listed in</w:t>
      </w:r>
      <w:r>
        <w:t xml:space="preserve"> Table 1.</w:t>
      </w:r>
    </w:p>
    <w:p w:rsidR="000B442F" w:rsidRDefault="000B442F" w:rsidP="000B442F">
      <w:pPr>
        <w:pStyle w:val="TableTitle"/>
      </w:pPr>
      <w:proofErr w:type="gramStart"/>
      <w:r>
        <w:lastRenderedPageBreak/>
        <w:t xml:space="preserve">Table </w:t>
      </w:r>
      <w:r w:rsidR="00FF3719">
        <w:t>1</w:t>
      </w:r>
      <w:r>
        <w:t>:</w:t>
      </w:r>
      <w:r w:rsidRPr="004C5C28">
        <w:t xml:space="preserve"> </w:t>
      </w:r>
      <w:r>
        <w:t xml:space="preserve">International </w:t>
      </w:r>
      <w:r w:rsidRPr="009A6DCB">
        <w:t>regulatory status</w:t>
      </w:r>
      <w:r w:rsidR="001916ED" w:rsidRPr="001916ED">
        <w:t xml:space="preserve"> at the time of submission</w:t>
      </w:r>
      <w:r w:rsidR="001916ED">
        <w:t xml:space="preserve"> to TGA</w:t>
      </w:r>
      <w:r>
        <w:t>.</w:t>
      </w:r>
      <w:proofErr w:type="gramEnd"/>
    </w:p>
    <w:p w:rsidR="0016390B" w:rsidRDefault="0016390B" w:rsidP="0016390B">
      <w:pPr>
        <w:pStyle w:val="TableTitle"/>
        <w:keepNext w:val="0"/>
      </w:pPr>
      <w:r>
        <w:rPr>
          <w:noProof/>
          <w:lang w:eastAsia="en-AU"/>
        </w:rPr>
        <w:drawing>
          <wp:inline distT="0" distB="0" distL="0" distR="0" wp14:anchorId="086904DB" wp14:editId="3FEC088B">
            <wp:extent cx="5040000" cy="6250726"/>
            <wp:effectExtent l="0" t="0" r="8255" b="0"/>
            <wp:docPr id="15" name="Picture 15" descr="Table 1: International regulatory status at the time of submission to T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0000" cy="6250726"/>
                    </a:xfrm>
                    <a:prstGeom prst="rect">
                      <a:avLst/>
                    </a:prstGeom>
                    <a:noFill/>
                    <a:ln>
                      <a:noFill/>
                    </a:ln>
                  </pic:spPr>
                </pic:pic>
              </a:graphicData>
            </a:graphic>
          </wp:inline>
        </w:drawing>
      </w:r>
    </w:p>
    <w:p w:rsidR="0016390B" w:rsidRDefault="0016390B" w:rsidP="0016390B">
      <w:pPr>
        <w:pStyle w:val="TableTitle"/>
      </w:pPr>
      <w:r>
        <w:t>Table 1 (continued):</w:t>
      </w:r>
      <w:r w:rsidRPr="004C5C28">
        <w:t xml:space="preserve"> </w:t>
      </w:r>
      <w:r>
        <w:t xml:space="preserve">International </w:t>
      </w:r>
      <w:r w:rsidRPr="009A6DCB">
        <w:t>regulatory status</w:t>
      </w:r>
      <w:r w:rsidRPr="001916ED">
        <w:t xml:space="preserve"> at the time of submission</w:t>
      </w:r>
      <w:r>
        <w:t xml:space="preserve"> to TGA.</w:t>
      </w:r>
    </w:p>
    <w:p w:rsidR="0016390B" w:rsidRDefault="0016390B" w:rsidP="0016390B">
      <w:pPr>
        <w:pStyle w:val="TableTitle"/>
        <w:keepNext w:val="0"/>
      </w:pPr>
      <w:r>
        <w:rPr>
          <w:noProof/>
          <w:lang w:eastAsia="en-AU"/>
        </w:rPr>
        <w:drawing>
          <wp:inline distT="0" distB="0" distL="0" distR="0" wp14:anchorId="5D10A52B" wp14:editId="629D594E">
            <wp:extent cx="5040000" cy="6469254"/>
            <wp:effectExtent l="0" t="0" r="8255" b="8255"/>
            <wp:docPr id="12" name="Picture 12" descr="Table 1: International regulatory status at the time of submission to T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0000" cy="6469254"/>
                    </a:xfrm>
                    <a:prstGeom prst="rect">
                      <a:avLst/>
                    </a:prstGeom>
                    <a:noFill/>
                    <a:ln>
                      <a:noFill/>
                    </a:ln>
                  </pic:spPr>
                </pic:pic>
              </a:graphicData>
            </a:graphic>
          </wp:inline>
        </w:drawing>
      </w:r>
    </w:p>
    <w:p w:rsidR="00DE1356" w:rsidRDefault="00DE1356" w:rsidP="00DE1356">
      <w:pPr>
        <w:pStyle w:val="TableTitle"/>
      </w:pPr>
      <w:r>
        <w:t>Table 1 (continued):</w:t>
      </w:r>
      <w:r w:rsidRPr="004C5C28">
        <w:t xml:space="preserve"> </w:t>
      </w:r>
      <w:r>
        <w:t xml:space="preserve">International </w:t>
      </w:r>
      <w:r w:rsidRPr="009A6DCB">
        <w:t>regulatory status</w:t>
      </w:r>
      <w:r w:rsidRPr="001916ED">
        <w:t xml:space="preserve"> at the time of submission</w:t>
      </w:r>
      <w:r>
        <w:t xml:space="preserve"> to TGA.</w:t>
      </w:r>
    </w:p>
    <w:p w:rsidR="0016390B" w:rsidRDefault="0016390B" w:rsidP="0016390B">
      <w:pPr>
        <w:pStyle w:val="TableTitle"/>
        <w:keepNext w:val="0"/>
      </w:pPr>
      <w:r>
        <w:rPr>
          <w:noProof/>
          <w:lang w:eastAsia="en-AU"/>
        </w:rPr>
        <w:drawing>
          <wp:inline distT="0" distB="0" distL="0" distR="0" wp14:anchorId="4977FAC0" wp14:editId="1ADB636E">
            <wp:extent cx="5040000" cy="1723750"/>
            <wp:effectExtent l="0" t="0" r="8255" b="0"/>
            <wp:docPr id="11" name="Picture 11" descr="Table 1 (continued): International regulatory status at the time of submission to T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040000" cy="1723750"/>
                    </a:xfrm>
                    <a:prstGeom prst="rect">
                      <a:avLst/>
                    </a:prstGeom>
                  </pic:spPr>
                </pic:pic>
              </a:graphicData>
            </a:graphic>
          </wp:inline>
        </w:drawing>
      </w:r>
    </w:p>
    <w:p w:rsidR="008E7846" w:rsidRDefault="008E7846" w:rsidP="00940A89">
      <w:pPr>
        <w:pStyle w:val="Heading3"/>
      </w:pPr>
      <w:bookmarkStart w:id="23" w:name="_Toc499196204"/>
      <w:r>
        <w:t>Product Information</w:t>
      </w:r>
      <w:bookmarkEnd w:id="21"/>
      <w:bookmarkEnd w:id="22"/>
      <w:bookmarkEnd w:id="23"/>
    </w:p>
    <w:p w:rsidR="00940A89" w:rsidRDefault="00940A89" w:rsidP="00940A89">
      <w:pPr>
        <w:rPr>
          <w:b/>
          <w:bCs/>
        </w:rPr>
      </w:pPr>
      <w:bookmarkStart w:id="24" w:name="_Toc247691506"/>
      <w:bookmarkStart w:id="25" w:name="_Toc314842487"/>
      <w:r w:rsidRPr="00940A89">
        <w:t xml:space="preserve">The approved Product Information (PI) current at the time this AusPAR was prepared can be found as Attachment 1. For the most recent </w:t>
      </w:r>
      <w:r w:rsidR="00133A1B">
        <w:t>PI,</w:t>
      </w:r>
      <w:r w:rsidRPr="00940A89">
        <w:t xml:space="preserve"> ple</w:t>
      </w:r>
      <w:r w:rsidR="00441C3F">
        <w:t>ase refer to the TGA website</w:t>
      </w:r>
      <w:r w:rsidR="00441C3F" w:rsidRPr="00441C3F">
        <w:t xml:space="preserve"> at &lt;</w:t>
      </w:r>
      <w:hyperlink r:id="rId20" w:history="1">
        <w:r w:rsidR="00441C3F" w:rsidRPr="00441C3F">
          <w:rPr>
            <w:rStyle w:val="Hyperlink"/>
          </w:rPr>
          <w:t>https://www.tga.gov.au/product-information-pi</w:t>
        </w:r>
      </w:hyperlink>
      <w:r w:rsidR="00441C3F">
        <w:t>&gt;</w:t>
      </w:r>
      <w:r w:rsidRPr="00940A89">
        <w:t>.</w:t>
      </w:r>
    </w:p>
    <w:p w:rsidR="008E7846" w:rsidRPr="003602A9" w:rsidRDefault="008E7846" w:rsidP="008E7846">
      <w:pPr>
        <w:pStyle w:val="Heading2"/>
        <w:ind w:left="-11"/>
      </w:pPr>
      <w:bookmarkStart w:id="26" w:name="_Toc499196205"/>
      <w:r>
        <w:t>II. Quality</w:t>
      </w:r>
      <w:bookmarkEnd w:id="3"/>
      <w:r>
        <w:t xml:space="preserve"> findings</w:t>
      </w:r>
      <w:bookmarkEnd w:id="24"/>
      <w:bookmarkEnd w:id="25"/>
      <w:bookmarkEnd w:id="26"/>
    </w:p>
    <w:p w:rsidR="008E7846" w:rsidRDefault="008E7846" w:rsidP="008E7846">
      <w:pPr>
        <w:pStyle w:val="Heading3"/>
      </w:pPr>
      <w:bookmarkStart w:id="27" w:name="_Toc247691508"/>
      <w:bookmarkStart w:id="28" w:name="_Toc314842490"/>
      <w:bookmarkStart w:id="29" w:name="_Toc499196206"/>
      <w:r w:rsidRPr="008751DC">
        <w:t xml:space="preserve">Drug </w:t>
      </w:r>
      <w:r>
        <w:t>p</w:t>
      </w:r>
      <w:r w:rsidRPr="008751DC">
        <w:t>roduct</w:t>
      </w:r>
      <w:bookmarkEnd w:id="27"/>
      <w:bookmarkEnd w:id="28"/>
      <w:bookmarkEnd w:id="29"/>
    </w:p>
    <w:p w:rsidR="00355247" w:rsidRPr="00355247" w:rsidRDefault="005B6E89" w:rsidP="00355247">
      <w:r>
        <w:t>Pedea</w:t>
      </w:r>
      <w:r w:rsidR="00355247" w:rsidRPr="00355247">
        <w:t xml:space="preserve"> is a sterile, clear colourless solution containing a 5</w:t>
      </w:r>
      <w:r w:rsidR="00EF6E82">
        <w:t xml:space="preserve"> </w:t>
      </w:r>
      <w:r w:rsidR="00355247" w:rsidRPr="00355247">
        <w:t xml:space="preserve">mg/mL ibuprofen solution for injection (10 mg/2 mL) filled in 2 mL colourless One-Point-Cut (OPC) glass ampoules and supplied in packs of 4 x 2 mL ampoules. </w:t>
      </w:r>
    </w:p>
    <w:p w:rsidR="00355247" w:rsidRDefault="00355247" w:rsidP="00355247">
      <w:r w:rsidRPr="00355247">
        <w:t xml:space="preserve">[Various </w:t>
      </w:r>
      <w:proofErr w:type="spellStart"/>
      <w:r w:rsidR="002C7421">
        <w:t>Pedia</w:t>
      </w:r>
      <w:proofErr w:type="spellEnd"/>
      <w:r w:rsidRPr="00355247">
        <w:t xml:space="preserve"> vitamin tablets are sponsored by Vitex Pharmaceuticals Pty Ltd (</w:t>
      </w:r>
      <w:proofErr w:type="spellStart"/>
      <w:r w:rsidRPr="00355247">
        <w:t>Pedia</w:t>
      </w:r>
      <w:proofErr w:type="spellEnd"/>
      <w:r w:rsidRPr="00355247">
        <w:t xml:space="preserve">-Cal </w:t>
      </w:r>
      <w:proofErr w:type="spellStart"/>
      <w:r w:rsidRPr="00355247">
        <w:t>Pedia</w:t>
      </w:r>
      <w:proofErr w:type="spellEnd"/>
      <w:r w:rsidRPr="00355247">
        <w:t xml:space="preserve">-Haem and </w:t>
      </w:r>
      <w:proofErr w:type="spellStart"/>
      <w:r w:rsidRPr="00355247">
        <w:t>Pedia</w:t>
      </w:r>
      <w:proofErr w:type="spellEnd"/>
      <w:r w:rsidRPr="00355247">
        <w:t xml:space="preserve"> C/Zn) but are unlikely to be confused with an injection dosage form.]</w:t>
      </w:r>
    </w:p>
    <w:p w:rsidR="00355247" w:rsidRPr="00355247" w:rsidRDefault="00355247" w:rsidP="00355247">
      <w:r w:rsidRPr="00355247">
        <w:t xml:space="preserve">There are pharmacopoeial monographs for ibuprofen drug substance but no monographs for ibuprofen injection.  </w:t>
      </w:r>
    </w:p>
    <w:p w:rsidR="00355247" w:rsidRPr="00355247" w:rsidRDefault="00355247" w:rsidP="00355247">
      <w:r w:rsidRPr="00355247">
        <w:t xml:space="preserve">Ibuprofen is practically insoluble in water, but it is solubilised in </w:t>
      </w:r>
      <w:r w:rsidR="005B6E89">
        <w:t>Pedea</w:t>
      </w:r>
      <w:r w:rsidRPr="00355247">
        <w:t xml:space="preserve"> using a slight molar excess of the base trometamol which forms a salt with ibuprofen. (The currently registered ibuprofen injection </w:t>
      </w:r>
      <w:proofErr w:type="spellStart"/>
      <w:r w:rsidR="00733B2C">
        <w:t>Caldolor</w:t>
      </w:r>
      <w:proofErr w:type="spellEnd"/>
      <w:r w:rsidRPr="00355247">
        <w:t xml:space="preserve"> contains arginine as a solubilising agent.) Trometamol is used as an excipient in over 200 registered injectable products however these are limited to biological medicines and imaging products. The same </w:t>
      </w:r>
      <w:r w:rsidR="005B6E89">
        <w:t>Pedea</w:t>
      </w:r>
      <w:r w:rsidRPr="00355247">
        <w:t xml:space="preserve"> formulation has been used in all clinical trials provided with this application.</w:t>
      </w:r>
    </w:p>
    <w:p w:rsidR="00355247" w:rsidRPr="00355247" w:rsidRDefault="005B6E89" w:rsidP="00355247">
      <w:r>
        <w:t>Pedea</w:t>
      </w:r>
      <w:r w:rsidR="00355247" w:rsidRPr="00355247">
        <w:t xml:space="preserve"> is also formulated with sodium chloride and the pH adjusted to pH of 8.0 (slightly alkaline) with hydrochloric acid or sodium hydroxide. </w:t>
      </w:r>
      <w:r>
        <w:t>Pedea</w:t>
      </w:r>
      <w:r w:rsidR="00355247" w:rsidRPr="00355247">
        <w:t xml:space="preserve"> is isotonic. The injection contains no antimicrobial preservative.  </w:t>
      </w:r>
    </w:p>
    <w:p w:rsidR="00940A89" w:rsidRDefault="007F5018" w:rsidP="00497B54">
      <w:pPr>
        <w:pStyle w:val="FigureTitle"/>
      </w:pPr>
      <w:r>
        <w:t>Figure 1: Chemical structures of</w:t>
      </w:r>
      <w:r w:rsidR="0060044B">
        <w:t xml:space="preserve"> ibuprofen and trometamol.</w:t>
      </w:r>
    </w:p>
    <w:p w:rsidR="007F5018" w:rsidRPr="007F5018" w:rsidRDefault="0060044B" w:rsidP="007F5018">
      <w:r>
        <w:rPr>
          <w:noProof/>
          <w:lang w:eastAsia="en-AU"/>
        </w:rPr>
        <w:drawing>
          <wp:inline distT="0" distB="0" distL="0" distR="0" wp14:anchorId="7A1EEA10" wp14:editId="0F067355">
            <wp:extent cx="4016629" cy="993429"/>
            <wp:effectExtent l="0" t="0" r="3175" b="0"/>
            <wp:docPr id="1" name="Picture 1" descr="Figure 1: Chemical structures of ibuprofen and trometam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17983" cy="993764"/>
                    </a:xfrm>
                    <a:prstGeom prst="rect">
                      <a:avLst/>
                    </a:prstGeom>
                  </pic:spPr>
                </pic:pic>
              </a:graphicData>
            </a:graphic>
          </wp:inline>
        </w:drawing>
      </w:r>
    </w:p>
    <w:p w:rsidR="007F5018" w:rsidRPr="007F5018" w:rsidRDefault="007F5018" w:rsidP="007F5018">
      <w:r w:rsidRPr="007F5018">
        <w:lastRenderedPageBreak/>
        <w:t>The adequacy of endotoxin removal for empty ampoules is currently being clarified.</w:t>
      </w:r>
    </w:p>
    <w:p w:rsidR="007F5018" w:rsidRDefault="007F5018" w:rsidP="007F5018">
      <w:r w:rsidRPr="007F5018">
        <w:t>The stability data provided support a shelf life of 2</w:t>
      </w:r>
      <w:r w:rsidR="00225990">
        <w:t xml:space="preserve"> years when stored below 30°C. </w:t>
      </w:r>
      <w:r w:rsidRPr="007F5018">
        <w:t xml:space="preserve">Do not freeze. </w:t>
      </w:r>
    </w:p>
    <w:p w:rsidR="00E4287A" w:rsidRDefault="00E4287A" w:rsidP="00E4287A">
      <w:pPr>
        <w:pStyle w:val="Heading4"/>
      </w:pPr>
      <w:r>
        <w:t>Administration</w:t>
      </w:r>
    </w:p>
    <w:p w:rsidR="00497B54" w:rsidRPr="00497B54" w:rsidRDefault="00497B54" w:rsidP="00497B54">
      <w:r w:rsidRPr="00497B54">
        <w:t xml:space="preserve">The proposed dosage is 10mg/kg </w:t>
      </w:r>
      <w:r>
        <w:t>IV</w:t>
      </w:r>
      <w:r w:rsidRPr="00497B54">
        <w:t xml:space="preserve"> infusion for the first injection and then 5</w:t>
      </w:r>
      <w:r w:rsidR="00225990">
        <w:t xml:space="preserve"> </w:t>
      </w:r>
      <w:r w:rsidRPr="00497B54">
        <w:t>mg/kg for the 2nd and 3rd injections with each dose administere</w:t>
      </w:r>
      <w:r w:rsidR="00225990">
        <w:t>d at 24 hour intervals.</w:t>
      </w:r>
      <w:r w:rsidRPr="00497B54">
        <w:t xml:space="preserve"> This means that the daily doses are</w:t>
      </w:r>
      <w:r w:rsidR="00225990">
        <w:t xml:space="preserve"> likely to be up to 25 mg (that is, </w:t>
      </w:r>
      <w:r w:rsidRPr="00497B54">
        <w:t xml:space="preserve">up to three ampoules), based on preterm infant weights up to about 2.5 kg.  </w:t>
      </w:r>
    </w:p>
    <w:p w:rsidR="00497B54" w:rsidRPr="00497B54" w:rsidRDefault="005B6E89" w:rsidP="00497B54">
      <w:r>
        <w:t>Pedea</w:t>
      </w:r>
      <w:r w:rsidR="00497B54" w:rsidRPr="00497B54">
        <w:t xml:space="preserve"> is administered as a short infusion over 15 minutes, preferably undiluted. If necessary, the injection volume may be adjusted with either sodium chloride 9 mg/mL (0.9%) solution for injection or glucose 50 mg/mL (5%) solution for injection. Any unused portion of the solution should be discarded.</w:t>
      </w:r>
    </w:p>
    <w:p w:rsidR="00497B54" w:rsidRPr="00497B54" w:rsidRDefault="00497B54" w:rsidP="00497B54">
      <w:r w:rsidRPr="00497B54">
        <w:t xml:space="preserve">The </w:t>
      </w:r>
      <w:r w:rsidR="005B6E89">
        <w:t>Pedea</w:t>
      </w:r>
      <w:r w:rsidRPr="00497B54">
        <w:t xml:space="preserve"> infusion solution has a pH of 8.0. The currently proposed </w:t>
      </w:r>
      <w:r w:rsidR="00225990">
        <w:t>PI</w:t>
      </w:r>
      <w:r w:rsidRPr="00497B54">
        <w:t xml:space="preserve"> does not emphasise the alkaline nature of the infusion solution, and contains only limited information on compatibility of mixtures. The UK</w:t>
      </w:r>
      <w:r w:rsidR="00225990">
        <w:t xml:space="preserve"> </w:t>
      </w:r>
      <w:r w:rsidRPr="00497B54">
        <w:t xml:space="preserve">registered </w:t>
      </w:r>
      <w:r w:rsidR="005B6E89">
        <w:t>Pedea</w:t>
      </w:r>
      <w:r w:rsidRPr="00497B54">
        <w:t xml:space="preserve"> product contains stronger compatibility warnings.</w:t>
      </w:r>
      <w:r w:rsidR="00E4287A" w:rsidRPr="00497B54">
        <w:t xml:space="preserve"> </w:t>
      </w:r>
      <w:r w:rsidRPr="00497B54">
        <w:t>Revision has been proposed.</w:t>
      </w:r>
    </w:p>
    <w:p w:rsidR="008E7846" w:rsidRDefault="008E7846" w:rsidP="00E4287A">
      <w:pPr>
        <w:pStyle w:val="Heading4"/>
      </w:pPr>
      <w:bookmarkStart w:id="30" w:name="_Toc314842491"/>
      <w:r>
        <w:t>Bio</w:t>
      </w:r>
      <w:bookmarkEnd w:id="30"/>
      <w:r w:rsidR="00497B54">
        <w:t>availability</w:t>
      </w:r>
    </w:p>
    <w:p w:rsidR="00E4287A" w:rsidRDefault="00E4287A" w:rsidP="00E4287A">
      <w:pPr>
        <w:autoSpaceDE w:val="0"/>
        <w:autoSpaceDN w:val="0"/>
        <w:adjustRightInd w:val="0"/>
        <w:spacing w:after="0"/>
        <w:rPr>
          <w:szCs w:val="24"/>
        </w:rPr>
      </w:pPr>
      <w:r>
        <w:rPr>
          <w:szCs w:val="24"/>
        </w:rPr>
        <w:t xml:space="preserve">As </w:t>
      </w:r>
      <w:r w:rsidR="005B6E89">
        <w:t>Pedea</w:t>
      </w:r>
      <w:r w:rsidRPr="00AE75E0">
        <w:t xml:space="preserve"> </w:t>
      </w:r>
      <w:r>
        <w:rPr>
          <w:szCs w:val="24"/>
        </w:rPr>
        <w:t xml:space="preserve">is only proposed for </w:t>
      </w:r>
      <w:r w:rsidR="0024731A">
        <w:rPr>
          <w:szCs w:val="24"/>
        </w:rPr>
        <w:t>IV</w:t>
      </w:r>
      <w:r>
        <w:rPr>
          <w:szCs w:val="24"/>
        </w:rPr>
        <w:t xml:space="preserve"> administration, no bioavailability data have been reviewed. The submission did include a </w:t>
      </w:r>
      <w:r>
        <w:rPr>
          <w:szCs w:val="24"/>
          <w:lang w:eastAsia="en-AU"/>
        </w:rPr>
        <w:t>single dose, bioequivalence study (</w:t>
      </w:r>
      <w:r w:rsidRPr="00292720">
        <w:rPr>
          <w:lang w:eastAsia="en-AU"/>
        </w:rPr>
        <w:t>IBU/00/BIOEQ/FR</w:t>
      </w:r>
      <w:r>
        <w:rPr>
          <w:szCs w:val="24"/>
          <w:lang w:eastAsia="en-AU"/>
        </w:rPr>
        <w:t>) in 18 healthy male volunteers</w:t>
      </w:r>
      <w:r w:rsidRPr="008A33C5">
        <w:rPr>
          <w:szCs w:val="24"/>
          <w:lang w:eastAsia="en-AU"/>
        </w:rPr>
        <w:t xml:space="preserve"> </w:t>
      </w:r>
      <w:r>
        <w:rPr>
          <w:szCs w:val="24"/>
          <w:lang w:eastAsia="en-AU"/>
        </w:rPr>
        <w:t xml:space="preserve">comparing </w:t>
      </w:r>
      <w:r w:rsidR="005B6E89">
        <w:rPr>
          <w:szCs w:val="24"/>
          <w:lang w:eastAsia="en-AU"/>
        </w:rPr>
        <w:t>Pedea</w:t>
      </w:r>
      <w:r>
        <w:rPr>
          <w:szCs w:val="24"/>
          <w:lang w:eastAsia="en-AU"/>
        </w:rPr>
        <w:t xml:space="preserve"> and an intramuscular ibuprofen lysine formulation (</w:t>
      </w:r>
      <w:r w:rsidRPr="000D7424">
        <w:rPr>
          <w:szCs w:val="24"/>
          <w:lang w:eastAsia="en-AU"/>
        </w:rPr>
        <w:t>IMBUN</w:t>
      </w:r>
      <w:r>
        <w:rPr>
          <w:szCs w:val="24"/>
          <w:lang w:eastAsia="en-AU"/>
        </w:rPr>
        <w:t>) which is not available in Australia. In this study</w:t>
      </w:r>
      <w:r w:rsidR="00ED38E0">
        <w:rPr>
          <w:szCs w:val="24"/>
          <w:lang w:eastAsia="en-AU"/>
        </w:rPr>
        <w:t>,</w:t>
      </w:r>
      <w:r>
        <w:rPr>
          <w:szCs w:val="24"/>
          <w:lang w:eastAsia="en-AU"/>
        </w:rPr>
        <w:t xml:space="preserve"> both treatments were given </w:t>
      </w:r>
      <w:r w:rsidR="0024731A">
        <w:rPr>
          <w:szCs w:val="24"/>
          <w:lang w:eastAsia="en-AU"/>
        </w:rPr>
        <w:t>IV</w:t>
      </w:r>
      <w:r>
        <w:rPr>
          <w:szCs w:val="24"/>
          <w:lang w:eastAsia="en-AU"/>
        </w:rPr>
        <w:t xml:space="preserve"> over </w:t>
      </w:r>
      <w:r w:rsidRPr="000D7424">
        <w:rPr>
          <w:szCs w:val="24"/>
          <w:lang w:eastAsia="en-AU"/>
        </w:rPr>
        <w:t>15 minutes</w:t>
      </w:r>
      <w:r>
        <w:rPr>
          <w:szCs w:val="24"/>
          <w:lang w:eastAsia="en-AU"/>
        </w:rPr>
        <w:t>. Bioequivalence is claimed with respect to both</w:t>
      </w:r>
      <w:r w:rsidRPr="000D7424">
        <w:rPr>
          <w:szCs w:val="24"/>
        </w:rPr>
        <w:t xml:space="preserve"> R- and S-ibuprofen</w:t>
      </w:r>
      <w:r>
        <w:rPr>
          <w:szCs w:val="24"/>
          <w:lang w:eastAsia="en-AU"/>
        </w:rPr>
        <w:t xml:space="preserve">. </w:t>
      </w:r>
    </w:p>
    <w:p w:rsidR="008E7846" w:rsidRPr="008751DC" w:rsidRDefault="008E7846" w:rsidP="008E7846">
      <w:pPr>
        <w:pStyle w:val="Heading3"/>
      </w:pPr>
      <w:bookmarkStart w:id="31" w:name="_Toc247691509"/>
      <w:bookmarkStart w:id="32" w:name="_Toc314842493"/>
      <w:bookmarkStart w:id="33" w:name="_Toc499196207"/>
      <w:r>
        <w:t>Quality s</w:t>
      </w:r>
      <w:r w:rsidRPr="008751DC">
        <w:t>ummary</w:t>
      </w:r>
      <w:r>
        <w:t xml:space="preserve"> and conclusions</w:t>
      </w:r>
      <w:bookmarkEnd w:id="31"/>
      <w:bookmarkEnd w:id="32"/>
      <w:bookmarkEnd w:id="33"/>
    </w:p>
    <w:p w:rsidR="00E4287A" w:rsidRDefault="000964C8" w:rsidP="00E4287A">
      <w:pPr>
        <w:rPr>
          <w:szCs w:val="24"/>
        </w:rPr>
      </w:pPr>
      <w:r>
        <w:rPr>
          <w:szCs w:val="24"/>
        </w:rPr>
        <w:t>At time of this report, d</w:t>
      </w:r>
      <w:r w:rsidR="00E4287A" w:rsidRPr="00FF7455">
        <w:rPr>
          <w:szCs w:val="24"/>
        </w:rPr>
        <w:t xml:space="preserve">etails of endotoxin removal from empty ampoules </w:t>
      </w:r>
      <w:r>
        <w:rPr>
          <w:szCs w:val="24"/>
        </w:rPr>
        <w:t>we</w:t>
      </w:r>
      <w:r w:rsidR="00E4287A" w:rsidRPr="00FF7455">
        <w:rPr>
          <w:szCs w:val="24"/>
        </w:rPr>
        <w:t>re being clarified.</w:t>
      </w:r>
    </w:p>
    <w:p w:rsidR="00E4287A" w:rsidRDefault="000964C8" w:rsidP="00E4287A">
      <w:pPr>
        <w:rPr>
          <w:szCs w:val="24"/>
        </w:rPr>
      </w:pPr>
      <w:r>
        <w:rPr>
          <w:szCs w:val="24"/>
        </w:rPr>
        <w:t>R</w:t>
      </w:r>
      <w:r w:rsidR="00E4287A">
        <w:rPr>
          <w:szCs w:val="24"/>
        </w:rPr>
        <w:t xml:space="preserve">evisions to the labelling and the quality aspects of the PI </w:t>
      </w:r>
      <w:r>
        <w:rPr>
          <w:szCs w:val="24"/>
        </w:rPr>
        <w:t>we</w:t>
      </w:r>
      <w:r w:rsidR="00E4287A">
        <w:rPr>
          <w:szCs w:val="24"/>
        </w:rPr>
        <w:t xml:space="preserve">re </w:t>
      </w:r>
      <w:r>
        <w:rPr>
          <w:szCs w:val="24"/>
        </w:rPr>
        <w:t xml:space="preserve">also </w:t>
      </w:r>
      <w:r w:rsidR="00E4287A">
        <w:rPr>
          <w:szCs w:val="24"/>
        </w:rPr>
        <w:t>being negotiated.</w:t>
      </w:r>
    </w:p>
    <w:p w:rsidR="00E4287A" w:rsidRDefault="00E4287A" w:rsidP="00E4287A">
      <w:r>
        <w:rPr>
          <w:szCs w:val="24"/>
        </w:rPr>
        <w:t xml:space="preserve">These aspects should be finalised prior to the ACM meeting. </w:t>
      </w:r>
      <w:r>
        <w:t xml:space="preserve">If resolved, registration would be recommended with respect to chemistry and quality control aspects. </w:t>
      </w:r>
    </w:p>
    <w:p w:rsidR="008E7846" w:rsidRDefault="008E7846" w:rsidP="008E7846">
      <w:pPr>
        <w:pStyle w:val="Heading2"/>
      </w:pPr>
      <w:bookmarkStart w:id="34" w:name="_Toc196046439"/>
      <w:bookmarkStart w:id="35" w:name="_Toc247691510"/>
      <w:bookmarkStart w:id="36" w:name="_Toc314842494"/>
      <w:bookmarkStart w:id="37" w:name="_Toc499196208"/>
      <w:r>
        <w:t>III. Nonclinical</w:t>
      </w:r>
      <w:bookmarkEnd w:id="34"/>
      <w:r>
        <w:t xml:space="preserve"> findings</w:t>
      </w:r>
      <w:bookmarkEnd w:id="35"/>
      <w:bookmarkEnd w:id="36"/>
      <w:bookmarkEnd w:id="37"/>
    </w:p>
    <w:p w:rsidR="008E7846" w:rsidRDefault="008E7846" w:rsidP="00940A89">
      <w:pPr>
        <w:pStyle w:val="Heading3"/>
      </w:pPr>
      <w:bookmarkStart w:id="38" w:name="_Toc247691511"/>
      <w:bookmarkStart w:id="39" w:name="_Toc314842495"/>
      <w:bookmarkStart w:id="40" w:name="_Toc499196209"/>
      <w:r>
        <w:t>Introduction</w:t>
      </w:r>
      <w:bookmarkEnd w:id="38"/>
      <w:bookmarkEnd w:id="39"/>
      <w:bookmarkEnd w:id="40"/>
      <w:r>
        <w:tab/>
      </w:r>
    </w:p>
    <w:p w:rsidR="00641B2B" w:rsidRPr="00641B2B" w:rsidRDefault="00641B2B" w:rsidP="00641B2B">
      <w:r w:rsidRPr="00641B2B">
        <w:t xml:space="preserve">Emerge Health has applied to extend the indications of ibuprofen and register </w:t>
      </w:r>
      <w:r w:rsidR="005B6E89">
        <w:t>Pedea</w:t>
      </w:r>
      <w:r w:rsidRPr="00641B2B">
        <w:t xml:space="preserve">, a 5 mg/mL solution of ibuprofen for injection for the treatment of </w:t>
      </w:r>
      <w:proofErr w:type="spellStart"/>
      <w:r w:rsidRPr="00641B2B">
        <w:t>haemodynamically</w:t>
      </w:r>
      <w:proofErr w:type="spellEnd"/>
      <w:r w:rsidRPr="00641B2B">
        <w:t xml:space="preserve"> significant </w:t>
      </w:r>
      <w:r w:rsidR="009D5461">
        <w:t>P</w:t>
      </w:r>
      <w:r w:rsidRPr="00641B2B">
        <w:t>DA in preterm newborn infants less tha</w:t>
      </w:r>
      <w:r w:rsidR="009D5461">
        <w:t xml:space="preserve">n 34 weeks of gestational age. </w:t>
      </w:r>
      <w:r w:rsidRPr="00641B2B">
        <w:t xml:space="preserve">The proposed dosing regimen involves </w:t>
      </w:r>
      <w:r w:rsidR="0024731A">
        <w:t>IV</w:t>
      </w:r>
      <w:r w:rsidRPr="00641B2B">
        <w:t xml:space="preserve"> injections given at 24</w:t>
      </w:r>
      <w:r w:rsidR="009D5461">
        <w:t xml:space="preserve"> </w:t>
      </w:r>
      <w:r w:rsidRPr="00641B2B">
        <w:t>hour intervals.</w:t>
      </w:r>
      <w:r w:rsidR="009D5461">
        <w:t xml:space="preserve"> </w:t>
      </w:r>
      <w:r w:rsidRPr="00641B2B">
        <w:t>The dose should be adjusted to the body weight as follows: 1st injection (after the first 6 hours of life) 10 mg/kg; 2</w:t>
      </w:r>
      <w:r w:rsidR="009D5461">
        <w:t xml:space="preserve">nd and 3rd injections 5 mg/kg. </w:t>
      </w:r>
      <w:r w:rsidRPr="00641B2B">
        <w:t xml:space="preserve">If the </w:t>
      </w:r>
      <w:r w:rsidR="009D5461">
        <w:t>DA</w:t>
      </w:r>
      <w:r w:rsidRPr="00641B2B">
        <w:t xml:space="preserve"> does not close 48 hours after the last injection or if it re-opens, a second course of 3 doses, as above, may also be given.</w:t>
      </w:r>
    </w:p>
    <w:p w:rsidR="00641B2B" w:rsidRPr="00641B2B" w:rsidRDefault="00641B2B" w:rsidP="00641B2B">
      <w:r w:rsidRPr="00641B2B">
        <w:t xml:space="preserve">The </w:t>
      </w:r>
      <w:proofErr w:type="spellStart"/>
      <w:r w:rsidRPr="00641B2B">
        <w:t>pharmaco</w:t>
      </w:r>
      <w:proofErr w:type="spellEnd"/>
      <w:r w:rsidRPr="00641B2B">
        <w:t>-toxicological profile of ibuprofen has been previously characteri</w:t>
      </w:r>
      <w:r w:rsidR="009D5461">
        <w:t>s</w:t>
      </w:r>
      <w:r w:rsidRPr="00641B2B">
        <w:t xml:space="preserve">ed and there is extensive clinical experience with its use. Therefore, a reduced animal testing program, as presented, is appropriate: nonclinical data submitted in support of this </w:t>
      </w:r>
      <w:r w:rsidRPr="00641B2B">
        <w:lastRenderedPageBreak/>
        <w:t xml:space="preserve">application included an acute </w:t>
      </w:r>
      <w:r w:rsidR="0024731A">
        <w:t>IV</w:t>
      </w:r>
      <w:r w:rsidRPr="00641B2B">
        <w:t xml:space="preserve"> study in adult and juvenile rats, a local tolerance study in rabbits and an in vitro study on the effects of ibuprofen and indomethacin on unconjugated bilirubin in</w:t>
      </w:r>
      <w:r w:rsidR="009D5461">
        <w:t xml:space="preserve"> rat astrocytes. </w:t>
      </w:r>
      <w:r w:rsidRPr="00641B2B">
        <w:t>All submitt</w:t>
      </w:r>
      <w:r w:rsidR="009D5461">
        <w:t xml:space="preserve">ed studies were GLP compliant. </w:t>
      </w:r>
      <w:r w:rsidRPr="00641B2B">
        <w:t>A range of pharmacology, pharmacokinetic and toxicology literature papers were also submitted to support the potential efficacy and safety of ibuprofen for this indication.</w:t>
      </w:r>
    </w:p>
    <w:p w:rsidR="00641B2B" w:rsidRPr="0000150C" w:rsidRDefault="00641B2B" w:rsidP="00641B2B">
      <w:pPr>
        <w:pStyle w:val="Heading3"/>
      </w:pPr>
      <w:bookmarkStart w:id="41" w:name="_Toc499196210"/>
      <w:r w:rsidRPr="0000150C">
        <w:t>Efficacy</w:t>
      </w:r>
      <w:bookmarkEnd w:id="41"/>
    </w:p>
    <w:p w:rsidR="00641B2B" w:rsidRPr="00641B2B" w:rsidRDefault="00641B2B" w:rsidP="00641B2B">
      <w:r w:rsidRPr="00641B2B">
        <w:t xml:space="preserve">The </w:t>
      </w:r>
      <w:r>
        <w:t>s</w:t>
      </w:r>
      <w:r w:rsidRPr="00641B2B">
        <w:t>ponsor submitted published literature that demonstrated that administration of ibuprofen can cause premature closure of the DA in many species. Ibuprofen causes a dose</w:t>
      </w:r>
      <w:r w:rsidR="009D5461">
        <w:t xml:space="preserve"> </w:t>
      </w:r>
      <w:r w:rsidRPr="00641B2B">
        <w:t>related constriction of the DA which elicits an ischaemic state which allows the appropriate anatomical remodelling to occur. While there is substantial clinical data to support the efficacy of ibuprofen to close the DA in pre-term neonates, this is also supported by the nonclinical literature.</w:t>
      </w:r>
    </w:p>
    <w:p w:rsidR="00641B2B" w:rsidRPr="0000150C" w:rsidRDefault="00641B2B" w:rsidP="00641B2B">
      <w:pPr>
        <w:pStyle w:val="Heading3"/>
      </w:pPr>
      <w:bookmarkStart w:id="42" w:name="_Toc499196211"/>
      <w:r w:rsidRPr="0000150C">
        <w:t>Safety</w:t>
      </w:r>
      <w:bookmarkEnd w:id="42"/>
    </w:p>
    <w:p w:rsidR="00641B2B" w:rsidRPr="00442487" w:rsidRDefault="00641B2B" w:rsidP="00641B2B">
      <w:pPr>
        <w:pStyle w:val="Heading4"/>
      </w:pPr>
      <w:r w:rsidRPr="00442487">
        <w:t>Bilirubin displacement</w:t>
      </w:r>
    </w:p>
    <w:p w:rsidR="00641B2B" w:rsidRPr="00641B2B" w:rsidRDefault="00641B2B" w:rsidP="00641B2B">
      <w:r w:rsidRPr="00641B2B">
        <w:t xml:space="preserve">Ibuprofen, like other NSAIDS, binds to serum albumin at the same site as bilirubin, and there is clinical concern that the displaced free bilirubin may cross the blood-brain barrier and cause bilirubin-induced neurotoxicity in neonates. </w:t>
      </w:r>
    </w:p>
    <w:p w:rsidR="00641B2B" w:rsidRPr="00641B2B" w:rsidRDefault="00ED38E0" w:rsidP="00641B2B">
      <w:r w:rsidRPr="00641B2B">
        <w:t xml:space="preserve">A newly submitted in vitro study in astrocytes isolated from </w:t>
      </w:r>
      <w:proofErr w:type="spellStart"/>
      <w:r w:rsidRPr="00641B2B">
        <w:t>Wistar</w:t>
      </w:r>
      <w:proofErr w:type="spellEnd"/>
      <w:r w:rsidRPr="00641B2B">
        <w:t xml:space="preserve"> rats confirmed displacement of bilirubin from human serum albumin (HSA) by various NSAIDS including ibuprofen, indomethacin and </w:t>
      </w:r>
      <w:proofErr w:type="spellStart"/>
      <w:r w:rsidRPr="00641B2B">
        <w:t>sulfisoxazol</w:t>
      </w:r>
      <w:proofErr w:type="spellEnd"/>
      <w:r w:rsidRPr="00641B2B">
        <w:t xml:space="preserve">. Various effects on astrocytes were observed across the experiments including an increase in cell death by necrosis, a moderate increases in apoptosis and stimulated production of TNF-alpha. </w:t>
      </w:r>
      <w:proofErr w:type="gramStart"/>
      <w:r>
        <w:t>of</w:t>
      </w:r>
      <w:proofErr w:type="gramEnd"/>
      <w:r>
        <w:t xml:space="preserve"> the occurrence of</w:t>
      </w:r>
      <w:r w:rsidRPr="00641B2B">
        <w:t xml:space="preserve"> these effects </w:t>
      </w:r>
      <w:r>
        <w:t xml:space="preserve">were not related to the presence of </w:t>
      </w:r>
      <w:r w:rsidRPr="00641B2B">
        <w:t>bilirubin</w:t>
      </w:r>
      <w:r>
        <w:t>.</w:t>
      </w:r>
      <w:r w:rsidRPr="00641B2B">
        <w:t xml:space="preserve">. </w:t>
      </w:r>
      <w:r>
        <w:t>T</w:t>
      </w:r>
      <w:r w:rsidRPr="00641B2B">
        <w:t xml:space="preserve">he presence of bilirubin at the molar ratio of 1, ibuprofen 200 mg/L, significantly enhanced the apoptosis at all incubation times. In contrast, indomethacin did not significantly enhance the apoptosis produced by bilirubin at either molar ratio. Neither ibuprofen nor indomethacin increased the release of glutamate, indicating that these drugs do not have any effect on the </w:t>
      </w:r>
      <w:proofErr w:type="spellStart"/>
      <w:r w:rsidRPr="00641B2B">
        <w:t>excitotoxicty</w:t>
      </w:r>
      <w:proofErr w:type="spellEnd"/>
      <w:r w:rsidRPr="00641B2B">
        <w:t xml:space="preserve"> induced by bilirubin. Cell death was enhanced in 5DIV as compared to 10DIV astrocytes, which the author suggested </w:t>
      </w:r>
      <w:r>
        <w:t xml:space="preserve">as </w:t>
      </w:r>
      <w:r w:rsidRPr="00641B2B">
        <w:t>indicat</w:t>
      </w:r>
      <w:r>
        <w:t>ive of</w:t>
      </w:r>
      <w:r w:rsidRPr="00641B2B">
        <w:t xml:space="preserve"> a higher vulnerability of immature cells</w:t>
      </w:r>
      <w:r w:rsidR="00641B2B" w:rsidRPr="00641B2B">
        <w:t xml:space="preserve">. </w:t>
      </w:r>
    </w:p>
    <w:p w:rsidR="00641B2B" w:rsidRPr="00641B2B" w:rsidRDefault="00641B2B" w:rsidP="00641B2B">
      <w:r w:rsidRPr="00641B2B">
        <w:t xml:space="preserve">This study is consistent with the finding of an in vitro study using infant blood </w:t>
      </w:r>
      <w:r w:rsidR="009113EF">
        <w:t>serum</w:t>
      </w:r>
      <w:r w:rsidRPr="00641B2B">
        <w:t>,</w:t>
      </w:r>
      <w:r w:rsidR="009113EF">
        <w:rPr>
          <w:rStyle w:val="FootnoteReference"/>
        </w:rPr>
        <w:footnoteReference w:id="1"/>
      </w:r>
      <w:r w:rsidRPr="00641B2B">
        <w:t xml:space="preserve"> which showed that ibuprofen at a concentration similar to that used clinically for treatment of </w:t>
      </w:r>
      <w:r w:rsidR="009D5461">
        <w:t xml:space="preserve">PDA (750 </w:t>
      </w:r>
      <w:proofErr w:type="spellStart"/>
      <w:r w:rsidR="009D5461">
        <w:t>μM</w:t>
      </w:r>
      <w:proofErr w:type="spellEnd"/>
      <w:r w:rsidR="009D5461">
        <w:t xml:space="preserve">/L, that is, </w:t>
      </w:r>
      <w:r w:rsidRPr="00641B2B">
        <w:t xml:space="preserve">154.7 </w:t>
      </w:r>
      <w:proofErr w:type="spellStart"/>
      <w:r w:rsidRPr="00641B2B">
        <w:t>μg</w:t>
      </w:r>
      <w:proofErr w:type="spellEnd"/>
      <w:r w:rsidRPr="00641B2B">
        <w:t>/mL) increased the amount of displaced bilirubin fourfold at a bilirubin to albumin molar ratio (B:A) of 1:2. However, it is noted that this study did not provide values for free bilirubin concentration and therefore it is unknown if bilirubin levels were high enough to risk encephalopathy in in</w:t>
      </w:r>
      <w:r w:rsidR="009113EF">
        <w:t>fants</w:t>
      </w:r>
      <w:r w:rsidRPr="00641B2B">
        <w:t>.</w:t>
      </w:r>
      <w:r w:rsidR="009113EF">
        <w:rPr>
          <w:rStyle w:val="FootnoteReference"/>
        </w:rPr>
        <w:footnoteReference w:id="2"/>
      </w:r>
    </w:p>
    <w:p w:rsidR="00641B2B" w:rsidRPr="00641B2B" w:rsidRDefault="009113EF" w:rsidP="00641B2B">
      <w:r>
        <w:t>There is clinical literature</w:t>
      </w:r>
      <w:r>
        <w:rPr>
          <w:rStyle w:val="FootnoteReference"/>
        </w:rPr>
        <w:footnoteReference w:id="3"/>
      </w:r>
      <w:r w:rsidR="00641B2B" w:rsidRPr="00641B2B">
        <w:t xml:space="preserve"> to suggest that ibuprofen for PDA management at the recommended initial dosage of 10 mg/kg administered </w:t>
      </w:r>
      <w:r w:rsidR="0024731A">
        <w:t xml:space="preserve">IV </w:t>
      </w:r>
      <w:r w:rsidR="00641B2B" w:rsidRPr="00641B2B">
        <w:t xml:space="preserve">may not be associated with a significant bilirubin displacing effect in the presence of existing mild to moderate unconjugated hyperbilirubinemia in very premature infants. Nevertheless, as a </w:t>
      </w:r>
      <w:r w:rsidR="00641B2B" w:rsidRPr="00641B2B">
        <w:lastRenderedPageBreak/>
        <w:t xml:space="preserve">precautionary measure it is appropriate that the draft </w:t>
      </w:r>
      <w:r w:rsidR="00B65F43">
        <w:t>PI</w:t>
      </w:r>
      <w:r w:rsidR="00641B2B" w:rsidRPr="00641B2B">
        <w:t xml:space="preserve"> advises against ibuprofen use for this indication in the presence of marked hyperbilirubinemia.</w:t>
      </w:r>
    </w:p>
    <w:p w:rsidR="00641B2B" w:rsidRPr="00CE1C81" w:rsidRDefault="00641B2B" w:rsidP="00641B2B">
      <w:pPr>
        <w:pStyle w:val="Heading4"/>
      </w:pPr>
      <w:r>
        <w:t>Acute t</w:t>
      </w:r>
      <w:r w:rsidRPr="00CE1C81">
        <w:t>oxicity</w:t>
      </w:r>
    </w:p>
    <w:p w:rsidR="00641B2B" w:rsidRPr="00641B2B" w:rsidRDefault="00641B2B" w:rsidP="00641B2B">
      <w:r w:rsidRPr="00641B2B">
        <w:t xml:space="preserve">No repeat dose toxicity studies were conducted, which is acceptable in light of the well-established </w:t>
      </w:r>
      <w:proofErr w:type="spellStart"/>
      <w:r w:rsidRPr="00641B2B">
        <w:t>pharmaco</w:t>
      </w:r>
      <w:proofErr w:type="spellEnd"/>
      <w:r w:rsidRPr="00641B2B">
        <w:t xml:space="preserve">-toxicological profile of ibuprofen, the current dosage regimen and the proposed indication. Acute IV administration of ibuprofen to weaned (3 weeks old) and adult (&gt;6 weeks old) rats, caused passivity, reduced spontaneous locomotor activity, absence of startle response and reactivity, abnormal gait, ptosis, piloerection, dyspnoea at 30 minutes, and bent back at 3 hours, at doses of 167 mg/kg and above. In weaned rats, death was observed in all animals at 420 mg/kg </w:t>
      </w:r>
      <w:r w:rsidR="00281AA1">
        <w:t>body weight (</w:t>
      </w:r>
      <w:r w:rsidR="00E73A9D">
        <w:t>BW</w:t>
      </w:r>
      <w:r w:rsidR="00281AA1">
        <w:t>)</w:t>
      </w:r>
      <w:r w:rsidRPr="00641B2B">
        <w:t xml:space="preserve"> due to central nervous system (CNS) depression. In adult rats, death due to CNS depression was observed in 1 animal at 167 mg/kg </w:t>
      </w:r>
      <w:r w:rsidR="00E73A9D">
        <w:t>BW</w:t>
      </w:r>
      <w:r w:rsidRPr="00641B2B">
        <w:t xml:space="preserve"> and in most animals at 420 mg/kg </w:t>
      </w:r>
      <w:r w:rsidR="00E73A9D">
        <w:t>BW</w:t>
      </w:r>
      <w:r w:rsidRPr="00641B2B">
        <w:t>. A slight reduction in bodyweight was als</w:t>
      </w:r>
      <w:r w:rsidR="00281AA1">
        <w:t xml:space="preserve">o observed in treated animals. </w:t>
      </w:r>
      <w:r w:rsidRPr="00641B2B">
        <w:t>The maximum non-lethal dose was 265 mg/kg in both weaned and adult rats. This corresponds to 12 times the total maximum recommended human dose on a mg/kg basis, 16 times the ‘instantaneous’ plasma concentration at which transient C</w:t>
      </w:r>
      <w:r w:rsidR="00831CE3">
        <w:t xml:space="preserve">NS depression was observed (approximately </w:t>
      </w:r>
      <w:r w:rsidRPr="00641B2B">
        <w:t>500 µg/mL), and approximately 45 times the ‘instantaneous’ plasma concentration (</w:t>
      </w:r>
      <w:r w:rsidR="00831CE3">
        <w:t xml:space="preserve">approximately </w:t>
      </w:r>
      <w:r w:rsidRPr="00641B2B">
        <w:t>180 µg/mL) reported to be effective in therapeutic use</w:t>
      </w:r>
      <w:r>
        <w:t>.</w:t>
      </w:r>
      <w:r>
        <w:rPr>
          <w:rStyle w:val="FootnoteReference"/>
        </w:rPr>
        <w:footnoteReference w:id="4"/>
      </w:r>
    </w:p>
    <w:p w:rsidR="00641B2B" w:rsidRPr="00641B2B" w:rsidRDefault="00641B2B" w:rsidP="00641B2B">
      <w:r w:rsidRPr="00641B2B">
        <w:t>The US FDA has suggested</w:t>
      </w:r>
      <w:r>
        <w:rPr>
          <w:rStyle w:val="FootnoteReference"/>
        </w:rPr>
        <w:footnoteReference w:id="5"/>
      </w:r>
      <w:r w:rsidRPr="00641B2B">
        <w:t xml:space="preserve"> that the appropriate rat age corresponding to pre-term humans is 0 to 4 days whereas 3 week old rats (as used in the current in the acute toxicity study) correspond to human infants (1-23 months). Despite such limitations, the submitted acute toxicity study has confirmed the acute CNS depression hazard of IV ibuprofen. Further repeated dose animal experiments would not add further value as any other potential chronic effects of ibuprofen on gastrointestinal, cardiovascular and renal systems are already well established from previous clinical and nonclinical data, and suitable precautions and monitoring are emphasised in both the </w:t>
      </w:r>
      <w:r w:rsidR="00B25841">
        <w:t>PI</w:t>
      </w:r>
      <w:r w:rsidRPr="00641B2B">
        <w:t xml:space="preserve"> and </w:t>
      </w:r>
      <w:r w:rsidR="00B25841">
        <w:t xml:space="preserve">RMP </w:t>
      </w:r>
      <w:r w:rsidRPr="00641B2B">
        <w:t>documents. Given the many issues facing a pre-term neonate there is already close monitoring of the function of all major organ systems in a hospital setting.</w:t>
      </w:r>
    </w:p>
    <w:p w:rsidR="00641B2B" w:rsidRDefault="00641B2B" w:rsidP="00641B2B">
      <w:pPr>
        <w:pStyle w:val="Heading4"/>
      </w:pPr>
      <w:r w:rsidRPr="00060B2A">
        <w:t>Local tolerance</w:t>
      </w:r>
    </w:p>
    <w:p w:rsidR="00641B2B" w:rsidRDefault="00641B2B" w:rsidP="00641B2B">
      <w:r w:rsidRPr="00641B2B">
        <w:t xml:space="preserve">In a local tolerance study in rabbits, haematoma and erythema were observed in the area surrounding the injection site following 5 daily injections by the intra-arterial (20 mg/kg), </w:t>
      </w:r>
      <w:r w:rsidR="00855934">
        <w:t xml:space="preserve">IV </w:t>
      </w:r>
      <w:r w:rsidRPr="00641B2B">
        <w:t xml:space="preserve">(20 mg/kg) or </w:t>
      </w:r>
      <w:proofErr w:type="spellStart"/>
      <w:r w:rsidRPr="00641B2B">
        <w:t>perivenous</w:t>
      </w:r>
      <w:proofErr w:type="spellEnd"/>
      <w:r w:rsidRPr="00641B2B">
        <w:t xml:space="preserve"> (0.5 mL) routes of administration. Local effects following </w:t>
      </w:r>
      <w:r w:rsidR="0024731A">
        <w:t>IV</w:t>
      </w:r>
      <w:r w:rsidRPr="00641B2B">
        <w:t>, intra-arterial and perivascular injection were similar in treated and control groups and are therefore related to the injection rather than the solutions administered (c</w:t>
      </w:r>
      <w:r>
        <w:t xml:space="preserve">ontrol, vehicle or ibuprofen). </w:t>
      </w:r>
      <w:r w:rsidRPr="00641B2B">
        <w:t>Haematoma and erythema were observed in animals of the control and vehicle groups on days 1-5, and in the ibuprofen group on days 4 and 5 of treatment  These results suggest that ibuprofen has an initial beneficial effect due to its anti</w:t>
      </w:r>
      <w:r>
        <w:t>-inflammatory properties.</w:t>
      </w:r>
      <w:r w:rsidRPr="00641B2B">
        <w:t xml:space="preserve"> Furthermore, there was no evidence of organ related toxicity at necropsy after 5 daily injections. Therefore, there is low concern for adverse local reactions following IV bolus injection of </w:t>
      </w:r>
      <w:r w:rsidR="005B6E89">
        <w:t>Pedea</w:t>
      </w:r>
      <w:r w:rsidRPr="00641B2B">
        <w:t>.</w:t>
      </w:r>
    </w:p>
    <w:p w:rsidR="00641B2B" w:rsidRDefault="00641B2B" w:rsidP="00641B2B">
      <w:pPr>
        <w:pStyle w:val="Heading4"/>
      </w:pPr>
      <w:r>
        <w:lastRenderedPageBreak/>
        <w:t>Excipients</w:t>
      </w:r>
    </w:p>
    <w:p w:rsidR="00641B2B" w:rsidRPr="00641B2B" w:rsidRDefault="005B6E89" w:rsidP="00641B2B">
      <w:r>
        <w:t>Pedea</w:t>
      </w:r>
      <w:r w:rsidR="00641B2B" w:rsidRPr="00641B2B">
        <w:t xml:space="preserve"> contains trometamol (2-amino-2-hydroxymethyl-1</w:t>
      </w:r>
      <w:proofErr w:type="gramStart"/>
      <w:r w:rsidR="00641B2B" w:rsidRPr="00641B2B">
        <w:t>,3</w:t>
      </w:r>
      <w:proofErr w:type="gramEnd"/>
      <w:r w:rsidR="00641B2B" w:rsidRPr="00641B2B">
        <w:t xml:space="preserve">-propanediol, also known as TRIS or THAM) at a concentration of 7.56 mg/2 </w:t>
      </w:r>
      <w:proofErr w:type="spellStart"/>
      <w:r w:rsidR="00641B2B" w:rsidRPr="00641B2B">
        <w:t>mL.</w:t>
      </w:r>
      <w:proofErr w:type="spellEnd"/>
      <w:r w:rsidR="00641B2B" w:rsidRPr="00641B2B">
        <w:t xml:space="preserve"> The maximum single dose IV dose will be 7.56 mg/kg and the maximum total dose of trometamol will be 15.12 mg/kg. There are no toxicological concerns for this excipient as results from the trometamol vehicle were no different from the saline control in the acute toxicity study at five times the therapeutic dose. Furthermore, IV trometamol has been used clinically for the treatment of metabolic acidosis for many years at concentrations ten times more than the </w:t>
      </w:r>
      <w:r>
        <w:t>Pedea</w:t>
      </w:r>
      <w:r w:rsidR="00641B2B" w:rsidRPr="00641B2B">
        <w:t xml:space="preserve"> formulation. </w:t>
      </w:r>
    </w:p>
    <w:p w:rsidR="008E7846" w:rsidRDefault="008E7846" w:rsidP="008E7846">
      <w:pPr>
        <w:pStyle w:val="Heading3"/>
      </w:pPr>
      <w:bookmarkStart w:id="43" w:name="_Toc247691515"/>
      <w:bookmarkStart w:id="44" w:name="_Toc314842499"/>
      <w:bookmarkStart w:id="45" w:name="_Toc499196212"/>
      <w:r>
        <w:t>Nonclinical summary and conclusions</w:t>
      </w:r>
      <w:bookmarkEnd w:id="43"/>
      <w:bookmarkEnd w:id="44"/>
      <w:bookmarkEnd w:id="45"/>
    </w:p>
    <w:p w:rsidR="00641B2B" w:rsidRPr="00641B2B" w:rsidRDefault="00641B2B" w:rsidP="00641B2B">
      <w:pPr>
        <w:pStyle w:val="ListBullet"/>
      </w:pPr>
      <w:r>
        <w:t>Given the well-</w:t>
      </w:r>
      <w:r w:rsidRPr="00641B2B">
        <w:t xml:space="preserve">established nonclinical and clinical data with ibuprofen an abridged nonclinical data package was consisting of an acute </w:t>
      </w:r>
      <w:r w:rsidR="00D41147">
        <w:t>IV</w:t>
      </w:r>
      <w:r w:rsidRPr="00641B2B">
        <w:t xml:space="preserve"> study in adult and juvenile rats, a local tolerance study in rabbits and an in vitro study on the effects of ibuprofen and indomethacin on unconjugated bilirubin in rat astrocytes. All submitt</w:t>
      </w:r>
      <w:r w:rsidR="00175282">
        <w:t xml:space="preserve">ed studies were GLP compliant. </w:t>
      </w:r>
      <w:r w:rsidRPr="00641B2B">
        <w:t>Published literature was provided as supportive material.</w:t>
      </w:r>
    </w:p>
    <w:p w:rsidR="00641B2B" w:rsidRPr="00641B2B" w:rsidRDefault="00641B2B" w:rsidP="00641B2B">
      <w:pPr>
        <w:pStyle w:val="ListBullet"/>
      </w:pPr>
      <w:r w:rsidRPr="00641B2B">
        <w:t xml:space="preserve">In the acute </w:t>
      </w:r>
      <w:r w:rsidR="0024731A">
        <w:t>IV</w:t>
      </w:r>
      <w:r w:rsidRPr="00641B2B">
        <w:t xml:space="preserve"> toxicity study in adult and weaned rats, central nervous system depression was observed, which resulted in death at high</w:t>
      </w:r>
      <w:r w:rsidR="007D3837">
        <w:t>er</w:t>
      </w:r>
      <w:r w:rsidRPr="00641B2B">
        <w:t xml:space="preserve"> doses (420 mg/kg </w:t>
      </w:r>
      <w:r w:rsidR="00E73A9D">
        <w:t>BW</w:t>
      </w:r>
      <w:r w:rsidRPr="00641B2B">
        <w:t xml:space="preserve">) in both age groups. Clinical signs of toxicity were similar in rats of </w:t>
      </w:r>
      <w:proofErr w:type="gramStart"/>
      <w:r w:rsidRPr="00641B2B">
        <w:t>both age</w:t>
      </w:r>
      <w:proofErr w:type="gramEnd"/>
      <w:r w:rsidRPr="00641B2B">
        <w:t xml:space="preserve"> groups and included passivity, reduced spontaneous locomotor activity, absence of startle response and reactivity, abnormal gait, ptosis, piloerection, dyspnoea. The maximum non-lethal dose was 265 mg/kg in both weaned and adult rats (12 times the maximum recommended human dose on </w:t>
      </w:r>
      <w:proofErr w:type="gramStart"/>
      <w:r w:rsidRPr="00641B2B">
        <w:t>a</w:t>
      </w:r>
      <w:proofErr w:type="gramEnd"/>
      <w:r w:rsidRPr="00641B2B">
        <w:t xml:space="preserve"> mg/kg basis).</w:t>
      </w:r>
    </w:p>
    <w:p w:rsidR="00641B2B" w:rsidRPr="00641B2B" w:rsidRDefault="00641B2B" w:rsidP="00641B2B">
      <w:pPr>
        <w:pStyle w:val="ListBullet"/>
      </w:pPr>
      <w:r w:rsidRPr="00641B2B">
        <w:t xml:space="preserve">In a local tolerance study, ibuprofen was well tolerated following </w:t>
      </w:r>
      <w:r w:rsidR="0024731A">
        <w:t>IV</w:t>
      </w:r>
      <w:r w:rsidRPr="00641B2B">
        <w:t xml:space="preserve">, intra-arterial or </w:t>
      </w:r>
      <w:proofErr w:type="spellStart"/>
      <w:r w:rsidRPr="00641B2B">
        <w:t>perivenous</w:t>
      </w:r>
      <w:proofErr w:type="spellEnd"/>
      <w:r w:rsidRPr="00641B2B">
        <w:t xml:space="preserve"> injection for 5 days in rabbits using the proposed commercial formulation. Local effects were related to the injection rather than the solution administered and therefore there is low concern for adverse local reactions following injection of </w:t>
      </w:r>
      <w:r w:rsidR="005B6E89">
        <w:t>Pedea</w:t>
      </w:r>
      <w:r w:rsidRPr="00641B2B">
        <w:t>. Moreover, there was no evidence of organ related toxicity at necropsy after 5 daily injections.</w:t>
      </w:r>
    </w:p>
    <w:p w:rsidR="00641B2B" w:rsidRPr="00641B2B" w:rsidRDefault="00641B2B" w:rsidP="00641B2B">
      <w:pPr>
        <w:pStyle w:val="ListBullet"/>
      </w:pPr>
      <w:r w:rsidRPr="00641B2B">
        <w:t>An in vitro study further investigated the known bilirubin displacement effects of ibuprofen in cultured rat astrocytes. Ibuprofen potentiated the effects of bilirubin induced necrosis and apoptosis of astrocytes and variably increased the release of TNFα at high bilirubin to albumin ratios but had no effect on the excitotoxicity induced by bilirubin. While the direct clinical relevance of these results is unclear the draft Product Information appropriately advises against ibuprofen use for this indication in the presence of marked hyperbilirubinemia.</w:t>
      </w:r>
    </w:p>
    <w:p w:rsidR="00641B2B" w:rsidRPr="00641B2B" w:rsidRDefault="00641B2B" w:rsidP="00641B2B">
      <w:pPr>
        <w:pStyle w:val="ListBullet"/>
      </w:pPr>
      <w:r w:rsidRPr="00641B2B">
        <w:t xml:space="preserve">There are no toxicological concerns for the presence of the trometamol (TRIS, THAM) excipient in the </w:t>
      </w:r>
      <w:r w:rsidR="005B6E89">
        <w:t>Pedea</w:t>
      </w:r>
      <w:r w:rsidRPr="00641B2B">
        <w:t xml:space="preserve"> formulation as results from the trometamol vehicle were no different from the saline control in the acute toxicity study at five times the therapeutic dose. Furthermore, IV trometamol has been used clinically for the treatment of metabolic acidosis for many years at concentrations ten times more than the </w:t>
      </w:r>
      <w:r w:rsidR="005B6E89">
        <w:t>Pedea</w:t>
      </w:r>
      <w:r w:rsidRPr="00641B2B">
        <w:t xml:space="preserve"> formulation.</w:t>
      </w:r>
    </w:p>
    <w:p w:rsidR="00641B2B" w:rsidRPr="00641B2B" w:rsidRDefault="00641B2B" w:rsidP="00641B2B">
      <w:pPr>
        <w:pStyle w:val="ListBullet"/>
      </w:pPr>
      <w:r w:rsidRPr="00641B2B">
        <w:t>There are no nonclinical objections to the registration of ibuprofen (</w:t>
      </w:r>
      <w:r w:rsidR="005B6E89">
        <w:t>Pedea</w:t>
      </w:r>
      <w:r w:rsidRPr="00641B2B">
        <w:t xml:space="preserve">) for the treatment of </w:t>
      </w:r>
      <w:proofErr w:type="spellStart"/>
      <w:r w:rsidRPr="00641B2B">
        <w:t>haemodynamically</w:t>
      </w:r>
      <w:proofErr w:type="spellEnd"/>
      <w:r w:rsidRPr="00641B2B">
        <w:t xml:space="preserve"> significant </w:t>
      </w:r>
      <w:r w:rsidR="009D5461">
        <w:t>PDA</w:t>
      </w:r>
      <w:r w:rsidRPr="00641B2B">
        <w:t xml:space="preserve"> in preterm newborn infants less than 34 weeks of gestational age. </w:t>
      </w:r>
    </w:p>
    <w:p w:rsidR="008E7846" w:rsidRPr="00254787" w:rsidRDefault="008E7846" w:rsidP="008E7846">
      <w:pPr>
        <w:pStyle w:val="Heading2"/>
      </w:pPr>
      <w:bookmarkStart w:id="46" w:name="_Toc196046462"/>
      <w:bookmarkStart w:id="47" w:name="_Toc247691516"/>
      <w:bookmarkStart w:id="48" w:name="_Toc314842500"/>
      <w:bookmarkStart w:id="49" w:name="_Toc163441353"/>
      <w:bookmarkStart w:id="50" w:name="_Toc163441348"/>
      <w:bookmarkStart w:id="51" w:name="_Toc499196213"/>
      <w:r>
        <w:t xml:space="preserve">IV. </w:t>
      </w:r>
      <w:r w:rsidRPr="00254787">
        <w:t>Clinical</w:t>
      </w:r>
      <w:bookmarkEnd w:id="46"/>
      <w:r>
        <w:t xml:space="preserve"> </w:t>
      </w:r>
      <w:r w:rsidR="003A7F6C">
        <w:t>f</w:t>
      </w:r>
      <w:r>
        <w:t>indings</w:t>
      </w:r>
      <w:bookmarkEnd w:id="47"/>
      <w:bookmarkEnd w:id="48"/>
      <w:bookmarkEnd w:id="51"/>
    </w:p>
    <w:p w:rsidR="00C80137" w:rsidRDefault="00C80137" w:rsidP="00D425BB">
      <w:bookmarkStart w:id="52"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53" w:name="_Toc247691517"/>
      <w:bookmarkStart w:id="54" w:name="_Toc314842501"/>
      <w:bookmarkStart w:id="55" w:name="_Toc499196214"/>
      <w:r w:rsidRPr="00254787">
        <w:lastRenderedPageBreak/>
        <w:t>Introduction</w:t>
      </w:r>
      <w:bookmarkEnd w:id="52"/>
      <w:bookmarkEnd w:id="53"/>
      <w:bookmarkEnd w:id="54"/>
      <w:bookmarkEnd w:id="55"/>
    </w:p>
    <w:p w:rsidR="00C04FC6" w:rsidRDefault="00C04FC6" w:rsidP="00C04FC6">
      <w:pPr>
        <w:pStyle w:val="Heading4"/>
      </w:pPr>
      <w:bookmarkStart w:id="56" w:name="_Toc454980603"/>
      <w:r w:rsidRPr="00E709B3">
        <w:t>Information on the condition being treated</w:t>
      </w:r>
      <w:bookmarkEnd w:id="56"/>
    </w:p>
    <w:p w:rsidR="00C04FC6" w:rsidRPr="00C04FC6" w:rsidRDefault="00C04FC6" w:rsidP="00C04FC6">
      <w:r w:rsidRPr="00C04FC6">
        <w:t>Although major advances in the care of preterm infants have been made, preterm birth remains the leading cause of perinatal and infant morbidity and mortality in modern countries. Eight to nine percent of births still occur before 37 weeks gestation and among them (1-2%) those occurring before 32 weeks account for half of perinatal deaths. The immaturity of several organs (lungs, digestive tract, kidneys and brain) cause life-threatening complications in the preterm infant. The duration of hospitalisation for a child born before 32 weeks gestation varies widely, but is rarely less than 10 weeks. With the current techniques of management of the preterm, survival has dramatically improved (approximately 80% born at 26-27 weeks). Neurodevelopmental prognosis in survivors depends on gestational age (GA) at birth. The prognosis is favourable in 70% of infants born at 26 weeks.</w:t>
      </w:r>
    </w:p>
    <w:p w:rsidR="00C04FC6" w:rsidRPr="00C04FC6" w:rsidRDefault="00C04FC6" w:rsidP="00C04FC6">
      <w:r w:rsidRPr="00C04FC6">
        <w:t xml:space="preserve">The </w:t>
      </w:r>
      <w:r>
        <w:t xml:space="preserve">DA </w:t>
      </w:r>
      <w:r w:rsidRPr="00C04FC6">
        <w:t>is a blood vessel that connects the pulmonary artery with</w:t>
      </w:r>
      <w:r w:rsidR="007A22DC">
        <w:t xml:space="preserve"> the aorta during foetal life. Since </w:t>
      </w:r>
      <w:r w:rsidRPr="00C04FC6">
        <w:t>the lungs are unexpanded before birth, only a small part of the blood leaving the right ventricle flows through the pulmonary vascular bed, the most important part is ejected directly into the descending aorta through the DA. By 6 weeks of gestation, the DA shunts most of the right ventricle output from high resistance pulmonary circulation to descending aorta and low resistance placental circulation, where gas exchange occurs.</w:t>
      </w:r>
    </w:p>
    <w:p w:rsidR="00C04FC6" w:rsidRPr="00C04FC6" w:rsidRDefault="00C04FC6" w:rsidP="00C04FC6">
      <w:r w:rsidRPr="00C04FC6">
        <w:t xml:space="preserve">Patency of the DA during gestation is an active process involving local and circulating prostaglandins (PG). PGE1 and PGE2 stimulate </w:t>
      </w:r>
      <w:proofErr w:type="spellStart"/>
      <w:r w:rsidRPr="00C04FC6">
        <w:t>prostanoid</w:t>
      </w:r>
      <w:proofErr w:type="spellEnd"/>
      <w:r w:rsidRPr="00C04FC6">
        <w:t xml:space="preserve"> receptors mediating smooth muscle cells relaxation. The ductus is exposed to locally released PG (mainly PG12) and circulating PG (mainly PGE2) with concentrations increasing toward term. The placenta is the main source of production and the lungs the main sites of PG catabolism.</w:t>
      </w:r>
    </w:p>
    <w:p w:rsidR="00C04FC6" w:rsidRPr="00C04FC6" w:rsidRDefault="00C04FC6" w:rsidP="00C04FC6">
      <w:r w:rsidRPr="00C04FC6">
        <w:t xml:space="preserve">Prostaglandin </w:t>
      </w:r>
      <w:proofErr w:type="spellStart"/>
      <w:r w:rsidRPr="00C04FC6">
        <w:t>synthease</w:t>
      </w:r>
      <w:proofErr w:type="spellEnd"/>
      <w:r w:rsidRPr="00C04FC6">
        <w:t xml:space="preserve"> or “cyclooxygenase (COX)” converts arachidonic acid to PG. Two main isoforms are recognised: a constitutive isoform (COX 1) and an inducible isoform (COX 2). The foetal DA primarily expresses COX 1. As gestation proceeds the ductus matures, becomes less sensitive to the dilatory effects of PG and more sensitive to constricting factors such as arterial oxygen tension (PaO2). During the transition from intra to extra uterine life, the ductus constricts, thereby redirecting blood flow from pulmonary artery towards the lungs. In the full</w:t>
      </w:r>
      <w:r w:rsidR="00C1566F">
        <w:t xml:space="preserve"> </w:t>
      </w:r>
      <w:r w:rsidRPr="00C04FC6">
        <w:t xml:space="preserve">term neonate, the physiological closure of the ductus is achieved within 24 </w:t>
      </w:r>
      <w:r w:rsidR="00C1566F">
        <w:t>h</w:t>
      </w:r>
      <w:r w:rsidRPr="00C04FC6">
        <w:t xml:space="preserve"> after birth in 20% of cases. This rate reaches 80% and 100% respectively 48 and 96 h after birth.</w:t>
      </w:r>
    </w:p>
    <w:p w:rsidR="00C04FC6" w:rsidRPr="00C04FC6" w:rsidRDefault="00C04FC6" w:rsidP="00C04FC6">
      <w:r w:rsidRPr="00C04FC6">
        <w:t>In premature infants, spontaneous closure is delayed, resulting in persistent patency of the DA. This leads to increased morbidity in the neonate through exacerbation of co-existent respiratory distress syndrome (RDS) and impairment of perfusion of various organs (brain, kidney, digestive tract). The ductus frequently remains open for many days. After birth, pulmonary vascular resistance falls when ventilation starts, and systemic vascular resistance is high and results in systemic arterial blood pressure becoming higher than that in the pulmonary artery. When the DA persists, an open connection between the 2 circulations enables a left to right shunt.</w:t>
      </w:r>
    </w:p>
    <w:p w:rsidR="00C04FC6" w:rsidRPr="00C04FC6" w:rsidRDefault="00C04FC6" w:rsidP="00C04FC6">
      <w:r w:rsidRPr="00C04FC6">
        <w:t xml:space="preserve">About 70-80% of infants under 1,250 g birthweight have a </w:t>
      </w:r>
      <w:r w:rsidR="009D5461">
        <w:t>PDA</w:t>
      </w:r>
      <w:r w:rsidRPr="00C04FC6">
        <w:t xml:space="preserve">. The risk of PDA is increased in the presence of RDS and in addition the effect of exogenous surfactant on pulmonary vascular resistance leads to an earlier clinical presentation of the left to right shunt in preterm infants. The consequences of a PDA are: </w:t>
      </w:r>
      <w:r w:rsidR="00C1566F">
        <w:t>(</w:t>
      </w:r>
      <w:r w:rsidRPr="00C04FC6">
        <w:t>1) left to right shunt to the pulmonary circulation</w:t>
      </w:r>
      <w:r w:rsidR="00C1566F">
        <w:t>;</w:t>
      </w:r>
      <w:r w:rsidRPr="00C04FC6">
        <w:t xml:space="preserve"> </w:t>
      </w:r>
      <w:r w:rsidR="00C1566F">
        <w:t>(</w:t>
      </w:r>
      <w:r w:rsidRPr="00C04FC6">
        <w:t>2) increased flow through the lungs with diastolic volume overload</w:t>
      </w:r>
      <w:r w:rsidR="00C1566F">
        <w:t>;</w:t>
      </w:r>
      <w:r w:rsidRPr="00C04FC6">
        <w:t xml:space="preserve"> </w:t>
      </w:r>
      <w:r w:rsidR="00C1566F">
        <w:t>(</w:t>
      </w:r>
      <w:r w:rsidRPr="00C04FC6">
        <w:t>3) increased flow through the left atrium, left ventricle, and ascending aorta</w:t>
      </w:r>
      <w:r w:rsidR="00C1566F">
        <w:t>;</w:t>
      </w:r>
      <w:r w:rsidRPr="00C04FC6">
        <w:t xml:space="preserve"> and </w:t>
      </w:r>
      <w:r w:rsidR="00C1566F">
        <w:t>(</w:t>
      </w:r>
      <w:r w:rsidRPr="00C04FC6">
        <w:t>4) aortic backflow with a diastolic steal of blood from the descending aorta and abdominal organs to the pulmonary artery.</w:t>
      </w:r>
    </w:p>
    <w:p w:rsidR="00C04FC6" w:rsidRPr="00C04FC6" w:rsidRDefault="00C04FC6" w:rsidP="00C04FC6">
      <w:r w:rsidRPr="00C04FC6">
        <w:lastRenderedPageBreak/>
        <w:t>The incidence of PDA in preterm newborns generally shows that PDA is inversely correlated to GA and birth weight varying from ~40% for &lt;1000 g to 7% for &gt;1500 to &lt;1750 g (studies from the 1980s). More recent surveys performed in the 1990s suggest similar figures of about 30% in preterm infants weighing &lt;1500 g. In Europe the orphan application estimated the prevalence as 2.13 per 10,000 persons.</w:t>
      </w:r>
    </w:p>
    <w:p w:rsidR="00C04FC6" w:rsidRPr="00C04FC6" w:rsidRDefault="00C04FC6" w:rsidP="00C04FC6">
      <w:r w:rsidRPr="00C04FC6">
        <w:t xml:space="preserve">In the orphan application an Australian prevalence was estimated at up to </w:t>
      </w:r>
      <w:r>
        <w:t>560 infants.</w:t>
      </w:r>
    </w:p>
    <w:p w:rsidR="00C04FC6" w:rsidRDefault="00C04FC6" w:rsidP="00C04FC6">
      <w:pPr>
        <w:pStyle w:val="Heading4"/>
      </w:pPr>
      <w:bookmarkStart w:id="57" w:name="_Toc454980604"/>
      <w:r>
        <w:t>Current treatment options</w:t>
      </w:r>
      <w:bookmarkEnd w:id="57"/>
    </w:p>
    <w:p w:rsidR="00C04FC6" w:rsidRPr="00C04FC6" w:rsidRDefault="00C04FC6" w:rsidP="00C04FC6">
      <w:r w:rsidRPr="00C04FC6">
        <w:t>The current treatment options include supportive therapy, medical treatment and surgery.</w:t>
      </w:r>
    </w:p>
    <w:p w:rsidR="00C04FC6" w:rsidRPr="00C04FC6" w:rsidRDefault="00C04FC6" w:rsidP="00C04FC6">
      <w:r w:rsidRPr="00C04FC6">
        <w:t>Supportive treatment is the first step of treatment and includes: maintaining haematocrit above 40% because lowered oxygen transport capacity and delivery may compromise myocardial oxygenation; provision of electrolytes, glucose and nutritional requirements using parenteral alimentation; and fluid restriction to avoid volume overload and left ventricular failure.</w:t>
      </w:r>
    </w:p>
    <w:p w:rsidR="00C04FC6" w:rsidRPr="00C04FC6" w:rsidRDefault="00C04FC6" w:rsidP="00C04FC6">
      <w:r w:rsidRPr="00C04FC6">
        <w:t xml:space="preserve">The principle of medical therapy is administration of </w:t>
      </w:r>
      <w:proofErr w:type="spellStart"/>
      <w:r w:rsidRPr="00C04FC6">
        <w:t>vasoconstricting</w:t>
      </w:r>
      <w:proofErr w:type="spellEnd"/>
      <w:r w:rsidRPr="00C04FC6">
        <w:t xml:space="preserve"> agents. NSAIDs interact with vasodilator PG activity at the site of the PDA. Several COX inhibitors have been tried but indomethacin is the one most studied.</w:t>
      </w:r>
    </w:p>
    <w:p w:rsidR="00C04FC6" w:rsidRPr="00C04FC6" w:rsidRDefault="00C04FC6" w:rsidP="00C04FC6">
      <w:r w:rsidRPr="00C04FC6">
        <w:t xml:space="preserve">Indomethacin is frequently associated with complications such as decreased cerebral, renal and mesenteric blood flow, altered renal function and altered platelet function. In the kidney, indomethacin causes a transient decrease in both glomerular filtration rate and urine output, and is therefore contraindicated in cases of poor renal function. In the gastrointestinal tract, the reduction in mesenteric blood flow induced by indomethacin may aggravate bowel </w:t>
      </w:r>
      <w:proofErr w:type="spellStart"/>
      <w:r w:rsidRPr="00C04FC6">
        <w:t>ischaemia</w:t>
      </w:r>
      <w:proofErr w:type="spellEnd"/>
      <w:r w:rsidRPr="00C04FC6">
        <w:t xml:space="preserve"> secondary to the ductus. In addition, indomethacin in adequate doses inhibits platelets from producing COX products and may prolong the bleeding time. Indomethacin may also reduce cerebral oxygenation and blood flow by 25-60%, which could lead to cerebral </w:t>
      </w:r>
      <w:proofErr w:type="spellStart"/>
      <w:r w:rsidRPr="00C04FC6">
        <w:t>ischaemia</w:t>
      </w:r>
      <w:proofErr w:type="spellEnd"/>
      <w:r w:rsidRPr="00C04FC6">
        <w:t>, although it does not have a negative effect on neurodevelopmental outcome.</w:t>
      </w:r>
    </w:p>
    <w:p w:rsidR="00C04FC6" w:rsidRPr="00C04FC6" w:rsidRDefault="00C04FC6" w:rsidP="00C04FC6">
      <w:r w:rsidRPr="00C04FC6">
        <w:t xml:space="preserve">Indomethacin is contraindicated in patients with significant renal dysfunction, overt bleeding, shock, </w:t>
      </w:r>
      <w:proofErr w:type="gramStart"/>
      <w:r w:rsidRPr="00C04FC6">
        <w:t>proven</w:t>
      </w:r>
      <w:proofErr w:type="gramEnd"/>
      <w:r w:rsidRPr="00C04FC6">
        <w:t xml:space="preserve"> or suspected necrotising enterocolitis, thrombocytopenia or coagulation defects.</w:t>
      </w:r>
    </w:p>
    <w:p w:rsidR="00C04FC6" w:rsidRPr="00C04FC6" w:rsidRDefault="00C04FC6" w:rsidP="00C04FC6">
      <w:r w:rsidRPr="00C04FC6">
        <w:t xml:space="preserve">In cases of medical treatment failure or contra-indication, surgical closure of the ductus is performed. Ligation can be done with low morbidity/mortality event in very low birth weight (VLBW) infants. However, respiratory compromise, blood pressure fluctuations, intracranial haemorrhage, infection, </w:t>
      </w:r>
      <w:proofErr w:type="spellStart"/>
      <w:r w:rsidRPr="00C04FC6">
        <w:t>chylothorax</w:t>
      </w:r>
      <w:proofErr w:type="spellEnd"/>
      <w:r w:rsidRPr="00C04FC6">
        <w:t xml:space="preserve">, and death are still risks associated with surgical closure. Surgery implies a thoracotomy and therefore in many neonatal units, it is restricted to persistent </w:t>
      </w:r>
      <w:proofErr w:type="spellStart"/>
      <w:r w:rsidRPr="00C04FC6">
        <w:t>haemodynamically</w:t>
      </w:r>
      <w:proofErr w:type="spellEnd"/>
      <w:r w:rsidRPr="00C04FC6">
        <w:t xml:space="preserve"> significant PDA (</w:t>
      </w:r>
      <w:proofErr w:type="spellStart"/>
      <w:r w:rsidRPr="00C04FC6">
        <w:t>HsPDA</w:t>
      </w:r>
      <w:proofErr w:type="spellEnd"/>
      <w:r w:rsidRPr="00C04FC6">
        <w:t>) that have resisted one or several medical treatment courses and have not closed spontaneously.</w:t>
      </w:r>
    </w:p>
    <w:p w:rsidR="00605AD4" w:rsidRDefault="00605AD4" w:rsidP="00605AD4">
      <w:pPr>
        <w:pStyle w:val="Heading4"/>
      </w:pPr>
      <w:bookmarkStart w:id="58" w:name="_Toc196046464"/>
      <w:bookmarkStart w:id="59" w:name="_Toc247691518"/>
      <w:bookmarkStart w:id="60" w:name="_Toc314842502"/>
      <w:r w:rsidRPr="00605AD4">
        <w:t xml:space="preserve">Clinical </w:t>
      </w:r>
      <w:r w:rsidR="00F45446">
        <w:t>r</w:t>
      </w:r>
      <w:r w:rsidRPr="00605AD4">
        <w:t>ationale</w:t>
      </w:r>
    </w:p>
    <w:p w:rsidR="00C04FC6" w:rsidRPr="007B6290" w:rsidRDefault="00C04FC6" w:rsidP="007B6290">
      <w:r w:rsidRPr="007B6290">
        <w:t>Ibuprofen is an original molecule that was developed as a result of the safety problems associated with the use of other NSAIDs, initially in the treatment of rheumatoid arthritis. Products currently available on the market include oral, rectal, topical and intramuscular presentations. Ibuprofen as a free acid is poorly soluble at low pH and salts and derivatives, such as ibuprofen lysine, have been developed to increase its solubility and consequently, its speed of absorption.</w:t>
      </w:r>
    </w:p>
    <w:p w:rsidR="00C04FC6" w:rsidRPr="007B6290" w:rsidRDefault="00C04FC6" w:rsidP="007B6290">
      <w:r w:rsidRPr="007B6290">
        <w:t>The EU sponsor Orphan Europe has developed Pedea as an ibuprofen lysine formulation to provide a formulation of ibuprofen lysine as a safer alternative to indomethacin.</w:t>
      </w:r>
    </w:p>
    <w:p w:rsidR="00605AD4" w:rsidRDefault="00605AD4" w:rsidP="00605AD4">
      <w:pPr>
        <w:pStyle w:val="Heading4"/>
      </w:pPr>
      <w:r w:rsidRPr="00605AD4">
        <w:lastRenderedPageBreak/>
        <w:t>Guidance</w:t>
      </w:r>
    </w:p>
    <w:p w:rsidR="007B6290" w:rsidRPr="007B6290" w:rsidRDefault="007B6290" w:rsidP="007B6290">
      <w:r w:rsidRPr="007B6290">
        <w:t>The TGA has adopted the following EU Guidelines relevant to this submission:</w:t>
      </w:r>
    </w:p>
    <w:p w:rsidR="007B6290" w:rsidRPr="007B6290" w:rsidRDefault="007B6290" w:rsidP="007B6290">
      <w:pPr>
        <w:pStyle w:val="ListBullet"/>
      </w:pPr>
      <w:r w:rsidRPr="007B6290">
        <w:t>Guideline on the Investigation of Medicinal Products in the Term and Preterm Neonate. EMEA/536810/2008, effective from January 2010, adopted by TGA May 2010</w:t>
      </w:r>
    </w:p>
    <w:p w:rsidR="007B6290" w:rsidRPr="007B6290" w:rsidRDefault="007B6290" w:rsidP="007B6290">
      <w:pPr>
        <w:pStyle w:val="ListBullet"/>
      </w:pPr>
      <w:r w:rsidRPr="007B6290">
        <w:t>Guideline on Clinical Trials in Small Populations. CHMP/EWP/83561/2005, effective from February 2007, adopted by TGA December 2006</w:t>
      </w:r>
    </w:p>
    <w:p w:rsidR="007B6290" w:rsidRPr="007B6290" w:rsidRDefault="007B6290" w:rsidP="007B6290">
      <w:pPr>
        <w:pStyle w:val="ListBullet"/>
      </w:pPr>
      <w:r w:rsidRPr="007B6290">
        <w:t>Guideline on Reporting the Results of Population Pharmacokinetic Analyses CHMP/EWP/185990/06, effective from January 2008, adopted by TGA June 2009</w:t>
      </w:r>
    </w:p>
    <w:p w:rsidR="007B6290" w:rsidRPr="007B6290" w:rsidRDefault="007B6290" w:rsidP="007B6290">
      <w:pPr>
        <w:pStyle w:val="ListBullet"/>
      </w:pPr>
      <w:r w:rsidRPr="007B6290">
        <w:t>Guideline on the Role of Pharmacokinetics in the Development of Medicinal Products in the Paediatric Population EMEA/CHMP/EWP/147013/2004 effective from January 2007, adopted by TGA August 2009</w:t>
      </w:r>
    </w:p>
    <w:p w:rsidR="007B6290" w:rsidRPr="007B6290" w:rsidRDefault="007B6290" w:rsidP="007B6290">
      <w:r w:rsidRPr="007B6290">
        <w:t>It is noted that all these guidelines became effective and adopted in Australia after the studies submitted in the dossier were planned and completed.</w:t>
      </w:r>
    </w:p>
    <w:p w:rsidR="00605AD4" w:rsidRDefault="00605AD4" w:rsidP="00605AD4">
      <w:pPr>
        <w:pStyle w:val="Heading4"/>
      </w:pPr>
      <w:r w:rsidRPr="00605AD4">
        <w:t>Contents of the clinical dossier</w:t>
      </w:r>
    </w:p>
    <w:p w:rsidR="007B6290" w:rsidRPr="007B6290" w:rsidRDefault="007B6290" w:rsidP="007B6290">
      <w:r w:rsidRPr="007B6290">
        <w:t>The dossier documented a development program of pharmacology, dose finding, efficacy and safety clinical trials relating to the new indication, new formulation and new patient population for ibuprofen.</w:t>
      </w:r>
    </w:p>
    <w:p w:rsidR="007B6290" w:rsidRPr="007B6290" w:rsidRDefault="007B6290" w:rsidP="007B6290">
      <w:r w:rsidRPr="007B6290">
        <w:t>The submission contained the following clinical information</w:t>
      </w:r>
    </w:p>
    <w:p w:rsidR="007B6290" w:rsidRPr="007B6290" w:rsidRDefault="007B6290" w:rsidP="007B6290">
      <w:pPr>
        <w:pStyle w:val="ListBullet"/>
      </w:pPr>
      <w:r w:rsidRPr="007B6290">
        <w:t>1 x bioequivalence study (IBU/00/BIOEQ/FR)</w:t>
      </w:r>
    </w:p>
    <w:p w:rsidR="007B6290" w:rsidRPr="007B6290" w:rsidRDefault="007B6290" w:rsidP="007B6290">
      <w:pPr>
        <w:pStyle w:val="ListBullet"/>
      </w:pPr>
      <w:r w:rsidRPr="007B6290">
        <w:t>1 x pharmacokinetic study (9-33/93)</w:t>
      </w:r>
    </w:p>
    <w:p w:rsidR="007B6290" w:rsidRPr="007B6290" w:rsidRDefault="007B6290" w:rsidP="007B6290">
      <w:pPr>
        <w:pStyle w:val="ListBullet"/>
      </w:pPr>
      <w:r w:rsidRPr="007B6290">
        <w:t>2 x pharmacodynamic studies (IBU/BILICLIN and IBU/GER/2003)</w:t>
      </w:r>
    </w:p>
    <w:p w:rsidR="007B6290" w:rsidRPr="007B6290" w:rsidRDefault="007B6290" w:rsidP="007B6290">
      <w:pPr>
        <w:pStyle w:val="ListBullet"/>
      </w:pPr>
      <w:r w:rsidRPr="007B6290">
        <w:t>2 x population pharmacokinetic studies (CP025329 and P60243)</w:t>
      </w:r>
    </w:p>
    <w:p w:rsidR="007B6290" w:rsidRPr="007B6290" w:rsidRDefault="007B6290" w:rsidP="007B6290">
      <w:pPr>
        <w:pStyle w:val="ListBullet"/>
      </w:pPr>
      <w:r w:rsidRPr="007B6290">
        <w:t>1 x dose ranging study (IBU/99/</w:t>
      </w:r>
      <w:proofErr w:type="spellStart"/>
      <w:r w:rsidRPr="007B6290">
        <w:t>DoseRange</w:t>
      </w:r>
      <w:proofErr w:type="spellEnd"/>
      <w:r w:rsidRPr="007B6290">
        <w:t>)</w:t>
      </w:r>
    </w:p>
    <w:p w:rsidR="007B6290" w:rsidRPr="007B6290" w:rsidRDefault="007B6290" w:rsidP="007B6290">
      <w:pPr>
        <w:pStyle w:val="ListBullet"/>
      </w:pPr>
      <w:r w:rsidRPr="007B6290">
        <w:t>1 x pivotal efficacy study (IBU/PROPHYL/2000 curative group)</w:t>
      </w:r>
    </w:p>
    <w:p w:rsidR="007B6290" w:rsidRPr="007B6290" w:rsidRDefault="007B6290" w:rsidP="007B6290">
      <w:pPr>
        <w:pStyle w:val="ListBullet"/>
      </w:pPr>
      <w:r w:rsidRPr="007B6290">
        <w:t>3 x other studies (IBU/PROPHYL/2000 – total group, LONG TERM FU/2004 and IBU/20mg/2009)</w:t>
      </w:r>
    </w:p>
    <w:p w:rsidR="007B6290" w:rsidRPr="007B6290" w:rsidRDefault="007B6290" w:rsidP="007B6290">
      <w:pPr>
        <w:pStyle w:val="ListBullet"/>
      </w:pPr>
      <w:r w:rsidRPr="007B6290">
        <w:t>1 x safety study (IBU/Survey)</w:t>
      </w:r>
    </w:p>
    <w:p w:rsidR="00605AD4" w:rsidRDefault="00605AD4" w:rsidP="00605AD4">
      <w:pPr>
        <w:pStyle w:val="Heading4"/>
      </w:pPr>
      <w:r w:rsidRPr="00605AD4">
        <w:t>Paediatric data</w:t>
      </w:r>
    </w:p>
    <w:p w:rsidR="002A5CB5" w:rsidRPr="002A5CB5" w:rsidRDefault="002A5CB5" w:rsidP="002A5CB5">
      <w:r w:rsidRPr="002A5CB5">
        <w:t>The dossier only contains paediatric data as the indication is only relevant to neonates.</w:t>
      </w:r>
    </w:p>
    <w:p w:rsidR="00605AD4" w:rsidRDefault="00605AD4" w:rsidP="00605AD4">
      <w:pPr>
        <w:pStyle w:val="Heading4"/>
      </w:pPr>
      <w:r w:rsidRPr="00605AD4">
        <w:t>Good clinical practice</w:t>
      </w:r>
    </w:p>
    <w:p w:rsidR="002A5CB5" w:rsidRPr="002A5CB5" w:rsidRDefault="002A5CB5" w:rsidP="002A5CB5">
      <w:r w:rsidRPr="002A5CB5">
        <w:t>Study 9-33/93 was conducted before the introduction of ICH-GCP. The CSR states that the protocol was approved by an independent ethics committee before the beginning of the study and the study conducted according to European GCP guidelines.</w:t>
      </w:r>
    </w:p>
    <w:p w:rsidR="002A5CB5" w:rsidRPr="002A5CB5" w:rsidRDefault="002A5CB5" w:rsidP="002A5CB5">
      <w:r w:rsidRPr="002A5CB5">
        <w:t>Later studies are stated to comply with GCP, the Helsinki principles and applicable local requirements and that parents/guardians of all infants had given their written informed consent at screening.</w:t>
      </w:r>
    </w:p>
    <w:p w:rsidR="002A5CB5" w:rsidRPr="002A5CB5" w:rsidRDefault="002A5CB5" w:rsidP="002A5CB5">
      <w:r w:rsidRPr="002A5CB5">
        <w:t xml:space="preserve">It is noted that in almost all of the study documents, including CSRs, tables and/or patient screening log forms are included that identify the patients included in the studies (includes patient initials, age, maternal initials and other demographic data). This is a </w:t>
      </w:r>
      <w:r w:rsidRPr="002A5CB5">
        <w:lastRenderedPageBreak/>
        <w:t>breach of GCP (item 4.8.10(o)) and unless prior permission has been granted (not stated in CSRs) it may be in breach of privacy laws. These tables should have been removed or the initials redacted when included in the CSR and associated tables.</w:t>
      </w:r>
    </w:p>
    <w:p w:rsidR="008E7846" w:rsidRDefault="008E7846" w:rsidP="00605AD4">
      <w:pPr>
        <w:pStyle w:val="Heading3"/>
      </w:pPr>
      <w:bookmarkStart w:id="61" w:name="_Toc499196215"/>
      <w:r w:rsidRPr="00254787">
        <w:t>Pharmacokinetics</w:t>
      </w:r>
      <w:bookmarkEnd w:id="49"/>
      <w:bookmarkEnd w:id="58"/>
      <w:bookmarkEnd w:id="59"/>
      <w:bookmarkEnd w:id="60"/>
      <w:bookmarkEnd w:id="61"/>
    </w:p>
    <w:p w:rsidR="00232A97" w:rsidRDefault="00232A97" w:rsidP="00232A97">
      <w:pPr>
        <w:pStyle w:val="Heading4"/>
      </w:pPr>
      <w:r>
        <w:t>Studies providing pharmacokinetic data</w:t>
      </w:r>
    </w:p>
    <w:p w:rsidR="00232A97" w:rsidRDefault="00816C67" w:rsidP="00232A97">
      <w:r>
        <w:t>Submitted pharmacokinetic studies are shown in Table 2.</w:t>
      </w:r>
    </w:p>
    <w:p w:rsidR="002A5CB5" w:rsidRDefault="002A5CB5" w:rsidP="00DD5F12">
      <w:pPr>
        <w:pStyle w:val="TableTitle"/>
      </w:pPr>
      <w:bookmarkStart w:id="62" w:name="_Toc454981300"/>
      <w:proofErr w:type="gramStart"/>
      <w:r>
        <w:t>Table 2: Submitted pharmacokinetic studies</w:t>
      </w:r>
      <w:bookmarkEnd w:id="62"/>
      <w:r w:rsidR="00816C67">
        <w:t>.</w:t>
      </w:r>
      <w:proofErr w:type="gramEnd"/>
    </w:p>
    <w:tbl>
      <w:tblPr>
        <w:tblStyle w:val="TableTGAblue"/>
        <w:tblW w:w="8613" w:type="dxa"/>
        <w:tblLayout w:type="fixed"/>
        <w:tblLook w:val="04A0" w:firstRow="1" w:lastRow="0" w:firstColumn="1" w:lastColumn="0" w:noHBand="0" w:noVBand="1"/>
        <w:tblDescription w:val="Table 2: Submitted pharmacokinetic studies."/>
      </w:tblPr>
      <w:tblGrid>
        <w:gridCol w:w="1951"/>
        <w:gridCol w:w="3431"/>
        <w:gridCol w:w="1814"/>
        <w:gridCol w:w="1417"/>
      </w:tblGrid>
      <w:tr w:rsidR="00DD5F12" w:rsidRPr="00DD5F12" w:rsidTr="005219D0">
        <w:trPr>
          <w:cnfStyle w:val="100000000000" w:firstRow="1" w:lastRow="0" w:firstColumn="0" w:lastColumn="0" w:oddVBand="0" w:evenVBand="0" w:oddHBand="0" w:evenHBand="0" w:firstRowFirstColumn="0" w:firstRowLastColumn="0" w:lastRowFirstColumn="0" w:lastRowLastColumn="0"/>
          <w:trHeight w:val="510"/>
        </w:trPr>
        <w:tc>
          <w:tcPr>
            <w:tcW w:w="1951" w:type="dxa"/>
            <w:vAlign w:val="center"/>
          </w:tcPr>
          <w:p w:rsidR="00DD5F12" w:rsidRPr="00DD5F12" w:rsidRDefault="00DD5F12" w:rsidP="005219D0">
            <w:pPr>
              <w:pStyle w:val="TableHeading"/>
            </w:pPr>
            <w:r w:rsidRPr="00DD5F12">
              <w:t>PK topic</w:t>
            </w:r>
          </w:p>
        </w:tc>
        <w:tc>
          <w:tcPr>
            <w:tcW w:w="3431" w:type="dxa"/>
            <w:vAlign w:val="center"/>
          </w:tcPr>
          <w:p w:rsidR="00DD5F12" w:rsidRPr="00DD5F12" w:rsidRDefault="00DD5F12" w:rsidP="005219D0">
            <w:pPr>
              <w:pStyle w:val="TableHeading"/>
            </w:pPr>
            <w:r w:rsidRPr="00DD5F12">
              <w:t>Subtopic</w:t>
            </w:r>
          </w:p>
        </w:tc>
        <w:tc>
          <w:tcPr>
            <w:tcW w:w="1814" w:type="dxa"/>
            <w:vAlign w:val="center"/>
          </w:tcPr>
          <w:p w:rsidR="00DD5F12" w:rsidRPr="00DD5F12" w:rsidRDefault="00DD5F12" w:rsidP="005219D0">
            <w:pPr>
              <w:pStyle w:val="TableHeading"/>
            </w:pPr>
            <w:r w:rsidRPr="00DD5F12">
              <w:t>Study ID</w:t>
            </w:r>
          </w:p>
        </w:tc>
        <w:tc>
          <w:tcPr>
            <w:tcW w:w="1417" w:type="dxa"/>
            <w:vAlign w:val="center"/>
          </w:tcPr>
          <w:p w:rsidR="00DD5F12" w:rsidRPr="00DD5F12" w:rsidRDefault="00DD5F12" w:rsidP="005219D0">
            <w:pPr>
              <w:pStyle w:val="TableHeading"/>
            </w:pPr>
            <w:r w:rsidRPr="00DD5F12">
              <w:t>Primary aim</w:t>
            </w:r>
          </w:p>
        </w:tc>
      </w:tr>
      <w:tr w:rsidR="00DD5F12" w:rsidRPr="00DD5F12" w:rsidTr="005219D0">
        <w:trPr>
          <w:trHeight w:val="340"/>
        </w:trPr>
        <w:tc>
          <w:tcPr>
            <w:tcW w:w="1951" w:type="dxa"/>
            <w:vMerge w:val="restart"/>
          </w:tcPr>
          <w:p w:rsidR="00DD5F12" w:rsidRPr="005D7BEE" w:rsidRDefault="00DD5F12" w:rsidP="005D7BEE">
            <w:pPr>
              <w:pStyle w:val="Tabletext"/>
              <w:rPr>
                <w:b/>
              </w:rPr>
            </w:pPr>
            <w:r w:rsidRPr="005D7BEE">
              <w:rPr>
                <w:b/>
              </w:rPr>
              <w:t>PK in healthy adults</w:t>
            </w:r>
          </w:p>
        </w:tc>
        <w:tc>
          <w:tcPr>
            <w:tcW w:w="3431" w:type="dxa"/>
          </w:tcPr>
          <w:p w:rsidR="00DD5F12" w:rsidRPr="005D7BEE" w:rsidRDefault="00DD5F12" w:rsidP="005D7BEE">
            <w:pPr>
              <w:pStyle w:val="Tabletext"/>
            </w:pPr>
            <w:r w:rsidRPr="005D7BEE">
              <w:t>General PK</w:t>
            </w:r>
            <w:r w:rsidRPr="005D7BEE">
              <w:tab/>
              <w:t>- Single dose</w:t>
            </w:r>
          </w:p>
        </w:tc>
        <w:tc>
          <w:tcPr>
            <w:tcW w:w="1814" w:type="dxa"/>
          </w:tcPr>
          <w:p w:rsidR="00DD5F12" w:rsidRPr="005D7BEE" w:rsidRDefault="00DD5F12" w:rsidP="005D7BEE">
            <w:pPr>
              <w:pStyle w:val="Tabletext"/>
            </w:pPr>
            <w:r w:rsidRPr="005D7BEE">
              <w:t>9-33/93</w:t>
            </w:r>
          </w:p>
        </w:tc>
        <w:tc>
          <w:tcPr>
            <w:tcW w:w="1417" w:type="dxa"/>
          </w:tcPr>
          <w:p w:rsidR="00DD5F12" w:rsidRPr="005D7BEE" w:rsidRDefault="00DD5F12" w:rsidP="005D7BEE">
            <w:pPr>
              <w:pStyle w:val="Tabletext"/>
            </w:pPr>
            <w:r w:rsidRPr="005D7BEE">
              <w:t>PK</w:t>
            </w:r>
          </w:p>
        </w:tc>
      </w:tr>
      <w:tr w:rsidR="00DD5F12" w:rsidRPr="00DD5F12" w:rsidTr="005219D0">
        <w:trPr>
          <w:trHeight w:val="340"/>
        </w:trPr>
        <w:tc>
          <w:tcPr>
            <w:tcW w:w="1951" w:type="dxa"/>
            <w:vMerge/>
          </w:tcPr>
          <w:p w:rsidR="00DD5F12" w:rsidRPr="005D7BEE" w:rsidRDefault="00DD5F12" w:rsidP="005D7BEE">
            <w:pPr>
              <w:pStyle w:val="Tabletext"/>
              <w:rPr>
                <w:b/>
              </w:rPr>
            </w:pPr>
          </w:p>
        </w:tc>
        <w:tc>
          <w:tcPr>
            <w:tcW w:w="3431" w:type="dxa"/>
          </w:tcPr>
          <w:p w:rsidR="00DD5F12" w:rsidRPr="005D7BEE" w:rsidRDefault="00DD5F12" w:rsidP="005D7BEE">
            <w:pPr>
              <w:pStyle w:val="Tabletext"/>
            </w:pPr>
            <w:r w:rsidRPr="005D7BEE">
              <w:tab/>
              <w:t>- Multi-dose</w:t>
            </w:r>
          </w:p>
        </w:tc>
        <w:tc>
          <w:tcPr>
            <w:tcW w:w="1814" w:type="dxa"/>
          </w:tcPr>
          <w:p w:rsidR="00DD5F12" w:rsidRPr="005D7BEE" w:rsidRDefault="00DD5F12" w:rsidP="005D7BEE">
            <w:pPr>
              <w:pStyle w:val="Tabletext"/>
            </w:pPr>
          </w:p>
        </w:tc>
        <w:tc>
          <w:tcPr>
            <w:tcW w:w="1417" w:type="dxa"/>
          </w:tcPr>
          <w:p w:rsidR="00DD5F12" w:rsidRPr="005D7BEE" w:rsidRDefault="00DD5F12" w:rsidP="005D7BEE">
            <w:pPr>
              <w:pStyle w:val="Tabletext"/>
            </w:pPr>
          </w:p>
        </w:tc>
      </w:tr>
      <w:tr w:rsidR="00DD5F12" w:rsidRPr="00DD5F12" w:rsidTr="005219D0">
        <w:trPr>
          <w:trHeight w:val="340"/>
        </w:trPr>
        <w:tc>
          <w:tcPr>
            <w:tcW w:w="1951" w:type="dxa"/>
            <w:vMerge/>
          </w:tcPr>
          <w:p w:rsidR="00DD5F12" w:rsidRPr="005D7BEE" w:rsidRDefault="00DD5F12" w:rsidP="005D7BEE">
            <w:pPr>
              <w:pStyle w:val="Tabletext"/>
              <w:rPr>
                <w:b/>
              </w:rPr>
            </w:pPr>
          </w:p>
        </w:tc>
        <w:tc>
          <w:tcPr>
            <w:tcW w:w="3431" w:type="dxa"/>
          </w:tcPr>
          <w:p w:rsidR="00DD5F12" w:rsidRPr="005D7BEE" w:rsidRDefault="00DD5F12" w:rsidP="005D7BEE">
            <w:pPr>
              <w:pStyle w:val="Tabletext"/>
            </w:pPr>
            <w:r w:rsidRPr="005D7BEE">
              <w:t>Bioequivalence †</w:t>
            </w:r>
            <w:r w:rsidRPr="005D7BEE">
              <w:tab/>
              <w:t>- Single dose</w:t>
            </w:r>
          </w:p>
        </w:tc>
        <w:tc>
          <w:tcPr>
            <w:tcW w:w="1814" w:type="dxa"/>
          </w:tcPr>
          <w:p w:rsidR="00DD5F12" w:rsidRPr="005D7BEE" w:rsidRDefault="00DD5F12" w:rsidP="005D7BEE">
            <w:pPr>
              <w:pStyle w:val="Tabletext"/>
            </w:pPr>
            <w:r w:rsidRPr="005D7BEE">
              <w:t>IBU/00/BIOEQ/FR</w:t>
            </w:r>
          </w:p>
        </w:tc>
        <w:tc>
          <w:tcPr>
            <w:tcW w:w="1417" w:type="dxa"/>
          </w:tcPr>
          <w:p w:rsidR="00DD5F12" w:rsidRPr="005D7BEE" w:rsidRDefault="00DD5F12" w:rsidP="005D7BEE">
            <w:pPr>
              <w:pStyle w:val="Tabletext"/>
            </w:pPr>
            <w:r w:rsidRPr="005D7BEE">
              <w:t>BE</w:t>
            </w:r>
          </w:p>
        </w:tc>
      </w:tr>
      <w:tr w:rsidR="00DD5F12" w:rsidRPr="00DD5F12" w:rsidTr="005219D0">
        <w:trPr>
          <w:trHeight w:val="340"/>
        </w:trPr>
        <w:tc>
          <w:tcPr>
            <w:tcW w:w="1951" w:type="dxa"/>
            <w:vMerge/>
          </w:tcPr>
          <w:p w:rsidR="00DD5F12" w:rsidRPr="005D7BEE" w:rsidRDefault="00DD5F12" w:rsidP="005D7BEE">
            <w:pPr>
              <w:pStyle w:val="Tabletext"/>
              <w:rPr>
                <w:b/>
              </w:rPr>
            </w:pPr>
          </w:p>
        </w:tc>
        <w:tc>
          <w:tcPr>
            <w:tcW w:w="3431" w:type="dxa"/>
          </w:tcPr>
          <w:p w:rsidR="00DD5F12" w:rsidRPr="005D7BEE" w:rsidRDefault="00DD5F12" w:rsidP="005D7BEE">
            <w:pPr>
              <w:pStyle w:val="Tabletext"/>
            </w:pPr>
            <w:r w:rsidRPr="005D7BEE">
              <w:tab/>
              <w:t>- Multi-dose</w:t>
            </w:r>
          </w:p>
        </w:tc>
        <w:tc>
          <w:tcPr>
            <w:tcW w:w="1814" w:type="dxa"/>
          </w:tcPr>
          <w:p w:rsidR="00DD5F12" w:rsidRPr="005D7BEE" w:rsidRDefault="00DD5F12" w:rsidP="005D7BEE">
            <w:pPr>
              <w:pStyle w:val="Tabletext"/>
            </w:pPr>
          </w:p>
        </w:tc>
        <w:tc>
          <w:tcPr>
            <w:tcW w:w="1417" w:type="dxa"/>
          </w:tcPr>
          <w:p w:rsidR="00DD5F12" w:rsidRPr="005D7BEE" w:rsidRDefault="00DD5F12" w:rsidP="005D7BEE">
            <w:pPr>
              <w:pStyle w:val="Tabletext"/>
            </w:pPr>
          </w:p>
        </w:tc>
      </w:tr>
      <w:tr w:rsidR="00DD5F12" w:rsidRPr="00DD5F12" w:rsidTr="005219D0">
        <w:trPr>
          <w:trHeight w:val="340"/>
        </w:trPr>
        <w:tc>
          <w:tcPr>
            <w:tcW w:w="1951" w:type="dxa"/>
            <w:vMerge w:val="restart"/>
          </w:tcPr>
          <w:p w:rsidR="00DD5F12" w:rsidRPr="005D7BEE" w:rsidRDefault="00DD5F12" w:rsidP="005D7BEE">
            <w:pPr>
              <w:pStyle w:val="Tabletext"/>
              <w:rPr>
                <w:b/>
              </w:rPr>
            </w:pPr>
            <w:r w:rsidRPr="005D7BEE">
              <w:rPr>
                <w:b/>
              </w:rPr>
              <w:t>PK in special populations</w:t>
            </w:r>
          </w:p>
        </w:tc>
        <w:tc>
          <w:tcPr>
            <w:tcW w:w="3431" w:type="dxa"/>
          </w:tcPr>
          <w:p w:rsidR="00DD5F12" w:rsidRPr="005D7BEE" w:rsidRDefault="00DD5F12" w:rsidP="005D7BEE">
            <w:pPr>
              <w:pStyle w:val="Tabletext"/>
            </w:pPr>
            <w:r w:rsidRPr="005D7BEE">
              <w:t>Target population § - Single dose</w:t>
            </w:r>
          </w:p>
        </w:tc>
        <w:tc>
          <w:tcPr>
            <w:tcW w:w="1814" w:type="dxa"/>
          </w:tcPr>
          <w:p w:rsidR="00DD5F12" w:rsidRPr="005D7BEE" w:rsidRDefault="00DD5F12" w:rsidP="005D7BEE">
            <w:pPr>
              <w:pStyle w:val="Tabletext"/>
            </w:pPr>
            <w:r w:rsidRPr="005D7BEE">
              <w:t>IBU/BILICLIN 04</w:t>
            </w:r>
          </w:p>
        </w:tc>
        <w:tc>
          <w:tcPr>
            <w:tcW w:w="1417" w:type="dxa"/>
          </w:tcPr>
          <w:p w:rsidR="00DD5F12" w:rsidRPr="005D7BEE" w:rsidRDefault="00DD5F12" w:rsidP="005D7BEE">
            <w:pPr>
              <w:pStyle w:val="Tabletext"/>
            </w:pPr>
            <w:r w:rsidRPr="005D7BEE">
              <w:t>PD</w:t>
            </w:r>
          </w:p>
        </w:tc>
      </w:tr>
      <w:tr w:rsidR="00DD5F12" w:rsidRPr="00DD5F12" w:rsidTr="005219D0">
        <w:trPr>
          <w:trHeight w:val="340"/>
        </w:trPr>
        <w:tc>
          <w:tcPr>
            <w:tcW w:w="1951" w:type="dxa"/>
            <w:vMerge/>
          </w:tcPr>
          <w:p w:rsidR="00DD5F12" w:rsidRPr="005D7BEE" w:rsidRDefault="00DD5F12" w:rsidP="005D7BEE">
            <w:pPr>
              <w:pStyle w:val="Tabletext"/>
              <w:rPr>
                <w:b/>
              </w:rPr>
            </w:pPr>
          </w:p>
        </w:tc>
        <w:tc>
          <w:tcPr>
            <w:tcW w:w="3431" w:type="dxa"/>
          </w:tcPr>
          <w:p w:rsidR="00DD5F12" w:rsidRPr="005D7BEE" w:rsidRDefault="00DD5F12" w:rsidP="005D7BEE">
            <w:pPr>
              <w:pStyle w:val="Tabletext"/>
            </w:pPr>
          </w:p>
        </w:tc>
        <w:tc>
          <w:tcPr>
            <w:tcW w:w="1814" w:type="dxa"/>
          </w:tcPr>
          <w:p w:rsidR="00DD5F12" w:rsidRPr="005D7BEE" w:rsidRDefault="00DD5F12" w:rsidP="005D7BEE">
            <w:pPr>
              <w:pStyle w:val="Tabletext"/>
            </w:pPr>
            <w:r w:rsidRPr="005D7BEE">
              <w:t>IBU/GER/2003</w:t>
            </w:r>
          </w:p>
        </w:tc>
        <w:tc>
          <w:tcPr>
            <w:tcW w:w="1417" w:type="dxa"/>
          </w:tcPr>
          <w:p w:rsidR="00DD5F12" w:rsidRPr="005D7BEE" w:rsidRDefault="00DD5F12" w:rsidP="005D7BEE">
            <w:pPr>
              <w:pStyle w:val="Tabletext"/>
            </w:pPr>
            <w:r w:rsidRPr="005D7BEE">
              <w:t>PD</w:t>
            </w:r>
          </w:p>
        </w:tc>
      </w:tr>
      <w:tr w:rsidR="00DD5F12" w:rsidRPr="00DD5F12" w:rsidTr="005219D0">
        <w:trPr>
          <w:trHeight w:val="340"/>
        </w:trPr>
        <w:tc>
          <w:tcPr>
            <w:tcW w:w="1951" w:type="dxa"/>
            <w:vMerge w:val="restart"/>
          </w:tcPr>
          <w:p w:rsidR="00DD5F12" w:rsidRPr="005D7BEE" w:rsidRDefault="00DD5F12" w:rsidP="005D7BEE">
            <w:pPr>
              <w:pStyle w:val="Tabletext"/>
              <w:rPr>
                <w:b/>
              </w:rPr>
            </w:pPr>
            <w:r w:rsidRPr="005D7BEE">
              <w:rPr>
                <w:b/>
              </w:rPr>
              <w:t>Population PK analyses</w:t>
            </w:r>
          </w:p>
        </w:tc>
        <w:tc>
          <w:tcPr>
            <w:tcW w:w="3431" w:type="dxa"/>
          </w:tcPr>
          <w:p w:rsidR="00DD5F12" w:rsidRPr="005D7BEE" w:rsidRDefault="00DD5F12" w:rsidP="005D7BEE">
            <w:pPr>
              <w:pStyle w:val="Tabletext"/>
            </w:pPr>
            <w:r w:rsidRPr="005D7BEE">
              <w:t>Healthy subjects</w:t>
            </w:r>
          </w:p>
        </w:tc>
        <w:tc>
          <w:tcPr>
            <w:tcW w:w="1814" w:type="dxa"/>
          </w:tcPr>
          <w:p w:rsidR="00DD5F12" w:rsidRPr="005D7BEE" w:rsidRDefault="00DD5F12" w:rsidP="005D7BEE">
            <w:pPr>
              <w:pStyle w:val="Tabletext"/>
            </w:pPr>
          </w:p>
        </w:tc>
        <w:tc>
          <w:tcPr>
            <w:tcW w:w="1417" w:type="dxa"/>
          </w:tcPr>
          <w:p w:rsidR="00DD5F12" w:rsidRPr="005D7BEE" w:rsidRDefault="00DD5F12" w:rsidP="005D7BEE">
            <w:pPr>
              <w:pStyle w:val="Tabletext"/>
            </w:pPr>
          </w:p>
        </w:tc>
      </w:tr>
      <w:tr w:rsidR="00DD5F12" w:rsidRPr="00DD5F12" w:rsidTr="005219D0">
        <w:trPr>
          <w:trHeight w:val="340"/>
        </w:trPr>
        <w:tc>
          <w:tcPr>
            <w:tcW w:w="1951" w:type="dxa"/>
            <w:vMerge/>
          </w:tcPr>
          <w:p w:rsidR="00DD5F12" w:rsidRPr="005D7BEE" w:rsidRDefault="00DD5F12" w:rsidP="005D7BEE">
            <w:pPr>
              <w:pStyle w:val="Tabletext"/>
            </w:pPr>
          </w:p>
        </w:tc>
        <w:tc>
          <w:tcPr>
            <w:tcW w:w="3431" w:type="dxa"/>
          </w:tcPr>
          <w:p w:rsidR="00DD5F12" w:rsidRPr="005D7BEE" w:rsidRDefault="00DD5F12" w:rsidP="005D7BEE">
            <w:pPr>
              <w:pStyle w:val="Tabletext"/>
            </w:pPr>
            <w:r w:rsidRPr="005D7BEE">
              <w:t>Target population</w:t>
            </w:r>
          </w:p>
        </w:tc>
        <w:tc>
          <w:tcPr>
            <w:tcW w:w="1814" w:type="dxa"/>
          </w:tcPr>
          <w:p w:rsidR="00DD5F12" w:rsidRPr="005D7BEE" w:rsidRDefault="00DD5F12" w:rsidP="005D7BEE">
            <w:pPr>
              <w:pStyle w:val="Tabletext"/>
            </w:pPr>
            <w:r w:rsidRPr="005D7BEE">
              <w:t>CP025329</w:t>
            </w:r>
          </w:p>
        </w:tc>
        <w:tc>
          <w:tcPr>
            <w:tcW w:w="1417" w:type="dxa"/>
          </w:tcPr>
          <w:p w:rsidR="00DD5F12" w:rsidRPr="005D7BEE" w:rsidRDefault="00DD5F12" w:rsidP="005D7BEE">
            <w:pPr>
              <w:pStyle w:val="Tabletext"/>
            </w:pPr>
            <w:proofErr w:type="spellStart"/>
            <w:r w:rsidRPr="005D7BEE">
              <w:t>PopPK</w:t>
            </w:r>
            <w:proofErr w:type="spellEnd"/>
          </w:p>
        </w:tc>
      </w:tr>
      <w:tr w:rsidR="00DD5F12" w:rsidRPr="00DD5F12" w:rsidTr="005219D0">
        <w:trPr>
          <w:trHeight w:val="340"/>
        </w:trPr>
        <w:tc>
          <w:tcPr>
            <w:tcW w:w="1951" w:type="dxa"/>
            <w:vMerge/>
          </w:tcPr>
          <w:p w:rsidR="00DD5F12" w:rsidRPr="005D7BEE" w:rsidRDefault="00DD5F12" w:rsidP="005D7BEE">
            <w:pPr>
              <w:pStyle w:val="Tabletext"/>
            </w:pPr>
          </w:p>
        </w:tc>
        <w:tc>
          <w:tcPr>
            <w:tcW w:w="3431" w:type="dxa"/>
          </w:tcPr>
          <w:p w:rsidR="00DD5F12" w:rsidRPr="005D7BEE" w:rsidRDefault="00DD5F12" w:rsidP="005D7BEE">
            <w:pPr>
              <w:pStyle w:val="Tabletext"/>
            </w:pPr>
          </w:p>
        </w:tc>
        <w:tc>
          <w:tcPr>
            <w:tcW w:w="1814" w:type="dxa"/>
          </w:tcPr>
          <w:p w:rsidR="00DD5F12" w:rsidRPr="005D7BEE" w:rsidRDefault="00DD5F12" w:rsidP="005D7BEE">
            <w:pPr>
              <w:pStyle w:val="Tabletext"/>
            </w:pPr>
            <w:r w:rsidRPr="005D7BEE">
              <w:t>P060243</w:t>
            </w:r>
          </w:p>
        </w:tc>
        <w:tc>
          <w:tcPr>
            <w:tcW w:w="1417" w:type="dxa"/>
          </w:tcPr>
          <w:p w:rsidR="00DD5F12" w:rsidRPr="005D7BEE" w:rsidRDefault="00DD5F12" w:rsidP="005D7BEE">
            <w:pPr>
              <w:pStyle w:val="Tabletext"/>
            </w:pPr>
            <w:proofErr w:type="spellStart"/>
            <w:r w:rsidRPr="005D7BEE">
              <w:t>PopPK</w:t>
            </w:r>
            <w:proofErr w:type="spellEnd"/>
          </w:p>
        </w:tc>
      </w:tr>
    </w:tbl>
    <w:p w:rsidR="002A5CB5" w:rsidRPr="00C37A1D" w:rsidRDefault="002A5CB5" w:rsidP="00DD5F12">
      <w:pPr>
        <w:pStyle w:val="TableDescription"/>
      </w:pPr>
      <w:r w:rsidRPr="00C37A1D">
        <w:t>† Bioequivalence of different formulations.</w:t>
      </w:r>
    </w:p>
    <w:p w:rsidR="002A5CB5" w:rsidRDefault="002A5CB5" w:rsidP="00DD5F12">
      <w:pPr>
        <w:pStyle w:val="TableDescription"/>
        <w:rPr>
          <w:szCs w:val="20"/>
        </w:rPr>
      </w:pPr>
      <w:r w:rsidRPr="00C37A1D">
        <w:t>§</w:t>
      </w:r>
      <w:r w:rsidRPr="00C37A1D">
        <w:rPr>
          <w:szCs w:val="20"/>
        </w:rPr>
        <w:t xml:space="preserve"> Subjects who would be eligible to receive the drug if approved for the proposed indication.</w:t>
      </w:r>
    </w:p>
    <w:p w:rsidR="002A5CB5" w:rsidRPr="00DD5F12" w:rsidRDefault="002A5CB5" w:rsidP="00DD5F12">
      <w:r w:rsidRPr="00DD5F12">
        <w:t>None of the PK studies had deficiencies that excluded their results from consideration.</w:t>
      </w:r>
    </w:p>
    <w:p w:rsidR="00605AD4" w:rsidRDefault="00605AD4" w:rsidP="00605AD4">
      <w:pPr>
        <w:pStyle w:val="Heading4"/>
      </w:pPr>
      <w:r>
        <w:t>Evaluator’s conclusions on pharmacokinetics</w:t>
      </w:r>
    </w:p>
    <w:p w:rsidR="006D26EA" w:rsidRPr="006D26EA" w:rsidRDefault="006D26EA" w:rsidP="006D26EA">
      <w:r w:rsidRPr="006D26EA">
        <w:t xml:space="preserve">The data provided on the PK of ibuprofen comprised 2 clinical studies and 2 </w:t>
      </w:r>
      <w:proofErr w:type="spellStart"/>
      <w:r w:rsidRPr="006D26EA">
        <w:t>PopPK</w:t>
      </w:r>
      <w:proofErr w:type="spellEnd"/>
      <w:r w:rsidRPr="006D26EA">
        <w:t xml:space="preserve"> reports and PK data collected during 3 efficacy studies. One study was not useful as it involved a very different strength and formulation. The other study was to evaluate the sponsor’s IV formulation with an IM formulation (given IV) which was used in most of the published literature included in the EU submission. This is not relevant to the Australian submission as the published literature was not included as evaluable data.</w:t>
      </w:r>
    </w:p>
    <w:p w:rsidR="006D26EA" w:rsidRPr="006D26EA" w:rsidRDefault="006D26EA" w:rsidP="006D26EA">
      <w:r w:rsidRPr="006D26EA">
        <w:t xml:space="preserve">The main data comes from the population PK analysis. The summaries do not provide much help as they were written over very wide time frames and do not include all the studies. The Clinical Overview includes mostly an analysis of the literature which was not submitted to support efficacy and safety in Australia. No summary of the pharmacokinetics is provided in any of the more recent summaries (only in the 2003 Clinical Expert Report). </w:t>
      </w:r>
      <w:r w:rsidR="00B864A1" w:rsidRPr="000C398C">
        <w:rPr>
          <w:lang w:eastAsia="ja-JP"/>
        </w:rPr>
        <w:t xml:space="preserve">It is sometimes difficult to identify in the </w:t>
      </w:r>
      <w:r w:rsidR="00B864A1" w:rsidRPr="000C398C">
        <w:rPr>
          <w:i/>
          <w:lang w:eastAsia="ja-JP"/>
        </w:rPr>
        <w:t>Clinical Overview</w:t>
      </w:r>
      <w:r w:rsidR="00B864A1" w:rsidRPr="000C398C">
        <w:rPr>
          <w:lang w:eastAsia="ja-JP"/>
        </w:rPr>
        <w:t xml:space="preserve"> when it is referring to </w:t>
      </w:r>
      <w:r w:rsidR="00B864A1">
        <w:rPr>
          <w:lang w:eastAsia="ja-JP"/>
        </w:rPr>
        <w:t xml:space="preserve">unpublished </w:t>
      </w:r>
      <w:r w:rsidR="00B864A1" w:rsidRPr="000C398C">
        <w:rPr>
          <w:lang w:eastAsia="ja-JP"/>
        </w:rPr>
        <w:t xml:space="preserve">clinical studies and when to </w:t>
      </w:r>
      <w:proofErr w:type="gramStart"/>
      <w:r w:rsidR="00B864A1">
        <w:rPr>
          <w:lang w:eastAsia="ja-JP"/>
        </w:rPr>
        <w:t>published</w:t>
      </w:r>
      <w:proofErr w:type="gramEnd"/>
      <w:r w:rsidR="00B864A1">
        <w:rPr>
          <w:lang w:eastAsia="ja-JP"/>
        </w:rPr>
        <w:t xml:space="preserve"> </w:t>
      </w:r>
      <w:r w:rsidR="00B864A1" w:rsidRPr="000C398C">
        <w:rPr>
          <w:lang w:eastAsia="ja-JP"/>
        </w:rPr>
        <w:t>literature studies as it appears to identify the clinical studies by the subsequent publications but this cannot always be verified</w:t>
      </w:r>
      <w:r w:rsidRPr="006D26EA">
        <w:t>.</w:t>
      </w:r>
    </w:p>
    <w:p w:rsidR="006D26EA" w:rsidRPr="006D26EA" w:rsidRDefault="006D26EA" w:rsidP="006D26EA">
      <w:r w:rsidRPr="006D26EA">
        <w:t>From the studies submitted it is clear that the PK of ibuprofen is very different in preterm infants compared with adults and older children with elimination rate and clearance markedly lower and</w:t>
      </w:r>
      <w:r w:rsidR="00BC66D7">
        <w:t xml:space="preserve"> with</w:t>
      </w:r>
      <w:r w:rsidRPr="006D26EA">
        <w:t xml:space="preserve"> elimination half-lives substantially longer.</w:t>
      </w:r>
    </w:p>
    <w:p w:rsidR="006D26EA" w:rsidRPr="006D26EA" w:rsidRDefault="006D26EA" w:rsidP="006D26EA">
      <w:r w:rsidRPr="006D26EA">
        <w:t>The dose</w:t>
      </w:r>
      <w:r w:rsidR="00C1566F">
        <w:t xml:space="preserve"> </w:t>
      </w:r>
      <w:r w:rsidRPr="006D26EA">
        <w:t xml:space="preserve">range study showed that median plasma concentrations (range) significantly increased (p&lt;0.001) with increasing doses of ibuprofen, with values of 27.8 (24-32.8), </w:t>
      </w:r>
      <w:r w:rsidRPr="006D26EA">
        <w:lastRenderedPageBreak/>
        <w:t>40.6 (34.4-44.5), 55.3 (49.6-64) and 68 mg/L in the 5, 10, 15 and 20 mg/kg dose regimen groups, respectively.</w:t>
      </w:r>
    </w:p>
    <w:p w:rsidR="006D26EA" w:rsidRPr="006D26EA" w:rsidRDefault="006D26EA" w:rsidP="006D26EA">
      <w:r w:rsidRPr="006D26EA">
        <w:t>Plasma concentrations were similar in the 3 clinical studies that measured PK parameters with peak levels around 35-40 mg/L after the initial loading dose of 10 mg/kg as well as after the last maintenance dose, regardless of the GA and postnatal age. Residual concentrations were around 10-15 mg/L 24 h after the last dose of 5 mg/kg.</w:t>
      </w:r>
    </w:p>
    <w:p w:rsidR="006D26EA" w:rsidRPr="006D26EA" w:rsidRDefault="006D26EA" w:rsidP="006D26EA">
      <w:r w:rsidRPr="006D26EA">
        <w:t xml:space="preserve">The peak plasma levels are stated to be comparable to those reported in infants and children after oral ingestion of ibuprofen. However the data indicate that ibuprofen is eliminated very slowly in preterm newborn with a half-life more than 10 fold compared to older infants. It is suggested that this may be due to deficient liver activity in the first neonatal week but many other factors, including the presence of a </w:t>
      </w:r>
      <w:proofErr w:type="spellStart"/>
      <w:r w:rsidRPr="006D26EA">
        <w:t>haemodynamically</w:t>
      </w:r>
      <w:proofErr w:type="spellEnd"/>
      <w:r w:rsidRPr="006D26EA">
        <w:t xml:space="preserve"> significant PDA resulting in </w:t>
      </w:r>
      <w:proofErr w:type="spellStart"/>
      <w:r w:rsidRPr="006D26EA">
        <w:t>hypoperfusion</w:t>
      </w:r>
      <w:proofErr w:type="spellEnd"/>
      <w:r w:rsidRPr="006D26EA">
        <w:t xml:space="preserve"> of liver and kidney, may influence ibuprofen metabolism and elimination.</w:t>
      </w:r>
    </w:p>
    <w:p w:rsidR="006D26EA" w:rsidRPr="006D26EA" w:rsidRDefault="006D26EA" w:rsidP="006D26EA">
      <w:r w:rsidRPr="006D26EA">
        <w:t>The plasma concentrations of the S-enantiomer are much higher than those of the R-enantiomer, which reflects a rapid chiral conversion of the R</w:t>
      </w:r>
      <w:r w:rsidR="000367E6">
        <w:t>-</w:t>
      </w:r>
      <w:r w:rsidRPr="006D26EA">
        <w:t xml:space="preserve"> to the S-form in a proportion stated to be similar to adults (about 60%). The clearance of both enantiomers increases with GA, at least in the range of 24 to 28 weeks.</w:t>
      </w:r>
    </w:p>
    <w:p w:rsidR="006D26EA" w:rsidRPr="006D26EA" w:rsidRDefault="006D26EA" w:rsidP="006D26EA">
      <w:r w:rsidRPr="006D26EA">
        <w:t>There was quite wide interpatient variability but this is consistent with the numerous factors that affect preterm infants and lead to interference with drug metabolism and elimination.</w:t>
      </w:r>
    </w:p>
    <w:p w:rsidR="008E7846" w:rsidRDefault="008E7846" w:rsidP="008E7846">
      <w:pPr>
        <w:pStyle w:val="Heading3"/>
      </w:pPr>
      <w:bookmarkStart w:id="63" w:name="_Toc196046481"/>
      <w:bookmarkStart w:id="64" w:name="_Toc247691520"/>
      <w:bookmarkStart w:id="65" w:name="_Toc314842503"/>
      <w:bookmarkStart w:id="66" w:name="_Toc499196216"/>
      <w:r w:rsidRPr="00254787">
        <w:t>Pharmacodynamics</w:t>
      </w:r>
      <w:bookmarkEnd w:id="50"/>
      <w:bookmarkEnd w:id="63"/>
      <w:bookmarkEnd w:id="64"/>
      <w:bookmarkEnd w:id="65"/>
      <w:bookmarkEnd w:id="66"/>
    </w:p>
    <w:p w:rsidR="00605AD4" w:rsidRDefault="00605AD4" w:rsidP="00605AD4">
      <w:pPr>
        <w:pStyle w:val="Heading4"/>
      </w:pPr>
      <w:r>
        <w:t>Studies providing pharmacodynamic data</w:t>
      </w:r>
    </w:p>
    <w:p w:rsidR="006D26EA" w:rsidRPr="006D26EA" w:rsidRDefault="006D26EA" w:rsidP="006D26EA">
      <w:r w:rsidRPr="006D26EA">
        <w:t xml:space="preserve">Table </w:t>
      </w:r>
      <w:r>
        <w:t>3</w:t>
      </w:r>
      <w:r w:rsidRPr="006D26EA">
        <w:t xml:space="preserve"> shows the studies relating to each PK topic and the location of each study summary.</w:t>
      </w:r>
    </w:p>
    <w:p w:rsidR="006D26EA" w:rsidRDefault="00CF7688" w:rsidP="00CF7688">
      <w:pPr>
        <w:pStyle w:val="TableTitle"/>
      </w:pPr>
      <w:bookmarkStart w:id="67" w:name="_Toc454981303"/>
      <w:proofErr w:type="gramStart"/>
      <w:r>
        <w:t xml:space="preserve">Table 3: </w:t>
      </w:r>
      <w:r w:rsidR="006D26EA" w:rsidRPr="008C40FD">
        <w:t>Su</w:t>
      </w:r>
      <w:r w:rsidR="006D26EA">
        <w:t>bmitted pharmacodynamic studies</w:t>
      </w:r>
      <w:bookmarkEnd w:id="67"/>
      <w:r w:rsidR="004A7076">
        <w:t>.</w:t>
      </w:r>
      <w:proofErr w:type="gramEnd"/>
    </w:p>
    <w:tbl>
      <w:tblPr>
        <w:tblStyle w:val="TableTGAblue"/>
        <w:tblW w:w="8755" w:type="dxa"/>
        <w:tblLayout w:type="fixed"/>
        <w:tblLook w:val="04A0" w:firstRow="1" w:lastRow="0" w:firstColumn="1" w:lastColumn="0" w:noHBand="0" w:noVBand="1"/>
        <w:tblDescription w:val="Table 3: Submitted pharmacodynamic studies."/>
      </w:tblPr>
      <w:tblGrid>
        <w:gridCol w:w="2235"/>
        <w:gridCol w:w="3312"/>
        <w:gridCol w:w="1791"/>
        <w:gridCol w:w="1417"/>
      </w:tblGrid>
      <w:tr w:rsidR="004A7076" w:rsidRPr="004A7076" w:rsidTr="00880807">
        <w:trPr>
          <w:cnfStyle w:val="100000000000" w:firstRow="1" w:lastRow="0" w:firstColumn="0" w:lastColumn="0" w:oddVBand="0" w:evenVBand="0" w:oddHBand="0" w:evenHBand="0" w:firstRowFirstColumn="0" w:firstRowLastColumn="0" w:lastRowFirstColumn="0" w:lastRowLastColumn="0"/>
          <w:trHeight w:val="283"/>
        </w:trPr>
        <w:tc>
          <w:tcPr>
            <w:tcW w:w="2235" w:type="dxa"/>
            <w:vAlign w:val="center"/>
          </w:tcPr>
          <w:p w:rsidR="004A7076" w:rsidRPr="004A7076" w:rsidRDefault="004A7076" w:rsidP="00880807">
            <w:pPr>
              <w:pStyle w:val="TableHeading"/>
              <w:rPr>
                <w:b w:val="0"/>
              </w:rPr>
            </w:pPr>
            <w:r w:rsidRPr="004A7076">
              <w:t>PD Topic</w:t>
            </w:r>
          </w:p>
        </w:tc>
        <w:tc>
          <w:tcPr>
            <w:tcW w:w="3312" w:type="dxa"/>
            <w:vAlign w:val="center"/>
          </w:tcPr>
          <w:p w:rsidR="004A7076" w:rsidRPr="004A7076" w:rsidRDefault="004A7076" w:rsidP="00880807">
            <w:pPr>
              <w:pStyle w:val="TableHeading"/>
              <w:rPr>
                <w:b w:val="0"/>
              </w:rPr>
            </w:pPr>
            <w:r w:rsidRPr="004A7076">
              <w:t>Subtopic</w:t>
            </w:r>
          </w:p>
        </w:tc>
        <w:tc>
          <w:tcPr>
            <w:tcW w:w="1791" w:type="dxa"/>
            <w:vAlign w:val="center"/>
          </w:tcPr>
          <w:p w:rsidR="004A7076" w:rsidRPr="004A7076" w:rsidRDefault="004A7076" w:rsidP="00880807">
            <w:pPr>
              <w:pStyle w:val="TableHeading"/>
              <w:rPr>
                <w:b w:val="0"/>
              </w:rPr>
            </w:pPr>
            <w:r w:rsidRPr="004A7076">
              <w:t>Study ID</w:t>
            </w:r>
          </w:p>
        </w:tc>
        <w:tc>
          <w:tcPr>
            <w:tcW w:w="1417" w:type="dxa"/>
            <w:vAlign w:val="center"/>
          </w:tcPr>
          <w:p w:rsidR="004A7076" w:rsidRPr="004A7076" w:rsidRDefault="004A7076" w:rsidP="00880807">
            <w:pPr>
              <w:pStyle w:val="TableHeading"/>
            </w:pPr>
            <w:r w:rsidRPr="004A7076">
              <w:t>Primary aim</w:t>
            </w:r>
          </w:p>
        </w:tc>
      </w:tr>
      <w:tr w:rsidR="004A7076" w:rsidRPr="004A7076" w:rsidTr="00880807">
        <w:trPr>
          <w:trHeight w:val="340"/>
        </w:trPr>
        <w:tc>
          <w:tcPr>
            <w:tcW w:w="2235" w:type="dxa"/>
          </w:tcPr>
          <w:p w:rsidR="004A7076" w:rsidRPr="005D7BEE" w:rsidRDefault="004A7076" w:rsidP="005D7BEE">
            <w:pPr>
              <w:pStyle w:val="Tabletext"/>
              <w:rPr>
                <w:b/>
              </w:rPr>
            </w:pPr>
            <w:r w:rsidRPr="005D7BEE">
              <w:rPr>
                <w:b/>
              </w:rPr>
              <w:t>Primary Pharmacology</w:t>
            </w:r>
          </w:p>
        </w:tc>
        <w:tc>
          <w:tcPr>
            <w:tcW w:w="3312" w:type="dxa"/>
          </w:tcPr>
          <w:p w:rsidR="004A7076" w:rsidRPr="005D7BEE" w:rsidRDefault="004A7076" w:rsidP="005D7BEE">
            <w:pPr>
              <w:pStyle w:val="Tabletext"/>
            </w:pPr>
            <w:r w:rsidRPr="005D7BEE">
              <w:t>Effect on PD parameter – pulmonary vascular resistance</w:t>
            </w:r>
          </w:p>
        </w:tc>
        <w:tc>
          <w:tcPr>
            <w:tcW w:w="1791" w:type="dxa"/>
          </w:tcPr>
          <w:p w:rsidR="004A7076" w:rsidRPr="005D7BEE" w:rsidRDefault="004A7076" w:rsidP="005D7BEE">
            <w:pPr>
              <w:pStyle w:val="Tabletext"/>
            </w:pPr>
            <w:r w:rsidRPr="005D7BEE">
              <w:t>IBU/GER/2003</w:t>
            </w:r>
          </w:p>
        </w:tc>
        <w:tc>
          <w:tcPr>
            <w:tcW w:w="1417" w:type="dxa"/>
          </w:tcPr>
          <w:p w:rsidR="004A7076" w:rsidRPr="005D7BEE" w:rsidRDefault="004A7076" w:rsidP="005D7BEE">
            <w:pPr>
              <w:pStyle w:val="Tabletext"/>
            </w:pPr>
            <w:r w:rsidRPr="005D7BEE">
              <w:t>PD</w:t>
            </w:r>
          </w:p>
        </w:tc>
      </w:tr>
      <w:tr w:rsidR="004A7076" w:rsidRPr="004A7076" w:rsidTr="00880807">
        <w:trPr>
          <w:trHeight w:val="340"/>
        </w:trPr>
        <w:tc>
          <w:tcPr>
            <w:tcW w:w="2235" w:type="dxa"/>
          </w:tcPr>
          <w:p w:rsidR="004A7076" w:rsidRPr="005D7BEE" w:rsidRDefault="004A7076" w:rsidP="005D7BEE">
            <w:pPr>
              <w:pStyle w:val="Tabletext"/>
              <w:rPr>
                <w:b/>
              </w:rPr>
            </w:pPr>
            <w:r w:rsidRPr="005D7BEE">
              <w:rPr>
                <w:b/>
              </w:rPr>
              <w:t>Secondary Pharmacology</w:t>
            </w:r>
          </w:p>
        </w:tc>
        <w:tc>
          <w:tcPr>
            <w:tcW w:w="3312" w:type="dxa"/>
          </w:tcPr>
          <w:p w:rsidR="004A7076" w:rsidRPr="005D7BEE" w:rsidRDefault="004A7076" w:rsidP="005D7BEE">
            <w:pPr>
              <w:pStyle w:val="Tabletext"/>
            </w:pPr>
            <w:r w:rsidRPr="005D7BEE">
              <w:t>Effect on PD parameter – effect on bilirubin</w:t>
            </w:r>
          </w:p>
        </w:tc>
        <w:tc>
          <w:tcPr>
            <w:tcW w:w="1791" w:type="dxa"/>
          </w:tcPr>
          <w:p w:rsidR="00C1566F" w:rsidRPr="005D7BEE" w:rsidRDefault="004A7076" w:rsidP="005D7BEE">
            <w:pPr>
              <w:pStyle w:val="Tabletext"/>
            </w:pPr>
            <w:r w:rsidRPr="005D7BEE">
              <w:t>IBU/BILICLIN/04</w:t>
            </w:r>
          </w:p>
          <w:p w:rsidR="004A7076" w:rsidRPr="005D7BEE" w:rsidRDefault="004A7076" w:rsidP="005D7BEE">
            <w:pPr>
              <w:pStyle w:val="Tabletext"/>
            </w:pPr>
            <w:r w:rsidRPr="005D7BEE">
              <w:t>IBU/20mg/2009</w:t>
            </w:r>
          </w:p>
        </w:tc>
        <w:tc>
          <w:tcPr>
            <w:tcW w:w="1417" w:type="dxa"/>
          </w:tcPr>
          <w:p w:rsidR="004A7076" w:rsidRPr="005D7BEE" w:rsidRDefault="004A7076" w:rsidP="005D7BEE">
            <w:pPr>
              <w:pStyle w:val="Tabletext"/>
            </w:pPr>
          </w:p>
        </w:tc>
      </w:tr>
    </w:tbl>
    <w:p w:rsidR="006D26EA" w:rsidRPr="004A7076" w:rsidRDefault="006D26EA" w:rsidP="004A7076">
      <w:r w:rsidRPr="004A7076">
        <w:t xml:space="preserve">None of the </w:t>
      </w:r>
      <w:proofErr w:type="spellStart"/>
      <w:r w:rsidRPr="004A7076">
        <w:t>pharmacodynamic</w:t>
      </w:r>
      <w:proofErr w:type="spellEnd"/>
      <w:r w:rsidRPr="004A7076">
        <w:t xml:space="preserve"> studies had deficiencies that excluded their results from consideration.</w:t>
      </w:r>
    </w:p>
    <w:p w:rsidR="00605AD4" w:rsidRDefault="00605AD4" w:rsidP="00605AD4">
      <w:pPr>
        <w:pStyle w:val="Heading4"/>
      </w:pPr>
      <w:r>
        <w:t>Evaluator’s conclusions on pharmacodynamics</w:t>
      </w:r>
    </w:p>
    <w:p w:rsidR="00C47773" w:rsidRPr="00111B3E" w:rsidRDefault="00C47773" w:rsidP="00111B3E">
      <w:r w:rsidRPr="00111B3E">
        <w:t>Only 3 PD studies were submitted as part of the Australian dossier. These studies were primarily related to assessing potential toxicity effects due the PD of ibuprofen in preterm infants. The studies did not demonstrate any negative effects on either the development of pulmonary hypertens</w:t>
      </w:r>
      <w:r w:rsidR="000A0882">
        <w:t xml:space="preserve">ion or </w:t>
      </w:r>
      <w:r w:rsidRPr="00111B3E">
        <w:t>significant worsening of the level of unbound bilirubin.</w:t>
      </w:r>
    </w:p>
    <w:p w:rsidR="00C47773" w:rsidRPr="00111B3E" w:rsidRDefault="00C47773" w:rsidP="00111B3E">
      <w:r w:rsidRPr="00111B3E">
        <w:t>As ibuprofen has been known for some time and its mode of action is well documented there do not appear to be any concerns with the PD actions of the drug.</w:t>
      </w:r>
    </w:p>
    <w:p w:rsidR="008E7846" w:rsidRDefault="00605AD4" w:rsidP="00605AD4">
      <w:pPr>
        <w:pStyle w:val="Heading3"/>
      </w:pPr>
      <w:bookmarkStart w:id="68" w:name="_Toc499196217"/>
      <w:r>
        <w:lastRenderedPageBreak/>
        <w:t>Dosage selection for the pivotal studies</w:t>
      </w:r>
      <w:bookmarkEnd w:id="68"/>
    </w:p>
    <w:p w:rsidR="00111B3E" w:rsidRPr="00545B14" w:rsidRDefault="00111B3E" w:rsidP="00111B3E">
      <w:pPr>
        <w:pStyle w:val="Heading4"/>
      </w:pPr>
      <w:bookmarkStart w:id="69" w:name="_Toc416353695"/>
      <w:bookmarkStart w:id="70" w:name="_Toc421005262"/>
      <w:bookmarkStart w:id="71" w:name="_Toc432079144"/>
      <w:bookmarkStart w:id="72" w:name="_Toc432080717"/>
      <w:bookmarkStart w:id="73" w:name="_Toc454980624"/>
      <w:r w:rsidRPr="005C1900">
        <w:t>Pharmacokinetics</w:t>
      </w:r>
      <w:r>
        <w:t xml:space="preserve"> and pharmacodynamics: dos</w:t>
      </w:r>
      <w:r w:rsidRPr="00545B14">
        <w:t xml:space="preserve">e </w:t>
      </w:r>
      <w:r>
        <w:t>finding</w:t>
      </w:r>
      <w:r w:rsidRPr="00545B14">
        <w:t xml:space="preserve"> </w:t>
      </w:r>
      <w:r>
        <w:t>s</w:t>
      </w:r>
      <w:r w:rsidRPr="00545B14">
        <w:t>tudies</w:t>
      </w:r>
      <w:bookmarkEnd w:id="69"/>
      <w:bookmarkEnd w:id="70"/>
      <w:bookmarkEnd w:id="71"/>
      <w:bookmarkEnd w:id="72"/>
      <w:bookmarkEnd w:id="73"/>
    </w:p>
    <w:p w:rsidR="00111B3E" w:rsidRPr="00111B3E" w:rsidRDefault="00111B3E" w:rsidP="00111B3E">
      <w:r w:rsidRPr="00111B3E">
        <w:t xml:space="preserve">Clinical trials on ibuprofen were all conducted with the same dose regimen as in the first published </w:t>
      </w:r>
      <w:r w:rsidR="005B730C">
        <w:t>study</w:t>
      </w:r>
      <w:r w:rsidRPr="00111B3E">
        <w:t>.</w:t>
      </w:r>
      <w:r w:rsidR="005B730C">
        <w:rPr>
          <w:rStyle w:val="FootnoteReference"/>
        </w:rPr>
        <w:footnoteReference w:id="6"/>
      </w:r>
      <w:r w:rsidRPr="00111B3E">
        <w:t xml:space="preserve"> This included a loading dose follow</w:t>
      </w:r>
      <w:r w:rsidR="00C1566F">
        <w:t xml:space="preserve">ed by 2 maintenance doses at 24 </w:t>
      </w:r>
      <w:r w:rsidRPr="00111B3E">
        <w:t>hour intervals based on analogy with the recommended dose regimen of indomethacin and on the doses and dosing intervals recommended for young infants and neonates for fever control based on PD data.</w:t>
      </w:r>
    </w:p>
    <w:p w:rsidR="00111B3E" w:rsidRPr="00545B14" w:rsidRDefault="00111B3E" w:rsidP="00111B3E">
      <w:pPr>
        <w:pStyle w:val="Heading4"/>
      </w:pPr>
      <w:bookmarkStart w:id="74" w:name="_Toc416353696"/>
      <w:bookmarkStart w:id="75" w:name="_Toc421005263"/>
      <w:bookmarkStart w:id="76" w:name="_Toc432079145"/>
      <w:bookmarkStart w:id="77" w:name="_Toc432080718"/>
      <w:bookmarkStart w:id="78" w:name="_Toc454980625"/>
      <w:r w:rsidRPr="005C1900">
        <w:t>Phase</w:t>
      </w:r>
      <w:r w:rsidRPr="00545B14">
        <w:t xml:space="preserve"> II </w:t>
      </w:r>
      <w:r>
        <w:t>d</w:t>
      </w:r>
      <w:r w:rsidRPr="00545B14">
        <w:t xml:space="preserve">ose </w:t>
      </w:r>
      <w:r>
        <w:t>finding</w:t>
      </w:r>
      <w:r w:rsidRPr="00545B14">
        <w:t xml:space="preserve"> </w:t>
      </w:r>
      <w:r>
        <w:t>s</w:t>
      </w:r>
      <w:r w:rsidRPr="00545B14">
        <w:t>tudies</w:t>
      </w:r>
      <w:bookmarkEnd w:id="74"/>
      <w:bookmarkEnd w:id="75"/>
      <w:bookmarkEnd w:id="76"/>
      <w:bookmarkEnd w:id="77"/>
      <w:bookmarkEnd w:id="78"/>
    </w:p>
    <w:p w:rsidR="00111B3E" w:rsidRPr="00111B3E" w:rsidRDefault="00111B3E" w:rsidP="00111B3E">
      <w:r w:rsidRPr="00111B3E">
        <w:t>The sponsor conducted 1 dose ranging study (IBU/99/</w:t>
      </w:r>
      <w:proofErr w:type="spellStart"/>
      <w:r w:rsidRPr="00111B3E">
        <w:t>DoseRange</w:t>
      </w:r>
      <w:proofErr w:type="spellEnd"/>
      <w:r w:rsidRPr="00111B3E">
        <w:t>). Infants were enrolled in 2 groups according to GA:  those aged from 27 to 29 weeks and from 24 to 26 weeks. Four dose regimens bracketing the empirical dose were chosen: 5/2.5/2.5 mg/kg, 10/5/5 mg/kg, 15/7.5/7.5 mg/kg and 20/10/10 mg/kg.</w:t>
      </w:r>
    </w:p>
    <w:p w:rsidR="00111B3E" w:rsidRPr="00111B3E" w:rsidRDefault="00111B3E" w:rsidP="00111B3E">
      <w:r w:rsidRPr="00111B3E">
        <w:t>In the older infants group, the probability of closure was slightly higher for the 15-7.5-7.5 mg/kg dose regimen but with more frequent renal AEs, and therefore the optimal benefit/risk ratio was achieved with the dose regimen of 10-5-5 mg/kg.</w:t>
      </w:r>
    </w:p>
    <w:p w:rsidR="00111B3E" w:rsidRPr="00111B3E" w:rsidRDefault="00111B3E" w:rsidP="00111B3E">
      <w:r w:rsidRPr="00111B3E">
        <w:t>It was expected that the effica</w:t>
      </w:r>
      <w:r w:rsidR="006038C8">
        <w:t>cy would be lower in the most pre</w:t>
      </w:r>
      <w:r w:rsidRPr="00111B3E">
        <w:t>mature preterm newborns, and therefore, a different target closure rate was chosen to define efficacy in relation to GA</w:t>
      </w:r>
      <w:r w:rsidR="009E0B36">
        <w:t>: 50% in the &lt; 27 weeks group versus</w:t>
      </w:r>
      <w:r w:rsidRPr="00111B3E">
        <w:t xml:space="preserve"> 80% in the ≥ 27 weeks group. The analysis concluded that the minimum effective dose regimen for the lower GA group was 20-10-10 mg/kg. The actual closure rate was 33% (2/6) for both the 10-5-5 and 15-7.5-7.5 mg/kg dose regimens. Because of the study design, the highest dose regimen was only administered to 1 evaluable patient, due to the Bayesian approach with continuous reassessment method and predetermined stopping rules after 20 evaluable patients had been included.</w:t>
      </w:r>
    </w:p>
    <w:p w:rsidR="00111B3E" w:rsidRPr="00111B3E" w:rsidRDefault="00111B3E" w:rsidP="00111B3E">
      <w:r w:rsidRPr="00111B3E">
        <w:t>The result in the lower GA group is consistent with the known inverse relationship between efficacy of pharmacological intervention and GA. Younger infants being less responsive to medical treatment undergo surgical ligation more frequently. This is also known for indomethacin and was found within each category of GA in the dose ranging study.</w:t>
      </w:r>
    </w:p>
    <w:p w:rsidR="00111B3E" w:rsidRPr="00670FF0" w:rsidRDefault="00111B3E" w:rsidP="00111B3E">
      <w:pPr>
        <w:pStyle w:val="Heading4"/>
      </w:pPr>
      <w:bookmarkStart w:id="79" w:name="_Toc416353712"/>
      <w:bookmarkStart w:id="80" w:name="_Toc421005265"/>
      <w:bookmarkStart w:id="81" w:name="_Toc432079147"/>
      <w:bookmarkStart w:id="82" w:name="_Toc432080720"/>
      <w:bookmarkStart w:id="83" w:name="_Toc454980626"/>
      <w:r w:rsidRPr="00670FF0">
        <w:t>Phase III pivotal studies investigating more than one dose regimen</w:t>
      </w:r>
      <w:bookmarkEnd w:id="79"/>
      <w:bookmarkEnd w:id="80"/>
      <w:bookmarkEnd w:id="81"/>
      <w:bookmarkEnd w:id="82"/>
      <w:bookmarkEnd w:id="83"/>
    </w:p>
    <w:p w:rsidR="00111B3E" w:rsidRPr="00111B3E" w:rsidRDefault="00111B3E" w:rsidP="00111B3E">
      <w:r w:rsidRPr="00111B3E">
        <w:t>Not applicable.</w:t>
      </w:r>
    </w:p>
    <w:p w:rsidR="00111B3E" w:rsidRPr="00111B3E" w:rsidRDefault="00111B3E" w:rsidP="00111B3E">
      <w:r w:rsidRPr="00111B3E">
        <w:t xml:space="preserve">A non-pivotal study (IBU/20mg/2009), conducted post approval in Europe, addressed the issue of a higher dose regimen of IV ibuprofen. The dose used in this study was 20/10/10 rather than the proposed recommended dose of 10/5/5. The results, though not powered for this evaluation, showed a benefit of the high dose regimen in terms of closure of </w:t>
      </w:r>
      <w:proofErr w:type="spellStart"/>
      <w:r w:rsidRPr="00111B3E">
        <w:t>HsPDA</w:t>
      </w:r>
      <w:proofErr w:type="spellEnd"/>
      <w:r w:rsidRPr="00111B3E">
        <w:t xml:space="preserve"> in the VLBW infants, confirming the preliminary findings of the dose range study (IBU/99/</w:t>
      </w:r>
      <w:proofErr w:type="spellStart"/>
      <w:r w:rsidRPr="00111B3E">
        <w:t>DoseRange</w:t>
      </w:r>
      <w:proofErr w:type="spellEnd"/>
      <w:r w:rsidRPr="00111B3E">
        <w:t>). In total</w:t>
      </w:r>
      <w:r w:rsidR="0066037B">
        <w:t>,</w:t>
      </w:r>
      <w:r w:rsidRPr="00111B3E">
        <w:t xml:space="preserve"> the absolute failure rate as assessed by the surgery of the PDA was rather low (4/23) and the total ductus closure confidence interval was a little above 50% which seems to indicate a better efficacy, than at half dose regimen in this population where the rate of closure is classically around 30%.</w:t>
      </w:r>
    </w:p>
    <w:p w:rsidR="00111B3E" w:rsidRPr="00111B3E" w:rsidRDefault="00111B3E" w:rsidP="00111B3E">
      <w:pPr>
        <w:pStyle w:val="Heading4"/>
      </w:pPr>
      <w:bookmarkStart w:id="84" w:name="_Toc416353713"/>
      <w:bookmarkStart w:id="85" w:name="_Toc421005266"/>
      <w:bookmarkStart w:id="86" w:name="_Toc432079148"/>
      <w:bookmarkStart w:id="87" w:name="_Toc432080721"/>
      <w:bookmarkStart w:id="88" w:name="_Toc454980627"/>
      <w:r w:rsidRPr="00111B3E">
        <w:lastRenderedPageBreak/>
        <w:t>Evaluator’s conclusions on dose finding for the pivotal studies</w:t>
      </w:r>
      <w:bookmarkEnd w:id="84"/>
      <w:bookmarkEnd w:id="85"/>
      <w:bookmarkEnd w:id="86"/>
      <w:bookmarkEnd w:id="87"/>
      <w:bookmarkEnd w:id="88"/>
    </w:p>
    <w:p w:rsidR="00111B3E" w:rsidRPr="00111B3E" w:rsidRDefault="00111B3E" w:rsidP="00111B3E">
      <w:r w:rsidRPr="00111B3E">
        <w:t xml:space="preserve">The optimal dose and regimen of ibuprofen has not been determined, particularly in the very low GA infants. The regimen of a loading dose and then 2 maintenance doses was chosen based on </w:t>
      </w:r>
      <w:r w:rsidR="00FA4C04">
        <w:t>the results of a single study</w:t>
      </w:r>
      <w:r w:rsidR="00FA4C04">
        <w:rPr>
          <w:rStyle w:val="FootnoteReference"/>
        </w:rPr>
        <w:footnoteReference w:id="7"/>
      </w:r>
      <w:r w:rsidR="00FA4C04">
        <w:t xml:space="preserve"> </w:t>
      </w:r>
      <w:r w:rsidRPr="00111B3E">
        <w:t>in 30 infants which compared the 3 dose regimen (10 mg/kg loading dose plus 2 maintenance doses of 5 mg/kg (identified as 10/5/5) with a single dose of 10 mg/kg and a placebo. The intent of the treatment was to prevent PDA and the infants were treated within 3 h of birth. The results were clearly in favour of the 3 dose regimen versus 1 dose.</w:t>
      </w:r>
    </w:p>
    <w:p w:rsidR="00111B3E" w:rsidRPr="00111B3E" w:rsidRDefault="00111B3E" w:rsidP="00111B3E">
      <w:r w:rsidRPr="00111B3E">
        <w:t>The dose range study (IBU/99/</w:t>
      </w:r>
      <w:proofErr w:type="spellStart"/>
      <w:r w:rsidRPr="00111B3E">
        <w:t>DoseRange</w:t>
      </w:r>
      <w:proofErr w:type="spellEnd"/>
      <w:r w:rsidRPr="00111B3E">
        <w:t>) compared 3 dose regimens and found that for the infants with GA range from 27 to 29 weeks the optimal dose regimen was 10/5/5 based on safety rather than efficacy. For the younger group (24 to 26 weeks) the results are more confusing as they appeared to require a higher dose</w:t>
      </w:r>
      <w:r w:rsidR="009835BA">
        <w:t xml:space="preserve">. </w:t>
      </w:r>
      <w:r w:rsidRPr="00111B3E">
        <w:t>This was associated with more toxicity but insufficient patients were treated to obtain satisfactory results. The higher dose regimen of 20/10/10 was investigated in a further study (IBU/20mg/2009) in low GA infants and was conducted post approval in EU and was primarily aimed at investigating safety rather than efficacy. The study was not powered to determine efficacy but the results did suggest a response rate of ~50% which is comparable to the 10/5/5 regimen in higher GA infants.</w:t>
      </w:r>
    </w:p>
    <w:p w:rsidR="00111B3E" w:rsidRPr="00111B3E" w:rsidRDefault="00111B3E" w:rsidP="00111B3E">
      <w:r w:rsidRPr="00111B3E">
        <w:t>The proposed dose regimen is an appropriate compromise of efficacy and safety based on the very small numbers of patients included in the trials but may not be optimal for the low GA group.</w:t>
      </w:r>
    </w:p>
    <w:p w:rsidR="00111B3E" w:rsidRPr="00111B3E" w:rsidRDefault="00111B3E" w:rsidP="00111B3E">
      <w:r w:rsidRPr="00111B3E">
        <w:t>The studies all allowed for a second dose regimen of 10/5/5 to be given and the proposed PI allows for this, or surgery, at the discretion of the treating physician.</w:t>
      </w:r>
    </w:p>
    <w:p w:rsidR="008E7846" w:rsidRPr="00254787" w:rsidRDefault="008E7846" w:rsidP="008E7846">
      <w:pPr>
        <w:pStyle w:val="Heading3"/>
      </w:pPr>
      <w:bookmarkStart w:id="89" w:name="_Toc163441372"/>
      <w:bookmarkStart w:id="90" w:name="_Toc196046485"/>
      <w:bookmarkStart w:id="91" w:name="_Toc247691521"/>
      <w:bookmarkStart w:id="92" w:name="_Toc314842504"/>
      <w:bookmarkStart w:id="93" w:name="_Toc499196218"/>
      <w:r w:rsidRPr="00254787">
        <w:t>Efficacy</w:t>
      </w:r>
      <w:bookmarkEnd w:id="89"/>
      <w:bookmarkEnd w:id="90"/>
      <w:bookmarkEnd w:id="91"/>
      <w:bookmarkEnd w:id="92"/>
      <w:bookmarkEnd w:id="93"/>
    </w:p>
    <w:p w:rsidR="00605AD4" w:rsidRDefault="00605AD4" w:rsidP="00605AD4">
      <w:pPr>
        <w:pStyle w:val="Heading4"/>
      </w:pPr>
      <w:bookmarkStart w:id="94" w:name="_Toc184439992"/>
      <w:bookmarkStart w:id="95" w:name="_Toc184440279"/>
      <w:bookmarkStart w:id="96" w:name="_Toc184444657"/>
      <w:bookmarkStart w:id="97" w:name="_Toc196046487"/>
      <w:r>
        <w:t>Studies providing efficacy data</w:t>
      </w:r>
    </w:p>
    <w:p w:rsidR="00111B3E" w:rsidRPr="00111B3E" w:rsidRDefault="00111B3E" w:rsidP="00111B3E">
      <w:r w:rsidRPr="00111B3E">
        <w:t>The studies providing evaluable efficacy data are:</w:t>
      </w:r>
    </w:p>
    <w:p w:rsidR="00111B3E" w:rsidRPr="00111B3E" w:rsidRDefault="00111B3E" w:rsidP="00111B3E">
      <w:pPr>
        <w:pStyle w:val="ListBullet"/>
      </w:pPr>
      <w:r w:rsidRPr="00111B3E">
        <w:t>Pivotal Study</w:t>
      </w:r>
    </w:p>
    <w:p w:rsidR="00111B3E" w:rsidRPr="00111B3E" w:rsidRDefault="00111B3E" w:rsidP="00111B3E">
      <w:pPr>
        <w:pStyle w:val="ListBullet2"/>
      </w:pPr>
      <w:r w:rsidRPr="00111B3E">
        <w:t>Study IBU/PROPHYL/2000 – curative group: Multicentre Controlled Randomised Study to Compare the Effect of Prophylactic versus Curative Administration of Intravenous-Ibuprofen on the Incidence of Surgical Ligations of Patent Ductus Arteriosus in Preterm Newborn Less than 28 Weeks’ Gestational Age.</w:t>
      </w:r>
    </w:p>
    <w:p w:rsidR="00111B3E" w:rsidRPr="00111B3E" w:rsidRDefault="00111B3E" w:rsidP="00111B3E">
      <w:pPr>
        <w:pStyle w:val="ListBullet"/>
      </w:pPr>
      <w:r w:rsidRPr="00111B3E">
        <w:t>Other studies</w:t>
      </w:r>
    </w:p>
    <w:p w:rsidR="00111B3E" w:rsidRPr="00111B3E" w:rsidRDefault="00111B3E" w:rsidP="00111B3E">
      <w:pPr>
        <w:pStyle w:val="ListBullet2"/>
      </w:pPr>
      <w:r w:rsidRPr="00111B3E">
        <w:t>Study IBU/PROPHYL/2000 – prophylactic group: Multicentre Controlled Randomised Study to Compare the Effect of Prophylactic Versus Curative Administration of Intravenous Ibuprofen on the Incidence of Surgical Ligations of Patent Ductus Arteriosus in Preterm Newborn Less than 28 Weeks’ Gestational Age.</w:t>
      </w:r>
    </w:p>
    <w:p w:rsidR="00111B3E" w:rsidRPr="00111B3E" w:rsidRDefault="00111B3E" w:rsidP="00111B3E">
      <w:pPr>
        <w:pStyle w:val="ListBullet2"/>
      </w:pPr>
      <w:r w:rsidRPr="00111B3E">
        <w:t xml:space="preserve">Study Long Term FU: Long Term Follow-Up of Premature Infants: Indomethacin </w:t>
      </w:r>
      <w:r w:rsidR="002E6FAF">
        <w:t>versus</w:t>
      </w:r>
      <w:r w:rsidRPr="00111B3E">
        <w:t xml:space="preserve"> Ibuprofen - Retrospective Analysis of 182 Cases.</w:t>
      </w:r>
    </w:p>
    <w:p w:rsidR="00111B3E" w:rsidRPr="00111B3E" w:rsidRDefault="00111B3E" w:rsidP="00111B3E">
      <w:pPr>
        <w:pStyle w:val="ListBullet2"/>
      </w:pPr>
      <w:r w:rsidRPr="00111B3E">
        <w:t>Study IBU/20 mg/2009: Multicentre Open-Label Pilot Study to Evaluate the Safety, Pharmacology and Efficacy of a New Dose Regimen (</w:t>
      </w:r>
      <w:proofErr w:type="spellStart"/>
      <w:r w:rsidRPr="00111B3E">
        <w:t>ie</w:t>
      </w:r>
      <w:proofErr w:type="spellEnd"/>
      <w:r w:rsidRPr="00111B3E">
        <w:t>, 20-10-10 mg/kg) of Pedea (Intravenous Ibuprofen) in Preterm Newborn Infants of Less than 28 Weeks of Gestation.</w:t>
      </w:r>
    </w:p>
    <w:p w:rsidR="008E7846" w:rsidRDefault="00605AD4" w:rsidP="00605AD4">
      <w:pPr>
        <w:pStyle w:val="Heading4"/>
      </w:pPr>
      <w:r>
        <w:lastRenderedPageBreak/>
        <w:t>Evaluator’s conclusions on efficacy</w:t>
      </w:r>
    </w:p>
    <w:p w:rsidR="007877B3" w:rsidRPr="007877B3" w:rsidRDefault="007877B3" w:rsidP="007877B3">
      <w:r w:rsidRPr="007877B3">
        <w:t>In Europe</w:t>
      </w:r>
      <w:r>
        <w:t>,</w:t>
      </w:r>
      <w:r w:rsidRPr="007877B3">
        <w:t xml:space="preserve"> the sponsor relied on efficacy data reported in the published literature by submitting a mixed dossier (clinical studies a</w:t>
      </w:r>
      <w:r w:rsidR="00890FE3">
        <w:t>nd literature). T</w:t>
      </w:r>
      <w:r w:rsidRPr="007877B3">
        <w:t>his was not done in Australia where the submission contained only clinical studies and published studies were included only as l</w:t>
      </w:r>
      <w:r w:rsidR="00E70402">
        <w:t>iterature references</w:t>
      </w:r>
      <w:r w:rsidRPr="007877B3">
        <w:t>.</w:t>
      </w:r>
    </w:p>
    <w:p w:rsidR="007877B3" w:rsidRPr="007877B3" w:rsidRDefault="007877B3" w:rsidP="007877B3">
      <w:r w:rsidRPr="007877B3">
        <w:t>The submitted efficacy studies were fairly old, being conducted in the range 2000 to 2004 and reflecting medical management applicable at that time in Europe.</w:t>
      </w:r>
    </w:p>
    <w:p w:rsidR="007877B3" w:rsidRPr="007877B3" w:rsidRDefault="007877B3" w:rsidP="007877B3">
      <w:r w:rsidRPr="007877B3">
        <w:t>This raises difficulties when it comes to conclusive data on efficacy. All the studies submitted in support of efficacy have strong limitations mostly reflecting the small number of patients, age of the studies and the primary objective of most of the studies being safety.</w:t>
      </w:r>
    </w:p>
    <w:p w:rsidR="007877B3" w:rsidRPr="007877B3" w:rsidRDefault="007877B3" w:rsidP="007877B3">
      <w:r w:rsidRPr="007877B3">
        <w:t>The efficacy data suggests that the success rate of ibuprofen (10/5/5 regimen) in treating PDA is about 50% for the total GA range of 24 to 28 weeks but is probably lower in the lower GA range (24-26 weeks) who may need a higher dose. The results may also be variable depending on the context of the medical management at the treating medical centres. This response rate may be low compared to that reported in the literature (stated in the Clinical Overview to be ~75% based on a review of 15 published trials).</w:t>
      </w:r>
    </w:p>
    <w:p w:rsidR="007877B3" w:rsidRPr="007877B3" w:rsidRDefault="007877B3" w:rsidP="007877B3">
      <w:r w:rsidRPr="007877B3">
        <w:t>It is disappointing that the sponsor did not include a prospective comparative study with indomethacin. The Cochrane review repeatedly found no significant difference between indomethacin and ibuprofen (based on total of 20 published studies).</w:t>
      </w:r>
    </w:p>
    <w:p w:rsidR="008E7846" w:rsidRPr="002E238E" w:rsidRDefault="008E7846" w:rsidP="008E7846">
      <w:pPr>
        <w:pStyle w:val="Heading3"/>
      </w:pPr>
      <w:bookmarkStart w:id="98" w:name="_Toc163441378"/>
      <w:bookmarkStart w:id="99" w:name="_Toc196046495"/>
      <w:bookmarkStart w:id="100" w:name="_Toc247691522"/>
      <w:bookmarkStart w:id="101" w:name="_Toc314842505"/>
      <w:bookmarkStart w:id="102" w:name="_Toc499196219"/>
      <w:bookmarkEnd w:id="94"/>
      <w:bookmarkEnd w:id="95"/>
      <w:bookmarkEnd w:id="96"/>
      <w:bookmarkEnd w:id="97"/>
      <w:r w:rsidRPr="002E238E">
        <w:t>Safety</w:t>
      </w:r>
      <w:bookmarkEnd w:id="98"/>
      <w:bookmarkEnd w:id="99"/>
      <w:bookmarkEnd w:id="100"/>
      <w:bookmarkEnd w:id="101"/>
      <w:bookmarkEnd w:id="102"/>
    </w:p>
    <w:p w:rsidR="00605AD4" w:rsidRDefault="00605AD4" w:rsidP="00605AD4">
      <w:pPr>
        <w:pStyle w:val="Heading4"/>
      </w:pPr>
      <w:bookmarkStart w:id="103" w:name="_Toc247691524"/>
      <w:bookmarkStart w:id="104" w:name="_Toc314842508"/>
      <w:bookmarkStart w:id="105" w:name="_Toc196046504"/>
      <w:bookmarkStart w:id="106" w:name="_Toc163441390"/>
      <w:r w:rsidRPr="00605AD4">
        <w:t>Studies providing safety data</w:t>
      </w:r>
    </w:p>
    <w:p w:rsidR="00E70402" w:rsidRPr="00C3572A" w:rsidRDefault="00E70402" w:rsidP="00E70402">
      <w:pPr>
        <w:pStyle w:val="Heading5"/>
      </w:pPr>
      <w:bookmarkStart w:id="107" w:name="_Toc421005275"/>
      <w:bookmarkStart w:id="108" w:name="_Toc432079157"/>
      <w:bookmarkStart w:id="109" w:name="_Toc432080730"/>
      <w:r>
        <w:t>P</w:t>
      </w:r>
      <w:r w:rsidRPr="00C3572A">
        <w:t>ivotal studies that assessed safety as the sole primary outcome</w:t>
      </w:r>
      <w:bookmarkEnd w:id="107"/>
      <w:bookmarkEnd w:id="108"/>
      <w:bookmarkEnd w:id="109"/>
    </w:p>
    <w:p w:rsidR="00E70402" w:rsidRPr="00E70402" w:rsidRDefault="00E70402" w:rsidP="00E70402">
      <w:pPr>
        <w:pStyle w:val="ListBullet"/>
      </w:pPr>
      <w:bookmarkStart w:id="110" w:name="_Ref268776745"/>
      <w:bookmarkStart w:id="111" w:name="_Toc421005276"/>
      <w:bookmarkStart w:id="112" w:name="_Toc432079158"/>
      <w:bookmarkStart w:id="113" w:name="_Toc432080731"/>
      <w:r w:rsidRPr="00E70402">
        <w:t>Study IBU/Survey</w:t>
      </w:r>
    </w:p>
    <w:p w:rsidR="00E70402" w:rsidRPr="00545B14" w:rsidRDefault="00E70402" w:rsidP="00E70402">
      <w:pPr>
        <w:pStyle w:val="Heading5"/>
      </w:pPr>
      <w:r w:rsidRPr="00545B14">
        <w:t xml:space="preserve">Pivotal </w:t>
      </w:r>
      <w:r>
        <w:t xml:space="preserve">and/or main </w:t>
      </w:r>
      <w:r w:rsidRPr="00545B14">
        <w:t>efficacy studies</w:t>
      </w:r>
      <w:bookmarkEnd w:id="110"/>
      <w:bookmarkEnd w:id="111"/>
      <w:bookmarkEnd w:id="112"/>
      <w:bookmarkEnd w:id="113"/>
    </w:p>
    <w:p w:rsidR="00E70402" w:rsidRDefault="00E70402" w:rsidP="00E70402">
      <w:pPr>
        <w:pStyle w:val="ListBullet"/>
        <w:rPr>
          <w:lang w:eastAsia="ja-JP"/>
        </w:rPr>
      </w:pPr>
      <w:bookmarkStart w:id="114" w:name="_Toc421005277"/>
      <w:bookmarkStart w:id="115" w:name="_Toc432079159"/>
      <w:bookmarkStart w:id="116" w:name="_Toc432080732"/>
      <w:r>
        <w:rPr>
          <w:lang w:eastAsia="ja-JP"/>
        </w:rPr>
        <w:t>Study IBU/PROPHYL/2000 (curative group)</w:t>
      </w:r>
    </w:p>
    <w:p w:rsidR="00E70402" w:rsidRDefault="00E70402" w:rsidP="00E70402">
      <w:pPr>
        <w:pStyle w:val="Heading5"/>
      </w:pPr>
      <w:r>
        <w:t>Other</w:t>
      </w:r>
      <w:r w:rsidRPr="00545B14">
        <w:t xml:space="preserve"> studies</w:t>
      </w:r>
      <w:bookmarkEnd w:id="114"/>
      <w:bookmarkEnd w:id="115"/>
      <w:bookmarkEnd w:id="116"/>
    </w:p>
    <w:p w:rsidR="00E70402" w:rsidRPr="00073FEC" w:rsidRDefault="00E70402" w:rsidP="00E70402">
      <w:pPr>
        <w:pStyle w:val="Heading6"/>
      </w:pPr>
      <w:r w:rsidRPr="00073FEC">
        <w:t>Other efficacy studies</w:t>
      </w:r>
    </w:p>
    <w:p w:rsidR="00E70402" w:rsidRDefault="00E70402" w:rsidP="00E70402">
      <w:pPr>
        <w:pStyle w:val="ListBullet"/>
        <w:rPr>
          <w:lang w:eastAsia="ja-JP"/>
        </w:rPr>
      </w:pPr>
      <w:r>
        <w:rPr>
          <w:lang w:eastAsia="ja-JP"/>
        </w:rPr>
        <w:t>Study IBU/PROPHYL/2000 (prophylactic group)</w:t>
      </w:r>
    </w:p>
    <w:p w:rsidR="00E70402" w:rsidRDefault="00E70402" w:rsidP="00E70402">
      <w:pPr>
        <w:pStyle w:val="ListBullet"/>
        <w:rPr>
          <w:lang w:eastAsia="ja-JP"/>
        </w:rPr>
      </w:pPr>
      <w:r>
        <w:rPr>
          <w:lang w:eastAsia="ja-JP"/>
        </w:rPr>
        <w:t>Study Long Term FU</w:t>
      </w:r>
    </w:p>
    <w:p w:rsidR="00E70402" w:rsidRDefault="00E70402" w:rsidP="00E70402">
      <w:pPr>
        <w:pStyle w:val="ListBullet"/>
        <w:rPr>
          <w:lang w:eastAsia="ja-JP"/>
        </w:rPr>
      </w:pPr>
      <w:r>
        <w:rPr>
          <w:lang w:eastAsia="ja-JP"/>
        </w:rPr>
        <w:t>Study IBU/20mg/2009</w:t>
      </w:r>
    </w:p>
    <w:p w:rsidR="00E70402" w:rsidRPr="00073FEC" w:rsidRDefault="00E70402" w:rsidP="00E70402">
      <w:pPr>
        <w:pStyle w:val="Heading6"/>
      </w:pPr>
      <w:r w:rsidRPr="00073FEC">
        <w:t xml:space="preserve">Studies with evaluable safety data: dose finding and pharmacology </w:t>
      </w:r>
    </w:p>
    <w:p w:rsidR="00E70402" w:rsidRDefault="00E70402" w:rsidP="00E70402">
      <w:pPr>
        <w:pStyle w:val="ListBullet"/>
        <w:rPr>
          <w:lang w:eastAsia="ja-JP"/>
        </w:rPr>
      </w:pPr>
      <w:r>
        <w:rPr>
          <w:lang w:eastAsia="ja-JP"/>
        </w:rPr>
        <w:t>Study IBU/99/</w:t>
      </w:r>
      <w:proofErr w:type="spellStart"/>
      <w:r>
        <w:rPr>
          <w:lang w:eastAsia="ja-JP"/>
        </w:rPr>
        <w:t>DoseRange</w:t>
      </w:r>
      <w:proofErr w:type="spellEnd"/>
    </w:p>
    <w:p w:rsidR="00E70402" w:rsidRDefault="00E70402" w:rsidP="00E70402">
      <w:pPr>
        <w:pStyle w:val="ListBullet"/>
        <w:rPr>
          <w:lang w:eastAsia="ja-JP"/>
        </w:rPr>
      </w:pPr>
      <w:r>
        <w:rPr>
          <w:lang w:eastAsia="ja-JP"/>
        </w:rPr>
        <w:t>Study P000241</w:t>
      </w:r>
    </w:p>
    <w:p w:rsidR="00E70402" w:rsidRDefault="00E70402" w:rsidP="00E70402">
      <w:pPr>
        <w:pStyle w:val="ListBullet"/>
        <w:rPr>
          <w:lang w:eastAsia="ja-JP"/>
        </w:rPr>
      </w:pPr>
      <w:r>
        <w:rPr>
          <w:lang w:eastAsia="ja-JP"/>
        </w:rPr>
        <w:t>Study 9-33/93</w:t>
      </w:r>
    </w:p>
    <w:p w:rsidR="00E70402" w:rsidRDefault="00E70402" w:rsidP="00E70402">
      <w:pPr>
        <w:pStyle w:val="ListBullet"/>
        <w:rPr>
          <w:lang w:eastAsia="ja-JP"/>
        </w:rPr>
      </w:pPr>
      <w:r>
        <w:rPr>
          <w:lang w:eastAsia="ja-JP"/>
        </w:rPr>
        <w:t>Study IBU/BILICLIN 04</w:t>
      </w:r>
    </w:p>
    <w:p w:rsidR="00E70402" w:rsidRDefault="00E70402" w:rsidP="00E70402">
      <w:pPr>
        <w:pStyle w:val="ListBullet"/>
        <w:rPr>
          <w:lang w:eastAsia="ja-JP"/>
        </w:rPr>
      </w:pPr>
      <w:r>
        <w:rPr>
          <w:lang w:eastAsia="ja-JP"/>
        </w:rPr>
        <w:t>Study IBU/GER/2003</w:t>
      </w:r>
    </w:p>
    <w:p w:rsidR="00E70402" w:rsidRDefault="00E70402" w:rsidP="00E70402">
      <w:pPr>
        <w:pStyle w:val="Heading6"/>
      </w:pPr>
      <w:r w:rsidRPr="00073FEC">
        <w:t>Studies evaluable for safety only</w:t>
      </w:r>
    </w:p>
    <w:p w:rsidR="00E70402" w:rsidRDefault="00E70402" w:rsidP="00E70402">
      <w:pPr>
        <w:jc w:val="both"/>
        <w:rPr>
          <w:lang w:eastAsia="ja-JP"/>
        </w:rPr>
      </w:pPr>
      <w:r>
        <w:rPr>
          <w:lang w:eastAsia="ja-JP"/>
        </w:rPr>
        <w:t>Not applicable.</w:t>
      </w:r>
    </w:p>
    <w:p w:rsidR="00605AD4" w:rsidRDefault="00605AD4" w:rsidP="00605AD4">
      <w:pPr>
        <w:pStyle w:val="Heading4"/>
      </w:pPr>
      <w:r w:rsidRPr="00605AD4">
        <w:lastRenderedPageBreak/>
        <w:t>Patient exposure</w:t>
      </w:r>
    </w:p>
    <w:p w:rsidR="00232A97" w:rsidRDefault="00E70402" w:rsidP="00232A97">
      <w:r>
        <w:t>See Tables 4-6 for patient exposure.</w:t>
      </w:r>
    </w:p>
    <w:p w:rsidR="00E70402" w:rsidRPr="008D7E2D" w:rsidRDefault="008D7E2D" w:rsidP="008C678E">
      <w:pPr>
        <w:pStyle w:val="TableTitle"/>
      </w:pPr>
      <w:bookmarkStart w:id="117" w:name="_Toc454981328"/>
      <w:r>
        <w:t xml:space="preserve">Table 4: </w:t>
      </w:r>
      <w:r w:rsidR="00E70402" w:rsidRPr="008D7E2D">
        <w:t>Estimated cumulative subject exposure to Pedea from clinical trials (29 July 2004 to 30 July 2014)</w:t>
      </w:r>
      <w:bookmarkEnd w:id="117"/>
      <w:r w:rsidR="008C678E">
        <w:t>.</w:t>
      </w:r>
    </w:p>
    <w:p w:rsidR="00E70402" w:rsidRDefault="00E70402" w:rsidP="00E70402">
      <w:pPr>
        <w:keepNext/>
        <w:autoSpaceDE w:val="0"/>
        <w:autoSpaceDN w:val="0"/>
        <w:adjustRightInd w:val="0"/>
        <w:spacing w:before="9" w:after="0" w:line="30" w:lineRule="exact"/>
        <w:rPr>
          <w:rFonts w:ascii="Times New Roman" w:hAnsi="Times New Roman"/>
          <w:sz w:val="3"/>
          <w:szCs w:val="3"/>
        </w:rPr>
      </w:pPr>
    </w:p>
    <w:tbl>
      <w:tblPr>
        <w:tblStyle w:val="TableGrid"/>
        <w:tblW w:w="8786" w:type="dxa"/>
        <w:tblLayout w:type="fixed"/>
        <w:tblLook w:val="0000" w:firstRow="0" w:lastRow="0" w:firstColumn="0" w:lastColumn="0" w:noHBand="0" w:noVBand="0"/>
        <w:tblDescription w:val="Table 4: Estimated cumulative subject exposure to Pedea from clinical trials (29 July 2004 to 30 July 2014)."/>
      </w:tblPr>
      <w:tblGrid>
        <w:gridCol w:w="2381"/>
        <w:gridCol w:w="1587"/>
        <w:gridCol w:w="1810"/>
        <w:gridCol w:w="1421"/>
        <w:gridCol w:w="1587"/>
      </w:tblGrid>
      <w:tr w:rsidR="00E70402" w:rsidRPr="0029095B" w:rsidTr="00DD6469">
        <w:trPr>
          <w:trHeight w:hRule="exact" w:val="454"/>
          <w:tblHeader/>
        </w:trPr>
        <w:tc>
          <w:tcPr>
            <w:tcW w:w="2381" w:type="dxa"/>
            <w:vAlign w:val="center"/>
          </w:tcPr>
          <w:p w:rsidR="00E70402" w:rsidRPr="005D7BEE" w:rsidRDefault="00E70402" w:rsidP="005D7BEE">
            <w:pPr>
              <w:pStyle w:val="TableHeading"/>
              <w:rPr>
                <w:b/>
                <w:color w:val="auto"/>
              </w:rPr>
            </w:pPr>
            <w:r w:rsidRPr="005D7BEE">
              <w:rPr>
                <w:b/>
                <w:color w:val="auto"/>
              </w:rPr>
              <w:t>Study</w:t>
            </w:r>
          </w:p>
        </w:tc>
        <w:tc>
          <w:tcPr>
            <w:tcW w:w="1587" w:type="dxa"/>
            <w:vAlign w:val="center"/>
          </w:tcPr>
          <w:p w:rsidR="00E70402" w:rsidRPr="005D7BEE" w:rsidRDefault="00E70402" w:rsidP="005D7BEE">
            <w:pPr>
              <w:pStyle w:val="TableHeading"/>
              <w:rPr>
                <w:b/>
                <w:color w:val="auto"/>
              </w:rPr>
            </w:pPr>
            <w:r w:rsidRPr="005D7BEE">
              <w:rPr>
                <w:b/>
                <w:color w:val="auto"/>
              </w:rPr>
              <w:t>Pedea</w:t>
            </w:r>
          </w:p>
        </w:tc>
        <w:tc>
          <w:tcPr>
            <w:tcW w:w="1810" w:type="dxa"/>
            <w:vAlign w:val="center"/>
          </w:tcPr>
          <w:p w:rsidR="00E70402" w:rsidRPr="005D7BEE" w:rsidRDefault="00E70402" w:rsidP="005D7BEE">
            <w:pPr>
              <w:pStyle w:val="TableHeading"/>
              <w:rPr>
                <w:b/>
                <w:color w:val="auto"/>
              </w:rPr>
            </w:pPr>
            <w:r w:rsidRPr="005D7BEE">
              <w:rPr>
                <w:b/>
                <w:color w:val="auto"/>
              </w:rPr>
              <w:t>C</w:t>
            </w:r>
            <w:r w:rsidRPr="005D7BEE">
              <w:rPr>
                <w:b/>
                <w:color w:val="auto"/>
                <w:spacing w:val="4"/>
              </w:rPr>
              <w:t>o</w:t>
            </w:r>
            <w:r w:rsidRPr="005D7BEE">
              <w:rPr>
                <w:b/>
                <w:color w:val="auto"/>
                <w:spacing w:val="-3"/>
              </w:rPr>
              <w:t>m</w:t>
            </w:r>
            <w:r w:rsidRPr="005D7BEE">
              <w:rPr>
                <w:b/>
                <w:color w:val="auto"/>
              </w:rPr>
              <w:t>p</w:t>
            </w:r>
            <w:r w:rsidRPr="005D7BEE">
              <w:rPr>
                <w:b/>
                <w:color w:val="auto"/>
                <w:spacing w:val="1"/>
              </w:rPr>
              <w:t>a</w:t>
            </w:r>
            <w:r w:rsidRPr="005D7BEE">
              <w:rPr>
                <w:b/>
                <w:color w:val="auto"/>
              </w:rPr>
              <w:t>r</w:t>
            </w:r>
            <w:r w:rsidRPr="005D7BEE">
              <w:rPr>
                <w:b/>
                <w:color w:val="auto"/>
                <w:spacing w:val="1"/>
              </w:rPr>
              <w:t>ato</w:t>
            </w:r>
            <w:r w:rsidRPr="005D7BEE">
              <w:rPr>
                <w:b/>
                <w:color w:val="auto"/>
              </w:rPr>
              <w:t>r</w:t>
            </w:r>
          </w:p>
          <w:p w:rsidR="00E70402" w:rsidRPr="005D7BEE" w:rsidRDefault="00E70402" w:rsidP="005D7BEE">
            <w:pPr>
              <w:pStyle w:val="TableHeading"/>
              <w:rPr>
                <w:b/>
                <w:color w:val="auto"/>
              </w:rPr>
            </w:pPr>
            <w:r w:rsidRPr="005D7BEE">
              <w:rPr>
                <w:b/>
                <w:color w:val="auto"/>
                <w:spacing w:val="1"/>
              </w:rPr>
              <w:t>(</w:t>
            </w:r>
            <w:r w:rsidRPr="005D7BEE">
              <w:rPr>
                <w:b/>
                <w:color w:val="auto"/>
                <w:spacing w:val="-1"/>
              </w:rPr>
              <w:t>I</w:t>
            </w:r>
            <w:r w:rsidRPr="005D7BEE">
              <w:rPr>
                <w:b/>
                <w:color w:val="auto"/>
              </w:rPr>
              <w:t>n</w:t>
            </w:r>
            <w:r w:rsidRPr="005D7BEE">
              <w:rPr>
                <w:b/>
                <w:color w:val="auto"/>
                <w:spacing w:val="-1"/>
              </w:rPr>
              <w:t>d</w:t>
            </w:r>
            <w:r w:rsidRPr="005D7BEE">
              <w:rPr>
                <w:b/>
                <w:color w:val="auto"/>
                <w:spacing w:val="3"/>
              </w:rPr>
              <w:t>o</w:t>
            </w:r>
            <w:r w:rsidRPr="005D7BEE">
              <w:rPr>
                <w:b/>
                <w:color w:val="auto"/>
                <w:spacing w:val="-3"/>
              </w:rPr>
              <w:t>m</w:t>
            </w:r>
            <w:r w:rsidRPr="005D7BEE">
              <w:rPr>
                <w:b/>
                <w:color w:val="auto"/>
              </w:rPr>
              <w:t>e</w:t>
            </w:r>
            <w:r w:rsidRPr="005D7BEE">
              <w:rPr>
                <w:b/>
                <w:color w:val="auto"/>
                <w:spacing w:val="1"/>
              </w:rPr>
              <w:t>t</w:t>
            </w:r>
            <w:r w:rsidRPr="005D7BEE">
              <w:rPr>
                <w:b/>
                <w:color w:val="auto"/>
              </w:rPr>
              <w:t>h</w:t>
            </w:r>
            <w:r w:rsidRPr="005D7BEE">
              <w:rPr>
                <w:b/>
                <w:color w:val="auto"/>
                <w:spacing w:val="1"/>
              </w:rPr>
              <w:t>a</w:t>
            </w:r>
            <w:r w:rsidRPr="005D7BEE">
              <w:rPr>
                <w:b/>
                <w:color w:val="auto"/>
              </w:rPr>
              <w:t>cin</w:t>
            </w:r>
            <w:r w:rsidR="0029095B" w:rsidRPr="005D7BEE">
              <w:rPr>
                <w:b/>
                <w:color w:val="auto"/>
              </w:rPr>
              <w:t>)</w:t>
            </w:r>
          </w:p>
        </w:tc>
        <w:tc>
          <w:tcPr>
            <w:tcW w:w="1421" w:type="dxa"/>
            <w:vAlign w:val="center"/>
          </w:tcPr>
          <w:p w:rsidR="00E70402" w:rsidRPr="005D7BEE" w:rsidRDefault="00E70402" w:rsidP="005D7BEE">
            <w:pPr>
              <w:pStyle w:val="TableHeading"/>
              <w:rPr>
                <w:b/>
                <w:color w:val="auto"/>
              </w:rPr>
            </w:pPr>
            <w:r w:rsidRPr="005D7BEE">
              <w:rPr>
                <w:b/>
                <w:color w:val="auto"/>
              </w:rPr>
              <w:t>Pl</w:t>
            </w:r>
            <w:r w:rsidRPr="005D7BEE">
              <w:rPr>
                <w:b/>
                <w:color w:val="auto"/>
                <w:spacing w:val="1"/>
              </w:rPr>
              <w:t>a</w:t>
            </w:r>
            <w:r w:rsidRPr="005D7BEE">
              <w:rPr>
                <w:b/>
                <w:color w:val="auto"/>
              </w:rPr>
              <w:t>c</w:t>
            </w:r>
            <w:r w:rsidRPr="005D7BEE">
              <w:rPr>
                <w:b/>
                <w:color w:val="auto"/>
                <w:spacing w:val="1"/>
              </w:rPr>
              <w:t>e</w:t>
            </w:r>
            <w:r w:rsidRPr="005D7BEE">
              <w:rPr>
                <w:b/>
                <w:color w:val="auto"/>
              </w:rPr>
              <w:t>bo</w:t>
            </w:r>
          </w:p>
        </w:tc>
        <w:tc>
          <w:tcPr>
            <w:tcW w:w="1587" w:type="dxa"/>
            <w:vAlign w:val="center"/>
          </w:tcPr>
          <w:p w:rsidR="00E70402" w:rsidRPr="005D7BEE" w:rsidRDefault="00E70402" w:rsidP="005D7BEE">
            <w:pPr>
              <w:pStyle w:val="TableHeading"/>
              <w:rPr>
                <w:b/>
                <w:color w:val="auto"/>
              </w:rPr>
            </w:pPr>
            <w:r w:rsidRPr="005D7BEE">
              <w:rPr>
                <w:b/>
                <w:color w:val="auto"/>
                <w:spacing w:val="-1"/>
              </w:rPr>
              <w:t>T</w:t>
            </w:r>
            <w:r w:rsidRPr="005D7BEE">
              <w:rPr>
                <w:b/>
                <w:color w:val="auto"/>
                <w:spacing w:val="1"/>
              </w:rPr>
              <w:t>ota</w:t>
            </w:r>
            <w:r w:rsidRPr="005D7BEE">
              <w:rPr>
                <w:b/>
                <w:color w:val="auto"/>
              </w:rPr>
              <w:t>l</w:t>
            </w:r>
          </w:p>
        </w:tc>
      </w:tr>
      <w:tr w:rsidR="00E70402" w:rsidRPr="0029095B" w:rsidTr="005D7BEE">
        <w:trPr>
          <w:trHeight w:hRule="exact" w:val="283"/>
        </w:trPr>
        <w:tc>
          <w:tcPr>
            <w:tcW w:w="2381" w:type="dxa"/>
          </w:tcPr>
          <w:p w:rsidR="00E70402" w:rsidRPr="0029095B" w:rsidRDefault="00E70402" w:rsidP="005D7BEE">
            <w:pPr>
              <w:pStyle w:val="Tabletext"/>
            </w:pPr>
            <w:r w:rsidRPr="0029095B">
              <w:rPr>
                <w:spacing w:val="1"/>
              </w:rPr>
              <w:t>IB</w:t>
            </w:r>
            <w:r w:rsidRPr="0029095B">
              <w:t>U/</w:t>
            </w:r>
            <w:r w:rsidRPr="0029095B">
              <w:rPr>
                <w:spacing w:val="-2"/>
              </w:rPr>
              <w:t>L</w:t>
            </w:r>
            <w:r w:rsidRPr="0029095B">
              <w:rPr>
                <w:spacing w:val="3"/>
              </w:rPr>
              <w:t>T</w:t>
            </w:r>
            <w:r w:rsidRPr="0029095B">
              <w:t>/20</w:t>
            </w:r>
            <w:r w:rsidRPr="0029095B">
              <w:rPr>
                <w:spacing w:val="1"/>
              </w:rPr>
              <w:t>0</w:t>
            </w:r>
            <w:r w:rsidRPr="0029095B">
              <w:t>4</w:t>
            </w:r>
          </w:p>
        </w:tc>
        <w:tc>
          <w:tcPr>
            <w:tcW w:w="1587" w:type="dxa"/>
          </w:tcPr>
          <w:p w:rsidR="00E70402" w:rsidRPr="0029095B" w:rsidRDefault="00E70402" w:rsidP="005D7BEE">
            <w:pPr>
              <w:pStyle w:val="Tabletext"/>
              <w:jc w:val="center"/>
            </w:pPr>
            <w:r w:rsidRPr="0029095B">
              <w:rPr>
                <w:spacing w:val="1"/>
              </w:rPr>
              <w:t>93</w:t>
            </w:r>
          </w:p>
        </w:tc>
        <w:tc>
          <w:tcPr>
            <w:tcW w:w="1810" w:type="dxa"/>
          </w:tcPr>
          <w:p w:rsidR="00E70402" w:rsidRPr="0029095B" w:rsidRDefault="00E70402" w:rsidP="005D7BEE">
            <w:pPr>
              <w:pStyle w:val="Tabletext"/>
              <w:jc w:val="center"/>
            </w:pPr>
            <w:r w:rsidRPr="0029095B">
              <w:rPr>
                <w:spacing w:val="1"/>
              </w:rPr>
              <w:t>89</w:t>
            </w:r>
          </w:p>
        </w:tc>
        <w:tc>
          <w:tcPr>
            <w:tcW w:w="1421" w:type="dxa"/>
          </w:tcPr>
          <w:p w:rsidR="00E70402" w:rsidRPr="0029095B" w:rsidRDefault="00E70402" w:rsidP="005D7BEE">
            <w:pPr>
              <w:pStyle w:val="Tabletext"/>
              <w:jc w:val="center"/>
            </w:pPr>
            <w:r w:rsidRPr="0029095B">
              <w:t>0</w:t>
            </w:r>
          </w:p>
        </w:tc>
        <w:tc>
          <w:tcPr>
            <w:tcW w:w="1587" w:type="dxa"/>
          </w:tcPr>
          <w:p w:rsidR="00E70402" w:rsidRPr="0029095B" w:rsidRDefault="00E70402" w:rsidP="005D7BEE">
            <w:pPr>
              <w:pStyle w:val="Tabletext"/>
              <w:jc w:val="center"/>
            </w:pPr>
            <w:r w:rsidRPr="0029095B">
              <w:rPr>
                <w:spacing w:val="1"/>
              </w:rPr>
              <w:t>182</w:t>
            </w:r>
          </w:p>
        </w:tc>
      </w:tr>
      <w:tr w:rsidR="00E70402" w:rsidRPr="0029095B" w:rsidTr="005D7BEE">
        <w:trPr>
          <w:trHeight w:hRule="exact" w:val="283"/>
        </w:trPr>
        <w:tc>
          <w:tcPr>
            <w:tcW w:w="2381" w:type="dxa"/>
          </w:tcPr>
          <w:p w:rsidR="00E70402" w:rsidRPr="0029095B" w:rsidRDefault="00E70402" w:rsidP="005D7BEE">
            <w:pPr>
              <w:pStyle w:val="Tabletext"/>
            </w:pPr>
            <w:r w:rsidRPr="0029095B">
              <w:rPr>
                <w:spacing w:val="1"/>
              </w:rPr>
              <w:t>IB</w:t>
            </w:r>
            <w:r w:rsidRPr="0029095B">
              <w:t>U/</w:t>
            </w:r>
            <w:r w:rsidRPr="0029095B">
              <w:rPr>
                <w:spacing w:val="1"/>
              </w:rPr>
              <w:t>BI</w:t>
            </w:r>
            <w:r w:rsidRPr="0029095B">
              <w:rPr>
                <w:spacing w:val="-2"/>
              </w:rPr>
              <w:t>L</w:t>
            </w:r>
            <w:r w:rsidRPr="0029095B">
              <w:rPr>
                <w:spacing w:val="1"/>
              </w:rPr>
              <w:t>I</w:t>
            </w:r>
            <w:r w:rsidRPr="0029095B">
              <w:rPr>
                <w:spacing w:val="-1"/>
              </w:rPr>
              <w:t>C</w:t>
            </w:r>
            <w:r w:rsidRPr="0029095B">
              <w:rPr>
                <w:spacing w:val="-2"/>
              </w:rPr>
              <w:t>L</w:t>
            </w:r>
            <w:r w:rsidRPr="0029095B">
              <w:rPr>
                <w:spacing w:val="1"/>
              </w:rPr>
              <w:t>I</w:t>
            </w:r>
            <w:r w:rsidRPr="0029095B">
              <w:t>N/20</w:t>
            </w:r>
            <w:r w:rsidRPr="0029095B">
              <w:rPr>
                <w:spacing w:val="1"/>
              </w:rPr>
              <w:t>0</w:t>
            </w:r>
            <w:r w:rsidRPr="0029095B">
              <w:t>4</w:t>
            </w:r>
          </w:p>
        </w:tc>
        <w:tc>
          <w:tcPr>
            <w:tcW w:w="1587" w:type="dxa"/>
          </w:tcPr>
          <w:p w:rsidR="00E70402" w:rsidRPr="0029095B" w:rsidRDefault="00E70402" w:rsidP="005D7BEE">
            <w:pPr>
              <w:pStyle w:val="Tabletext"/>
              <w:jc w:val="center"/>
            </w:pPr>
            <w:r w:rsidRPr="0029095B">
              <w:rPr>
                <w:spacing w:val="1"/>
              </w:rPr>
              <w:t>34</w:t>
            </w:r>
          </w:p>
        </w:tc>
        <w:tc>
          <w:tcPr>
            <w:tcW w:w="1810" w:type="dxa"/>
          </w:tcPr>
          <w:p w:rsidR="00E70402" w:rsidRPr="0029095B" w:rsidRDefault="00E70402" w:rsidP="005D7BEE">
            <w:pPr>
              <w:pStyle w:val="Tabletext"/>
              <w:jc w:val="center"/>
            </w:pPr>
            <w:r w:rsidRPr="0029095B">
              <w:t>0</w:t>
            </w:r>
          </w:p>
        </w:tc>
        <w:tc>
          <w:tcPr>
            <w:tcW w:w="1421" w:type="dxa"/>
          </w:tcPr>
          <w:p w:rsidR="00E70402" w:rsidRPr="0029095B" w:rsidRDefault="00E70402" w:rsidP="005D7BEE">
            <w:pPr>
              <w:pStyle w:val="Tabletext"/>
              <w:jc w:val="center"/>
            </w:pPr>
            <w:r w:rsidRPr="0029095B">
              <w:t>0</w:t>
            </w:r>
          </w:p>
        </w:tc>
        <w:tc>
          <w:tcPr>
            <w:tcW w:w="1587" w:type="dxa"/>
          </w:tcPr>
          <w:p w:rsidR="00E70402" w:rsidRPr="0029095B" w:rsidRDefault="00E70402" w:rsidP="005D7BEE">
            <w:pPr>
              <w:pStyle w:val="Tabletext"/>
              <w:jc w:val="center"/>
            </w:pPr>
            <w:r w:rsidRPr="0029095B">
              <w:rPr>
                <w:spacing w:val="1"/>
              </w:rPr>
              <w:t>34</w:t>
            </w:r>
          </w:p>
        </w:tc>
      </w:tr>
      <w:tr w:rsidR="00E70402" w:rsidRPr="0029095B" w:rsidTr="005D7BEE">
        <w:trPr>
          <w:trHeight w:hRule="exact" w:val="283"/>
        </w:trPr>
        <w:tc>
          <w:tcPr>
            <w:tcW w:w="2381" w:type="dxa"/>
          </w:tcPr>
          <w:p w:rsidR="00E70402" w:rsidRPr="0029095B" w:rsidRDefault="00E70402" w:rsidP="005D7BEE">
            <w:pPr>
              <w:pStyle w:val="Tabletext"/>
            </w:pPr>
            <w:r w:rsidRPr="0029095B">
              <w:rPr>
                <w:spacing w:val="1"/>
              </w:rPr>
              <w:t>IB</w:t>
            </w:r>
            <w:r w:rsidRPr="0029095B">
              <w:t>U/</w:t>
            </w:r>
            <w:r w:rsidRPr="0029095B">
              <w:rPr>
                <w:spacing w:val="1"/>
              </w:rPr>
              <w:t>20</w:t>
            </w:r>
            <w:r w:rsidRPr="0029095B">
              <w:rPr>
                <w:spacing w:val="-1"/>
              </w:rPr>
              <w:t>mg</w:t>
            </w:r>
            <w:r w:rsidRPr="0029095B">
              <w:t>/</w:t>
            </w:r>
            <w:r w:rsidRPr="0029095B">
              <w:rPr>
                <w:spacing w:val="1"/>
              </w:rPr>
              <w:t>200</w:t>
            </w:r>
            <w:r w:rsidRPr="0029095B">
              <w:t>9</w:t>
            </w:r>
          </w:p>
        </w:tc>
        <w:tc>
          <w:tcPr>
            <w:tcW w:w="1587" w:type="dxa"/>
          </w:tcPr>
          <w:p w:rsidR="00E70402" w:rsidRPr="0029095B" w:rsidRDefault="00E70402" w:rsidP="005D7BEE">
            <w:pPr>
              <w:pStyle w:val="Tabletext"/>
              <w:jc w:val="center"/>
            </w:pPr>
            <w:r w:rsidRPr="0029095B">
              <w:rPr>
                <w:spacing w:val="1"/>
              </w:rPr>
              <w:t>23</w:t>
            </w:r>
          </w:p>
        </w:tc>
        <w:tc>
          <w:tcPr>
            <w:tcW w:w="1810" w:type="dxa"/>
          </w:tcPr>
          <w:p w:rsidR="00E70402" w:rsidRPr="0029095B" w:rsidRDefault="00E70402" w:rsidP="005D7BEE">
            <w:pPr>
              <w:pStyle w:val="Tabletext"/>
              <w:jc w:val="center"/>
            </w:pPr>
            <w:r w:rsidRPr="0029095B">
              <w:t>0</w:t>
            </w:r>
          </w:p>
        </w:tc>
        <w:tc>
          <w:tcPr>
            <w:tcW w:w="1421" w:type="dxa"/>
          </w:tcPr>
          <w:p w:rsidR="00E70402" w:rsidRPr="0029095B" w:rsidRDefault="00E70402" w:rsidP="005D7BEE">
            <w:pPr>
              <w:pStyle w:val="Tabletext"/>
              <w:jc w:val="center"/>
            </w:pPr>
            <w:r w:rsidRPr="0029095B">
              <w:t>0</w:t>
            </w:r>
          </w:p>
        </w:tc>
        <w:tc>
          <w:tcPr>
            <w:tcW w:w="1587" w:type="dxa"/>
          </w:tcPr>
          <w:p w:rsidR="00E70402" w:rsidRPr="0029095B" w:rsidRDefault="00E70402" w:rsidP="005D7BEE">
            <w:pPr>
              <w:pStyle w:val="Tabletext"/>
              <w:jc w:val="center"/>
            </w:pPr>
            <w:r w:rsidRPr="0029095B">
              <w:rPr>
                <w:spacing w:val="1"/>
              </w:rPr>
              <w:t>23</w:t>
            </w:r>
          </w:p>
        </w:tc>
      </w:tr>
      <w:tr w:rsidR="00E70402" w:rsidRPr="0029095B" w:rsidTr="005D7BEE">
        <w:trPr>
          <w:trHeight w:hRule="exact" w:val="283"/>
        </w:trPr>
        <w:tc>
          <w:tcPr>
            <w:tcW w:w="2381" w:type="dxa"/>
          </w:tcPr>
          <w:p w:rsidR="00E70402" w:rsidRPr="0029095B" w:rsidRDefault="00E70402" w:rsidP="005D7BEE">
            <w:pPr>
              <w:pStyle w:val="Tabletext"/>
              <w:rPr>
                <w:spacing w:val="1"/>
              </w:rPr>
            </w:pPr>
            <w:r w:rsidRPr="0029095B">
              <w:rPr>
                <w:spacing w:val="1"/>
              </w:rPr>
              <w:t>IBU/GER/2003</w:t>
            </w:r>
          </w:p>
        </w:tc>
        <w:tc>
          <w:tcPr>
            <w:tcW w:w="1587" w:type="dxa"/>
          </w:tcPr>
          <w:p w:rsidR="00E70402" w:rsidRPr="0029095B" w:rsidRDefault="00E70402" w:rsidP="005D7BEE">
            <w:pPr>
              <w:pStyle w:val="Tabletext"/>
              <w:jc w:val="center"/>
              <w:rPr>
                <w:spacing w:val="1"/>
              </w:rPr>
            </w:pPr>
            <w:r w:rsidRPr="0029095B">
              <w:rPr>
                <w:spacing w:val="1"/>
              </w:rPr>
              <w:t>15</w:t>
            </w:r>
          </w:p>
        </w:tc>
        <w:tc>
          <w:tcPr>
            <w:tcW w:w="1810" w:type="dxa"/>
          </w:tcPr>
          <w:p w:rsidR="00E70402" w:rsidRPr="0029095B" w:rsidRDefault="00E70402" w:rsidP="005D7BEE">
            <w:pPr>
              <w:pStyle w:val="Tabletext"/>
              <w:jc w:val="center"/>
            </w:pPr>
            <w:r w:rsidRPr="0029095B">
              <w:t>0</w:t>
            </w:r>
          </w:p>
        </w:tc>
        <w:tc>
          <w:tcPr>
            <w:tcW w:w="1421" w:type="dxa"/>
          </w:tcPr>
          <w:p w:rsidR="00E70402" w:rsidRPr="0029095B" w:rsidRDefault="00E70402" w:rsidP="005D7BEE">
            <w:pPr>
              <w:pStyle w:val="Tabletext"/>
              <w:jc w:val="center"/>
            </w:pPr>
            <w:r w:rsidRPr="0029095B">
              <w:t>0</w:t>
            </w:r>
          </w:p>
        </w:tc>
        <w:tc>
          <w:tcPr>
            <w:tcW w:w="1587" w:type="dxa"/>
          </w:tcPr>
          <w:p w:rsidR="00E70402" w:rsidRPr="0029095B" w:rsidRDefault="00E70402" w:rsidP="005D7BEE">
            <w:pPr>
              <w:pStyle w:val="Tabletext"/>
              <w:jc w:val="center"/>
              <w:rPr>
                <w:spacing w:val="1"/>
              </w:rPr>
            </w:pPr>
            <w:r w:rsidRPr="0029095B">
              <w:rPr>
                <w:spacing w:val="1"/>
              </w:rPr>
              <w:t>15</w:t>
            </w:r>
          </w:p>
        </w:tc>
      </w:tr>
      <w:tr w:rsidR="00E70402" w:rsidRPr="0029095B" w:rsidTr="005D7BEE">
        <w:trPr>
          <w:trHeight w:hRule="exact" w:val="283"/>
        </w:trPr>
        <w:tc>
          <w:tcPr>
            <w:tcW w:w="2381" w:type="dxa"/>
          </w:tcPr>
          <w:p w:rsidR="00E70402" w:rsidRPr="0029095B" w:rsidRDefault="00E70402" w:rsidP="005D7BEE">
            <w:pPr>
              <w:pStyle w:val="Tabletext"/>
              <w:rPr>
                <w:spacing w:val="1"/>
              </w:rPr>
            </w:pPr>
            <w:r w:rsidRPr="0029095B">
              <w:rPr>
                <w:spacing w:val="1"/>
              </w:rPr>
              <w:t>IBU/99/</w:t>
            </w:r>
            <w:proofErr w:type="spellStart"/>
            <w:r w:rsidRPr="0029095B">
              <w:rPr>
                <w:spacing w:val="1"/>
              </w:rPr>
              <w:t>DoseRange</w:t>
            </w:r>
            <w:proofErr w:type="spellEnd"/>
          </w:p>
        </w:tc>
        <w:tc>
          <w:tcPr>
            <w:tcW w:w="1587" w:type="dxa"/>
          </w:tcPr>
          <w:p w:rsidR="00E70402" w:rsidRPr="0029095B" w:rsidRDefault="00E70402" w:rsidP="005D7BEE">
            <w:pPr>
              <w:pStyle w:val="Tabletext"/>
              <w:jc w:val="center"/>
              <w:rPr>
                <w:spacing w:val="1"/>
              </w:rPr>
            </w:pPr>
            <w:r w:rsidRPr="0029095B">
              <w:rPr>
                <w:spacing w:val="1"/>
              </w:rPr>
              <w:t>40</w:t>
            </w:r>
          </w:p>
        </w:tc>
        <w:tc>
          <w:tcPr>
            <w:tcW w:w="1810" w:type="dxa"/>
          </w:tcPr>
          <w:p w:rsidR="00E70402" w:rsidRPr="0029095B" w:rsidRDefault="00E70402" w:rsidP="005D7BEE">
            <w:pPr>
              <w:pStyle w:val="Tabletext"/>
              <w:jc w:val="center"/>
            </w:pPr>
            <w:r w:rsidRPr="0029095B">
              <w:t>0</w:t>
            </w:r>
          </w:p>
        </w:tc>
        <w:tc>
          <w:tcPr>
            <w:tcW w:w="1421" w:type="dxa"/>
          </w:tcPr>
          <w:p w:rsidR="00E70402" w:rsidRPr="0029095B" w:rsidRDefault="00E70402" w:rsidP="005D7BEE">
            <w:pPr>
              <w:pStyle w:val="Tabletext"/>
              <w:jc w:val="center"/>
            </w:pPr>
            <w:r w:rsidRPr="0029095B">
              <w:t>0</w:t>
            </w:r>
          </w:p>
        </w:tc>
        <w:tc>
          <w:tcPr>
            <w:tcW w:w="1587" w:type="dxa"/>
          </w:tcPr>
          <w:p w:rsidR="00E70402" w:rsidRPr="0029095B" w:rsidRDefault="00E70402" w:rsidP="005D7BEE">
            <w:pPr>
              <w:pStyle w:val="Tabletext"/>
              <w:jc w:val="center"/>
              <w:rPr>
                <w:spacing w:val="1"/>
              </w:rPr>
            </w:pPr>
            <w:r w:rsidRPr="0029095B">
              <w:rPr>
                <w:spacing w:val="1"/>
              </w:rPr>
              <w:t>40</w:t>
            </w:r>
          </w:p>
        </w:tc>
      </w:tr>
      <w:tr w:rsidR="00E70402" w:rsidRPr="0029095B" w:rsidTr="005D7BEE">
        <w:trPr>
          <w:trHeight w:hRule="exact" w:val="283"/>
        </w:trPr>
        <w:tc>
          <w:tcPr>
            <w:tcW w:w="2381" w:type="dxa"/>
          </w:tcPr>
          <w:p w:rsidR="00E70402" w:rsidRPr="0029095B" w:rsidRDefault="00E70402" w:rsidP="005D7BEE">
            <w:pPr>
              <w:pStyle w:val="Tabletext"/>
              <w:rPr>
                <w:spacing w:val="1"/>
              </w:rPr>
            </w:pPr>
            <w:r w:rsidRPr="0029095B">
              <w:rPr>
                <w:spacing w:val="1"/>
              </w:rPr>
              <w:t>IBU/PROPHYL/2000</w:t>
            </w:r>
          </w:p>
        </w:tc>
        <w:tc>
          <w:tcPr>
            <w:tcW w:w="1587" w:type="dxa"/>
          </w:tcPr>
          <w:p w:rsidR="00E70402" w:rsidRPr="0029095B" w:rsidRDefault="00E70402" w:rsidP="005D7BEE">
            <w:pPr>
              <w:pStyle w:val="Tabletext"/>
              <w:jc w:val="center"/>
              <w:rPr>
                <w:spacing w:val="1"/>
              </w:rPr>
            </w:pPr>
            <w:r w:rsidRPr="0029095B">
              <w:rPr>
                <w:spacing w:val="1"/>
              </w:rPr>
              <w:t>90</w:t>
            </w:r>
          </w:p>
        </w:tc>
        <w:tc>
          <w:tcPr>
            <w:tcW w:w="1810" w:type="dxa"/>
          </w:tcPr>
          <w:p w:rsidR="00E70402" w:rsidRPr="0029095B" w:rsidRDefault="00E70402" w:rsidP="005D7BEE">
            <w:pPr>
              <w:pStyle w:val="Tabletext"/>
              <w:jc w:val="center"/>
            </w:pPr>
            <w:r w:rsidRPr="0029095B">
              <w:t>9</w:t>
            </w:r>
          </w:p>
        </w:tc>
        <w:tc>
          <w:tcPr>
            <w:tcW w:w="1421" w:type="dxa"/>
          </w:tcPr>
          <w:p w:rsidR="00E70402" w:rsidRPr="0029095B" w:rsidRDefault="00E70402" w:rsidP="005D7BEE">
            <w:pPr>
              <w:pStyle w:val="Tabletext"/>
              <w:jc w:val="center"/>
            </w:pPr>
            <w:r w:rsidRPr="0029095B">
              <w:t>66</w:t>
            </w:r>
          </w:p>
        </w:tc>
        <w:tc>
          <w:tcPr>
            <w:tcW w:w="1587" w:type="dxa"/>
          </w:tcPr>
          <w:p w:rsidR="00E70402" w:rsidRPr="0029095B" w:rsidRDefault="00E70402" w:rsidP="005D7BEE">
            <w:pPr>
              <w:pStyle w:val="Tabletext"/>
              <w:jc w:val="center"/>
              <w:rPr>
                <w:spacing w:val="1"/>
              </w:rPr>
            </w:pPr>
            <w:r w:rsidRPr="0029095B">
              <w:rPr>
                <w:spacing w:val="1"/>
              </w:rPr>
              <w:t>131</w:t>
            </w:r>
          </w:p>
        </w:tc>
      </w:tr>
      <w:tr w:rsidR="00E70402" w:rsidRPr="0029095B" w:rsidTr="005D7BEE">
        <w:trPr>
          <w:trHeight w:hRule="exact" w:val="283"/>
        </w:trPr>
        <w:tc>
          <w:tcPr>
            <w:tcW w:w="2381" w:type="dxa"/>
          </w:tcPr>
          <w:p w:rsidR="00E70402" w:rsidRPr="0029095B" w:rsidRDefault="00E70402" w:rsidP="005D7BEE">
            <w:pPr>
              <w:pStyle w:val="Tabletext"/>
              <w:rPr>
                <w:spacing w:val="1"/>
              </w:rPr>
            </w:pPr>
            <w:r w:rsidRPr="0029095B">
              <w:rPr>
                <w:spacing w:val="1"/>
              </w:rPr>
              <w:t>IBU/Survey</w:t>
            </w:r>
          </w:p>
        </w:tc>
        <w:tc>
          <w:tcPr>
            <w:tcW w:w="1587" w:type="dxa"/>
          </w:tcPr>
          <w:p w:rsidR="00E70402" w:rsidRPr="0029095B" w:rsidRDefault="00E70402" w:rsidP="005D7BEE">
            <w:pPr>
              <w:pStyle w:val="Tabletext"/>
              <w:jc w:val="center"/>
              <w:rPr>
                <w:spacing w:val="1"/>
              </w:rPr>
            </w:pPr>
            <w:r w:rsidRPr="0029095B">
              <w:rPr>
                <w:spacing w:val="1"/>
              </w:rPr>
              <w:t>89</w:t>
            </w:r>
          </w:p>
        </w:tc>
        <w:tc>
          <w:tcPr>
            <w:tcW w:w="1810" w:type="dxa"/>
          </w:tcPr>
          <w:p w:rsidR="00E70402" w:rsidRPr="0029095B" w:rsidRDefault="00E70402" w:rsidP="005D7BEE">
            <w:pPr>
              <w:pStyle w:val="Tabletext"/>
              <w:jc w:val="center"/>
            </w:pPr>
            <w:r w:rsidRPr="0029095B">
              <w:t>93</w:t>
            </w:r>
          </w:p>
        </w:tc>
        <w:tc>
          <w:tcPr>
            <w:tcW w:w="1421" w:type="dxa"/>
          </w:tcPr>
          <w:p w:rsidR="00E70402" w:rsidRPr="0029095B" w:rsidRDefault="00E70402" w:rsidP="005D7BEE">
            <w:pPr>
              <w:pStyle w:val="Tabletext"/>
              <w:jc w:val="center"/>
            </w:pPr>
            <w:r w:rsidRPr="0029095B">
              <w:t>0</w:t>
            </w:r>
          </w:p>
        </w:tc>
        <w:tc>
          <w:tcPr>
            <w:tcW w:w="1587" w:type="dxa"/>
          </w:tcPr>
          <w:p w:rsidR="00E70402" w:rsidRPr="0029095B" w:rsidRDefault="00E70402" w:rsidP="005D7BEE">
            <w:pPr>
              <w:pStyle w:val="Tabletext"/>
              <w:jc w:val="center"/>
              <w:rPr>
                <w:spacing w:val="1"/>
              </w:rPr>
            </w:pPr>
            <w:r w:rsidRPr="0029095B">
              <w:rPr>
                <w:spacing w:val="1"/>
              </w:rPr>
              <w:t>182</w:t>
            </w:r>
          </w:p>
        </w:tc>
      </w:tr>
      <w:tr w:rsidR="00E70402" w:rsidRPr="0029095B" w:rsidTr="005D7BEE">
        <w:trPr>
          <w:trHeight w:hRule="exact" w:val="283"/>
        </w:trPr>
        <w:tc>
          <w:tcPr>
            <w:tcW w:w="2381" w:type="dxa"/>
          </w:tcPr>
          <w:p w:rsidR="00E70402" w:rsidRPr="0029095B" w:rsidRDefault="00E70402" w:rsidP="005D7BEE">
            <w:pPr>
              <w:pStyle w:val="Tabletext"/>
            </w:pPr>
            <w:r w:rsidRPr="0029095B">
              <w:rPr>
                <w:b/>
                <w:bCs/>
                <w:spacing w:val="-1"/>
              </w:rPr>
              <w:t>T</w:t>
            </w:r>
            <w:r w:rsidRPr="0029095B">
              <w:rPr>
                <w:b/>
                <w:bCs/>
                <w:spacing w:val="1"/>
              </w:rPr>
              <w:t>ota</w:t>
            </w:r>
            <w:r w:rsidRPr="0029095B">
              <w:rPr>
                <w:b/>
                <w:bCs/>
              </w:rPr>
              <w:t>l</w:t>
            </w:r>
          </w:p>
        </w:tc>
        <w:tc>
          <w:tcPr>
            <w:tcW w:w="1587" w:type="dxa"/>
          </w:tcPr>
          <w:p w:rsidR="00E70402" w:rsidRPr="0029095B" w:rsidRDefault="00E70402" w:rsidP="005D7BEE">
            <w:pPr>
              <w:pStyle w:val="Tabletext"/>
              <w:jc w:val="center"/>
            </w:pPr>
            <w:r w:rsidRPr="0029095B">
              <w:rPr>
                <w:b/>
                <w:bCs/>
                <w:spacing w:val="1"/>
              </w:rPr>
              <w:t>384</w:t>
            </w:r>
          </w:p>
        </w:tc>
        <w:tc>
          <w:tcPr>
            <w:tcW w:w="1810" w:type="dxa"/>
          </w:tcPr>
          <w:p w:rsidR="00E70402" w:rsidRPr="0029095B" w:rsidRDefault="00E70402" w:rsidP="005D7BEE">
            <w:pPr>
              <w:pStyle w:val="Tabletext"/>
              <w:jc w:val="center"/>
            </w:pPr>
            <w:r w:rsidRPr="0029095B">
              <w:rPr>
                <w:b/>
                <w:bCs/>
                <w:spacing w:val="1"/>
              </w:rPr>
              <w:t>89</w:t>
            </w:r>
          </w:p>
        </w:tc>
        <w:tc>
          <w:tcPr>
            <w:tcW w:w="1421" w:type="dxa"/>
          </w:tcPr>
          <w:p w:rsidR="00E70402" w:rsidRPr="0029095B" w:rsidRDefault="00E70402" w:rsidP="005D7BEE">
            <w:pPr>
              <w:pStyle w:val="Tabletext"/>
              <w:jc w:val="center"/>
            </w:pPr>
            <w:r w:rsidRPr="0029095B">
              <w:rPr>
                <w:b/>
                <w:bCs/>
              </w:rPr>
              <w:t>0</w:t>
            </w:r>
          </w:p>
        </w:tc>
        <w:tc>
          <w:tcPr>
            <w:tcW w:w="1587" w:type="dxa"/>
          </w:tcPr>
          <w:p w:rsidR="00E70402" w:rsidRPr="0029095B" w:rsidRDefault="00E70402" w:rsidP="005D7BEE">
            <w:pPr>
              <w:pStyle w:val="Tabletext"/>
              <w:jc w:val="center"/>
            </w:pPr>
            <w:r w:rsidRPr="0029095B">
              <w:rPr>
                <w:b/>
                <w:bCs/>
                <w:spacing w:val="1"/>
              </w:rPr>
              <w:t>239</w:t>
            </w:r>
          </w:p>
        </w:tc>
      </w:tr>
    </w:tbl>
    <w:p w:rsidR="00E70402" w:rsidRPr="00664E1D" w:rsidRDefault="008C678E" w:rsidP="001C219C">
      <w:pPr>
        <w:pStyle w:val="TableTitle"/>
      </w:pPr>
      <w:bookmarkStart w:id="118" w:name="_Toc454981329"/>
      <w:r>
        <w:t xml:space="preserve">Table 5: </w:t>
      </w:r>
      <w:r w:rsidR="00E70402" w:rsidRPr="00664E1D">
        <w:t>Estimated cumulative subject exposure to Pedea from clinical trials by GA</w:t>
      </w:r>
      <w:bookmarkEnd w:id="118"/>
      <w:r w:rsidR="001C219C">
        <w:t>.</w:t>
      </w:r>
    </w:p>
    <w:tbl>
      <w:tblPr>
        <w:tblStyle w:val="TableGrid"/>
        <w:tblW w:w="0" w:type="auto"/>
        <w:tblLayout w:type="fixed"/>
        <w:tblLook w:val="0000" w:firstRow="0" w:lastRow="0" w:firstColumn="0" w:lastColumn="0" w:noHBand="0" w:noVBand="0"/>
        <w:tblDescription w:val="Table 5: Estimated cumulative subject exposure to Pedea from clinical trials by GA."/>
      </w:tblPr>
      <w:tblGrid>
        <w:gridCol w:w="2321"/>
        <w:gridCol w:w="2324"/>
        <w:gridCol w:w="2321"/>
        <w:gridCol w:w="1707"/>
      </w:tblGrid>
      <w:tr w:rsidR="00E70402" w:rsidRPr="004C5C61" w:rsidTr="00DD6469">
        <w:trPr>
          <w:trHeight w:hRule="exact" w:val="454"/>
          <w:tblHeader/>
        </w:trPr>
        <w:tc>
          <w:tcPr>
            <w:tcW w:w="2321" w:type="dxa"/>
            <w:vAlign w:val="center"/>
          </w:tcPr>
          <w:p w:rsidR="00E70402" w:rsidRPr="005D7BEE" w:rsidRDefault="00E70402" w:rsidP="005D7BEE">
            <w:pPr>
              <w:pStyle w:val="TableHeading"/>
              <w:rPr>
                <w:b/>
                <w:color w:val="auto"/>
              </w:rPr>
            </w:pPr>
            <w:r w:rsidRPr="005D7BEE">
              <w:rPr>
                <w:b/>
                <w:color w:val="auto"/>
              </w:rPr>
              <w:t>Study</w:t>
            </w:r>
          </w:p>
        </w:tc>
        <w:tc>
          <w:tcPr>
            <w:tcW w:w="2324" w:type="dxa"/>
            <w:vAlign w:val="center"/>
          </w:tcPr>
          <w:p w:rsidR="00E70402" w:rsidRPr="005D7BEE" w:rsidRDefault="00E70402" w:rsidP="005D7BEE">
            <w:pPr>
              <w:pStyle w:val="TableHeading"/>
              <w:rPr>
                <w:b/>
                <w:color w:val="auto"/>
              </w:rPr>
            </w:pPr>
            <w:r w:rsidRPr="005D7BEE">
              <w:rPr>
                <w:b/>
                <w:color w:val="auto"/>
                <w:spacing w:val="1"/>
              </w:rPr>
              <w:t>24-</w:t>
            </w:r>
            <w:r w:rsidRPr="005D7BEE">
              <w:rPr>
                <w:b/>
                <w:color w:val="auto"/>
                <w:spacing w:val="-1"/>
              </w:rPr>
              <w:t>2</w:t>
            </w:r>
            <w:r w:rsidRPr="005D7BEE">
              <w:rPr>
                <w:b/>
                <w:color w:val="auto"/>
              </w:rPr>
              <w:t>6</w:t>
            </w:r>
            <w:r w:rsidRPr="005D7BEE">
              <w:rPr>
                <w:b/>
                <w:color w:val="auto"/>
                <w:spacing w:val="-6"/>
              </w:rPr>
              <w:t xml:space="preserve"> </w:t>
            </w:r>
            <w:r w:rsidRPr="005D7BEE">
              <w:rPr>
                <w:b/>
                <w:color w:val="auto"/>
                <w:spacing w:val="2"/>
              </w:rPr>
              <w:t>w</w:t>
            </w:r>
            <w:r w:rsidRPr="005D7BEE">
              <w:rPr>
                <w:b/>
                <w:color w:val="auto"/>
              </w:rPr>
              <w:t>e</w:t>
            </w:r>
            <w:r w:rsidRPr="005D7BEE">
              <w:rPr>
                <w:b/>
                <w:color w:val="auto"/>
                <w:spacing w:val="1"/>
              </w:rPr>
              <w:t>e</w:t>
            </w:r>
            <w:r w:rsidRPr="005D7BEE">
              <w:rPr>
                <w:b/>
                <w:color w:val="auto"/>
                <w:spacing w:val="-3"/>
              </w:rPr>
              <w:t>k</w:t>
            </w:r>
            <w:r w:rsidRPr="005D7BEE">
              <w:rPr>
                <w:b/>
                <w:color w:val="auto"/>
              </w:rPr>
              <w:t>s</w:t>
            </w:r>
          </w:p>
        </w:tc>
        <w:tc>
          <w:tcPr>
            <w:tcW w:w="2321" w:type="dxa"/>
            <w:vAlign w:val="center"/>
          </w:tcPr>
          <w:p w:rsidR="00E70402" w:rsidRPr="005D7BEE" w:rsidRDefault="00E70402" w:rsidP="005D7BEE">
            <w:pPr>
              <w:pStyle w:val="TableHeading"/>
              <w:rPr>
                <w:b/>
                <w:color w:val="auto"/>
              </w:rPr>
            </w:pPr>
            <w:r w:rsidRPr="005D7BEE">
              <w:rPr>
                <w:b/>
                <w:color w:val="auto"/>
                <w:spacing w:val="-1"/>
              </w:rPr>
              <w:t>&gt;</w:t>
            </w:r>
            <w:r w:rsidRPr="005D7BEE">
              <w:rPr>
                <w:b/>
                <w:color w:val="auto"/>
                <w:spacing w:val="1"/>
              </w:rPr>
              <w:t>2</w:t>
            </w:r>
            <w:r w:rsidRPr="005D7BEE">
              <w:rPr>
                <w:b/>
                <w:color w:val="auto"/>
              </w:rPr>
              <w:t>6</w:t>
            </w:r>
            <w:r w:rsidRPr="005D7BEE">
              <w:rPr>
                <w:b/>
                <w:color w:val="auto"/>
                <w:spacing w:val="-2"/>
              </w:rPr>
              <w:t xml:space="preserve"> </w:t>
            </w:r>
            <w:r w:rsidRPr="005D7BEE">
              <w:rPr>
                <w:b/>
                <w:color w:val="auto"/>
                <w:spacing w:val="2"/>
              </w:rPr>
              <w:t>w</w:t>
            </w:r>
            <w:r w:rsidRPr="005D7BEE">
              <w:rPr>
                <w:b/>
                <w:color w:val="auto"/>
              </w:rPr>
              <w:t>e</w:t>
            </w:r>
            <w:r w:rsidRPr="005D7BEE">
              <w:rPr>
                <w:b/>
                <w:color w:val="auto"/>
                <w:spacing w:val="1"/>
              </w:rPr>
              <w:t>e</w:t>
            </w:r>
            <w:r w:rsidRPr="005D7BEE">
              <w:rPr>
                <w:b/>
                <w:color w:val="auto"/>
                <w:spacing w:val="-3"/>
              </w:rPr>
              <w:t>k</w:t>
            </w:r>
            <w:r w:rsidRPr="005D7BEE">
              <w:rPr>
                <w:b/>
                <w:color w:val="auto"/>
              </w:rPr>
              <w:t>s</w:t>
            </w:r>
          </w:p>
        </w:tc>
        <w:tc>
          <w:tcPr>
            <w:tcW w:w="1707" w:type="dxa"/>
            <w:vAlign w:val="center"/>
          </w:tcPr>
          <w:p w:rsidR="00E70402" w:rsidRPr="005D7BEE" w:rsidRDefault="00E70402" w:rsidP="005D7BEE">
            <w:pPr>
              <w:pStyle w:val="TableHeading"/>
              <w:rPr>
                <w:b/>
                <w:color w:val="auto"/>
              </w:rPr>
            </w:pPr>
            <w:r w:rsidRPr="005D7BEE">
              <w:rPr>
                <w:b/>
                <w:color w:val="auto"/>
                <w:spacing w:val="-1"/>
              </w:rPr>
              <w:t>T</w:t>
            </w:r>
            <w:r w:rsidRPr="005D7BEE">
              <w:rPr>
                <w:b/>
                <w:color w:val="auto"/>
                <w:spacing w:val="1"/>
              </w:rPr>
              <w:t>ota</w:t>
            </w:r>
            <w:r w:rsidRPr="005D7BEE">
              <w:rPr>
                <w:b/>
                <w:color w:val="auto"/>
              </w:rPr>
              <w:t>l</w:t>
            </w:r>
          </w:p>
        </w:tc>
      </w:tr>
      <w:tr w:rsidR="00E70402" w:rsidRPr="004C5C61" w:rsidTr="005D7BEE">
        <w:trPr>
          <w:trHeight w:hRule="exact" w:val="283"/>
        </w:trPr>
        <w:tc>
          <w:tcPr>
            <w:tcW w:w="2321" w:type="dxa"/>
          </w:tcPr>
          <w:p w:rsidR="00E70402" w:rsidRPr="004C5C61" w:rsidRDefault="00E70402" w:rsidP="005D7BEE">
            <w:pPr>
              <w:pStyle w:val="Tabletext"/>
            </w:pPr>
            <w:r w:rsidRPr="004C5C61">
              <w:rPr>
                <w:spacing w:val="1"/>
              </w:rPr>
              <w:t>IB</w:t>
            </w:r>
            <w:r w:rsidRPr="004C5C61">
              <w:t>U/</w:t>
            </w:r>
            <w:r w:rsidRPr="004C5C61">
              <w:rPr>
                <w:spacing w:val="-2"/>
              </w:rPr>
              <w:t>L</w:t>
            </w:r>
            <w:r w:rsidRPr="004C5C61">
              <w:rPr>
                <w:spacing w:val="3"/>
              </w:rPr>
              <w:t>T</w:t>
            </w:r>
            <w:r w:rsidRPr="004C5C61">
              <w:t>/</w:t>
            </w:r>
            <w:r w:rsidRPr="004C5C61">
              <w:rPr>
                <w:spacing w:val="1"/>
              </w:rPr>
              <w:t>0</w:t>
            </w:r>
            <w:r w:rsidRPr="004C5C61">
              <w:t>4</w:t>
            </w:r>
          </w:p>
        </w:tc>
        <w:tc>
          <w:tcPr>
            <w:tcW w:w="2324" w:type="dxa"/>
          </w:tcPr>
          <w:p w:rsidR="00E70402" w:rsidRPr="004C5C61" w:rsidRDefault="00E70402" w:rsidP="005D7BEE">
            <w:pPr>
              <w:pStyle w:val="Tabletext"/>
              <w:jc w:val="center"/>
            </w:pPr>
            <w:r w:rsidRPr="004C5C61">
              <w:rPr>
                <w:spacing w:val="1"/>
              </w:rPr>
              <w:t>56</w:t>
            </w:r>
          </w:p>
        </w:tc>
        <w:tc>
          <w:tcPr>
            <w:tcW w:w="2321" w:type="dxa"/>
          </w:tcPr>
          <w:p w:rsidR="00E70402" w:rsidRPr="004C5C61" w:rsidRDefault="00E70402" w:rsidP="005D7BEE">
            <w:pPr>
              <w:pStyle w:val="Tabletext"/>
              <w:jc w:val="center"/>
            </w:pPr>
            <w:r w:rsidRPr="004C5C61">
              <w:rPr>
                <w:spacing w:val="1"/>
              </w:rPr>
              <w:t>37</w:t>
            </w:r>
          </w:p>
        </w:tc>
        <w:tc>
          <w:tcPr>
            <w:tcW w:w="1707" w:type="dxa"/>
          </w:tcPr>
          <w:p w:rsidR="00E70402" w:rsidRPr="004C5C61" w:rsidRDefault="00E70402" w:rsidP="005D7BEE">
            <w:pPr>
              <w:pStyle w:val="Tabletext"/>
              <w:jc w:val="center"/>
            </w:pPr>
            <w:r w:rsidRPr="004C5C61">
              <w:rPr>
                <w:spacing w:val="1"/>
              </w:rPr>
              <w:t>93</w:t>
            </w:r>
          </w:p>
        </w:tc>
      </w:tr>
      <w:tr w:rsidR="00E70402" w:rsidRPr="004C5C61" w:rsidTr="005D7BEE">
        <w:trPr>
          <w:trHeight w:hRule="exact" w:val="283"/>
        </w:trPr>
        <w:tc>
          <w:tcPr>
            <w:tcW w:w="2321" w:type="dxa"/>
          </w:tcPr>
          <w:p w:rsidR="00E70402" w:rsidRPr="004C5C61" w:rsidRDefault="00E70402" w:rsidP="005D7BEE">
            <w:pPr>
              <w:pStyle w:val="Tabletext"/>
            </w:pPr>
            <w:r w:rsidRPr="004C5C61">
              <w:rPr>
                <w:spacing w:val="1"/>
              </w:rPr>
              <w:t>IB</w:t>
            </w:r>
            <w:r w:rsidRPr="004C5C61">
              <w:t>U/</w:t>
            </w:r>
            <w:r w:rsidRPr="004C5C61">
              <w:rPr>
                <w:spacing w:val="1"/>
              </w:rPr>
              <w:t>BI</w:t>
            </w:r>
            <w:r w:rsidRPr="004C5C61">
              <w:rPr>
                <w:spacing w:val="-2"/>
              </w:rPr>
              <w:t>L</w:t>
            </w:r>
            <w:r w:rsidRPr="004C5C61">
              <w:rPr>
                <w:spacing w:val="1"/>
              </w:rPr>
              <w:t>I</w:t>
            </w:r>
            <w:r w:rsidRPr="004C5C61">
              <w:rPr>
                <w:spacing w:val="-1"/>
              </w:rPr>
              <w:t>C</w:t>
            </w:r>
            <w:r w:rsidRPr="004C5C61">
              <w:rPr>
                <w:spacing w:val="-2"/>
              </w:rPr>
              <w:t>L</w:t>
            </w:r>
            <w:r w:rsidRPr="004C5C61">
              <w:rPr>
                <w:spacing w:val="1"/>
              </w:rPr>
              <w:t>I</w:t>
            </w:r>
            <w:r w:rsidRPr="004C5C61">
              <w:t>N/</w:t>
            </w:r>
            <w:r w:rsidRPr="004C5C61">
              <w:rPr>
                <w:spacing w:val="1"/>
              </w:rPr>
              <w:t>0</w:t>
            </w:r>
            <w:r w:rsidRPr="004C5C61">
              <w:t>4</w:t>
            </w:r>
          </w:p>
        </w:tc>
        <w:tc>
          <w:tcPr>
            <w:tcW w:w="2324" w:type="dxa"/>
          </w:tcPr>
          <w:p w:rsidR="00E70402" w:rsidRPr="004C5C61" w:rsidRDefault="00E70402" w:rsidP="005D7BEE">
            <w:pPr>
              <w:pStyle w:val="Tabletext"/>
              <w:jc w:val="center"/>
            </w:pPr>
            <w:r w:rsidRPr="004C5C61">
              <w:t>5</w:t>
            </w:r>
          </w:p>
        </w:tc>
        <w:tc>
          <w:tcPr>
            <w:tcW w:w="2321" w:type="dxa"/>
          </w:tcPr>
          <w:p w:rsidR="00E70402" w:rsidRPr="004C5C61" w:rsidRDefault="00E70402" w:rsidP="005D7BEE">
            <w:pPr>
              <w:pStyle w:val="Tabletext"/>
              <w:jc w:val="center"/>
            </w:pPr>
            <w:r w:rsidRPr="004C5C61">
              <w:rPr>
                <w:spacing w:val="1"/>
              </w:rPr>
              <w:t>29</w:t>
            </w:r>
          </w:p>
        </w:tc>
        <w:tc>
          <w:tcPr>
            <w:tcW w:w="1707" w:type="dxa"/>
          </w:tcPr>
          <w:p w:rsidR="00E70402" w:rsidRPr="004C5C61" w:rsidRDefault="00E70402" w:rsidP="005D7BEE">
            <w:pPr>
              <w:pStyle w:val="Tabletext"/>
              <w:jc w:val="center"/>
            </w:pPr>
            <w:r w:rsidRPr="004C5C61">
              <w:rPr>
                <w:spacing w:val="1"/>
              </w:rPr>
              <w:t>34</w:t>
            </w:r>
          </w:p>
        </w:tc>
      </w:tr>
      <w:tr w:rsidR="00E70402" w:rsidRPr="004C5C61" w:rsidTr="005D7BEE">
        <w:trPr>
          <w:trHeight w:hRule="exact" w:val="283"/>
        </w:trPr>
        <w:tc>
          <w:tcPr>
            <w:tcW w:w="2321" w:type="dxa"/>
          </w:tcPr>
          <w:p w:rsidR="00E70402" w:rsidRPr="004C5C61" w:rsidRDefault="00E70402" w:rsidP="005D7BEE">
            <w:pPr>
              <w:pStyle w:val="Tabletext"/>
            </w:pPr>
            <w:r w:rsidRPr="004C5C61">
              <w:rPr>
                <w:spacing w:val="1"/>
              </w:rPr>
              <w:t>IB</w:t>
            </w:r>
            <w:r w:rsidRPr="004C5C61">
              <w:t>U/</w:t>
            </w:r>
            <w:r w:rsidRPr="004C5C61">
              <w:rPr>
                <w:spacing w:val="1"/>
              </w:rPr>
              <w:t>20</w:t>
            </w:r>
            <w:r w:rsidRPr="004C5C61">
              <w:rPr>
                <w:spacing w:val="-1"/>
              </w:rPr>
              <w:t>mg</w:t>
            </w:r>
            <w:r w:rsidRPr="004C5C61">
              <w:t>/</w:t>
            </w:r>
            <w:r w:rsidRPr="004C5C61">
              <w:rPr>
                <w:spacing w:val="1"/>
              </w:rPr>
              <w:t>200</w:t>
            </w:r>
            <w:r w:rsidRPr="004C5C61">
              <w:t>9</w:t>
            </w:r>
          </w:p>
        </w:tc>
        <w:tc>
          <w:tcPr>
            <w:tcW w:w="2324" w:type="dxa"/>
          </w:tcPr>
          <w:p w:rsidR="00E70402" w:rsidRPr="004C5C61" w:rsidRDefault="00E70402" w:rsidP="005D7BEE">
            <w:pPr>
              <w:pStyle w:val="Tabletext"/>
              <w:jc w:val="center"/>
            </w:pPr>
            <w:r w:rsidRPr="004C5C61">
              <w:rPr>
                <w:spacing w:val="1"/>
              </w:rPr>
              <w:t>12</w:t>
            </w:r>
          </w:p>
        </w:tc>
        <w:tc>
          <w:tcPr>
            <w:tcW w:w="2321" w:type="dxa"/>
          </w:tcPr>
          <w:p w:rsidR="00E70402" w:rsidRPr="004C5C61" w:rsidRDefault="00E70402" w:rsidP="005D7BEE">
            <w:pPr>
              <w:pStyle w:val="Tabletext"/>
              <w:jc w:val="center"/>
            </w:pPr>
            <w:r w:rsidRPr="004C5C61">
              <w:rPr>
                <w:spacing w:val="1"/>
              </w:rPr>
              <w:t>11</w:t>
            </w:r>
          </w:p>
        </w:tc>
        <w:tc>
          <w:tcPr>
            <w:tcW w:w="1707" w:type="dxa"/>
          </w:tcPr>
          <w:p w:rsidR="00E70402" w:rsidRPr="004C5C61" w:rsidRDefault="00E70402" w:rsidP="005D7BEE">
            <w:pPr>
              <w:pStyle w:val="Tabletext"/>
              <w:jc w:val="center"/>
            </w:pPr>
            <w:r w:rsidRPr="004C5C61">
              <w:rPr>
                <w:spacing w:val="1"/>
              </w:rPr>
              <w:t>23</w:t>
            </w:r>
          </w:p>
        </w:tc>
      </w:tr>
      <w:tr w:rsidR="00E70402" w:rsidRPr="004C5C61" w:rsidTr="005D7BEE">
        <w:trPr>
          <w:trHeight w:hRule="exact" w:val="283"/>
        </w:trPr>
        <w:tc>
          <w:tcPr>
            <w:tcW w:w="2321" w:type="dxa"/>
          </w:tcPr>
          <w:p w:rsidR="00E70402" w:rsidRPr="004C5C61" w:rsidRDefault="00E70402" w:rsidP="005D7BEE">
            <w:pPr>
              <w:pStyle w:val="Tabletext"/>
              <w:rPr>
                <w:spacing w:val="1"/>
              </w:rPr>
            </w:pPr>
            <w:r w:rsidRPr="004C5C61">
              <w:rPr>
                <w:spacing w:val="1"/>
              </w:rPr>
              <w:t>IBU/GER/2003</w:t>
            </w:r>
          </w:p>
        </w:tc>
        <w:tc>
          <w:tcPr>
            <w:tcW w:w="2324" w:type="dxa"/>
          </w:tcPr>
          <w:p w:rsidR="00E70402" w:rsidRPr="004C5C61" w:rsidRDefault="00E70402" w:rsidP="005D7BEE">
            <w:pPr>
              <w:pStyle w:val="Tabletext"/>
              <w:jc w:val="center"/>
              <w:rPr>
                <w:spacing w:val="1"/>
              </w:rPr>
            </w:pPr>
            <w:r w:rsidRPr="004C5C61">
              <w:rPr>
                <w:spacing w:val="1"/>
              </w:rPr>
              <w:t>14</w:t>
            </w:r>
          </w:p>
        </w:tc>
        <w:tc>
          <w:tcPr>
            <w:tcW w:w="2321" w:type="dxa"/>
          </w:tcPr>
          <w:p w:rsidR="00E70402" w:rsidRPr="004C5C61" w:rsidRDefault="00E70402" w:rsidP="005D7BEE">
            <w:pPr>
              <w:pStyle w:val="Tabletext"/>
              <w:jc w:val="center"/>
              <w:rPr>
                <w:spacing w:val="1"/>
              </w:rPr>
            </w:pPr>
            <w:r w:rsidRPr="004C5C61">
              <w:rPr>
                <w:spacing w:val="1"/>
              </w:rPr>
              <w:t>1</w:t>
            </w:r>
          </w:p>
        </w:tc>
        <w:tc>
          <w:tcPr>
            <w:tcW w:w="1707" w:type="dxa"/>
          </w:tcPr>
          <w:p w:rsidR="00E70402" w:rsidRPr="004C5C61" w:rsidRDefault="00E70402" w:rsidP="005D7BEE">
            <w:pPr>
              <w:pStyle w:val="Tabletext"/>
              <w:jc w:val="center"/>
              <w:rPr>
                <w:spacing w:val="1"/>
              </w:rPr>
            </w:pPr>
            <w:r w:rsidRPr="004C5C61">
              <w:rPr>
                <w:spacing w:val="1"/>
              </w:rPr>
              <w:t>15</w:t>
            </w:r>
          </w:p>
        </w:tc>
      </w:tr>
      <w:tr w:rsidR="00E70402" w:rsidRPr="004C5C61" w:rsidTr="005D7BEE">
        <w:trPr>
          <w:trHeight w:hRule="exact" w:val="283"/>
        </w:trPr>
        <w:tc>
          <w:tcPr>
            <w:tcW w:w="2321" w:type="dxa"/>
          </w:tcPr>
          <w:p w:rsidR="00E70402" w:rsidRPr="004C5C61" w:rsidRDefault="00E70402" w:rsidP="005D7BEE">
            <w:pPr>
              <w:pStyle w:val="Tabletext"/>
              <w:rPr>
                <w:spacing w:val="1"/>
              </w:rPr>
            </w:pPr>
            <w:r w:rsidRPr="004C5C61">
              <w:rPr>
                <w:spacing w:val="1"/>
              </w:rPr>
              <w:t>IBU/99/</w:t>
            </w:r>
            <w:proofErr w:type="spellStart"/>
            <w:r w:rsidRPr="004C5C61">
              <w:rPr>
                <w:spacing w:val="1"/>
              </w:rPr>
              <w:t>DoseRange</w:t>
            </w:r>
            <w:proofErr w:type="spellEnd"/>
          </w:p>
        </w:tc>
        <w:tc>
          <w:tcPr>
            <w:tcW w:w="2324" w:type="dxa"/>
          </w:tcPr>
          <w:p w:rsidR="00E70402" w:rsidRPr="004C5C61" w:rsidRDefault="00E70402" w:rsidP="005D7BEE">
            <w:pPr>
              <w:pStyle w:val="Tabletext"/>
              <w:jc w:val="center"/>
              <w:rPr>
                <w:spacing w:val="1"/>
              </w:rPr>
            </w:pPr>
            <w:r w:rsidRPr="004C5C61">
              <w:rPr>
                <w:spacing w:val="1"/>
              </w:rPr>
              <w:t>20</w:t>
            </w:r>
          </w:p>
        </w:tc>
        <w:tc>
          <w:tcPr>
            <w:tcW w:w="2321" w:type="dxa"/>
          </w:tcPr>
          <w:p w:rsidR="00E70402" w:rsidRPr="004C5C61" w:rsidRDefault="00E70402" w:rsidP="005D7BEE">
            <w:pPr>
              <w:pStyle w:val="Tabletext"/>
              <w:jc w:val="center"/>
              <w:rPr>
                <w:spacing w:val="1"/>
              </w:rPr>
            </w:pPr>
            <w:r w:rsidRPr="004C5C61">
              <w:rPr>
                <w:spacing w:val="1"/>
              </w:rPr>
              <w:t>20</w:t>
            </w:r>
          </w:p>
        </w:tc>
        <w:tc>
          <w:tcPr>
            <w:tcW w:w="1707" w:type="dxa"/>
          </w:tcPr>
          <w:p w:rsidR="00E70402" w:rsidRPr="004C5C61" w:rsidRDefault="00E70402" w:rsidP="005D7BEE">
            <w:pPr>
              <w:pStyle w:val="Tabletext"/>
              <w:jc w:val="center"/>
              <w:rPr>
                <w:spacing w:val="1"/>
              </w:rPr>
            </w:pPr>
            <w:r w:rsidRPr="004C5C61">
              <w:rPr>
                <w:spacing w:val="1"/>
              </w:rPr>
              <w:t>40</w:t>
            </w:r>
          </w:p>
        </w:tc>
      </w:tr>
      <w:tr w:rsidR="00E70402" w:rsidRPr="004C5C61" w:rsidTr="005D7BEE">
        <w:trPr>
          <w:trHeight w:hRule="exact" w:val="283"/>
        </w:trPr>
        <w:tc>
          <w:tcPr>
            <w:tcW w:w="2321" w:type="dxa"/>
          </w:tcPr>
          <w:p w:rsidR="00E70402" w:rsidRPr="004C5C61" w:rsidRDefault="00E70402" w:rsidP="005D7BEE">
            <w:pPr>
              <w:pStyle w:val="Tabletext"/>
              <w:rPr>
                <w:spacing w:val="1"/>
              </w:rPr>
            </w:pPr>
            <w:r w:rsidRPr="004C5C61">
              <w:rPr>
                <w:spacing w:val="1"/>
              </w:rPr>
              <w:t>IBU/PROPHYL/2000</w:t>
            </w:r>
          </w:p>
        </w:tc>
        <w:tc>
          <w:tcPr>
            <w:tcW w:w="2324" w:type="dxa"/>
          </w:tcPr>
          <w:p w:rsidR="00E70402" w:rsidRPr="004C5C61" w:rsidRDefault="00E70402" w:rsidP="005D7BEE">
            <w:pPr>
              <w:pStyle w:val="Tabletext"/>
              <w:jc w:val="center"/>
              <w:rPr>
                <w:spacing w:val="1"/>
              </w:rPr>
            </w:pPr>
            <w:r w:rsidRPr="004C5C61">
              <w:rPr>
                <w:spacing w:val="1"/>
              </w:rPr>
              <w:t>27</w:t>
            </w:r>
          </w:p>
        </w:tc>
        <w:tc>
          <w:tcPr>
            <w:tcW w:w="2321" w:type="dxa"/>
          </w:tcPr>
          <w:p w:rsidR="00E70402" w:rsidRPr="004C5C61" w:rsidRDefault="00E70402" w:rsidP="005D7BEE">
            <w:pPr>
              <w:pStyle w:val="Tabletext"/>
              <w:jc w:val="center"/>
              <w:rPr>
                <w:spacing w:val="1"/>
              </w:rPr>
            </w:pPr>
            <w:r w:rsidRPr="004C5C61">
              <w:rPr>
                <w:spacing w:val="1"/>
              </w:rPr>
              <w:t>104</w:t>
            </w:r>
          </w:p>
        </w:tc>
        <w:tc>
          <w:tcPr>
            <w:tcW w:w="1707" w:type="dxa"/>
          </w:tcPr>
          <w:p w:rsidR="00E70402" w:rsidRPr="004C5C61" w:rsidRDefault="00E70402" w:rsidP="005D7BEE">
            <w:pPr>
              <w:pStyle w:val="Tabletext"/>
              <w:jc w:val="center"/>
              <w:rPr>
                <w:spacing w:val="1"/>
              </w:rPr>
            </w:pPr>
            <w:r w:rsidRPr="004C5C61">
              <w:rPr>
                <w:spacing w:val="1"/>
              </w:rPr>
              <w:t>131</w:t>
            </w:r>
          </w:p>
        </w:tc>
      </w:tr>
      <w:tr w:rsidR="00E70402" w:rsidRPr="004C5C61" w:rsidTr="005D7BEE">
        <w:trPr>
          <w:trHeight w:hRule="exact" w:val="283"/>
        </w:trPr>
        <w:tc>
          <w:tcPr>
            <w:tcW w:w="2321" w:type="dxa"/>
          </w:tcPr>
          <w:p w:rsidR="00E70402" w:rsidRPr="004C5C61" w:rsidRDefault="00E70402" w:rsidP="005D7BEE">
            <w:pPr>
              <w:pStyle w:val="Tabletext"/>
              <w:rPr>
                <w:spacing w:val="1"/>
              </w:rPr>
            </w:pPr>
            <w:r w:rsidRPr="004C5C61">
              <w:rPr>
                <w:spacing w:val="1"/>
              </w:rPr>
              <w:t>IBU/Survey</w:t>
            </w:r>
          </w:p>
        </w:tc>
        <w:tc>
          <w:tcPr>
            <w:tcW w:w="2324" w:type="dxa"/>
          </w:tcPr>
          <w:p w:rsidR="00E70402" w:rsidRPr="004C5C61" w:rsidRDefault="00E70402" w:rsidP="005D7BEE">
            <w:pPr>
              <w:pStyle w:val="Tabletext"/>
              <w:jc w:val="center"/>
              <w:rPr>
                <w:spacing w:val="1"/>
              </w:rPr>
            </w:pPr>
            <w:r w:rsidRPr="004C5C61">
              <w:rPr>
                <w:spacing w:val="1"/>
              </w:rPr>
              <w:t>79</w:t>
            </w:r>
          </w:p>
        </w:tc>
        <w:tc>
          <w:tcPr>
            <w:tcW w:w="2321" w:type="dxa"/>
          </w:tcPr>
          <w:p w:rsidR="00E70402" w:rsidRPr="004C5C61" w:rsidRDefault="00E70402" w:rsidP="005D7BEE">
            <w:pPr>
              <w:pStyle w:val="Tabletext"/>
              <w:jc w:val="center"/>
              <w:rPr>
                <w:spacing w:val="1"/>
              </w:rPr>
            </w:pPr>
            <w:r w:rsidRPr="004C5C61">
              <w:rPr>
                <w:spacing w:val="1"/>
              </w:rPr>
              <w:t>86t</w:t>
            </w:r>
          </w:p>
        </w:tc>
        <w:tc>
          <w:tcPr>
            <w:tcW w:w="1707" w:type="dxa"/>
          </w:tcPr>
          <w:p w:rsidR="00E70402" w:rsidRPr="004C5C61" w:rsidRDefault="00E70402" w:rsidP="005D7BEE">
            <w:pPr>
              <w:pStyle w:val="Tabletext"/>
              <w:jc w:val="center"/>
              <w:rPr>
                <w:spacing w:val="1"/>
              </w:rPr>
            </w:pPr>
            <w:r w:rsidRPr="004C5C61">
              <w:rPr>
                <w:spacing w:val="1"/>
              </w:rPr>
              <w:t>165</w:t>
            </w:r>
          </w:p>
        </w:tc>
      </w:tr>
      <w:tr w:rsidR="00E70402" w:rsidRPr="004C5C61" w:rsidTr="005D7BEE">
        <w:trPr>
          <w:trHeight w:hRule="exact" w:val="283"/>
        </w:trPr>
        <w:tc>
          <w:tcPr>
            <w:tcW w:w="2321" w:type="dxa"/>
          </w:tcPr>
          <w:p w:rsidR="00E70402" w:rsidRPr="004C5C61" w:rsidRDefault="00E70402" w:rsidP="005D7BEE">
            <w:pPr>
              <w:pStyle w:val="Tabletext"/>
            </w:pPr>
            <w:r w:rsidRPr="004C5C61">
              <w:rPr>
                <w:b/>
                <w:bCs/>
                <w:spacing w:val="-1"/>
              </w:rPr>
              <w:t>T</w:t>
            </w:r>
            <w:r w:rsidRPr="004C5C61">
              <w:rPr>
                <w:b/>
                <w:bCs/>
                <w:spacing w:val="1"/>
              </w:rPr>
              <w:t>ota</w:t>
            </w:r>
            <w:r w:rsidRPr="004C5C61">
              <w:rPr>
                <w:b/>
                <w:bCs/>
              </w:rPr>
              <w:t>l</w:t>
            </w:r>
          </w:p>
        </w:tc>
        <w:tc>
          <w:tcPr>
            <w:tcW w:w="2324" w:type="dxa"/>
          </w:tcPr>
          <w:p w:rsidR="00E70402" w:rsidRPr="004C5C61" w:rsidRDefault="00E70402" w:rsidP="005D7BEE">
            <w:pPr>
              <w:pStyle w:val="Tabletext"/>
              <w:jc w:val="center"/>
            </w:pPr>
            <w:r w:rsidRPr="004C5C61">
              <w:rPr>
                <w:b/>
                <w:bCs/>
                <w:spacing w:val="1"/>
              </w:rPr>
              <w:t>73</w:t>
            </w:r>
          </w:p>
        </w:tc>
        <w:tc>
          <w:tcPr>
            <w:tcW w:w="2321" w:type="dxa"/>
          </w:tcPr>
          <w:p w:rsidR="00E70402" w:rsidRPr="004C5C61" w:rsidRDefault="00E70402" w:rsidP="005D7BEE">
            <w:pPr>
              <w:pStyle w:val="Tabletext"/>
              <w:jc w:val="center"/>
            </w:pPr>
            <w:r w:rsidRPr="004C5C61">
              <w:rPr>
                <w:b/>
                <w:bCs/>
                <w:spacing w:val="1"/>
              </w:rPr>
              <w:t>77</w:t>
            </w:r>
          </w:p>
        </w:tc>
        <w:tc>
          <w:tcPr>
            <w:tcW w:w="1707" w:type="dxa"/>
          </w:tcPr>
          <w:p w:rsidR="00E70402" w:rsidRPr="004C5C61" w:rsidRDefault="00E70402" w:rsidP="005D7BEE">
            <w:pPr>
              <w:pStyle w:val="Tabletext"/>
              <w:jc w:val="center"/>
            </w:pPr>
            <w:r w:rsidRPr="004C5C61">
              <w:rPr>
                <w:b/>
                <w:bCs/>
                <w:spacing w:val="1"/>
              </w:rPr>
              <w:t>150</w:t>
            </w:r>
          </w:p>
        </w:tc>
      </w:tr>
    </w:tbl>
    <w:p w:rsidR="00E70402" w:rsidRPr="0029095B" w:rsidRDefault="00E70402" w:rsidP="0029095B">
      <w:pPr>
        <w:pStyle w:val="TableTitle"/>
      </w:pPr>
      <w:bookmarkStart w:id="119" w:name="_Toc454981330"/>
      <w:r w:rsidRPr="0029095B">
        <w:t xml:space="preserve">Table </w:t>
      </w:r>
      <w:r w:rsidR="001C219C" w:rsidRPr="0029095B">
        <w:t xml:space="preserve">6: </w:t>
      </w:r>
      <w:r w:rsidRPr="0029095B">
        <w:t>Estimated cumulative subject exposure to Pedea from clinical trials by gender</w:t>
      </w:r>
      <w:bookmarkEnd w:id="119"/>
      <w:r w:rsidR="00505E0E">
        <w:t>.</w:t>
      </w:r>
    </w:p>
    <w:tbl>
      <w:tblPr>
        <w:tblStyle w:val="TableGrid"/>
        <w:tblW w:w="0" w:type="auto"/>
        <w:tblLayout w:type="fixed"/>
        <w:tblLook w:val="0000" w:firstRow="0" w:lastRow="0" w:firstColumn="0" w:lastColumn="0" w:noHBand="0" w:noVBand="0"/>
        <w:tblDescription w:val="Table 6: Estimated cumulative subject exposure to Pedea from clinical trials by gender."/>
      </w:tblPr>
      <w:tblGrid>
        <w:gridCol w:w="2321"/>
        <w:gridCol w:w="2324"/>
        <w:gridCol w:w="2321"/>
        <w:gridCol w:w="1707"/>
      </w:tblGrid>
      <w:tr w:rsidR="00E70402" w:rsidRPr="004C5C61" w:rsidTr="00DD6469">
        <w:trPr>
          <w:trHeight w:hRule="exact" w:val="454"/>
          <w:tblHeader/>
        </w:trPr>
        <w:tc>
          <w:tcPr>
            <w:tcW w:w="2321" w:type="dxa"/>
            <w:vAlign w:val="center"/>
          </w:tcPr>
          <w:p w:rsidR="00E70402" w:rsidRPr="005D7BEE" w:rsidRDefault="00E70402" w:rsidP="005D7BEE">
            <w:pPr>
              <w:pStyle w:val="TableHeading"/>
              <w:rPr>
                <w:b/>
                <w:color w:val="auto"/>
              </w:rPr>
            </w:pPr>
            <w:r w:rsidRPr="005D7BEE">
              <w:rPr>
                <w:b/>
                <w:color w:val="auto"/>
              </w:rPr>
              <w:t>Study</w:t>
            </w:r>
          </w:p>
        </w:tc>
        <w:tc>
          <w:tcPr>
            <w:tcW w:w="2324" w:type="dxa"/>
            <w:vAlign w:val="center"/>
          </w:tcPr>
          <w:p w:rsidR="00E70402" w:rsidRPr="005D7BEE" w:rsidRDefault="00E70402" w:rsidP="005D7BEE">
            <w:pPr>
              <w:pStyle w:val="TableHeading"/>
              <w:rPr>
                <w:b/>
                <w:color w:val="auto"/>
              </w:rPr>
            </w:pPr>
            <w:r w:rsidRPr="005D7BEE">
              <w:rPr>
                <w:b/>
                <w:color w:val="auto"/>
                <w:spacing w:val="1"/>
              </w:rPr>
              <w:t>Ma</w:t>
            </w:r>
            <w:r w:rsidRPr="005D7BEE">
              <w:rPr>
                <w:b/>
                <w:color w:val="auto"/>
              </w:rPr>
              <w:t>le</w:t>
            </w:r>
          </w:p>
        </w:tc>
        <w:tc>
          <w:tcPr>
            <w:tcW w:w="2321" w:type="dxa"/>
            <w:vAlign w:val="center"/>
          </w:tcPr>
          <w:p w:rsidR="00E70402" w:rsidRPr="005D7BEE" w:rsidRDefault="00E70402" w:rsidP="005D7BEE">
            <w:pPr>
              <w:pStyle w:val="TableHeading"/>
              <w:rPr>
                <w:b/>
                <w:color w:val="auto"/>
              </w:rPr>
            </w:pPr>
            <w:r w:rsidRPr="005D7BEE">
              <w:rPr>
                <w:b/>
                <w:color w:val="auto"/>
              </w:rPr>
              <w:t>F</w:t>
            </w:r>
            <w:r w:rsidRPr="005D7BEE">
              <w:rPr>
                <w:b/>
                <w:color w:val="auto"/>
                <w:spacing w:val="3"/>
              </w:rPr>
              <w:t>e</w:t>
            </w:r>
            <w:r w:rsidRPr="005D7BEE">
              <w:rPr>
                <w:b/>
                <w:color w:val="auto"/>
                <w:spacing w:val="-5"/>
              </w:rPr>
              <w:t>m</w:t>
            </w:r>
            <w:r w:rsidRPr="005D7BEE">
              <w:rPr>
                <w:b/>
                <w:color w:val="auto"/>
                <w:spacing w:val="1"/>
              </w:rPr>
              <w:t>a</w:t>
            </w:r>
            <w:r w:rsidRPr="005D7BEE">
              <w:rPr>
                <w:b/>
                <w:color w:val="auto"/>
              </w:rPr>
              <w:t>le</w:t>
            </w:r>
          </w:p>
        </w:tc>
        <w:tc>
          <w:tcPr>
            <w:tcW w:w="1707" w:type="dxa"/>
            <w:vAlign w:val="center"/>
          </w:tcPr>
          <w:p w:rsidR="00E70402" w:rsidRPr="005D7BEE" w:rsidRDefault="00E70402" w:rsidP="005D7BEE">
            <w:pPr>
              <w:pStyle w:val="TableHeading"/>
              <w:rPr>
                <w:b/>
                <w:color w:val="auto"/>
              </w:rPr>
            </w:pPr>
            <w:r w:rsidRPr="005D7BEE">
              <w:rPr>
                <w:b/>
                <w:color w:val="auto"/>
                <w:spacing w:val="-1"/>
              </w:rPr>
              <w:t>T</w:t>
            </w:r>
            <w:r w:rsidRPr="005D7BEE">
              <w:rPr>
                <w:b/>
                <w:color w:val="auto"/>
                <w:spacing w:val="1"/>
              </w:rPr>
              <w:t>ota</w:t>
            </w:r>
            <w:r w:rsidRPr="005D7BEE">
              <w:rPr>
                <w:b/>
                <w:color w:val="auto"/>
              </w:rPr>
              <w:t>l</w:t>
            </w:r>
          </w:p>
        </w:tc>
      </w:tr>
      <w:tr w:rsidR="00E70402" w:rsidRPr="004C5C61" w:rsidTr="005D7BEE">
        <w:trPr>
          <w:trHeight w:hRule="exact" w:val="283"/>
        </w:trPr>
        <w:tc>
          <w:tcPr>
            <w:tcW w:w="2321" w:type="dxa"/>
          </w:tcPr>
          <w:p w:rsidR="00E70402" w:rsidRPr="004C5C61" w:rsidRDefault="00E70402" w:rsidP="005D7BEE">
            <w:pPr>
              <w:pStyle w:val="Tabletext"/>
            </w:pPr>
            <w:r w:rsidRPr="004C5C61">
              <w:rPr>
                <w:spacing w:val="1"/>
              </w:rPr>
              <w:t>IB</w:t>
            </w:r>
            <w:r w:rsidRPr="004C5C61">
              <w:t>U/</w:t>
            </w:r>
            <w:r w:rsidRPr="004C5C61">
              <w:rPr>
                <w:spacing w:val="-2"/>
              </w:rPr>
              <w:t>L</w:t>
            </w:r>
            <w:r w:rsidRPr="004C5C61">
              <w:rPr>
                <w:spacing w:val="3"/>
              </w:rPr>
              <w:t>T</w:t>
            </w:r>
            <w:r w:rsidRPr="004C5C61">
              <w:t>/</w:t>
            </w:r>
            <w:r w:rsidRPr="004C5C61">
              <w:rPr>
                <w:spacing w:val="1"/>
              </w:rPr>
              <w:t>0</w:t>
            </w:r>
            <w:r w:rsidRPr="004C5C61">
              <w:t>4</w:t>
            </w:r>
          </w:p>
        </w:tc>
        <w:tc>
          <w:tcPr>
            <w:tcW w:w="2324" w:type="dxa"/>
          </w:tcPr>
          <w:p w:rsidR="00E70402" w:rsidRPr="004C5C61" w:rsidRDefault="00E70402" w:rsidP="005D7BEE">
            <w:pPr>
              <w:pStyle w:val="Tabletext"/>
              <w:jc w:val="center"/>
            </w:pPr>
            <w:r w:rsidRPr="004C5C61">
              <w:rPr>
                <w:spacing w:val="1"/>
              </w:rPr>
              <w:t>61</w:t>
            </w:r>
          </w:p>
        </w:tc>
        <w:tc>
          <w:tcPr>
            <w:tcW w:w="2321" w:type="dxa"/>
          </w:tcPr>
          <w:p w:rsidR="00E70402" w:rsidRPr="004C5C61" w:rsidRDefault="00E70402" w:rsidP="005D7BEE">
            <w:pPr>
              <w:pStyle w:val="Tabletext"/>
              <w:jc w:val="center"/>
            </w:pPr>
            <w:r w:rsidRPr="004C5C61">
              <w:rPr>
                <w:spacing w:val="1"/>
              </w:rPr>
              <w:t>32</w:t>
            </w:r>
          </w:p>
        </w:tc>
        <w:tc>
          <w:tcPr>
            <w:tcW w:w="1707" w:type="dxa"/>
          </w:tcPr>
          <w:p w:rsidR="00E70402" w:rsidRPr="004C5C61" w:rsidRDefault="00E70402" w:rsidP="005D7BEE">
            <w:pPr>
              <w:pStyle w:val="Tabletext"/>
              <w:jc w:val="center"/>
            </w:pPr>
            <w:r w:rsidRPr="004C5C61">
              <w:rPr>
                <w:spacing w:val="1"/>
              </w:rPr>
              <w:t>93</w:t>
            </w:r>
          </w:p>
        </w:tc>
      </w:tr>
      <w:tr w:rsidR="00E70402" w:rsidRPr="004C5C61" w:rsidTr="005D7BEE">
        <w:trPr>
          <w:trHeight w:hRule="exact" w:val="283"/>
        </w:trPr>
        <w:tc>
          <w:tcPr>
            <w:tcW w:w="2321" w:type="dxa"/>
          </w:tcPr>
          <w:p w:rsidR="00E70402" w:rsidRPr="004C5C61" w:rsidRDefault="00E70402" w:rsidP="005D7BEE">
            <w:pPr>
              <w:pStyle w:val="Tabletext"/>
            </w:pPr>
            <w:r w:rsidRPr="004C5C61">
              <w:rPr>
                <w:spacing w:val="1"/>
              </w:rPr>
              <w:t>IB</w:t>
            </w:r>
            <w:r w:rsidRPr="004C5C61">
              <w:t>U/</w:t>
            </w:r>
            <w:r w:rsidRPr="004C5C61">
              <w:rPr>
                <w:spacing w:val="1"/>
              </w:rPr>
              <w:t>BI</w:t>
            </w:r>
            <w:r w:rsidRPr="004C5C61">
              <w:rPr>
                <w:spacing w:val="-2"/>
              </w:rPr>
              <w:t>L</w:t>
            </w:r>
            <w:r w:rsidRPr="004C5C61">
              <w:rPr>
                <w:spacing w:val="1"/>
              </w:rPr>
              <w:t>I</w:t>
            </w:r>
            <w:r w:rsidRPr="004C5C61">
              <w:rPr>
                <w:spacing w:val="-1"/>
              </w:rPr>
              <w:t>C</w:t>
            </w:r>
            <w:r w:rsidRPr="004C5C61">
              <w:rPr>
                <w:spacing w:val="-2"/>
              </w:rPr>
              <w:t>L</w:t>
            </w:r>
            <w:r w:rsidRPr="004C5C61">
              <w:rPr>
                <w:spacing w:val="1"/>
              </w:rPr>
              <w:t>I</w:t>
            </w:r>
            <w:r w:rsidRPr="004C5C61">
              <w:t>N/</w:t>
            </w:r>
            <w:r w:rsidRPr="004C5C61">
              <w:rPr>
                <w:spacing w:val="1"/>
              </w:rPr>
              <w:t>0</w:t>
            </w:r>
            <w:r w:rsidRPr="004C5C61">
              <w:t>4</w:t>
            </w:r>
          </w:p>
        </w:tc>
        <w:tc>
          <w:tcPr>
            <w:tcW w:w="2324" w:type="dxa"/>
          </w:tcPr>
          <w:p w:rsidR="00E70402" w:rsidRPr="004C5C61" w:rsidRDefault="00E70402" w:rsidP="005D7BEE">
            <w:pPr>
              <w:pStyle w:val="Tabletext"/>
              <w:jc w:val="center"/>
            </w:pPr>
            <w:r w:rsidRPr="004C5C61">
              <w:rPr>
                <w:spacing w:val="1"/>
              </w:rPr>
              <w:t>18</w:t>
            </w:r>
          </w:p>
        </w:tc>
        <w:tc>
          <w:tcPr>
            <w:tcW w:w="2321" w:type="dxa"/>
          </w:tcPr>
          <w:p w:rsidR="00E70402" w:rsidRPr="004C5C61" w:rsidRDefault="00E70402" w:rsidP="005D7BEE">
            <w:pPr>
              <w:pStyle w:val="Tabletext"/>
              <w:jc w:val="center"/>
            </w:pPr>
            <w:r w:rsidRPr="004C5C61">
              <w:rPr>
                <w:spacing w:val="1"/>
              </w:rPr>
              <w:t>16</w:t>
            </w:r>
          </w:p>
        </w:tc>
        <w:tc>
          <w:tcPr>
            <w:tcW w:w="1707" w:type="dxa"/>
          </w:tcPr>
          <w:p w:rsidR="00E70402" w:rsidRPr="004C5C61" w:rsidRDefault="00E70402" w:rsidP="005D7BEE">
            <w:pPr>
              <w:pStyle w:val="Tabletext"/>
              <w:jc w:val="center"/>
            </w:pPr>
            <w:r w:rsidRPr="004C5C61">
              <w:rPr>
                <w:spacing w:val="1"/>
              </w:rPr>
              <w:t>34</w:t>
            </w:r>
          </w:p>
        </w:tc>
      </w:tr>
      <w:tr w:rsidR="00E70402" w:rsidRPr="004C5C61" w:rsidTr="005D7BEE">
        <w:trPr>
          <w:trHeight w:hRule="exact" w:val="283"/>
        </w:trPr>
        <w:tc>
          <w:tcPr>
            <w:tcW w:w="2321" w:type="dxa"/>
          </w:tcPr>
          <w:p w:rsidR="00E70402" w:rsidRPr="004C5C61" w:rsidRDefault="00E70402" w:rsidP="005D7BEE">
            <w:pPr>
              <w:pStyle w:val="Tabletext"/>
            </w:pPr>
            <w:r w:rsidRPr="004C5C61">
              <w:rPr>
                <w:spacing w:val="1"/>
              </w:rPr>
              <w:t>IB</w:t>
            </w:r>
            <w:r w:rsidRPr="004C5C61">
              <w:t>U/</w:t>
            </w:r>
            <w:r w:rsidRPr="004C5C61">
              <w:rPr>
                <w:spacing w:val="1"/>
              </w:rPr>
              <w:t>20</w:t>
            </w:r>
            <w:r w:rsidRPr="004C5C61">
              <w:rPr>
                <w:spacing w:val="-1"/>
              </w:rPr>
              <w:t>mg</w:t>
            </w:r>
            <w:r w:rsidRPr="004C5C61">
              <w:t>/</w:t>
            </w:r>
            <w:r w:rsidRPr="004C5C61">
              <w:rPr>
                <w:spacing w:val="1"/>
              </w:rPr>
              <w:t>200</w:t>
            </w:r>
            <w:r w:rsidRPr="004C5C61">
              <w:t>9</w:t>
            </w:r>
          </w:p>
        </w:tc>
        <w:tc>
          <w:tcPr>
            <w:tcW w:w="2324" w:type="dxa"/>
          </w:tcPr>
          <w:p w:rsidR="00E70402" w:rsidRPr="004C5C61" w:rsidRDefault="00E70402" w:rsidP="005D7BEE">
            <w:pPr>
              <w:pStyle w:val="Tabletext"/>
              <w:jc w:val="center"/>
            </w:pPr>
            <w:r w:rsidRPr="004C5C61">
              <w:rPr>
                <w:spacing w:val="1"/>
              </w:rPr>
              <w:t>13</w:t>
            </w:r>
          </w:p>
        </w:tc>
        <w:tc>
          <w:tcPr>
            <w:tcW w:w="2321" w:type="dxa"/>
          </w:tcPr>
          <w:p w:rsidR="00E70402" w:rsidRPr="004C5C61" w:rsidRDefault="00E70402" w:rsidP="005D7BEE">
            <w:pPr>
              <w:pStyle w:val="Tabletext"/>
              <w:jc w:val="center"/>
            </w:pPr>
            <w:r w:rsidRPr="004C5C61">
              <w:rPr>
                <w:spacing w:val="1"/>
              </w:rPr>
              <w:t>10</w:t>
            </w:r>
          </w:p>
        </w:tc>
        <w:tc>
          <w:tcPr>
            <w:tcW w:w="1707" w:type="dxa"/>
          </w:tcPr>
          <w:p w:rsidR="00E70402" w:rsidRPr="004C5C61" w:rsidRDefault="00E70402" w:rsidP="005D7BEE">
            <w:pPr>
              <w:pStyle w:val="Tabletext"/>
              <w:jc w:val="center"/>
            </w:pPr>
            <w:r w:rsidRPr="004C5C61">
              <w:rPr>
                <w:spacing w:val="1"/>
              </w:rPr>
              <w:t>23</w:t>
            </w:r>
          </w:p>
        </w:tc>
      </w:tr>
      <w:tr w:rsidR="00E70402" w:rsidRPr="004C5C61" w:rsidTr="005D7BEE">
        <w:trPr>
          <w:trHeight w:hRule="exact" w:val="283"/>
        </w:trPr>
        <w:tc>
          <w:tcPr>
            <w:tcW w:w="2321" w:type="dxa"/>
          </w:tcPr>
          <w:p w:rsidR="00E70402" w:rsidRPr="004C5C61" w:rsidRDefault="00E70402" w:rsidP="005D7BEE">
            <w:pPr>
              <w:pStyle w:val="Tabletext"/>
              <w:rPr>
                <w:spacing w:val="1"/>
              </w:rPr>
            </w:pPr>
            <w:r w:rsidRPr="004C5C61">
              <w:rPr>
                <w:spacing w:val="1"/>
              </w:rPr>
              <w:t>IBU/GER/2003</w:t>
            </w:r>
          </w:p>
        </w:tc>
        <w:tc>
          <w:tcPr>
            <w:tcW w:w="2324" w:type="dxa"/>
          </w:tcPr>
          <w:p w:rsidR="00E70402" w:rsidRPr="004C5C61" w:rsidRDefault="00E70402" w:rsidP="005D7BEE">
            <w:pPr>
              <w:pStyle w:val="Tabletext"/>
              <w:jc w:val="center"/>
              <w:rPr>
                <w:spacing w:val="1"/>
              </w:rPr>
            </w:pPr>
            <w:r w:rsidRPr="004C5C61">
              <w:rPr>
                <w:spacing w:val="1"/>
              </w:rPr>
              <w:t>9</w:t>
            </w:r>
          </w:p>
        </w:tc>
        <w:tc>
          <w:tcPr>
            <w:tcW w:w="2321" w:type="dxa"/>
          </w:tcPr>
          <w:p w:rsidR="00E70402" w:rsidRPr="004C5C61" w:rsidRDefault="00E70402" w:rsidP="005D7BEE">
            <w:pPr>
              <w:pStyle w:val="Tabletext"/>
              <w:jc w:val="center"/>
              <w:rPr>
                <w:spacing w:val="1"/>
              </w:rPr>
            </w:pPr>
            <w:r w:rsidRPr="004C5C61">
              <w:rPr>
                <w:spacing w:val="1"/>
              </w:rPr>
              <w:t>6</w:t>
            </w:r>
          </w:p>
        </w:tc>
        <w:tc>
          <w:tcPr>
            <w:tcW w:w="1707" w:type="dxa"/>
          </w:tcPr>
          <w:p w:rsidR="00E70402" w:rsidRPr="004C5C61" w:rsidRDefault="00E70402" w:rsidP="005D7BEE">
            <w:pPr>
              <w:pStyle w:val="Tabletext"/>
              <w:jc w:val="center"/>
              <w:rPr>
                <w:spacing w:val="1"/>
              </w:rPr>
            </w:pPr>
            <w:r w:rsidRPr="004C5C61">
              <w:rPr>
                <w:spacing w:val="1"/>
              </w:rPr>
              <w:t>15</w:t>
            </w:r>
          </w:p>
        </w:tc>
      </w:tr>
      <w:tr w:rsidR="00E70402" w:rsidRPr="004C5C61" w:rsidTr="005D7BEE">
        <w:trPr>
          <w:trHeight w:hRule="exact" w:val="283"/>
        </w:trPr>
        <w:tc>
          <w:tcPr>
            <w:tcW w:w="2321" w:type="dxa"/>
          </w:tcPr>
          <w:p w:rsidR="00E70402" w:rsidRPr="004C5C61" w:rsidRDefault="00E70402" w:rsidP="005D7BEE">
            <w:pPr>
              <w:pStyle w:val="Tabletext"/>
              <w:rPr>
                <w:spacing w:val="1"/>
              </w:rPr>
            </w:pPr>
            <w:r w:rsidRPr="004C5C61">
              <w:rPr>
                <w:spacing w:val="1"/>
              </w:rPr>
              <w:t>IBU/99/</w:t>
            </w:r>
            <w:proofErr w:type="spellStart"/>
            <w:r w:rsidRPr="004C5C61">
              <w:rPr>
                <w:spacing w:val="1"/>
              </w:rPr>
              <w:t>DoseRange</w:t>
            </w:r>
            <w:proofErr w:type="spellEnd"/>
          </w:p>
        </w:tc>
        <w:tc>
          <w:tcPr>
            <w:tcW w:w="2324" w:type="dxa"/>
          </w:tcPr>
          <w:p w:rsidR="00E70402" w:rsidRPr="004C5C61" w:rsidRDefault="00E70402" w:rsidP="005D7BEE">
            <w:pPr>
              <w:pStyle w:val="Tabletext"/>
              <w:jc w:val="center"/>
              <w:rPr>
                <w:spacing w:val="1"/>
              </w:rPr>
            </w:pPr>
            <w:r w:rsidRPr="004C5C61">
              <w:rPr>
                <w:spacing w:val="1"/>
              </w:rPr>
              <w:t>23</w:t>
            </w:r>
          </w:p>
        </w:tc>
        <w:tc>
          <w:tcPr>
            <w:tcW w:w="2321" w:type="dxa"/>
          </w:tcPr>
          <w:p w:rsidR="00E70402" w:rsidRPr="004C5C61" w:rsidRDefault="00E70402" w:rsidP="005D7BEE">
            <w:pPr>
              <w:pStyle w:val="Tabletext"/>
              <w:jc w:val="center"/>
              <w:rPr>
                <w:spacing w:val="1"/>
              </w:rPr>
            </w:pPr>
            <w:r w:rsidRPr="004C5C61">
              <w:rPr>
                <w:spacing w:val="1"/>
              </w:rPr>
              <w:t>20</w:t>
            </w:r>
          </w:p>
        </w:tc>
        <w:tc>
          <w:tcPr>
            <w:tcW w:w="1707" w:type="dxa"/>
          </w:tcPr>
          <w:p w:rsidR="00E70402" w:rsidRPr="004C5C61" w:rsidRDefault="00E70402" w:rsidP="005D7BEE">
            <w:pPr>
              <w:pStyle w:val="Tabletext"/>
              <w:jc w:val="center"/>
              <w:rPr>
                <w:spacing w:val="1"/>
              </w:rPr>
            </w:pPr>
            <w:r w:rsidRPr="004C5C61">
              <w:rPr>
                <w:spacing w:val="1"/>
              </w:rPr>
              <w:t>43</w:t>
            </w:r>
          </w:p>
        </w:tc>
      </w:tr>
      <w:tr w:rsidR="00E70402" w:rsidRPr="004C5C61" w:rsidTr="005D7BEE">
        <w:trPr>
          <w:trHeight w:hRule="exact" w:val="283"/>
        </w:trPr>
        <w:tc>
          <w:tcPr>
            <w:tcW w:w="2321" w:type="dxa"/>
          </w:tcPr>
          <w:p w:rsidR="00E70402" w:rsidRPr="004C5C61" w:rsidRDefault="00E70402" w:rsidP="005D7BEE">
            <w:pPr>
              <w:pStyle w:val="Tabletext"/>
              <w:rPr>
                <w:spacing w:val="1"/>
              </w:rPr>
            </w:pPr>
            <w:r w:rsidRPr="004C5C61">
              <w:rPr>
                <w:spacing w:val="1"/>
              </w:rPr>
              <w:t>IBU/PROPHYL/2000</w:t>
            </w:r>
          </w:p>
        </w:tc>
        <w:tc>
          <w:tcPr>
            <w:tcW w:w="2324" w:type="dxa"/>
          </w:tcPr>
          <w:p w:rsidR="00E70402" w:rsidRPr="004C5C61" w:rsidRDefault="00E70402" w:rsidP="005D7BEE">
            <w:pPr>
              <w:pStyle w:val="Tabletext"/>
              <w:jc w:val="center"/>
              <w:rPr>
                <w:spacing w:val="1"/>
              </w:rPr>
            </w:pPr>
            <w:r w:rsidRPr="004C5C61">
              <w:rPr>
                <w:spacing w:val="1"/>
              </w:rPr>
              <w:t>65</w:t>
            </w:r>
          </w:p>
        </w:tc>
        <w:tc>
          <w:tcPr>
            <w:tcW w:w="2321" w:type="dxa"/>
          </w:tcPr>
          <w:p w:rsidR="00E70402" w:rsidRPr="004C5C61" w:rsidRDefault="00E70402" w:rsidP="005D7BEE">
            <w:pPr>
              <w:pStyle w:val="Tabletext"/>
              <w:jc w:val="center"/>
              <w:rPr>
                <w:spacing w:val="1"/>
              </w:rPr>
            </w:pPr>
            <w:r w:rsidRPr="004C5C61">
              <w:rPr>
                <w:spacing w:val="1"/>
              </w:rPr>
              <w:t>66</w:t>
            </w:r>
          </w:p>
        </w:tc>
        <w:tc>
          <w:tcPr>
            <w:tcW w:w="1707" w:type="dxa"/>
          </w:tcPr>
          <w:p w:rsidR="00E70402" w:rsidRPr="004C5C61" w:rsidRDefault="00E70402" w:rsidP="005D7BEE">
            <w:pPr>
              <w:pStyle w:val="Tabletext"/>
              <w:jc w:val="center"/>
              <w:rPr>
                <w:spacing w:val="1"/>
              </w:rPr>
            </w:pPr>
            <w:r w:rsidRPr="004C5C61">
              <w:rPr>
                <w:spacing w:val="1"/>
              </w:rPr>
              <w:t>131</w:t>
            </w:r>
          </w:p>
        </w:tc>
      </w:tr>
      <w:tr w:rsidR="00E70402" w:rsidRPr="004C5C61" w:rsidTr="005D7BEE">
        <w:trPr>
          <w:trHeight w:hRule="exact" w:val="283"/>
        </w:trPr>
        <w:tc>
          <w:tcPr>
            <w:tcW w:w="2321" w:type="dxa"/>
          </w:tcPr>
          <w:p w:rsidR="00E70402" w:rsidRPr="004C5C61" w:rsidRDefault="00E70402" w:rsidP="005D7BEE">
            <w:pPr>
              <w:pStyle w:val="Tabletext"/>
              <w:rPr>
                <w:spacing w:val="1"/>
              </w:rPr>
            </w:pPr>
            <w:r w:rsidRPr="004C5C61">
              <w:rPr>
                <w:spacing w:val="1"/>
              </w:rPr>
              <w:t>IBU/Survey</w:t>
            </w:r>
          </w:p>
        </w:tc>
        <w:tc>
          <w:tcPr>
            <w:tcW w:w="2324" w:type="dxa"/>
          </w:tcPr>
          <w:p w:rsidR="00E70402" w:rsidRPr="004C5C61" w:rsidRDefault="00E70402" w:rsidP="005D7BEE">
            <w:pPr>
              <w:pStyle w:val="Tabletext"/>
              <w:jc w:val="center"/>
              <w:rPr>
                <w:spacing w:val="1"/>
              </w:rPr>
            </w:pPr>
            <w:r w:rsidRPr="004C5C61">
              <w:rPr>
                <w:spacing w:val="1"/>
              </w:rPr>
              <w:t>99</w:t>
            </w:r>
          </w:p>
        </w:tc>
        <w:tc>
          <w:tcPr>
            <w:tcW w:w="2321" w:type="dxa"/>
          </w:tcPr>
          <w:p w:rsidR="00E70402" w:rsidRPr="004C5C61" w:rsidRDefault="00E70402" w:rsidP="005D7BEE">
            <w:pPr>
              <w:pStyle w:val="Tabletext"/>
              <w:jc w:val="center"/>
              <w:rPr>
                <w:spacing w:val="1"/>
              </w:rPr>
            </w:pPr>
            <w:r w:rsidRPr="004C5C61">
              <w:rPr>
                <w:spacing w:val="1"/>
              </w:rPr>
              <w:t>66</w:t>
            </w:r>
          </w:p>
        </w:tc>
        <w:tc>
          <w:tcPr>
            <w:tcW w:w="1707" w:type="dxa"/>
          </w:tcPr>
          <w:p w:rsidR="00E70402" w:rsidRPr="004C5C61" w:rsidRDefault="00E70402" w:rsidP="005D7BEE">
            <w:pPr>
              <w:pStyle w:val="Tabletext"/>
              <w:jc w:val="center"/>
              <w:rPr>
                <w:spacing w:val="1"/>
              </w:rPr>
            </w:pPr>
            <w:r w:rsidRPr="004C5C61">
              <w:rPr>
                <w:spacing w:val="1"/>
              </w:rPr>
              <w:t>165</w:t>
            </w:r>
          </w:p>
        </w:tc>
      </w:tr>
      <w:tr w:rsidR="00E70402" w:rsidRPr="004C5C61" w:rsidTr="005D7BEE">
        <w:trPr>
          <w:trHeight w:hRule="exact" w:val="283"/>
        </w:trPr>
        <w:tc>
          <w:tcPr>
            <w:tcW w:w="2321" w:type="dxa"/>
          </w:tcPr>
          <w:p w:rsidR="00E70402" w:rsidRPr="004C5C61" w:rsidRDefault="00E70402" w:rsidP="005D7BEE">
            <w:pPr>
              <w:pStyle w:val="Tabletext"/>
            </w:pPr>
            <w:r w:rsidRPr="004C5C61">
              <w:rPr>
                <w:b/>
                <w:bCs/>
                <w:spacing w:val="-1"/>
              </w:rPr>
              <w:t>T</w:t>
            </w:r>
            <w:r w:rsidRPr="004C5C61">
              <w:rPr>
                <w:b/>
                <w:bCs/>
                <w:spacing w:val="1"/>
              </w:rPr>
              <w:t>ota</w:t>
            </w:r>
            <w:r w:rsidRPr="004C5C61">
              <w:rPr>
                <w:b/>
                <w:bCs/>
              </w:rPr>
              <w:t>l</w:t>
            </w:r>
          </w:p>
        </w:tc>
        <w:tc>
          <w:tcPr>
            <w:tcW w:w="2324" w:type="dxa"/>
          </w:tcPr>
          <w:p w:rsidR="00E70402" w:rsidRPr="004C5C61" w:rsidRDefault="00E70402" w:rsidP="005D7BEE">
            <w:pPr>
              <w:pStyle w:val="Tabletext"/>
              <w:jc w:val="center"/>
            </w:pPr>
            <w:r w:rsidRPr="004C5C61">
              <w:rPr>
                <w:b/>
                <w:bCs/>
                <w:spacing w:val="1"/>
              </w:rPr>
              <w:t>92</w:t>
            </w:r>
          </w:p>
        </w:tc>
        <w:tc>
          <w:tcPr>
            <w:tcW w:w="2321" w:type="dxa"/>
          </w:tcPr>
          <w:p w:rsidR="00E70402" w:rsidRPr="004C5C61" w:rsidRDefault="00E70402" w:rsidP="005D7BEE">
            <w:pPr>
              <w:pStyle w:val="Tabletext"/>
              <w:jc w:val="center"/>
            </w:pPr>
            <w:r w:rsidRPr="004C5C61">
              <w:rPr>
                <w:b/>
                <w:bCs/>
                <w:spacing w:val="1"/>
              </w:rPr>
              <w:t>58</w:t>
            </w:r>
          </w:p>
        </w:tc>
        <w:tc>
          <w:tcPr>
            <w:tcW w:w="1707" w:type="dxa"/>
          </w:tcPr>
          <w:p w:rsidR="00E70402" w:rsidRPr="004C5C61" w:rsidRDefault="00E70402" w:rsidP="005D7BEE">
            <w:pPr>
              <w:pStyle w:val="Tabletext"/>
              <w:jc w:val="center"/>
            </w:pPr>
            <w:r w:rsidRPr="004C5C61">
              <w:rPr>
                <w:b/>
                <w:bCs/>
                <w:spacing w:val="1"/>
              </w:rPr>
              <w:t>150</w:t>
            </w:r>
          </w:p>
        </w:tc>
      </w:tr>
    </w:tbl>
    <w:p w:rsidR="00605AD4" w:rsidRDefault="00605AD4" w:rsidP="00605AD4">
      <w:pPr>
        <w:pStyle w:val="Heading4"/>
      </w:pPr>
      <w:r w:rsidRPr="00605AD4">
        <w:t>Safety issues with the potential for major regulatory impact</w:t>
      </w:r>
    </w:p>
    <w:p w:rsidR="004C5C61" w:rsidRPr="00545B14" w:rsidRDefault="004C5C61" w:rsidP="00CD4C09">
      <w:pPr>
        <w:pStyle w:val="Heading5"/>
      </w:pPr>
      <w:bookmarkStart w:id="120" w:name="_Toc272414669"/>
      <w:bookmarkStart w:id="121" w:name="_Toc290888533"/>
      <w:bookmarkStart w:id="122" w:name="_Toc416353749"/>
      <w:bookmarkStart w:id="123" w:name="_Toc421005292"/>
      <w:bookmarkStart w:id="124" w:name="_Toc432079169"/>
      <w:bookmarkStart w:id="125" w:name="_Toc432080742"/>
      <w:r w:rsidRPr="00545B14">
        <w:t>Liver function</w:t>
      </w:r>
      <w:bookmarkEnd w:id="120"/>
      <w:bookmarkEnd w:id="121"/>
      <w:bookmarkEnd w:id="122"/>
      <w:bookmarkEnd w:id="123"/>
      <w:r>
        <w:t xml:space="preserve"> and liver toxicity</w:t>
      </w:r>
      <w:bookmarkEnd w:id="124"/>
      <w:bookmarkEnd w:id="125"/>
    </w:p>
    <w:p w:rsidR="004C5C61" w:rsidRPr="00CD4C09" w:rsidRDefault="004C5C61" w:rsidP="00CD4C09">
      <w:bookmarkStart w:id="126" w:name="_Toc272414670"/>
      <w:bookmarkStart w:id="127" w:name="_Toc290888534"/>
      <w:bookmarkStart w:id="128" w:name="_Toc416353750"/>
      <w:bookmarkStart w:id="129" w:name="_Toc421005293"/>
      <w:bookmarkStart w:id="130" w:name="_Toc432079170"/>
      <w:bookmarkStart w:id="131" w:name="_Toc432080743"/>
      <w:r w:rsidRPr="00CD4C09">
        <w:t xml:space="preserve">Two studies were conducted which investigated the effect of ibuprofen on bilirubin (IBU/BILICLIN/04 and IBU/20mg/2009). </w:t>
      </w:r>
    </w:p>
    <w:p w:rsidR="004C5C61" w:rsidRPr="00CD4C09" w:rsidRDefault="004C5C61" w:rsidP="00CD4C09">
      <w:r w:rsidRPr="00CD4C09">
        <w:t>Ibuprofen was not found to lead to significant worsening of the level of unbound bilirubin.</w:t>
      </w:r>
    </w:p>
    <w:p w:rsidR="004C5C61" w:rsidRPr="00CD4C09" w:rsidRDefault="004C5C61" w:rsidP="00CD4C09">
      <w:r w:rsidRPr="00CD4C09">
        <w:t>Liver function was not reported in all the efficacy studies. Where recorded it was generally only measured at inclusion and at end of treatment. No clinically significant changes were reported as potentially due to ibuprofen and particularly none reported increased bilirubin displacement from albumin.</w:t>
      </w:r>
    </w:p>
    <w:p w:rsidR="004C5C61" w:rsidRPr="00545B14" w:rsidRDefault="004C5C61" w:rsidP="00CD4C09">
      <w:pPr>
        <w:pStyle w:val="Heading5"/>
      </w:pPr>
      <w:r>
        <w:lastRenderedPageBreak/>
        <w:t xml:space="preserve">Renal </w:t>
      </w:r>
      <w:r w:rsidRPr="00545B14">
        <w:t>function</w:t>
      </w:r>
      <w:bookmarkEnd w:id="126"/>
      <w:bookmarkEnd w:id="127"/>
      <w:bookmarkEnd w:id="128"/>
      <w:bookmarkEnd w:id="129"/>
      <w:r>
        <w:t xml:space="preserve"> and renal toxicity</w:t>
      </w:r>
      <w:bookmarkEnd w:id="130"/>
      <w:bookmarkEnd w:id="131"/>
    </w:p>
    <w:p w:rsidR="004C5C61" w:rsidRPr="00C2074B" w:rsidRDefault="004C5C61" w:rsidP="00CD4C09">
      <w:pPr>
        <w:pStyle w:val="Heading6"/>
      </w:pPr>
      <w:r>
        <w:t>Main/p</w:t>
      </w:r>
      <w:r w:rsidRPr="00C2074B">
        <w:t>ivotal studies that assessed safety as the sole primary outcome</w:t>
      </w:r>
    </w:p>
    <w:p w:rsidR="004C5C61" w:rsidRPr="00CD4C09" w:rsidRDefault="004C5C61" w:rsidP="00CD4C09">
      <w:pPr>
        <w:pStyle w:val="Heading7"/>
        <w:rPr>
          <w:b/>
          <w:lang w:eastAsia="ja-JP"/>
        </w:rPr>
      </w:pPr>
      <w:r w:rsidRPr="00CD4C09">
        <w:rPr>
          <w:b/>
          <w:lang w:eastAsia="ja-JP"/>
        </w:rPr>
        <w:t>IBU/Survey</w:t>
      </w:r>
    </w:p>
    <w:p w:rsidR="004C5C61" w:rsidRPr="00CD4C09" w:rsidRDefault="004C5C61" w:rsidP="00CD4C09">
      <w:r w:rsidRPr="00CD4C09">
        <w:t>The median body weight gain from Day 0 to Day 2 was higher in the indo</w:t>
      </w:r>
      <w:r w:rsidR="00301564">
        <w:t>methacin group (+47.9 g/kg BW versus</w:t>
      </w:r>
      <w:r w:rsidRPr="00CD4C09">
        <w:t xml:space="preserve"> +25.6 g/kg BW). Therefore, it is obvious that ibuprofen administration was not associated with significant water retention in preterm infants while indomethacin induced marked water retention.</w:t>
      </w:r>
    </w:p>
    <w:p w:rsidR="004C5C61" w:rsidRPr="00CD4C09" w:rsidRDefault="004C5C61" w:rsidP="00CD4C09">
      <w:r w:rsidRPr="00CD4C09">
        <w:t xml:space="preserve">The clinical significance of this water retention was shown by lower sodium serum concentrations in the indomethacin group on Day 2 and increased incidence of severe hyponatremia on Day 2 </w:t>
      </w:r>
      <w:r w:rsidR="00505E0E">
        <w:t>(28.8% versus</w:t>
      </w:r>
      <w:r w:rsidRPr="00CD4C09">
        <w:t xml:space="preserve"> 6.8%). Serum potassium concentrations were stable and hyperkalaemia was infrequent in both groups. Diuretic administration was similar in both groups.</w:t>
      </w:r>
    </w:p>
    <w:p w:rsidR="004C5C61" w:rsidRPr="00CD4C09" w:rsidRDefault="004C5C61" w:rsidP="00CD4C09">
      <w:r w:rsidRPr="00CD4C09">
        <w:t xml:space="preserve">Changes were not different between groups for: urine water excretion, water intake, output/input ratio. </w:t>
      </w:r>
      <w:r w:rsidRPr="001520C6">
        <w:rPr>
          <w:rFonts w:asciiTheme="minorHAnsi" w:hAnsiTheme="minorHAnsi"/>
        </w:rPr>
        <w:t>However</w:t>
      </w:r>
      <w:r w:rsidRPr="00CD4C09">
        <w:t xml:space="preserve">, oliguria was more frequently observed on Day 1 and 2 in the indomethacin group (24.2% </w:t>
      </w:r>
      <w:r w:rsidR="0024082D">
        <w:t>versus</w:t>
      </w:r>
      <w:r w:rsidRPr="00CD4C09">
        <w:t xml:space="preserve"> 0% and 18.2% </w:t>
      </w:r>
      <w:r w:rsidR="0024082D">
        <w:t>versus</w:t>
      </w:r>
      <w:r w:rsidRPr="00CD4C09">
        <w:t xml:space="preserve"> 0%).</w:t>
      </w:r>
    </w:p>
    <w:p w:rsidR="004C5C61" w:rsidRDefault="006E7327" w:rsidP="006E7327">
      <w:pPr>
        <w:pStyle w:val="TableTitle"/>
        <w:rPr>
          <w:lang w:eastAsia="ja-JP"/>
        </w:rPr>
      </w:pPr>
      <w:bookmarkStart w:id="132" w:name="_Toc454981341"/>
      <w:proofErr w:type="gramStart"/>
      <w:r>
        <w:t xml:space="preserve">Table 7: </w:t>
      </w:r>
      <w:r w:rsidR="004C5C61" w:rsidRPr="00BE5D29">
        <w:rPr>
          <w:lang w:eastAsia="ja-JP"/>
        </w:rPr>
        <w:t>Evolution of renal clinical parameters</w:t>
      </w:r>
      <w:bookmarkEnd w:id="132"/>
      <w:r w:rsidR="001520C6">
        <w:rPr>
          <w:lang w:eastAsia="ja-JP"/>
        </w:rPr>
        <w:t>.</w:t>
      </w:r>
      <w:proofErr w:type="gramEnd"/>
    </w:p>
    <w:tbl>
      <w:tblPr>
        <w:tblStyle w:val="TableGrid"/>
        <w:tblW w:w="5000" w:type="pct"/>
        <w:tblLook w:val="0000" w:firstRow="0" w:lastRow="0" w:firstColumn="0" w:lastColumn="0" w:noHBand="0" w:noVBand="0"/>
        <w:tblDescription w:val="Table 7: Evolution of renal clinical parameters."/>
      </w:tblPr>
      <w:tblGrid>
        <w:gridCol w:w="1098"/>
        <w:gridCol w:w="953"/>
        <w:gridCol w:w="953"/>
        <w:gridCol w:w="951"/>
        <w:gridCol w:w="954"/>
        <w:gridCol w:w="954"/>
        <w:gridCol w:w="954"/>
        <w:gridCol w:w="954"/>
        <w:gridCol w:w="949"/>
      </w:tblGrid>
      <w:tr w:rsidR="004C5C61" w:rsidRPr="001520C6" w:rsidTr="005D7BEE">
        <w:trPr>
          <w:trHeight w:val="283"/>
          <w:tblHeader/>
        </w:trPr>
        <w:tc>
          <w:tcPr>
            <w:tcW w:w="532" w:type="pct"/>
            <w:vMerge w:val="restart"/>
            <w:vAlign w:val="center"/>
          </w:tcPr>
          <w:p w:rsidR="004C5C61" w:rsidRPr="005D7BEE" w:rsidRDefault="004C5C61" w:rsidP="005D7BEE">
            <w:pPr>
              <w:pStyle w:val="TableHeading"/>
              <w:rPr>
                <w:b/>
                <w:color w:val="auto"/>
              </w:rPr>
            </w:pPr>
          </w:p>
        </w:tc>
        <w:tc>
          <w:tcPr>
            <w:tcW w:w="2234" w:type="pct"/>
            <w:gridSpan w:val="4"/>
            <w:vAlign w:val="center"/>
          </w:tcPr>
          <w:p w:rsidR="004C5C61" w:rsidRPr="005D7BEE" w:rsidRDefault="004C5C61" w:rsidP="005D7BEE">
            <w:pPr>
              <w:pStyle w:val="TableHeading"/>
              <w:rPr>
                <w:b/>
                <w:color w:val="auto"/>
              </w:rPr>
            </w:pPr>
            <w:r w:rsidRPr="005D7BEE">
              <w:rPr>
                <w:b/>
                <w:color w:val="auto"/>
                <w:w w:val="99"/>
              </w:rPr>
              <w:t>Ibuprofen</w:t>
            </w:r>
          </w:p>
        </w:tc>
        <w:tc>
          <w:tcPr>
            <w:tcW w:w="2235" w:type="pct"/>
            <w:gridSpan w:val="4"/>
            <w:vAlign w:val="center"/>
          </w:tcPr>
          <w:p w:rsidR="004C5C61" w:rsidRPr="005D7BEE" w:rsidRDefault="004C5C61" w:rsidP="005D7BEE">
            <w:pPr>
              <w:pStyle w:val="TableHeading"/>
              <w:rPr>
                <w:b/>
                <w:color w:val="auto"/>
              </w:rPr>
            </w:pPr>
            <w:r w:rsidRPr="005D7BEE">
              <w:rPr>
                <w:b/>
                <w:color w:val="auto"/>
                <w:w w:val="99"/>
              </w:rPr>
              <w:t>Indo</w:t>
            </w:r>
            <w:r w:rsidRPr="005D7BEE">
              <w:rPr>
                <w:b/>
                <w:color w:val="auto"/>
                <w:spacing w:val="-2"/>
                <w:w w:val="99"/>
              </w:rPr>
              <w:t>m</w:t>
            </w:r>
            <w:r w:rsidRPr="005D7BEE">
              <w:rPr>
                <w:b/>
                <w:color w:val="auto"/>
                <w:w w:val="99"/>
              </w:rPr>
              <w:t>ethacin</w:t>
            </w:r>
          </w:p>
        </w:tc>
      </w:tr>
      <w:tr w:rsidR="004C5C61" w:rsidRPr="001520C6" w:rsidTr="005D7BEE">
        <w:trPr>
          <w:trHeight w:val="283"/>
          <w:tblHeader/>
        </w:trPr>
        <w:tc>
          <w:tcPr>
            <w:tcW w:w="532" w:type="pct"/>
            <w:vMerge/>
            <w:vAlign w:val="center"/>
          </w:tcPr>
          <w:p w:rsidR="004C5C61" w:rsidRPr="005D7BEE" w:rsidRDefault="004C5C61" w:rsidP="005D7BEE">
            <w:pPr>
              <w:pStyle w:val="TableHeading"/>
              <w:rPr>
                <w:b/>
                <w:color w:val="auto"/>
              </w:rPr>
            </w:pPr>
          </w:p>
        </w:tc>
        <w:tc>
          <w:tcPr>
            <w:tcW w:w="2234" w:type="pct"/>
            <w:gridSpan w:val="4"/>
            <w:vAlign w:val="center"/>
          </w:tcPr>
          <w:p w:rsidR="004C5C61" w:rsidRPr="005D7BEE" w:rsidRDefault="004C5C61" w:rsidP="005D7BEE">
            <w:pPr>
              <w:pStyle w:val="TableHeading"/>
              <w:rPr>
                <w:b/>
                <w:color w:val="auto"/>
                <w:spacing w:val="-7"/>
              </w:rPr>
            </w:pPr>
            <w:r w:rsidRPr="005D7BEE">
              <w:rPr>
                <w:b/>
                <w:color w:val="auto"/>
              </w:rPr>
              <w:t>Median</w:t>
            </w:r>
          </w:p>
          <w:p w:rsidR="004C5C61" w:rsidRPr="005D7BEE" w:rsidRDefault="004C5C61" w:rsidP="005D7BEE">
            <w:pPr>
              <w:pStyle w:val="TableHeading"/>
              <w:rPr>
                <w:b/>
                <w:color w:val="auto"/>
              </w:rPr>
            </w:pPr>
            <w:r w:rsidRPr="005D7BEE">
              <w:rPr>
                <w:b/>
                <w:color w:val="auto"/>
              </w:rPr>
              <w:t>Range</w:t>
            </w:r>
          </w:p>
          <w:p w:rsidR="004C5C61" w:rsidRPr="005D7BEE" w:rsidRDefault="004C5C61" w:rsidP="005D7BEE">
            <w:pPr>
              <w:pStyle w:val="TableHeading"/>
              <w:rPr>
                <w:b/>
                <w:color w:val="auto"/>
              </w:rPr>
            </w:pPr>
            <w:r w:rsidRPr="005D7BEE">
              <w:rPr>
                <w:b/>
                <w:color w:val="auto"/>
                <w:w w:val="99"/>
              </w:rPr>
              <w:t>N</w:t>
            </w:r>
          </w:p>
        </w:tc>
        <w:tc>
          <w:tcPr>
            <w:tcW w:w="2235" w:type="pct"/>
            <w:gridSpan w:val="4"/>
            <w:vAlign w:val="center"/>
          </w:tcPr>
          <w:p w:rsidR="004C5C61" w:rsidRPr="005D7BEE" w:rsidRDefault="004C5C61" w:rsidP="005D7BEE">
            <w:pPr>
              <w:pStyle w:val="TableHeading"/>
              <w:rPr>
                <w:b/>
                <w:color w:val="auto"/>
              </w:rPr>
            </w:pPr>
            <w:r w:rsidRPr="005D7BEE">
              <w:rPr>
                <w:b/>
                <w:color w:val="auto"/>
              </w:rPr>
              <w:t>Median</w:t>
            </w:r>
          </w:p>
          <w:p w:rsidR="004C5C61" w:rsidRPr="005D7BEE" w:rsidRDefault="004C5C61" w:rsidP="005D7BEE">
            <w:pPr>
              <w:pStyle w:val="TableHeading"/>
              <w:rPr>
                <w:b/>
                <w:color w:val="auto"/>
              </w:rPr>
            </w:pPr>
            <w:r w:rsidRPr="005D7BEE">
              <w:rPr>
                <w:b/>
                <w:color w:val="auto"/>
              </w:rPr>
              <w:t>Range</w:t>
            </w:r>
          </w:p>
          <w:p w:rsidR="004C5C61" w:rsidRPr="005D7BEE" w:rsidRDefault="004C5C61" w:rsidP="005D7BEE">
            <w:pPr>
              <w:pStyle w:val="TableHeading"/>
              <w:rPr>
                <w:b/>
                <w:color w:val="auto"/>
              </w:rPr>
            </w:pPr>
            <w:r w:rsidRPr="005D7BEE">
              <w:rPr>
                <w:b/>
                <w:color w:val="auto"/>
                <w:w w:val="99"/>
              </w:rPr>
              <w:t>N</w:t>
            </w:r>
          </w:p>
        </w:tc>
      </w:tr>
      <w:tr w:rsidR="004C5C61" w:rsidRPr="001520C6" w:rsidTr="005D7BEE">
        <w:trPr>
          <w:trHeight w:val="340"/>
        </w:trPr>
        <w:tc>
          <w:tcPr>
            <w:tcW w:w="532" w:type="pct"/>
          </w:tcPr>
          <w:p w:rsidR="004C5C61" w:rsidRPr="001520C6" w:rsidRDefault="004C5C61" w:rsidP="005D7BEE">
            <w:pPr>
              <w:pStyle w:val="Tabletext"/>
            </w:pPr>
            <w:r w:rsidRPr="001520C6">
              <w:t>Day</w:t>
            </w:r>
          </w:p>
        </w:tc>
        <w:tc>
          <w:tcPr>
            <w:tcW w:w="559" w:type="pct"/>
          </w:tcPr>
          <w:p w:rsidR="004C5C61" w:rsidRPr="001520C6" w:rsidRDefault="004C5C61" w:rsidP="005D7BEE">
            <w:pPr>
              <w:pStyle w:val="Tabletext"/>
              <w:jc w:val="center"/>
            </w:pPr>
            <w:r w:rsidRPr="001520C6">
              <w:rPr>
                <w:w w:val="99"/>
              </w:rPr>
              <w:t>-1</w:t>
            </w:r>
          </w:p>
        </w:tc>
        <w:tc>
          <w:tcPr>
            <w:tcW w:w="559" w:type="pct"/>
          </w:tcPr>
          <w:p w:rsidR="004C5C61" w:rsidRPr="001520C6" w:rsidRDefault="004C5C61" w:rsidP="005D7BEE">
            <w:pPr>
              <w:pStyle w:val="Tabletext"/>
              <w:jc w:val="center"/>
            </w:pPr>
            <w:r w:rsidRPr="001520C6">
              <w:rPr>
                <w:w w:val="99"/>
              </w:rPr>
              <w:t>0</w:t>
            </w:r>
          </w:p>
        </w:tc>
        <w:tc>
          <w:tcPr>
            <w:tcW w:w="558" w:type="pct"/>
          </w:tcPr>
          <w:p w:rsidR="004C5C61" w:rsidRPr="001520C6" w:rsidRDefault="004C5C61" w:rsidP="005D7BEE">
            <w:pPr>
              <w:pStyle w:val="Tabletext"/>
              <w:jc w:val="center"/>
            </w:pPr>
            <w:r w:rsidRPr="001520C6">
              <w:rPr>
                <w:w w:val="99"/>
              </w:rPr>
              <w:t>1</w:t>
            </w:r>
          </w:p>
        </w:tc>
        <w:tc>
          <w:tcPr>
            <w:tcW w:w="559" w:type="pct"/>
          </w:tcPr>
          <w:p w:rsidR="004C5C61" w:rsidRPr="001520C6" w:rsidRDefault="004C5C61" w:rsidP="005D7BEE">
            <w:pPr>
              <w:pStyle w:val="Tabletext"/>
              <w:jc w:val="center"/>
            </w:pPr>
            <w:r w:rsidRPr="001520C6">
              <w:rPr>
                <w:w w:val="99"/>
              </w:rPr>
              <w:t>2</w:t>
            </w:r>
          </w:p>
        </w:tc>
        <w:tc>
          <w:tcPr>
            <w:tcW w:w="559" w:type="pct"/>
          </w:tcPr>
          <w:p w:rsidR="004C5C61" w:rsidRPr="001520C6" w:rsidRDefault="004C5C61" w:rsidP="005D7BEE">
            <w:pPr>
              <w:pStyle w:val="Tabletext"/>
              <w:jc w:val="center"/>
            </w:pPr>
            <w:r w:rsidRPr="001520C6">
              <w:rPr>
                <w:w w:val="99"/>
              </w:rPr>
              <w:t>-1</w:t>
            </w:r>
          </w:p>
        </w:tc>
        <w:tc>
          <w:tcPr>
            <w:tcW w:w="559" w:type="pct"/>
          </w:tcPr>
          <w:p w:rsidR="004C5C61" w:rsidRPr="001520C6" w:rsidRDefault="004C5C61" w:rsidP="005D7BEE">
            <w:pPr>
              <w:pStyle w:val="Tabletext"/>
              <w:jc w:val="center"/>
            </w:pPr>
            <w:r w:rsidRPr="001520C6">
              <w:rPr>
                <w:w w:val="99"/>
              </w:rPr>
              <w:t>0</w:t>
            </w:r>
          </w:p>
        </w:tc>
        <w:tc>
          <w:tcPr>
            <w:tcW w:w="559" w:type="pct"/>
          </w:tcPr>
          <w:p w:rsidR="004C5C61" w:rsidRPr="001520C6" w:rsidRDefault="004C5C61" w:rsidP="005D7BEE">
            <w:pPr>
              <w:pStyle w:val="Tabletext"/>
              <w:jc w:val="center"/>
            </w:pPr>
            <w:r w:rsidRPr="001520C6">
              <w:rPr>
                <w:w w:val="99"/>
              </w:rPr>
              <w:t>1</w:t>
            </w:r>
          </w:p>
        </w:tc>
        <w:tc>
          <w:tcPr>
            <w:tcW w:w="559" w:type="pct"/>
          </w:tcPr>
          <w:p w:rsidR="004C5C61" w:rsidRPr="001520C6" w:rsidRDefault="004C5C61" w:rsidP="005D7BEE">
            <w:pPr>
              <w:pStyle w:val="Tabletext"/>
              <w:jc w:val="center"/>
            </w:pPr>
            <w:r w:rsidRPr="001520C6">
              <w:rPr>
                <w:w w:val="99"/>
              </w:rPr>
              <w:t>2</w:t>
            </w:r>
          </w:p>
        </w:tc>
      </w:tr>
      <w:tr w:rsidR="004C5C61" w:rsidRPr="001520C6" w:rsidTr="005D7BEE">
        <w:trPr>
          <w:trHeight w:val="340"/>
        </w:trPr>
        <w:tc>
          <w:tcPr>
            <w:tcW w:w="532" w:type="pct"/>
          </w:tcPr>
          <w:p w:rsidR="004C5C61" w:rsidRPr="001520C6" w:rsidRDefault="004C5C61" w:rsidP="005D7BEE">
            <w:pPr>
              <w:pStyle w:val="Tabletext"/>
            </w:pPr>
            <w:r w:rsidRPr="001520C6">
              <w:t>Weight</w:t>
            </w:r>
          </w:p>
          <w:p w:rsidR="004C5C61" w:rsidRPr="001520C6" w:rsidRDefault="004C5C61" w:rsidP="005D7BEE">
            <w:pPr>
              <w:pStyle w:val="Tabletext"/>
            </w:pPr>
            <w:r w:rsidRPr="001520C6">
              <w:t>(g)</w:t>
            </w:r>
          </w:p>
        </w:tc>
        <w:tc>
          <w:tcPr>
            <w:tcW w:w="559" w:type="pct"/>
          </w:tcPr>
          <w:p w:rsidR="004C5C61" w:rsidRPr="001520C6" w:rsidRDefault="004C5C61" w:rsidP="005D7BEE">
            <w:pPr>
              <w:pStyle w:val="Tabletext"/>
              <w:jc w:val="center"/>
            </w:pPr>
            <w:r w:rsidRPr="001520C6">
              <w:rPr>
                <w:spacing w:val="1"/>
                <w:w w:val="99"/>
              </w:rPr>
              <w:t>977.5</w:t>
            </w:r>
          </w:p>
          <w:p w:rsidR="004C5C61" w:rsidRPr="001520C6" w:rsidRDefault="004C5C61" w:rsidP="005D7BEE">
            <w:pPr>
              <w:pStyle w:val="Tabletext"/>
              <w:jc w:val="center"/>
            </w:pPr>
            <w:r w:rsidRPr="001520C6">
              <w:rPr>
                <w:spacing w:val="1"/>
                <w:w w:val="99"/>
              </w:rPr>
              <w:t>550-2290</w:t>
            </w:r>
          </w:p>
          <w:p w:rsidR="004C5C61" w:rsidRPr="001520C6" w:rsidRDefault="004C5C61" w:rsidP="005D7BEE">
            <w:pPr>
              <w:pStyle w:val="Tabletext"/>
              <w:jc w:val="center"/>
            </w:pPr>
            <w:r w:rsidRPr="001520C6">
              <w:rPr>
                <w:spacing w:val="1"/>
                <w:w w:val="99"/>
              </w:rPr>
              <w:t>44</w:t>
            </w:r>
          </w:p>
        </w:tc>
        <w:tc>
          <w:tcPr>
            <w:tcW w:w="559" w:type="pct"/>
          </w:tcPr>
          <w:p w:rsidR="004C5C61" w:rsidRPr="001520C6" w:rsidRDefault="004C5C61" w:rsidP="005D7BEE">
            <w:pPr>
              <w:pStyle w:val="Tabletext"/>
              <w:jc w:val="center"/>
            </w:pPr>
            <w:r w:rsidRPr="001520C6">
              <w:rPr>
                <w:spacing w:val="1"/>
                <w:w w:val="99"/>
              </w:rPr>
              <w:t>905</w:t>
            </w:r>
          </w:p>
          <w:p w:rsidR="004C5C61" w:rsidRPr="001520C6" w:rsidRDefault="004C5C61" w:rsidP="005D7BEE">
            <w:pPr>
              <w:pStyle w:val="Tabletext"/>
              <w:jc w:val="center"/>
            </w:pPr>
            <w:r w:rsidRPr="001520C6">
              <w:rPr>
                <w:spacing w:val="1"/>
                <w:w w:val="99"/>
              </w:rPr>
              <w:t>595-2270</w:t>
            </w:r>
          </w:p>
          <w:p w:rsidR="004C5C61" w:rsidRPr="001520C6" w:rsidRDefault="004C5C61" w:rsidP="005D7BEE">
            <w:pPr>
              <w:pStyle w:val="Tabletext"/>
              <w:jc w:val="center"/>
            </w:pPr>
            <w:r w:rsidRPr="001520C6">
              <w:rPr>
                <w:spacing w:val="1"/>
                <w:w w:val="99"/>
              </w:rPr>
              <w:t>41</w:t>
            </w:r>
          </w:p>
        </w:tc>
        <w:tc>
          <w:tcPr>
            <w:tcW w:w="558" w:type="pct"/>
          </w:tcPr>
          <w:p w:rsidR="004C5C61" w:rsidRPr="001520C6" w:rsidRDefault="004C5C61" w:rsidP="005D7BEE">
            <w:pPr>
              <w:pStyle w:val="Tabletext"/>
              <w:jc w:val="center"/>
            </w:pPr>
            <w:r w:rsidRPr="001520C6">
              <w:rPr>
                <w:spacing w:val="1"/>
                <w:w w:val="99"/>
              </w:rPr>
              <w:t>962.5</w:t>
            </w:r>
          </w:p>
          <w:p w:rsidR="004C5C61" w:rsidRPr="001520C6" w:rsidRDefault="004C5C61" w:rsidP="005D7BEE">
            <w:pPr>
              <w:pStyle w:val="Tabletext"/>
              <w:jc w:val="center"/>
            </w:pPr>
            <w:r w:rsidRPr="001520C6">
              <w:rPr>
                <w:spacing w:val="1"/>
                <w:w w:val="99"/>
              </w:rPr>
              <w:t>610-2250</w:t>
            </w:r>
          </w:p>
          <w:p w:rsidR="004C5C61" w:rsidRPr="001520C6" w:rsidRDefault="004C5C61" w:rsidP="005D7BEE">
            <w:pPr>
              <w:pStyle w:val="Tabletext"/>
              <w:jc w:val="center"/>
            </w:pPr>
            <w:r w:rsidRPr="001520C6">
              <w:rPr>
                <w:spacing w:val="1"/>
                <w:w w:val="99"/>
              </w:rPr>
              <w:t>46</w:t>
            </w:r>
          </w:p>
        </w:tc>
        <w:tc>
          <w:tcPr>
            <w:tcW w:w="559" w:type="pct"/>
          </w:tcPr>
          <w:p w:rsidR="004C5C61" w:rsidRPr="001520C6" w:rsidRDefault="004C5C61" w:rsidP="005D7BEE">
            <w:pPr>
              <w:pStyle w:val="Tabletext"/>
              <w:jc w:val="center"/>
            </w:pPr>
            <w:r w:rsidRPr="001520C6">
              <w:rPr>
                <w:spacing w:val="1"/>
                <w:w w:val="99"/>
              </w:rPr>
              <w:t>943</w:t>
            </w:r>
          </w:p>
          <w:p w:rsidR="004C5C61" w:rsidRPr="001520C6" w:rsidRDefault="004C5C61" w:rsidP="005D7BEE">
            <w:pPr>
              <w:pStyle w:val="Tabletext"/>
              <w:jc w:val="center"/>
            </w:pPr>
            <w:r w:rsidRPr="001520C6">
              <w:rPr>
                <w:spacing w:val="1"/>
                <w:w w:val="99"/>
              </w:rPr>
              <w:t>646-2180</w:t>
            </w:r>
          </w:p>
          <w:p w:rsidR="004C5C61" w:rsidRPr="001520C6" w:rsidRDefault="004C5C61" w:rsidP="005D7BEE">
            <w:pPr>
              <w:pStyle w:val="Tabletext"/>
              <w:jc w:val="center"/>
            </w:pPr>
            <w:r w:rsidRPr="001520C6">
              <w:rPr>
                <w:spacing w:val="1"/>
                <w:w w:val="99"/>
              </w:rPr>
              <w:t>46</w:t>
            </w:r>
          </w:p>
        </w:tc>
        <w:tc>
          <w:tcPr>
            <w:tcW w:w="559" w:type="pct"/>
          </w:tcPr>
          <w:p w:rsidR="004C5C61" w:rsidRPr="001520C6" w:rsidRDefault="004C5C61" w:rsidP="005D7BEE">
            <w:pPr>
              <w:pStyle w:val="Tabletext"/>
              <w:jc w:val="center"/>
            </w:pPr>
            <w:r w:rsidRPr="001520C6">
              <w:rPr>
                <w:spacing w:val="1"/>
                <w:w w:val="99"/>
              </w:rPr>
              <w:t>970</w:t>
            </w:r>
          </w:p>
          <w:p w:rsidR="004C5C61" w:rsidRPr="001520C6" w:rsidRDefault="004C5C61" w:rsidP="005D7BEE">
            <w:pPr>
              <w:pStyle w:val="Tabletext"/>
              <w:jc w:val="center"/>
            </w:pPr>
            <w:r w:rsidRPr="001520C6">
              <w:rPr>
                <w:spacing w:val="1"/>
                <w:w w:val="99"/>
              </w:rPr>
              <w:t>560-2960</w:t>
            </w:r>
          </w:p>
          <w:p w:rsidR="004C5C61" w:rsidRPr="001520C6" w:rsidRDefault="004C5C61" w:rsidP="005D7BEE">
            <w:pPr>
              <w:pStyle w:val="Tabletext"/>
              <w:jc w:val="center"/>
            </w:pPr>
            <w:r w:rsidRPr="001520C6">
              <w:rPr>
                <w:spacing w:val="1"/>
                <w:w w:val="99"/>
              </w:rPr>
              <w:t>46</w:t>
            </w:r>
          </w:p>
        </w:tc>
        <w:tc>
          <w:tcPr>
            <w:tcW w:w="559" w:type="pct"/>
          </w:tcPr>
          <w:p w:rsidR="004C5C61" w:rsidRPr="001520C6" w:rsidRDefault="004C5C61" w:rsidP="005D7BEE">
            <w:pPr>
              <w:pStyle w:val="Tabletext"/>
              <w:jc w:val="center"/>
            </w:pPr>
            <w:r w:rsidRPr="001520C6">
              <w:rPr>
                <w:spacing w:val="1"/>
                <w:w w:val="99"/>
              </w:rPr>
              <w:t>1050</w:t>
            </w:r>
          </w:p>
          <w:p w:rsidR="004C5C61" w:rsidRPr="001520C6" w:rsidRDefault="004C5C61" w:rsidP="005D7BEE">
            <w:pPr>
              <w:pStyle w:val="Tabletext"/>
              <w:jc w:val="center"/>
            </w:pPr>
            <w:r w:rsidRPr="001520C6">
              <w:rPr>
                <w:spacing w:val="1"/>
                <w:w w:val="99"/>
              </w:rPr>
              <w:t>550-2960</w:t>
            </w:r>
          </w:p>
          <w:p w:rsidR="004C5C61" w:rsidRPr="001520C6" w:rsidRDefault="004C5C61" w:rsidP="005D7BEE">
            <w:pPr>
              <w:pStyle w:val="Tabletext"/>
              <w:jc w:val="center"/>
            </w:pPr>
            <w:r w:rsidRPr="001520C6">
              <w:rPr>
                <w:spacing w:val="1"/>
                <w:w w:val="99"/>
              </w:rPr>
              <w:t>47</w:t>
            </w:r>
          </w:p>
        </w:tc>
        <w:tc>
          <w:tcPr>
            <w:tcW w:w="559" w:type="pct"/>
          </w:tcPr>
          <w:p w:rsidR="004C5C61" w:rsidRPr="001520C6" w:rsidRDefault="004C5C61" w:rsidP="005D7BEE">
            <w:pPr>
              <w:pStyle w:val="Tabletext"/>
              <w:jc w:val="center"/>
            </w:pPr>
            <w:r w:rsidRPr="001520C6">
              <w:rPr>
                <w:spacing w:val="1"/>
                <w:w w:val="99"/>
              </w:rPr>
              <w:t>1005</w:t>
            </w:r>
          </w:p>
          <w:p w:rsidR="004C5C61" w:rsidRPr="001520C6" w:rsidRDefault="004C5C61" w:rsidP="005D7BEE">
            <w:pPr>
              <w:pStyle w:val="Tabletext"/>
              <w:jc w:val="center"/>
            </w:pPr>
            <w:r w:rsidRPr="001520C6">
              <w:rPr>
                <w:spacing w:val="1"/>
                <w:w w:val="99"/>
              </w:rPr>
              <w:t>450-2700</w:t>
            </w:r>
          </w:p>
          <w:p w:rsidR="004C5C61" w:rsidRPr="001520C6" w:rsidRDefault="004C5C61" w:rsidP="005D7BEE">
            <w:pPr>
              <w:pStyle w:val="Tabletext"/>
              <w:jc w:val="center"/>
            </w:pPr>
            <w:r w:rsidRPr="001520C6">
              <w:rPr>
                <w:spacing w:val="1"/>
                <w:w w:val="99"/>
              </w:rPr>
              <w:t>58</w:t>
            </w:r>
          </w:p>
        </w:tc>
        <w:tc>
          <w:tcPr>
            <w:tcW w:w="559" w:type="pct"/>
          </w:tcPr>
          <w:p w:rsidR="004C5C61" w:rsidRPr="001520C6" w:rsidRDefault="004C5C61" w:rsidP="005D7BEE">
            <w:pPr>
              <w:pStyle w:val="Tabletext"/>
              <w:jc w:val="center"/>
            </w:pPr>
            <w:r w:rsidRPr="001520C6">
              <w:rPr>
                <w:spacing w:val="1"/>
                <w:w w:val="99"/>
              </w:rPr>
              <w:t>1095</w:t>
            </w:r>
          </w:p>
          <w:p w:rsidR="004C5C61" w:rsidRPr="001520C6" w:rsidRDefault="004C5C61" w:rsidP="005D7BEE">
            <w:pPr>
              <w:pStyle w:val="Tabletext"/>
              <w:jc w:val="center"/>
            </w:pPr>
            <w:r w:rsidRPr="001520C6">
              <w:rPr>
                <w:spacing w:val="1"/>
                <w:w w:val="99"/>
              </w:rPr>
              <w:t>590-2740</w:t>
            </w:r>
          </w:p>
          <w:p w:rsidR="004C5C61" w:rsidRPr="001520C6" w:rsidRDefault="004C5C61" w:rsidP="005D7BEE">
            <w:pPr>
              <w:pStyle w:val="Tabletext"/>
              <w:jc w:val="center"/>
            </w:pPr>
            <w:r w:rsidRPr="001520C6">
              <w:rPr>
                <w:spacing w:val="1"/>
                <w:w w:val="99"/>
              </w:rPr>
              <w:t>53</w:t>
            </w:r>
          </w:p>
        </w:tc>
      </w:tr>
      <w:tr w:rsidR="004C5C61" w:rsidRPr="001520C6" w:rsidTr="005D7BEE">
        <w:trPr>
          <w:trHeight w:val="340"/>
        </w:trPr>
        <w:tc>
          <w:tcPr>
            <w:tcW w:w="532" w:type="pct"/>
          </w:tcPr>
          <w:p w:rsidR="004C5C61" w:rsidRPr="001520C6" w:rsidRDefault="004C5C61" w:rsidP="005D7BEE">
            <w:pPr>
              <w:pStyle w:val="Tabletext"/>
            </w:pPr>
            <w:r w:rsidRPr="001520C6">
              <w:t>Urine</w:t>
            </w:r>
            <w:r w:rsidRPr="001520C6">
              <w:rPr>
                <w:spacing w:val="-6"/>
              </w:rPr>
              <w:t xml:space="preserve"> </w:t>
            </w:r>
            <w:r w:rsidRPr="001520C6">
              <w:t>output</w:t>
            </w:r>
            <w:r w:rsidRPr="001520C6">
              <w:rPr>
                <w:spacing w:val="-6"/>
              </w:rPr>
              <w:t xml:space="preserve"> </w:t>
            </w:r>
            <w:r w:rsidRPr="001520C6">
              <w:t>(</w:t>
            </w:r>
            <w:r w:rsidRPr="001520C6">
              <w:rPr>
                <w:spacing w:val="-2"/>
              </w:rPr>
              <w:t>m</w:t>
            </w:r>
            <w:r w:rsidRPr="001520C6">
              <w:t>l/kg/h)</w:t>
            </w:r>
          </w:p>
        </w:tc>
        <w:tc>
          <w:tcPr>
            <w:tcW w:w="559" w:type="pct"/>
          </w:tcPr>
          <w:p w:rsidR="004C5C61" w:rsidRPr="001520C6" w:rsidRDefault="004C5C61" w:rsidP="005D7BEE">
            <w:pPr>
              <w:pStyle w:val="Tabletext"/>
              <w:jc w:val="center"/>
            </w:pPr>
            <w:r w:rsidRPr="001520C6">
              <w:rPr>
                <w:spacing w:val="1"/>
                <w:w w:val="99"/>
              </w:rPr>
              <w:t>3.5</w:t>
            </w:r>
          </w:p>
          <w:p w:rsidR="004C5C61" w:rsidRPr="001520C6" w:rsidRDefault="004C5C61" w:rsidP="005D7BEE">
            <w:pPr>
              <w:pStyle w:val="Tabletext"/>
              <w:jc w:val="center"/>
            </w:pPr>
            <w:r w:rsidRPr="001520C6">
              <w:rPr>
                <w:w w:val="99"/>
              </w:rPr>
              <w:t>0.3-11.5</w:t>
            </w:r>
          </w:p>
          <w:p w:rsidR="004C5C61" w:rsidRPr="001520C6" w:rsidRDefault="004C5C61" w:rsidP="005D7BEE">
            <w:pPr>
              <w:pStyle w:val="Tabletext"/>
              <w:jc w:val="center"/>
            </w:pPr>
            <w:r w:rsidRPr="001520C6">
              <w:rPr>
                <w:spacing w:val="1"/>
                <w:w w:val="99"/>
              </w:rPr>
              <w:t>42</w:t>
            </w:r>
          </w:p>
        </w:tc>
        <w:tc>
          <w:tcPr>
            <w:tcW w:w="559" w:type="pct"/>
          </w:tcPr>
          <w:p w:rsidR="004C5C61" w:rsidRPr="001520C6" w:rsidRDefault="004C5C61" w:rsidP="005D7BEE">
            <w:pPr>
              <w:pStyle w:val="Tabletext"/>
              <w:jc w:val="center"/>
            </w:pPr>
            <w:r w:rsidRPr="001520C6">
              <w:rPr>
                <w:spacing w:val="1"/>
                <w:w w:val="99"/>
              </w:rPr>
              <w:t>3.9</w:t>
            </w:r>
          </w:p>
          <w:p w:rsidR="004C5C61" w:rsidRPr="001520C6" w:rsidRDefault="004C5C61" w:rsidP="005D7BEE">
            <w:pPr>
              <w:pStyle w:val="Tabletext"/>
              <w:jc w:val="center"/>
            </w:pPr>
            <w:r w:rsidRPr="001520C6">
              <w:rPr>
                <w:w w:val="99"/>
              </w:rPr>
              <w:t>0.5-9.3</w:t>
            </w:r>
          </w:p>
          <w:p w:rsidR="004C5C61" w:rsidRPr="001520C6" w:rsidRDefault="004C5C61" w:rsidP="005D7BEE">
            <w:pPr>
              <w:pStyle w:val="Tabletext"/>
              <w:jc w:val="center"/>
            </w:pPr>
            <w:r w:rsidRPr="001520C6">
              <w:rPr>
                <w:spacing w:val="1"/>
                <w:w w:val="99"/>
              </w:rPr>
              <w:t>43</w:t>
            </w:r>
          </w:p>
        </w:tc>
        <w:tc>
          <w:tcPr>
            <w:tcW w:w="558" w:type="pct"/>
          </w:tcPr>
          <w:p w:rsidR="004C5C61" w:rsidRPr="001520C6" w:rsidRDefault="004C5C61" w:rsidP="005D7BEE">
            <w:pPr>
              <w:pStyle w:val="Tabletext"/>
              <w:jc w:val="center"/>
            </w:pPr>
            <w:r w:rsidRPr="001520C6">
              <w:rPr>
                <w:spacing w:val="1"/>
                <w:w w:val="99"/>
              </w:rPr>
              <w:t>3.1</w:t>
            </w:r>
          </w:p>
          <w:p w:rsidR="004C5C61" w:rsidRPr="001520C6" w:rsidRDefault="004C5C61" w:rsidP="005D7BEE">
            <w:pPr>
              <w:pStyle w:val="Tabletext"/>
              <w:jc w:val="center"/>
            </w:pPr>
            <w:r w:rsidRPr="001520C6">
              <w:rPr>
                <w:w w:val="99"/>
              </w:rPr>
              <w:t>1.4-11.1</w:t>
            </w:r>
          </w:p>
          <w:p w:rsidR="004C5C61" w:rsidRPr="001520C6" w:rsidRDefault="004C5C61" w:rsidP="005D7BEE">
            <w:pPr>
              <w:pStyle w:val="Tabletext"/>
              <w:jc w:val="center"/>
            </w:pPr>
            <w:r w:rsidRPr="001520C6">
              <w:rPr>
                <w:spacing w:val="1"/>
                <w:w w:val="99"/>
              </w:rPr>
              <w:t>48</w:t>
            </w:r>
          </w:p>
        </w:tc>
        <w:tc>
          <w:tcPr>
            <w:tcW w:w="559" w:type="pct"/>
          </w:tcPr>
          <w:p w:rsidR="004C5C61" w:rsidRPr="001520C6" w:rsidRDefault="004C5C61" w:rsidP="005D7BEE">
            <w:pPr>
              <w:pStyle w:val="Tabletext"/>
              <w:jc w:val="center"/>
            </w:pPr>
            <w:r w:rsidRPr="001520C6">
              <w:rPr>
                <w:spacing w:val="1"/>
                <w:w w:val="99"/>
              </w:rPr>
              <w:t>3.1</w:t>
            </w:r>
          </w:p>
          <w:p w:rsidR="004C5C61" w:rsidRPr="001520C6" w:rsidRDefault="004C5C61" w:rsidP="005D7BEE">
            <w:pPr>
              <w:pStyle w:val="Tabletext"/>
              <w:jc w:val="center"/>
            </w:pPr>
            <w:r w:rsidRPr="001520C6">
              <w:rPr>
                <w:w w:val="99"/>
              </w:rPr>
              <w:t>1.1-12</w:t>
            </w:r>
          </w:p>
          <w:p w:rsidR="004C5C61" w:rsidRPr="001520C6" w:rsidRDefault="004C5C61" w:rsidP="005D7BEE">
            <w:pPr>
              <w:pStyle w:val="Tabletext"/>
              <w:jc w:val="center"/>
            </w:pPr>
            <w:r w:rsidRPr="001520C6">
              <w:rPr>
                <w:spacing w:val="1"/>
                <w:w w:val="99"/>
              </w:rPr>
              <w:t>46</w:t>
            </w:r>
          </w:p>
        </w:tc>
        <w:tc>
          <w:tcPr>
            <w:tcW w:w="559" w:type="pct"/>
          </w:tcPr>
          <w:p w:rsidR="004C5C61" w:rsidRPr="001520C6" w:rsidRDefault="004C5C61" w:rsidP="005D7BEE">
            <w:pPr>
              <w:pStyle w:val="Tabletext"/>
              <w:jc w:val="center"/>
            </w:pPr>
            <w:r w:rsidRPr="001520C6">
              <w:rPr>
                <w:spacing w:val="1"/>
                <w:w w:val="99"/>
              </w:rPr>
              <w:t>2.9</w:t>
            </w:r>
          </w:p>
          <w:p w:rsidR="004C5C61" w:rsidRPr="001520C6" w:rsidRDefault="004C5C61" w:rsidP="005D7BEE">
            <w:pPr>
              <w:pStyle w:val="Tabletext"/>
              <w:jc w:val="center"/>
            </w:pPr>
            <w:r w:rsidRPr="001520C6">
              <w:rPr>
                <w:w w:val="99"/>
              </w:rPr>
              <w:t>1.1-8.4</w:t>
            </w:r>
          </w:p>
          <w:p w:rsidR="004C5C61" w:rsidRPr="001520C6" w:rsidRDefault="004C5C61" w:rsidP="005D7BEE">
            <w:pPr>
              <w:pStyle w:val="Tabletext"/>
              <w:jc w:val="center"/>
            </w:pPr>
            <w:r w:rsidRPr="001520C6">
              <w:rPr>
                <w:spacing w:val="1"/>
                <w:w w:val="99"/>
              </w:rPr>
              <w:t>30</w:t>
            </w:r>
          </w:p>
        </w:tc>
        <w:tc>
          <w:tcPr>
            <w:tcW w:w="559" w:type="pct"/>
          </w:tcPr>
          <w:p w:rsidR="004C5C61" w:rsidRPr="001520C6" w:rsidRDefault="004C5C61" w:rsidP="005D7BEE">
            <w:pPr>
              <w:pStyle w:val="Tabletext"/>
              <w:jc w:val="center"/>
            </w:pPr>
            <w:r w:rsidRPr="001520C6">
              <w:rPr>
                <w:spacing w:val="1"/>
                <w:w w:val="99"/>
              </w:rPr>
              <w:t>2.5</w:t>
            </w:r>
          </w:p>
          <w:p w:rsidR="004C5C61" w:rsidRPr="001520C6" w:rsidRDefault="004C5C61" w:rsidP="005D7BEE">
            <w:pPr>
              <w:pStyle w:val="Tabletext"/>
              <w:jc w:val="center"/>
            </w:pPr>
            <w:r w:rsidRPr="001520C6">
              <w:rPr>
                <w:w w:val="99"/>
              </w:rPr>
              <w:t>0.3-6.3</w:t>
            </w:r>
          </w:p>
          <w:p w:rsidR="004C5C61" w:rsidRPr="001520C6" w:rsidRDefault="004C5C61" w:rsidP="005D7BEE">
            <w:pPr>
              <w:pStyle w:val="Tabletext"/>
              <w:jc w:val="center"/>
            </w:pPr>
            <w:r w:rsidRPr="001520C6">
              <w:rPr>
                <w:spacing w:val="1"/>
                <w:w w:val="99"/>
              </w:rPr>
              <w:t>38</w:t>
            </w:r>
          </w:p>
        </w:tc>
        <w:tc>
          <w:tcPr>
            <w:tcW w:w="559" w:type="pct"/>
          </w:tcPr>
          <w:p w:rsidR="004C5C61" w:rsidRPr="001520C6" w:rsidRDefault="004C5C61" w:rsidP="005D7BEE">
            <w:pPr>
              <w:pStyle w:val="Tabletext"/>
              <w:jc w:val="center"/>
            </w:pPr>
            <w:r w:rsidRPr="001520C6">
              <w:rPr>
                <w:w w:val="99"/>
              </w:rPr>
              <w:t>2</w:t>
            </w:r>
          </w:p>
          <w:p w:rsidR="004C5C61" w:rsidRPr="001520C6" w:rsidRDefault="004C5C61" w:rsidP="005D7BEE">
            <w:pPr>
              <w:pStyle w:val="Tabletext"/>
              <w:jc w:val="center"/>
            </w:pPr>
            <w:r w:rsidRPr="001520C6">
              <w:rPr>
                <w:w w:val="99"/>
              </w:rPr>
              <w:t>0-5.7</w:t>
            </w:r>
          </w:p>
          <w:p w:rsidR="004C5C61" w:rsidRPr="001520C6" w:rsidRDefault="004C5C61" w:rsidP="005D7BEE">
            <w:pPr>
              <w:pStyle w:val="Tabletext"/>
              <w:jc w:val="center"/>
            </w:pPr>
            <w:r w:rsidRPr="001520C6">
              <w:rPr>
                <w:spacing w:val="1"/>
                <w:w w:val="99"/>
              </w:rPr>
              <w:t>43</w:t>
            </w:r>
          </w:p>
        </w:tc>
        <w:tc>
          <w:tcPr>
            <w:tcW w:w="559" w:type="pct"/>
          </w:tcPr>
          <w:p w:rsidR="004C5C61" w:rsidRPr="001520C6" w:rsidRDefault="004C5C61" w:rsidP="005D7BEE">
            <w:pPr>
              <w:pStyle w:val="Tabletext"/>
              <w:jc w:val="center"/>
            </w:pPr>
            <w:r w:rsidRPr="001520C6">
              <w:rPr>
                <w:spacing w:val="1"/>
                <w:w w:val="99"/>
              </w:rPr>
              <w:t>2.3</w:t>
            </w:r>
          </w:p>
          <w:p w:rsidR="004C5C61" w:rsidRPr="001520C6" w:rsidRDefault="004C5C61" w:rsidP="005D7BEE">
            <w:pPr>
              <w:pStyle w:val="Tabletext"/>
              <w:jc w:val="center"/>
            </w:pPr>
            <w:r w:rsidRPr="001520C6">
              <w:rPr>
                <w:w w:val="99"/>
              </w:rPr>
              <w:t>0.5-6.7</w:t>
            </w:r>
          </w:p>
          <w:p w:rsidR="004C5C61" w:rsidRPr="001520C6" w:rsidRDefault="004C5C61" w:rsidP="005D7BEE">
            <w:pPr>
              <w:pStyle w:val="Tabletext"/>
              <w:jc w:val="center"/>
            </w:pPr>
            <w:r w:rsidRPr="001520C6">
              <w:rPr>
                <w:spacing w:val="1"/>
                <w:w w:val="99"/>
              </w:rPr>
              <w:t>44</w:t>
            </w:r>
          </w:p>
        </w:tc>
      </w:tr>
      <w:tr w:rsidR="004C5C61" w:rsidRPr="001520C6" w:rsidTr="005D7BEE">
        <w:trPr>
          <w:trHeight w:val="340"/>
        </w:trPr>
        <w:tc>
          <w:tcPr>
            <w:tcW w:w="532" w:type="pct"/>
          </w:tcPr>
          <w:p w:rsidR="004C5C61" w:rsidRPr="001520C6" w:rsidRDefault="004C5C61" w:rsidP="005D7BEE">
            <w:pPr>
              <w:pStyle w:val="Tabletext"/>
            </w:pPr>
            <w:r w:rsidRPr="001520C6">
              <w:t>Water</w:t>
            </w:r>
            <w:r w:rsidRPr="001520C6">
              <w:rPr>
                <w:spacing w:val="-6"/>
              </w:rPr>
              <w:t xml:space="preserve"> </w:t>
            </w:r>
            <w:r w:rsidRPr="001520C6">
              <w:t>out/input</w:t>
            </w:r>
            <w:r w:rsidRPr="001520C6">
              <w:rPr>
                <w:spacing w:val="-8"/>
              </w:rPr>
              <w:t xml:space="preserve"> </w:t>
            </w:r>
            <w:r w:rsidRPr="001520C6">
              <w:t>ratio</w:t>
            </w:r>
          </w:p>
        </w:tc>
        <w:tc>
          <w:tcPr>
            <w:tcW w:w="559" w:type="pct"/>
          </w:tcPr>
          <w:p w:rsidR="004C5C61" w:rsidRPr="001520C6" w:rsidRDefault="004C5C61" w:rsidP="005D7BEE">
            <w:pPr>
              <w:pStyle w:val="Tabletext"/>
              <w:jc w:val="center"/>
            </w:pPr>
            <w:r w:rsidRPr="001520C6">
              <w:rPr>
                <w:spacing w:val="1"/>
                <w:w w:val="99"/>
              </w:rPr>
              <w:t>0.6</w:t>
            </w:r>
          </w:p>
          <w:p w:rsidR="004C5C61" w:rsidRPr="001520C6" w:rsidRDefault="004C5C61" w:rsidP="005D7BEE">
            <w:pPr>
              <w:pStyle w:val="Tabletext"/>
              <w:jc w:val="center"/>
            </w:pPr>
            <w:r w:rsidRPr="001520C6">
              <w:rPr>
                <w:w w:val="99"/>
              </w:rPr>
              <w:t>0-2</w:t>
            </w:r>
          </w:p>
          <w:p w:rsidR="004C5C61" w:rsidRPr="001520C6" w:rsidRDefault="004C5C61" w:rsidP="005D7BEE">
            <w:pPr>
              <w:pStyle w:val="Tabletext"/>
              <w:jc w:val="center"/>
            </w:pPr>
            <w:r w:rsidRPr="001520C6">
              <w:rPr>
                <w:spacing w:val="1"/>
                <w:w w:val="99"/>
              </w:rPr>
              <w:t>37</w:t>
            </w:r>
          </w:p>
        </w:tc>
        <w:tc>
          <w:tcPr>
            <w:tcW w:w="559" w:type="pct"/>
          </w:tcPr>
          <w:p w:rsidR="004C5C61" w:rsidRPr="001520C6" w:rsidRDefault="004C5C61" w:rsidP="005D7BEE">
            <w:pPr>
              <w:pStyle w:val="Tabletext"/>
              <w:jc w:val="center"/>
            </w:pPr>
            <w:r w:rsidRPr="001520C6">
              <w:rPr>
                <w:spacing w:val="1"/>
                <w:w w:val="99"/>
              </w:rPr>
              <w:t>0.6</w:t>
            </w:r>
          </w:p>
          <w:p w:rsidR="004C5C61" w:rsidRPr="001520C6" w:rsidRDefault="004C5C61" w:rsidP="005D7BEE">
            <w:pPr>
              <w:pStyle w:val="Tabletext"/>
              <w:jc w:val="center"/>
            </w:pPr>
            <w:r w:rsidRPr="001520C6">
              <w:rPr>
                <w:w w:val="99"/>
              </w:rPr>
              <w:t>0.2-3.2</w:t>
            </w:r>
          </w:p>
          <w:p w:rsidR="004C5C61" w:rsidRPr="001520C6" w:rsidRDefault="004C5C61" w:rsidP="005D7BEE">
            <w:pPr>
              <w:pStyle w:val="Tabletext"/>
              <w:jc w:val="center"/>
            </w:pPr>
            <w:r w:rsidRPr="001520C6">
              <w:rPr>
                <w:spacing w:val="1"/>
                <w:w w:val="99"/>
              </w:rPr>
              <w:t>40</w:t>
            </w:r>
          </w:p>
        </w:tc>
        <w:tc>
          <w:tcPr>
            <w:tcW w:w="558" w:type="pct"/>
          </w:tcPr>
          <w:p w:rsidR="004C5C61" w:rsidRPr="001520C6" w:rsidRDefault="004C5C61" w:rsidP="005D7BEE">
            <w:pPr>
              <w:pStyle w:val="Tabletext"/>
              <w:jc w:val="center"/>
            </w:pPr>
            <w:r w:rsidRPr="001520C6">
              <w:rPr>
                <w:spacing w:val="1"/>
                <w:w w:val="99"/>
              </w:rPr>
              <w:t>0.5</w:t>
            </w:r>
          </w:p>
          <w:p w:rsidR="004C5C61" w:rsidRPr="001520C6" w:rsidRDefault="004C5C61" w:rsidP="005D7BEE">
            <w:pPr>
              <w:pStyle w:val="Tabletext"/>
              <w:jc w:val="center"/>
            </w:pPr>
            <w:r w:rsidRPr="001520C6">
              <w:rPr>
                <w:w w:val="99"/>
              </w:rPr>
              <w:t>0.1-3</w:t>
            </w:r>
          </w:p>
          <w:p w:rsidR="004C5C61" w:rsidRPr="001520C6" w:rsidRDefault="004C5C61" w:rsidP="005D7BEE">
            <w:pPr>
              <w:pStyle w:val="Tabletext"/>
              <w:jc w:val="center"/>
            </w:pPr>
            <w:r w:rsidRPr="001520C6">
              <w:rPr>
                <w:spacing w:val="1"/>
                <w:w w:val="99"/>
              </w:rPr>
              <w:t>43</w:t>
            </w:r>
          </w:p>
        </w:tc>
        <w:tc>
          <w:tcPr>
            <w:tcW w:w="559" w:type="pct"/>
          </w:tcPr>
          <w:p w:rsidR="004C5C61" w:rsidRPr="001520C6" w:rsidRDefault="004C5C61" w:rsidP="005D7BEE">
            <w:pPr>
              <w:pStyle w:val="Tabletext"/>
              <w:jc w:val="center"/>
            </w:pPr>
            <w:r w:rsidRPr="001520C6">
              <w:rPr>
                <w:spacing w:val="1"/>
                <w:w w:val="99"/>
              </w:rPr>
              <w:t>0.6</w:t>
            </w:r>
          </w:p>
          <w:p w:rsidR="004C5C61" w:rsidRPr="001520C6" w:rsidRDefault="004C5C61" w:rsidP="005D7BEE">
            <w:pPr>
              <w:pStyle w:val="Tabletext"/>
              <w:jc w:val="center"/>
            </w:pPr>
            <w:r w:rsidRPr="001520C6">
              <w:rPr>
                <w:w w:val="99"/>
              </w:rPr>
              <w:t>0.2-1.3</w:t>
            </w:r>
          </w:p>
          <w:p w:rsidR="004C5C61" w:rsidRPr="001520C6" w:rsidRDefault="004C5C61" w:rsidP="005D7BEE">
            <w:pPr>
              <w:pStyle w:val="Tabletext"/>
              <w:jc w:val="center"/>
            </w:pPr>
            <w:r w:rsidRPr="001520C6">
              <w:rPr>
                <w:spacing w:val="1"/>
                <w:w w:val="99"/>
              </w:rPr>
              <w:t>43</w:t>
            </w:r>
          </w:p>
        </w:tc>
        <w:tc>
          <w:tcPr>
            <w:tcW w:w="559" w:type="pct"/>
          </w:tcPr>
          <w:p w:rsidR="004C5C61" w:rsidRPr="001520C6" w:rsidRDefault="004C5C61" w:rsidP="005D7BEE">
            <w:pPr>
              <w:pStyle w:val="Tabletext"/>
              <w:jc w:val="center"/>
            </w:pPr>
            <w:r w:rsidRPr="001520C6">
              <w:rPr>
                <w:spacing w:val="1"/>
                <w:w w:val="99"/>
              </w:rPr>
              <w:t>0.7</w:t>
            </w:r>
          </w:p>
          <w:p w:rsidR="004C5C61" w:rsidRPr="001520C6" w:rsidRDefault="004C5C61" w:rsidP="005D7BEE">
            <w:pPr>
              <w:pStyle w:val="Tabletext"/>
              <w:jc w:val="center"/>
            </w:pPr>
            <w:r w:rsidRPr="001520C6">
              <w:rPr>
                <w:w w:val="99"/>
              </w:rPr>
              <w:t>0.2-2.9</w:t>
            </w:r>
          </w:p>
          <w:p w:rsidR="004C5C61" w:rsidRPr="001520C6" w:rsidRDefault="004C5C61" w:rsidP="005D7BEE">
            <w:pPr>
              <w:pStyle w:val="Tabletext"/>
              <w:jc w:val="center"/>
            </w:pPr>
            <w:r w:rsidRPr="001520C6">
              <w:rPr>
                <w:spacing w:val="1"/>
                <w:w w:val="99"/>
              </w:rPr>
              <w:t>28</w:t>
            </w:r>
          </w:p>
        </w:tc>
        <w:tc>
          <w:tcPr>
            <w:tcW w:w="559" w:type="pct"/>
          </w:tcPr>
          <w:p w:rsidR="004C5C61" w:rsidRPr="001520C6" w:rsidRDefault="004C5C61" w:rsidP="005D7BEE">
            <w:pPr>
              <w:pStyle w:val="Tabletext"/>
              <w:jc w:val="center"/>
            </w:pPr>
            <w:r w:rsidRPr="001520C6">
              <w:rPr>
                <w:spacing w:val="1"/>
                <w:w w:val="99"/>
              </w:rPr>
              <w:t>0.6</w:t>
            </w:r>
          </w:p>
          <w:p w:rsidR="004C5C61" w:rsidRPr="001520C6" w:rsidRDefault="004C5C61" w:rsidP="005D7BEE">
            <w:pPr>
              <w:pStyle w:val="Tabletext"/>
              <w:jc w:val="center"/>
            </w:pPr>
            <w:r w:rsidRPr="001520C6">
              <w:rPr>
                <w:w w:val="99"/>
              </w:rPr>
              <w:t>0-1.3</w:t>
            </w:r>
          </w:p>
          <w:p w:rsidR="004C5C61" w:rsidRPr="001520C6" w:rsidRDefault="004C5C61" w:rsidP="005D7BEE">
            <w:pPr>
              <w:pStyle w:val="Tabletext"/>
              <w:jc w:val="center"/>
            </w:pPr>
            <w:r w:rsidRPr="001520C6">
              <w:rPr>
                <w:spacing w:val="1"/>
                <w:w w:val="99"/>
              </w:rPr>
              <w:t>36</w:t>
            </w:r>
          </w:p>
        </w:tc>
        <w:tc>
          <w:tcPr>
            <w:tcW w:w="559" w:type="pct"/>
          </w:tcPr>
          <w:p w:rsidR="004C5C61" w:rsidRPr="001520C6" w:rsidRDefault="004C5C61" w:rsidP="005D7BEE">
            <w:pPr>
              <w:pStyle w:val="Tabletext"/>
              <w:jc w:val="center"/>
            </w:pPr>
            <w:r w:rsidRPr="001520C6">
              <w:rPr>
                <w:spacing w:val="1"/>
                <w:w w:val="99"/>
              </w:rPr>
              <w:t>0.4</w:t>
            </w:r>
          </w:p>
          <w:p w:rsidR="004C5C61" w:rsidRPr="001520C6" w:rsidRDefault="004C5C61" w:rsidP="005D7BEE">
            <w:pPr>
              <w:pStyle w:val="Tabletext"/>
              <w:jc w:val="center"/>
            </w:pPr>
            <w:r w:rsidRPr="001520C6">
              <w:rPr>
                <w:w w:val="99"/>
              </w:rPr>
              <w:t>0-1.4</w:t>
            </w:r>
          </w:p>
          <w:p w:rsidR="004C5C61" w:rsidRPr="001520C6" w:rsidRDefault="004C5C61" w:rsidP="005D7BEE">
            <w:pPr>
              <w:pStyle w:val="Tabletext"/>
              <w:jc w:val="center"/>
            </w:pPr>
            <w:r w:rsidRPr="001520C6">
              <w:rPr>
                <w:spacing w:val="1"/>
                <w:w w:val="99"/>
              </w:rPr>
              <w:t>39</w:t>
            </w:r>
          </w:p>
        </w:tc>
        <w:tc>
          <w:tcPr>
            <w:tcW w:w="559" w:type="pct"/>
          </w:tcPr>
          <w:p w:rsidR="004C5C61" w:rsidRPr="001520C6" w:rsidRDefault="004C5C61" w:rsidP="005D7BEE">
            <w:pPr>
              <w:pStyle w:val="Tabletext"/>
              <w:jc w:val="center"/>
            </w:pPr>
            <w:r w:rsidRPr="001520C6">
              <w:rPr>
                <w:spacing w:val="1"/>
                <w:w w:val="99"/>
              </w:rPr>
              <w:t>0.5</w:t>
            </w:r>
          </w:p>
          <w:p w:rsidR="004C5C61" w:rsidRPr="001520C6" w:rsidRDefault="004C5C61" w:rsidP="005D7BEE">
            <w:pPr>
              <w:pStyle w:val="Tabletext"/>
              <w:jc w:val="center"/>
            </w:pPr>
            <w:r w:rsidRPr="001520C6">
              <w:rPr>
                <w:w w:val="99"/>
              </w:rPr>
              <w:t>0.1-2.3</w:t>
            </w:r>
          </w:p>
          <w:p w:rsidR="004C5C61" w:rsidRPr="001520C6" w:rsidRDefault="004C5C61" w:rsidP="005D7BEE">
            <w:pPr>
              <w:pStyle w:val="Tabletext"/>
              <w:jc w:val="center"/>
            </w:pPr>
            <w:r w:rsidRPr="001520C6">
              <w:rPr>
                <w:spacing w:val="1"/>
                <w:w w:val="99"/>
              </w:rPr>
              <w:t>39</w:t>
            </w:r>
          </w:p>
        </w:tc>
      </w:tr>
    </w:tbl>
    <w:p w:rsidR="004C5C61" w:rsidRPr="00C2074B" w:rsidRDefault="004C5C61" w:rsidP="00CD4C09">
      <w:pPr>
        <w:pStyle w:val="Heading6"/>
      </w:pPr>
      <w:r w:rsidRPr="00C2074B">
        <w:t>Pivotal and/or main efficacy studies</w:t>
      </w:r>
    </w:p>
    <w:p w:rsidR="004C5C61" w:rsidRPr="00CD4C09" w:rsidRDefault="004C5C61" w:rsidP="00CD4C09">
      <w:pPr>
        <w:pStyle w:val="Heading7"/>
        <w:rPr>
          <w:b/>
          <w:lang w:eastAsia="ja-JP"/>
        </w:rPr>
      </w:pPr>
      <w:r w:rsidRPr="00CD4C09">
        <w:rPr>
          <w:b/>
          <w:lang w:eastAsia="ja-JP"/>
        </w:rPr>
        <w:t>Study IBU/PROPHYL/2000 curative group</w:t>
      </w:r>
    </w:p>
    <w:p w:rsidR="004C5C61" w:rsidRPr="00CD4C09" w:rsidRDefault="004C5C61" w:rsidP="00CD4C09">
      <w:r w:rsidRPr="00CD4C09">
        <w:t xml:space="preserve">During ibuprofen treatment none of the patients presented an abnormal daily creatinine increase. In only 1 infant a transient increase in creatinine was seen (from 38 </w:t>
      </w:r>
      <w:proofErr w:type="gramStart"/>
      <w:r w:rsidRPr="00CD4C09">
        <w:t xml:space="preserve">up to 82 </w:t>
      </w:r>
      <w:proofErr w:type="spellStart"/>
      <w:r w:rsidRPr="00CD4C09">
        <w:t>μmol</w:t>
      </w:r>
      <w:proofErr w:type="spellEnd"/>
      <w:r w:rsidRPr="00CD4C09">
        <w:t>/L</w:t>
      </w:r>
      <w:proofErr w:type="gramEnd"/>
      <w:r w:rsidRPr="00CD4C09">
        <w:t>) 1 week after the first injection of ibuprofen. No other clinical significantly changes were reported during the study.</w:t>
      </w:r>
    </w:p>
    <w:p w:rsidR="004C5C61" w:rsidRPr="00C2074B" w:rsidRDefault="004C5C61" w:rsidP="00CD4C09">
      <w:pPr>
        <w:pStyle w:val="Heading6"/>
      </w:pPr>
      <w:r w:rsidRPr="00C2074B">
        <w:t>Other studies</w:t>
      </w:r>
    </w:p>
    <w:p w:rsidR="004C5C61" w:rsidRPr="00EC3AE0" w:rsidRDefault="004C5C61" w:rsidP="004C5C61">
      <w:pPr>
        <w:pStyle w:val="Heading6"/>
        <w:jc w:val="both"/>
      </w:pPr>
      <w:r w:rsidRPr="00EC3AE0">
        <w:t>Other efficacy studies</w:t>
      </w:r>
    </w:p>
    <w:p w:rsidR="004C5C61" w:rsidRPr="00CD4C09" w:rsidRDefault="004C5C61" w:rsidP="00CD4C09">
      <w:pPr>
        <w:pStyle w:val="Heading7"/>
        <w:rPr>
          <w:b/>
          <w:lang w:eastAsia="ja-JP"/>
        </w:rPr>
      </w:pPr>
      <w:r w:rsidRPr="00CD4C09">
        <w:rPr>
          <w:b/>
          <w:lang w:eastAsia="ja-JP"/>
        </w:rPr>
        <w:t>Study IBU/PROPHYL/2000 prophylactic group</w:t>
      </w:r>
    </w:p>
    <w:p w:rsidR="004C5C61" w:rsidRPr="00CD4C09" w:rsidRDefault="004C5C61" w:rsidP="00CD4C09">
      <w:r w:rsidRPr="00CD4C09">
        <w:t xml:space="preserve">Daily increases in creatinine indicative of renal failure were more frequent in the </w:t>
      </w:r>
      <w:r w:rsidR="001520C6">
        <w:t>prophylactic group as shown in t</w:t>
      </w:r>
      <w:r w:rsidRPr="00CD4C09">
        <w:t>able below.</w:t>
      </w:r>
    </w:p>
    <w:p w:rsidR="00912385" w:rsidRDefault="00912385">
      <w:pPr>
        <w:spacing w:before="0" w:after="200" w:line="0" w:lineRule="auto"/>
        <w:rPr>
          <w:b/>
        </w:rPr>
      </w:pPr>
      <w:bookmarkStart w:id="133" w:name="_Toc454981342"/>
      <w:r>
        <w:br w:type="page"/>
      </w:r>
    </w:p>
    <w:p w:rsidR="004C5C61" w:rsidRDefault="001520C6" w:rsidP="001520C6">
      <w:pPr>
        <w:pStyle w:val="TableTitle"/>
        <w:rPr>
          <w:lang w:eastAsia="ja-JP"/>
        </w:rPr>
      </w:pPr>
      <w:proofErr w:type="gramStart"/>
      <w:r>
        <w:lastRenderedPageBreak/>
        <w:t xml:space="preserve">Table 8: </w:t>
      </w:r>
      <w:r w:rsidR="004C5C61">
        <w:t xml:space="preserve">Study IBU/PROPHYL/2000 prophylactic group - </w:t>
      </w:r>
      <w:r w:rsidR="004C5C61" w:rsidRPr="00975523">
        <w:rPr>
          <w:lang w:eastAsia="ja-JP"/>
        </w:rPr>
        <w:t>Incidence of creatinine increase</w:t>
      </w:r>
      <w:bookmarkEnd w:id="133"/>
      <w:r w:rsidR="00E154CC">
        <w:rPr>
          <w:lang w:eastAsia="ja-JP"/>
        </w:rPr>
        <w:t>.</w:t>
      </w:r>
      <w:proofErr w:type="gramEnd"/>
    </w:p>
    <w:tbl>
      <w:tblPr>
        <w:tblStyle w:val="TableGrid"/>
        <w:tblW w:w="0" w:type="auto"/>
        <w:tblLayout w:type="fixed"/>
        <w:tblLook w:val="0000" w:firstRow="0" w:lastRow="0" w:firstColumn="0" w:lastColumn="0" w:noHBand="0" w:noVBand="0"/>
        <w:tblDescription w:val="Table 8: Study IBU/PROPHYL/2000 prophylactic group - Incidence of creatinine increase."/>
      </w:tblPr>
      <w:tblGrid>
        <w:gridCol w:w="2065"/>
        <w:gridCol w:w="1790"/>
        <w:gridCol w:w="1702"/>
        <w:gridCol w:w="1638"/>
        <w:gridCol w:w="1620"/>
      </w:tblGrid>
      <w:tr w:rsidR="004C5C61" w:rsidRPr="00F03A18" w:rsidTr="005D7BEE">
        <w:trPr>
          <w:trHeight w:hRule="exact" w:val="734"/>
          <w:tblHeader/>
        </w:trPr>
        <w:tc>
          <w:tcPr>
            <w:tcW w:w="2065" w:type="dxa"/>
            <w:vAlign w:val="center"/>
          </w:tcPr>
          <w:p w:rsidR="004C5C61" w:rsidRPr="005D7BEE" w:rsidRDefault="004C5C61" w:rsidP="005D7BEE">
            <w:pPr>
              <w:pStyle w:val="TableHeading"/>
              <w:rPr>
                <w:b/>
                <w:color w:val="auto"/>
              </w:rPr>
            </w:pPr>
          </w:p>
        </w:tc>
        <w:tc>
          <w:tcPr>
            <w:tcW w:w="1790" w:type="dxa"/>
            <w:vAlign w:val="center"/>
          </w:tcPr>
          <w:p w:rsidR="004C5C61" w:rsidRPr="005D7BEE" w:rsidRDefault="004C5C61" w:rsidP="005D7BEE">
            <w:pPr>
              <w:pStyle w:val="TableHeading"/>
              <w:rPr>
                <w:rFonts w:cs="Arial"/>
                <w:b/>
                <w:color w:val="auto"/>
              </w:rPr>
            </w:pPr>
            <w:r w:rsidRPr="005D7BEE">
              <w:rPr>
                <w:rFonts w:cs="Arial"/>
                <w:b/>
                <w:color w:val="auto"/>
              </w:rPr>
              <w:t>Curative</w:t>
            </w:r>
            <w:r w:rsidRPr="005D7BEE">
              <w:rPr>
                <w:rFonts w:cs="Arial"/>
                <w:b/>
                <w:color w:val="auto"/>
                <w:spacing w:val="-9"/>
              </w:rPr>
              <w:t xml:space="preserve"> </w:t>
            </w:r>
            <w:r w:rsidRPr="005D7BEE">
              <w:rPr>
                <w:rFonts w:cs="Arial"/>
                <w:b/>
                <w:color w:val="auto"/>
              </w:rPr>
              <w:t>group</w:t>
            </w:r>
          </w:p>
          <w:p w:rsidR="004C5C61" w:rsidRPr="005D7BEE" w:rsidRDefault="004C5C61" w:rsidP="005D7BEE">
            <w:pPr>
              <w:pStyle w:val="TableHeading"/>
              <w:rPr>
                <w:b/>
                <w:color w:val="auto"/>
              </w:rPr>
            </w:pPr>
            <w:r w:rsidRPr="005D7BEE">
              <w:rPr>
                <w:rFonts w:cs="Arial"/>
                <w:b/>
                <w:color w:val="auto"/>
              </w:rPr>
              <w:t>N=66</w:t>
            </w:r>
          </w:p>
        </w:tc>
        <w:tc>
          <w:tcPr>
            <w:tcW w:w="1702" w:type="dxa"/>
            <w:vAlign w:val="center"/>
          </w:tcPr>
          <w:p w:rsidR="004C5C61" w:rsidRPr="005D7BEE" w:rsidRDefault="004C5C61" w:rsidP="005D7BEE">
            <w:pPr>
              <w:pStyle w:val="TableHeading"/>
              <w:rPr>
                <w:rFonts w:cs="Arial"/>
                <w:b/>
                <w:color w:val="auto"/>
              </w:rPr>
            </w:pPr>
            <w:r w:rsidRPr="005D7BEE">
              <w:rPr>
                <w:rFonts w:cs="Arial"/>
                <w:b/>
                <w:color w:val="auto"/>
              </w:rPr>
              <w:t>Prophylactic</w:t>
            </w:r>
            <w:r w:rsidRPr="005D7BEE">
              <w:rPr>
                <w:rFonts w:cs="Arial"/>
                <w:b/>
                <w:color w:val="auto"/>
                <w:spacing w:val="-13"/>
              </w:rPr>
              <w:t xml:space="preserve"> </w:t>
            </w:r>
            <w:r w:rsidRPr="005D7BEE">
              <w:rPr>
                <w:rFonts w:cs="Arial"/>
                <w:b/>
                <w:color w:val="auto"/>
              </w:rPr>
              <w:t>group</w:t>
            </w:r>
          </w:p>
          <w:p w:rsidR="004C5C61" w:rsidRPr="005D7BEE" w:rsidRDefault="004C5C61" w:rsidP="005D7BEE">
            <w:pPr>
              <w:pStyle w:val="TableHeading"/>
              <w:rPr>
                <w:b/>
                <w:color w:val="auto"/>
              </w:rPr>
            </w:pPr>
            <w:r w:rsidRPr="005D7BEE">
              <w:rPr>
                <w:rFonts w:cs="Arial"/>
                <w:b/>
                <w:color w:val="auto"/>
              </w:rPr>
              <w:t>N=65</w:t>
            </w:r>
          </w:p>
        </w:tc>
        <w:tc>
          <w:tcPr>
            <w:tcW w:w="1638" w:type="dxa"/>
            <w:vAlign w:val="center"/>
          </w:tcPr>
          <w:p w:rsidR="004C5C61" w:rsidRPr="005D7BEE" w:rsidRDefault="004C5C61" w:rsidP="005D7BEE">
            <w:pPr>
              <w:pStyle w:val="TableHeading"/>
              <w:rPr>
                <w:rFonts w:cs="Arial"/>
                <w:b/>
                <w:color w:val="auto"/>
              </w:rPr>
            </w:pPr>
            <w:r w:rsidRPr="005D7BEE">
              <w:rPr>
                <w:rFonts w:cs="Arial"/>
                <w:b/>
                <w:color w:val="auto"/>
                <w:w w:val="99"/>
              </w:rPr>
              <w:t>All</w:t>
            </w:r>
          </w:p>
          <w:p w:rsidR="004C5C61" w:rsidRPr="005D7BEE" w:rsidRDefault="004C5C61" w:rsidP="005D7BEE">
            <w:pPr>
              <w:pStyle w:val="TableHeading"/>
              <w:rPr>
                <w:b/>
                <w:color w:val="auto"/>
              </w:rPr>
            </w:pPr>
            <w:r w:rsidRPr="005D7BEE">
              <w:rPr>
                <w:rFonts w:cs="Arial"/>
                <w:b/>
                <w:color w:val="auto"/>
                <w:w w:val="99"/>
              </w:rPr>
              <w:t>N=131</w:t>
            </w:r>
          </w:p>
        </w:tc>
        <w:tc>
          <w:tcPr>
            <w:tcW w:w="1620" w:type="dxa"/>
            <w:vAlign w:val="center"/>
          </w:tcPr>
          <w:p w:rsidR="004C5C61" w:rsidRPr="005D7BEE" w:rsidRDefault="004C5C61" w:rsidP="005D7BEE">
            <w:pPr>
              <w:pStyle w:val="TableHeading"/>
              <w:rPr>
                <w:rFonts w:cs="Arial"/>
                <w:b/>
                <w:color w:val="auto"/>
              </w:rPr>
            </w:pPr>
            <w:r w:rsidRPr="005D7BEE">
              <w:rPr>
                <w:rFonts w:cs="Arial"/>
                <w:b/>
                <w:color w:val="auto"/>
              </w:rPr>
              <w:t>Comparative</w:t>
            </w:r>
          </w:p>
          <w:p w:rsidR="004C5C61" w:rsidRPr="005D7BEE" w:rsidRDefault="004C5C61" w:rsidP="005D7BEE">
            <w:pPr>
              <w:pStyle w:val="TableHeading"/>
              <w:rPr>
                <w:b/>
                <w:color w:val="auto"/>
              </w:rPr>
            </w:pPr>
            <w:r w:rsidRPr="005D7BEE">
              <w:rPr>
                <w:rFonts w:cs="Arial"/>
                <w:b/>
                <w:color w:val="auto"/>
              </w:rPr>
              <w:t>Test</w:t>
            </w:r>
          </w:p>
        </w:tc>
      </w:tr>
      <w:tr w:rsidR="004C5C61" w:rsidRPr="00F03A18" w:rsidTr="005D7BEE">
        <w:trPr>
          <w:trHeight w:hRule="exact" w:val="534"/>
        </w:trPr>
        <w:tc>
          <w:tcPr>
            <w:tcW w:w="2065" w:type="dxa"/>
          </w:tcPr>
          <w:p w:rsidR="004C5C61" w:rsidRPr="00F03A18" w:rsidRDefault="004C5C61" w:rsidP="005D7BEE">
            <w:pPr>
              <w:pStyle w:val="Tabletext"/>
            </w:pPr>
            <w:r w:rsidRPr="00F03A18">
              <w:t>Period</w:t>
            </w:r>
            <w:r w:rsidRPr="00F03A18">
              <w:rPr>
                <w:spacing w:val="-6"/>
              </w:rPr>
              <w:t xml:space="preserve"> </w:t>
            </w:r>
            <w:r w:rsidRPr="00F03A18">
              <w:t>D1-3</w:t>
            </w:r>
          </w:p>
        </w:tc>
        <w:tc>
          <w:tcPr>
            <w:tcW w:w="1790" w:type="dxa"/>
          </w:tcPr>
          <w:p w:rsidR="004C5C61" w:rsidRPr="00F03A18" w:rsidRDefault="004C5C61" w:rsidP="005D7BEE">
            <w:pPr>
              <w:pStyle w:val="Tabletext"/>
              <w:jc w:val="center"/>
            </w:pPr>
            <w:r w:rsidRPr="00F03A18">
              <w:t>N</w:t>
            </w:r>
            <w:r w:rsidRPr="00F03A18">
              <w:rPr>
                <w:spacing w:val="-2"/>
              </w:rPr>
              <w:t xml:space="preserve"> </w:t>
            </w:r>
            <w:r w:rsidRPr="00F03A18">
              <w:t>=</w:t>
            </w:r>
            <w:r w:rsidRPr="00F03A18">
              <w:rPr>
                <w:spacing w:val="-1"/>
              </w:rPr>
              <w:t xml:space="preserve"> </w:t>
            </w:r>
            <w:r w:rsidRPr="00F03A18">
              <w:rPr>
                <w:w w:val="99"/>
              </w:rPr>
              <w:t>48</w:t>
            </w:r>
          </w:p>
          <w:p w:rsidR="004C5C61" w:rsidRPr="00F03A18" w:rsidRDefault="004C5C61" w:rsidP="005D7BEE">
            <w:pPr>
              <w:pStyle w:val="Tabletext"/>
              <w:jc w:val="center"/>
            </w:pPr>
            <w:r w:rsidRPr="00F03A18">
              <w:t>3</w:t>
            </w:r>
            <w:r w:rsidRPr="00F03A18">
              <w:rPr>
                <w:spacing w:val="9"/>
              </w:rPr>
              <w:t xml:space="preserve"> </w:t>
            </w:r>
            <w:r w:rsidRPr="00F03A18">
              <w:rPr>
                <w:w w:val="99"/>
              </w:rPr>
              <w:t>(6.3%)</w:t>
            </w:r>
          </w:p>
        </w:tc>
        <w:tc>
          <w:tcPr>
            <w:tcW w:w="1702" w:type="dxa"/>
          </w:tcPr>
          <w:p w:rsidR="004C5C61" w:rsidRPr="00F03A18" w:rsidRDefault="004C5C61" w:rsidP="005D7BEE">
            <w:pPr>
              <w:pStyle w:val="Tabletext"/>
              <w:jc w:val="center"/>
            </w:pPr>
            <w:r w:rsidRPr="00F03A18">
              <w:t>N</w:t>
            </w:r>
            <w:r w:rsidRPr="00F03A18">
              <w:rPr>
                <w:spacing w:val="-2"/>
              </w:rPr>
              <w:t xml:space="preserve"> </w:t>
            </w:r>
            <w:r w:rsidRPr="00F03A18">
              <w:t>=</w:t>
            </w:r>
            <w:r w:rsidRPr="00F03A18">
              <w:rPr>
                <w:spacing w:val="-1"/>
              </w:rPr>
              <w:t xml:space="preserve"> </w:t>
            </w:r>
            <w:r w:rsidRPr="00F03A18">
              <w:rPr>
                <w:w w:val="99"/>
              </w:rPr>
              <w:t>51</w:t>
            </w:r>
          </w:p>
          <w:p w:rsidR="004C5C61" w:rsidRPr="00F03A18" w:rsidRDefault="004C5C61" w:rsidP="005D7BEE">
            <w:pPr>
              <w:pStyle w:val="Tabletext"/>
              <w:jc w:val="center"/>
            </w:pPr>
            <w:r w:rsidRPr="00F03A18">
              <w:t xml:space="preserve">10 </w:t>
            </w:r>
            <w:r w:rsidRPr="00F03A18">
              <w:rPr>
                <w:w w:val="99"/>
              </w:rPr>
              <w:t>(19.6%)</w:t>
            </w:r>
          </w:p>
        </w:tc>
        <w:tc>
          <w:tcPr>
            <w:tcW w:w="1638" w:type="dxa"/>
          </w:tcPr>
          <w:p w:rsidR="004C5C61" w:rsidRPr="00F03A18" w:rsidRDefault="004C5C61" w:rsidP="005D7BEE">
            <w:pPr>
              <w:pStyle w:val="Tabletext"/>
              <w:jc w:val="center"/>
            </w:pPr>
            <w:r w:rsidRPr="00F03A18">
              <w:t>N</w:t>
            </w:r>
            <w:r w:rsidRPr="00F03A18">
              <w:rPr>
                <w:spacing w:val="-2"/>
              </w:rPr>
              <w:t xml:space="preserve"> </w:t>
            </w:r>
            <w:r w:rsidRPr="00F03A18">
              <w:t>=</w:t>
            </w:r>
            <w:r w:rsidRPr="00F03A18">
              <w:rPr>
                <w:spacing w:val="-1"/>
              </w:rPr>
              <w:t xml:space="preserve"> </w:t>
            </w:r>
            <w:r w:rsidRPr="00F03A18">
              <w:rPr>
                <w:w w:val="99"/>
              </w:rPr>
              <w:t>99</w:t>
            </w:r>
          </w:p>
          <w:p w:rsidR="004C5C61" w:rsidRPr="00F03A18" w:rsidRDefault="004C5C61" w:rsidP="005D7BEE">
            <w:pPr>
              <w:pStyle w:val="Tabletext"/>
              <w:jc w:val="center"/>
            </w:pPr>
            <w:r w:rsidRPr="00F03A18">
              <w:t xml:space="preserve">13 </w:t>
            </w:r>
            <w:r w:rsidRPr="00F03A18">
              <w:rPr>
                <w:w w:val="99"/>
              </w:rPr>
              <w:t>(13.1%)</w:t>
            </w:r>
          </w:p>
        </w:tc>
        <w:tc>
          <w:tcPr>
            <w:tcW w:w="1620" w:type="dxa"/>
          </w:tcPr>
          <w:p w:rsidR="004C5C61" w:rsidRPr="00F03A18" w:rsidRDefault="004C5C61" w:rsidP="005D7BEE">
            <w:pPr>
              <w:pStyle w:val="Tabletext"/>
              <w:jc w:val="center"/>
            </w:pPr>
            <w:r w:rsidRPr="00F03A18">
              <w:t>p=0.073</w:t>
            </w:r>
          </w:p>
        </w:tc>
      </w:tr>
      <w:tr w:rsidR="004C5C61" w:rsidRPr="00F03A18" w:rsidTr="005D7BEE">
        <w:trPr>
          <w:trHeight w:hRule="exact" w:val="534"/>
        </w:trPr>
        <w:tc>
          <w:tcPr>
            <w:tcW w:w="2065" w:type="dxa"/>
          </w:tcPr>
          <w:p w:rsidR="004C5C61" w:rsidRPr="00F03A18" w:rsidRDefault="004C5C61" w:rsidP="005D7BEE">
            <w:pPr>
              <w:pStyle w:val="Tabletext"/>
            </w:pPr>
            <w:r w:rsidRPr="00F03A18">
              <w:t>Period</w:t>
            </w:r>
            <w:r w:rsidRPr="00F03A18">
              <w:rPr>
                <w:spacing w:val="-6"/>
              </w:rPr>
              <w:t xml:space="preserve"> </w:t>
            </w:r>
            <w:r w:rsidRPr="00F03A18">
              <w:t>D4-7</w:t>
            </w:r>
          </w:p>
        </w:tc>
        <w:tc>
          <w:tcPr>
            <w:tcW w:w="1790" w:type="dxa"/>
          </w:tcPr>
          <w:p w:rsidR="004C5C61" w:rsidRPr="00F03A18" w:rsidRDefault="004C5C61" w:rsidP="005D7BEE">
            <w:pPr>
              <w:pStyle w:val="Tabletext"/>
              <w:jc w:val="center"/>
            </w:pPr>
            <w:r w:rsidRPr="00F03A18">
              <w:t>N</w:t>
            </w:r>
            <w:r w:rsidRPr="00F03A18">
              <w:rPr>
                <w:spacing w:val="-2"/>
              </w:rPr>
              <w:t xml:space="preserve"> </w:t>
            </w:r>
            <w:r w:rsidRPr="00F03A18">
              <w:t>=</w:t>
            </w:r>
            <w:r w:rsidRPr="00F03A18">
              <w:rPr>
                <w:spacing w:val="-1"/>
              </w:rPr>
              <w:t xml:space="preserve"> </w:t>
            </w:r>
            <w:r w:rsidRPr="00F03A18">
              <w:rPr>
                <w:w w:val="99"/>
              </w:rPr>
              <w:t>40</w:t>
            </w:r>
          </w:p>
          <w:p w:rsidR="004C5C61" w:rsidRPr="00F03A18" w:rsidRDefault="004C5C61" w:rsidP="005D7BEE">
            <w:pPr>
              <w:pStyle w:val="Tabletext"/>
              <w:jc w:val="center"/>
            </w:pPr>
            <w:r w:rsidRPr="00F03A18">
              <w:t xml:space="preserve">2 </w:t>
            </w:r>
            <w:r w:rsidRPr="00F03A18">
              <w:rPr>
                <w:w w:val="99"/>
              </w:rPr>
              <w:t>(5.0%)</w:t>
            </w:r>
          </w:p>
        </w:tc>
        <w:tc>
          <w:tcPr>
            <w:tcW w:w="1702" w:type="dxa"/>
          </w:tcPr>
          <w:p w:rsidR="004C5C61" w:rsidRPr="00F03A18" w:rsidRDefault="004C5C61" w:rsidP="005D7BEE">
            <w:pPr>
              <w:pStyle w:val="Tabletext"/>
              <w:jc w:val="center"/>
            </w:pPr>
            <w:r w:rsidRPr="00F03A18">
              <w:t>N</w:t>
            </w:r>
            <w:r w:rsidRPr="00F03A18">
              <w:rPr>
                <w:spacing w:val="-2"/>
              </w:rPr>
              <w:t xml:space="preserve"> </w:t>
            </w:r>
            <w:r w:rsidRPr="00F03A18">
              <w:t>=</w:t>
            </w:r>
            <w:r w:rsidRPr="00F03A18">
              <w:rPr>
                <w:spacing w:val="-1"/>
              </w:rPr>
              <w:t xml:space="preserve"> </w:t>
            </w:r>
            <w:r w:rsidRPr="00F03A18">
              <w:rPr>
                <w:w w:val="99"/>
              </w:rPr>
              <w:t>41</w:t>
            </w:r>
          </w:p>
          <w:p w:rsidR="004C5C61" w:rsidRPr="00F03A18" w:rsidRDefault="004C5C61" w:rsidP="005D7BEE">
            <w:pPr>
              <w:pStyle w:val="Tabletext"/>
              <w:jc w:val="center"/>
            </w:pPr>
            <w:r w:rsidRPr="00F03A18">
              <w:t xml:space="preserve">10 </w:t>
            </w:r>
            <w:r w:rsidRPr="00F03A18">
              <w:rPr>
                <w:w w:val="99"/>
              </w:rPr>
              <w:t>(24.4%)</w:t>
            </w:r>
          </w:p>
        </w:tc>
        <w:tc>
          <w:tcPr>
            <w:tcW w:w="1638" w:type="dxa"/>
          </w:tcPr>
          <w:p w:rsidR="004C5C61" w:rsidRPr="00F03A18" w:rsidRDefault="004C5C61" w:rsidP="005D7BEE">
            <w:pPr>
              <w:pStyle w:val="Tabletext"/>
              <w:jc w:val="center"/>
            </w:pPr>
            <w:r w:rsidRPr="00F03A18">
              <w:t>N</w:t>
            </w:r>
            <w:r w:rsidRPr="00F03A18">
              <w:rPr>
                <w:spacing w:val="-2"/>
              </w:rPr>
              <w:t xml:space="preserve"> </w:t>
            </w:r>
            <w:r w:rsidRPr="00F03A18">
              <w:t>=</w:t>
            </w:r>
            <w:r w:rsidRPr="00F03A18">
              <w:rPr>
                <w:spacing w:val="-1"/>
              </w:rPr>
              <w:t xml:space="preserve"> </w:t>
            </w:r>
            <w:r w:rsidRPr="00F03A18">
              <w:rPr>
                <w:w w:val="99"/>
              </w:rPr>
              <w:t>81</w:t>
            </w:r>
          </w:p>
          <w:p w:rsidR="004C5C61" w:rsidRPr="00F03A18" w:rsidRDefault="004C5C61" w:rsidP="005D7BEE">
            <w:pPr>
              <w:pStyle w:val="Tabletext"/>
              <w:jc w:val="center"/>
            </w:pPr>
            <w:r w:rsidRPr="00F03A18">
              <w:t xml:space="preserve">12 </w:t>
            </w:r>
            <w:r w:rsidRPr="00F03A18">
              <w:rPr>
                <w:w w:val="99"/>
              </w:rPr>
              <w:t>(14.8%)</w:t>
            </w:r>
          </w:p>
        </w:tc>
        <w:tc>
          <w:tcPr>
            <w:tcW w:w="1620" w:type="dxa"/>
          </w:tcPr>
          <w:p w:rsidR="004C5C61" w:rsidRPr="00F03A18" w:rsidRDefault="004C5C61" w:rsidP="005D7BEE">
            <w:pPr>
              <w:pStyle w:val="Tabletext"/>
              <w:jc w:val="center"/>
            </w:pPr>
            <w:r w:rsidRPr="00F03A18">
              <w:t>p=0.026</w:t>
            </w:r>
          </w:p>
        </w:tc>
      </w:tr>
    </w:tbl>
    <w:p w:rsidR="004C5C61" w:rsidRPr="00CD4C09" w:rsidRDefault="004C5C61" w:rsidP="00CD4C09">
      <w:r w:rsidRPr="00CD4C09">
        <w:t>The overall conclusion was that slight transient renal impairment was indicated by a tendency towards less weight loss but above all by significant decrease in urine output and serum sodium, which did not persist after the end of treatment. Overall, the incidence of renal effects as defined by a renal AE reported by the investigator and/or urine output &lt; 1 mL/kg/h and/or daily increase in creatinine &gt; 45μmol/L and/or administration of a diuretic and/or serum sodium &lt; 130mmol/L was 51% (33/65) for ibuprofen versus 32% (21/66) for the placebo (p</w:t>
      </w:r>
      <w:r w:rsidR="00855934">
        <w:t xml:space="preserve"> </w:t>
      </w:r>
      <w:r w:rsidRPr="00CD4C09">
        <w:t>=</w:t>
      </w:r>
      <w:r w:rsidR="00855934">
        <w:t xml:space="preserve"> </w:t>
      </w:r>
      <w:r w:rsidRPr="00CD4C09">
        <w:t>0.034).</w:t>
      </w:r>
    </w:p>
    <w:p w:rsidR="004C5C61" w:rsidRPr="00F03A18" w:rsidRDefault="00F03A18" w:rsidP="00F03A18">
      <w:pPr>
        <w:pStyle w:val="TableTitle"/>
      </w:pPr>
      <w:bookmarkStart w:id="134" w:name="_Toc454981343"/>
      <w:proofErr w:type="gramStart"/>
      <w:r>
        <w:t xml:space="preserve">Table 9: </w:t>
      </w:r>
      <w:r w:rsidR="004C5C61" w:rsidRPr="00F03A18">
        <w:t>Study IBU/PROPHYL/2000 prophylactic group – Renal parameters during the first 3 days</w:t>
      </w:r>
      <w:bookmarkEnd w:id="134"/>
      <w:r w:rsidR="00387B35">
        <w:t>.</w:t>
      </w:r>
      <w:proofErr w:type="gramEnd"/>
    </w:p>
    <w:tbl>
      <w:tblPr>
        <w:tblStyle w:val="TableTGAblue"/>
        <w:tblW w:w="0" w:type="auto"/>
        <w:tblLook w:val="04A0" w:firstRow="1" w:lastRow="0" w:firstColumn="1" w:lastColumn="0" w:noHBand="0" w:noVBand="1"/>
        <w:tblDescription w:val="Table 9: Study IBU/PROPHYL/2000 prophylactic group – Renal parameters during the first 3 days."/>
      </w:tblPr>
      <w:tblGrid>
        <w:gridCol w:w="2304"/>
        <w:gridCol w:w="1584"/>
        <w:gridCol w:w="1584"/>
        <w:gridCol w:w="1584"/>
        <w:gridCol w:w="1584"/>
      </w:tblGrid>
      <w:tr w:rsidR="004C5C61" w:rsidRPr="00387B35" w:rsidTr="005D7BEE">
        <w:trPr>
          <w:cnfStyle w:val="100000000000" w:firstRow="1" w:lastRow="0" w:firstColumn="0" w:lastColumn="0" w:oddVBand="0" w:evenVBand="0" w:oddHBand="0" w:evenHBand="0" w:firstRowFirstColumn="0" w:firstRowLastColumn="0" w:lastRowFirstColumn="0" w:lastRowLastColumn="0"/>
          <w:trHeight w:val="567"/>
        </w:trPr>
        <w:tc>
          <w:tcPr>
            <w:tcW w:w="2304" w:type="dxa"/>
            <w:vAlign w:val="center"/>
          </w:tcPr>
          <w:p w:rsidR="004C5C61" w:rsidRPr="00387B35" w:rsidRDefault="004C5C61" w:rsidP="005D7BEE">
            <w:pPr>
              <w:pStyle w:val="TableHeading"/>
              <w:rPr>
                <w:b w:val="0"/>
              </w:rPr>
            </w:pPr>
            <w:r w:rsidRPr="00387B35">
              <w:t>Follow Up During the First 3 Days</w:t>
            </w:r>
          </w:p>
        </w:tc>
        <w:tc>
          <w:tcPr>
            <w:tcW w:w="1584" w:type="dxa"/>
            <w:vAlign w:val="center"/>
          </w:tcPr>
          <w:p w:rsidR="004C5C61" w:rsidRPr="00387B35" w:rsidRDefault="004C5C61" w:rsidP="005D7BEE">
            <w:pPr>
              <w:pStyle w:val="TableHeading"/>
              <w:rPr>
                <w:b w:val="0"/>
              </w:rPr>
            </w:pPr>
            <w:r w:rsidRPr="00387B35">
              <w:rPr>
                <w:spacing w:val="-1"/>
              </w:rPr>
              <w:t>Plac</w:t>
            </w:r>
            <w:r w:rsidRPr="00387B35">
              <w:t>e</w:t>
            </w:r>
            <w:r w:rsidRPr="00387B35">
              <w:rPr>
                <w:spacing w:val="-1"/>
              </w:rPr>
              <w:t>b</w:t>
            </w:r>
            <w:r w:rsidRPr="00387B35">
              <w:t>o</w:t>
            </w:r>
          </w:p>
          <w:p w:rsidR="004C5C61" w:rsidRPr="00387B35" w:rsidRDefault="004C5C61" w:rsidP="005D7BEE">
            <w:pPr>
              <w:pStyle w:val="TableHeading"/>
              <w:rPr>
                <w:b w:val="0"/>
              </w:rPr>
            </w:pPr>
            <w:r w:rsidRPr="00387B35">
              <w:rPr>
                <w:spacing w:val="-1"/>
              </w:rPr>
              <w:t>N=6</w:t>
            </w:r>
            <w:r w:rsidRPr="00387B35">
              <w:t>6</w:t>
            </w:r>
          </w:p>
        </w:tc>
        <w:tc>
          <w:tcPr>
            <w:tcW w:w="1584" w:type="dxa"/>
            <w:vAlign w:val="center"/>
          </w:tcPr>
          <w:p w:rsidR="004C5C61" w:rsidRPr="00387B35" w:rsidRDefault="004C5C61" w:rsidP="005D7BEE">
            <w:pPr>
              <w:pStyle w:val="TableHeading"/>
              <w:rPr>
                <w:b w:val="0"/>
              </w:rPr>
            </w:pPr>
            <w:r w:rsidRPr="00387B35">
              <w:rPr>
                <w:spacing w:val="-1"/>
              </w:rPr>
              <w:t>Ibup</w:t>
            </w:r>
            <w:r w:rsidRPr="00387B35">
              <w:t>r</w:t>
            </w:r>
            <w:r w:rsidRPr="00387B35">
              <w:rPr>
                <w:spacing w:val="-1"/>
              </w:rPr>
              <w:t>of</w:t>
            </w:r>
            <w:r w:rsidRPr="00387B35">
              <w:t>en</w:t>
            </w:r>
          </w:p>
          <w:p w:rsidR="004C5C61" w:rsidRPr="00387B35" w:rsidRDefault="004C5C61" w:rsidP="005D7BEE">
            <w:pPr>
              <w:pStyle w:val="TableHeading"/>
              <w:rPr>
                <w:b w:val="0"/>
              </w:rPr>
            </w:pPr>
            <w:r w:rsidRPr="00387B35">
              <w:rPr>
                <w:spacing w:val="-1"/>
              </w:rPr>
              <w:t>N=6</w:t>
            </w:r>
            <w:r w:rsidRPr="00387B35">
              <w:t>5</w:t>
            </w:r>
          </w:p>
        </w:tc>
        <w:tc>
          <w:tcPr>
            <w:tcW w:w="1584" w:type="dxa"/>
            <w:vAlign w:val="center"/>
          </w:tcPr>
          <w:p w:rsidR="004C5C61" w:rsidRPr="00387B35" w:rsidRDefault="004C5C61" w:rsidP="005D7BEE">
            <w:pPr>
              <w:pStyle w:val="TableHeading"/>
              <w:rPr>
                <w:b w:val="0"/>
                <w:spacing w:val="-1"/>
              </w:rPr>
            </w:pPr>
            <w:r w:rsidRPr="00387B35">
              <w:rPr>
                <w:spacing w:val="-1"/>
              </w:rPr>
              <w:t>All</w:t>
            </w:r>
          </w:p>
          <w:p w:rsidR="004C5C61" w:rsidRPr="00387B35" w:rsidRDefault="004C5C61" w:rsidP="005D7BEE">
            <w:pPr>
              <w:pStyle w:val="TableHeading"/>
              <w:rPr>
                <w:b w:val="0"/>
              </w:rPr>
            </w:pPr>
            <w:r w:rsidRPr="00387B35">
              <w:rPr>
                <w:spacing w:val="-1"/>
              </w:rPr>
              <w:t>N=131</w:t>
            </w:r>
          </w:p>
        </w:tc>
        <w:tc>
          <w:tcPr>
            <w:tcW w:w="1584" w:type="dxa"/>
            <w:vAlign w:val="center"/>
          </w:tcPr>
          <w:p w:rsidR="004C5C61" w:rsidRPr="00387B35" w:rsidRDefault="004C5C61" w:rsidP="005D7BEE">
            <w:pPr>
              <w:pStyle w:val="TableHeading"/>
              <w:rPr>
                <w:b w:val="0"/>
              </w:rPr>
            </w:pPr>
            <w:r w:rsidRPr="00387B35">
              <w:rPr>
                <w:spacing w:val="-1"/>
              </w:rPr>
              <w:t>Test</w:t>
            </w:r>
          </w:p>
        </w:tc>
      </w:tr>
      <w:tr w:rsidR="004C5C61" w:rsidRPr="00387B35" w:rsidTr="00387B35">
        <w:tc>
          <w:tcPr>
            <w:tcW w:w="2304" w:type="dxa"/>
          </w:tcPr>
          <w:p w:rsidR="004C5C61" w:rsidRPr="005D7BEE" w:rsidRDefault="004C5C61" w:rsidP="005D7BEE">
            <w:pPr>
              <w:pStyle w:val="Tabletext"/>
              <w:rPr>
                <w:b/>
                <w:spacing w:val="1"/>
              </w:rPr>
            </w:pPr>
            <w:r w:rsidRPr="005D7BEE">
              <w:rPr>
                <w:b/>
                <w:spacing w:val="1"/>
              </w:rPr>
              <w:t>S</w:t>
            </w:r>
            <w:r w:rsidRPr="005D7BEE">
              <w:rPr>
                <w:b/>
              </w:rPr>
              <w:t>od</w:t>
            </w:r>
            <w:r w:rsidRPr="005D7BEE">
              <w:rPr>
                <w:b/>
                <w:spacing w:val="1"/>
              </w:rPr>
              <w:t>i</w:t>
            </w:r>
            <w:r w:rsidRPr="005D7BEE">
              <w:rPr>
                <w:b/>
              </w:rPr>
              <w:t>um (</w:t>
            </w:r>
            <w:proofErr w:type="spellStart"/>
            <w:r w:rsidRPr="005D7BEE">
              <w:rPr>
                <w:b/>
                <w:spacing w:val="1"/>
              </w:rPr>
              <w:t>m</w:t>
            </w:r>
            <w:r w:rsidRPr="005D7BEE">
              <w:rPr>
                <w:b/>
              </w:rPr>
              <w:t>mo</w:t>
            </w:r>
            <w:r w:rsidRPr="005D7BEE">
              <w:rPr>
                <w:b/>
                <w:spacing w:val="1"/>
              </w:rPr>
              <w:t>l</w:t>
            </w:r>
            <w:proofErr w:type="spellEnd"/>
            <w:r w:rsidRPr="005D7BEE">
              <w:rPr>
                <w:b/>
              </w:rPr>
              <w:t>/L)</w:t>
            </w: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rPr>
                <w:spacing w:val="1"/>
              </w:rPr>
            </w:pPr>
            <w:r w:rsidRPr="00387B35">
              <w:t>At d</w:t>
            </w:r>
            <w:r w:rsidRPr="00387B35">
              <w:rPr>
                <w:spacing w:val="1"/>
              </w:rPr>
              <w:t>a</w:t>
            </w:r>
            <w:r w:rsidRPr="00387B35">
              <w:t>y 1</w:t>
            </w: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vMerge w:val="restart"/>
          </w:tcPr>
          <w:p w:rsidR="004C5C61" w:rsidRPr="00387B35" w:rsidRDefault="004C5C61" w:rsidP="005D7BEE">
            <w:pPr>
              <w:pStyle w:val="Tabletext"/>
            </w:pPr>
            <w:r w:rsidRPr="00387B35">
              <w:t>T-te</w:t>
            </w:r>
            <w:r w:rsidRPr="00387B35">
              <w:rPr>
                <w:spacing w:val="1"/>
              </w:rPr>
              <w:t>s</w:t>
            </w:r>
            <w:r w:rsidRPr="00387B35">
              <w:t>t</w:t>
            </w:r>
          </w:p>
          <w:p w:rsidR="004C5C61" w:rsidRPr="00387B35" w:rsidRDefault="004C5C61" w:rsidP="005D7BEE">
            <w:pPr>
              <w:pStyle w:val="Tabletext"/>
            </w:pPr>
            <w:r w:rsidRPr="00387B35">
              <w:t>p=</w:t>
            </w:r>
            <w:r w:rsidRPr="00387B35">
              <w:rPr>
                <w:spacing w:val="1"/>
              </w:rPr>
              <w:t>0</w:t>
            </w:r>
            <w:r w:rsidRPr="00387B35">
              <w:t>.0</w:t>
            </w:r>
            <w:r w:rsidRPr="00387B35">
              <w:rPr>
                <w:spacing w:val="1"/>
              </w:rPr>
              <w:t>5</w:t>
            </w:r>
            <w:r w:rsidRPr="00387B35">
              <w:t>4</w:t>
            </w:r>
          </w:p>
          <w:p w:rsidR="004C5C61" w:rsidRPr="00387B35" w:rsidRDefault="004C5C61" w:rsidP="005D7BEE">
            <w:pPr>
              <w:pStyle w:val="Tabletext"/>
            </w:pPr>
            <w:r w:rsidRPr="00387B35">
              <w:t>Wilc</w:t>
            </w:r>
            <w:r w:rsidRPr="00387B35">
              <w:rPr>
                <w:spacing w:val="1"/>
              </w:rPr>
              <w:t>o</w:t>
            </w:r>
            <w:r w:rsidRPr="00387B35">
              <w:t>xon</w:t>
            </w:r>
          </w:p>
          <w:p w:rsidR="004C5C61" w:rsidRPr="00387B35" w:rsidRDefault="004C5C61" w:rsidP="005D7BEE">
            <w:pPr>
              <w:pStyle w:val="Tabletext"/>
            </w:pPr>
            <w:r w:rsidRPr="00387B35">
              <w:t>p=</w:t>
            </w:r>
            <w:r w:rsidRPr="00387B35">
              <w:rPr>
                <w:spacing w:val="1"/>
              </w:rPr>
              <w:t>0</w:t>
            </w:r>
            <w:r w:rsidRPr="00387B35">
              <w:t>.1</w:t>
            </w:r>
            <w:r w:rsidRPr="00387B35">
              <w:rPr>
                <w:spacing w:val="1"/>
              </w:rPr>
              <w:t>2</w:t>
            </w:r>
            <w:r w:rsidRPr="00387B35">
              <w:t>5</w:t>
            </w:r>
          </w:p>
        </w:tc>
      </w:tr>
      <w:tr w:rsidR="004C5C61" w:rsidRPr="00387B35" w:rsidTr="00387B35">
        <w:tc>
          <w:tcPr>
            <w:tcW w:w="2304" w:type="dxa"/>
          </w:tcPr>
          <w:p w:rsidR="004C5C61" w:rsidRPr="00387B35" w:rsidRDefault="004C5C61" w:rsidP="005D7BEE">
            <w:pPr>
              <w:pStyle w:val="Tabletext"/>
              <w:rPr>
                <w:spacing w:val="1"/>
              </w:rPr>
            </w:pPr>
            <w:r w:rsidRPr="00387B35">
              <w:rPr>
                <w:position w:val="1"/>
              </w:rPr>
              <w:t>N</w:t>
            </w:r>
          </w:p>
        </w:tc>
        <w:tc>
          <w:tcPr>
            <w:tcW w:w="1584" w:type="dxa"/>
          </w:tcPr>
          <w:p w:rsidR="004C5C61" w:rsidRPr="00387B35" w:rsidRDefault="004C5C61" w:rsidP="005D7BEE">
            <w:pPr>
              <w:pStyle w:val="Tabletext"/>
            </w:pPr>
            <w:r w:rsidRPr="00387B35">
              <w:rPr>
                <w:position w:val="1"/>
              </w:rPr>
              <w:t>59</w:t>
            </w:r>
          </w:p>
        </w:tc>
        <w:tc>
          <w:tcPr>
            <w:tcW w:w="1584" w:type="dxa"/>
          </w:tcPr>
          <w:p w:rsidR="004C5C61" w:rsidRPr="00387B35" w:rsidRDefault="004C5C61" w:rsidP="005D7BEE">
            <w:pPr>
              <w:pStyle w:val="Tabletext"/>
            </w:pPr>
            <w:r w:rsidRPr="00387B35">
              <w:rPr>
                <w:position w:val="1"/>
              </w:rPr>
              <w:t>61</w:t>
            </w:r>
          </w:p>
        </w:tc>
        <w:tc>
          <w:tcPr>
            <w:tcW w:w="1584" w:type="dxa"/>
          </w:tcPr>
          <w:p w:rsidR="004C5C61" w:rsidRPr="00387B35" w:rsidRDefault="004C5C61" w:rsidP="005D7BEE">
            <w:pPr>
              <w:pStyle w:val="Tabletext"/>
            </w:pPr>
            <w:r w:rsidRPr="00387B35">
              <w:rPr>
                <w:position w:val="1"/>
              </w:rPr>
              <w:t>120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rPr>
                <w:spacing w:val="1"/>
              </w:rPr>
            </w:pPr>
            <w:r w:rsidRPr="00387B35">
              <w:t>M</w:t>
            </w:r>
            <w:r w:rsidRPr="00387B35">
              <w:rPr>
                <w:spacing w:val="1"/>
              </w:rPr>
              <w:t>e</w:t>
            </w:r>
            <w:r w:rsidRPr="00387B35">
              <w:t>an (S</w:t>
            </w:r>
            <w:r w:rsidRPr="00387B35">
              <w:rPr>
                <w:spacing w:val="1"/>
              </w:rPr>
              <w:t>D</w:t>
            </w:r>
            <w:r w:rsidRPr="00387B35">
              <w:t>)</w:t>
            </w:r>
          </w:p>
        </w:tc>
        <w:tc>
          <w:tcPr>
            <w:tcW w:w="1584" w:type="dxa"/>
          </w:tcPr>
          <w:p w:rsidR="004C5C61" w:rsidRPr="00387B35" w:rsidRDefault="004C5C61" w:rsidP="005D7BEE">
            <w:pPr>
              <w:pStyle w:val="Tabletext"/>
            </w:pPr>
            <w:r w:rsidRPr="00387B35">
              <w:t>137.1 (</w:t>
            </w:r>
            <w:r w:rsidRPr="00387B35">
              <w:rPr>
                <w:spacing w:val="1"/>
              </w:rPr>
              <w:t>3</w:t>
            </w:r>
            <w:r w:rsidRPr="00387B35">
              <w:t>.4</w:t>
            </w:r>
            <w:r w:rsidRPr="00387B35">
              <w:rPr>
                <w:spacing w:val="1"/>
              </w:rPr>
              <w:t>0</w:t>
            </w:r>
            <w:r w:rsidRPr="00387B35">
              <w:t>)</w:t>
            </w:r>
          </w:p>
        </w:tc>
        <w:tc>
          <w:tcPr>
            <w:tcW w:w="1584" w:type="dxa"/>
          </w:tcPr>
          <w:p w:rsidR="004C5C61" w:rsidRPr="00387B35" w:rsidRDefault="004C5C61" w:rsidP="005D7BEE">
            <w:pPr>
              <w:pStyle w:val="Tabletext"/>
            </w:pPr>
            <w:r w:rsidRPr="00387B35">
              <w:t>135.9 (</w:t>
            </w:r>
            <w:r w:rsidRPr="00387B35">
              <w:rPr>
                <w:spacing w:val="1"/>
              </w:rPr>
              <w:t>3</w:t>
            </w:r>
            <w:r w:rsidRPr="00387B35">
              <w:t>.2</w:t>
            </w:r>
            <w:r w:rsidRPr="00387B35">
              <w:rPr>
                <w:spacing w:val="1"/>
              </w:rPr>
              <w:t>6</w:t>
            </w:r>
            <w:r w:rsidRPr="00387B35">
              <w:t>)</w:t>
            </w:r>
          </w:p>
        </w:tc>
        <w:tc>
          <w:tcPr>
            <w:tcW w:w="1584" w:type="dxa"/>
          </w:tcPr>
          <w:p w:rsidR="004C5C61" w:rsidRPr="00387B35" w:rsidRDefault="004C5C61" w:rsidP="005D7BEE">
            <w:pPr>
              <w:pStyle w:val="Tabletext"/>
            </w:pPr>
            <w:r w:rsidRPr="00387B35">
              <w:t>136.5 (</w:t>
            </w:r>
            <w:r w:rsidRPr="00387B35">
              <w:rPr>
                <w:spacing w:val="1"/>
              </w:rPr>
              <w:t>3</w:t>
            </w:r>
            <w:r w:rsidRPr="00387B35">
              <w:t>.3</w:t>
            </w:r>
            <w:r w:rsidRPr="00387B35">
              <w:rPr>
                <w:spacing w:val="1"/>
              </w:rPr>
              <w:t>7</w:t>
            </w:r>
            <w:r w:rsidRPr="00387B35">
              <w:t>)</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t>M</w:t>
            </w:r>
            <w:r w:rsidRPr="00387B35">
              <w:rPr>
                <w:spacing w:val="1"/>
              </w:rPr>
              <w:t>i</w:t>
            </w:r>
            <w:r w:rsidRPr="00387B35">
              <w:t>n</w:t>
            </w:r>
          </w:p>
        </w:tc>
        <w:tc>
          <w:tcPr>
            <w:tcW w:w="1584" w:type="dxa"/>
          </w:tcPr>
          <w:p w:rsidR="004C5C61" w:rsidRPr="00387B35" w:rsidRDefault="004C5C61" w:rsidP="005D7BEE">
            <w:pPr>
              <w:pStyle w:val="Tabletext"/>
            </w:pPr>
            <w:r w:rsidRPr="00387B35">
              <w:t>127.0</w:t>
            </w:r>
          </w:p>
        </w:tc>
        <w:tc>
          <w:tcPr>
            <w:tcW w:w="1584" w:type="dxa"/>
          </w:tcPr>
          <w:p w:rsidR="004C5C61" w:rsidRPr="00387B35" w:rsidRDefault="004C5C61" w:rsidP="005D7BEE">
            <w:pPr>
              <w:pStyle w:val="Tabletext"/>
            </w:pPr>
            <w:r w:rsidRPr="00387B35">
              <w:t>126.0</w:t>
            </w:r>
          </w:p>
        </w:tc>
        <w:tc>
          <w:tcPr>
            <w:tcW w:w="1584" w:type="dxa"/>
          </w:tcPr>
          <w:p w:rsidR="004C5C61" w:rsidRPr="00387B35" w:rsidRDefault="004C5C61" w:rsidP="005D7BEE">
            <w:pPr>
              <w:pStyle w:val="Tabletext"/>
            </w:pPr>
            <w:r w:rsidRPr="00387B35">
              <w:t>126.0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t>M</w:t>
            </w:r>
            <w:r w:rsidRPr="00387B35">
              <w:rPr>
                <w:spacing w:val="1"/>
              </w:rPr>
              <w:t>e</w:t>
            </w:r>
            <w:r w:rsidRPr="00387B35">
              <w:t>di</w:t>
            </w:r>
            <w:r w:rsidRPr="00387B35">
              <w:rPr>
                <w:spacing w:val="1"/>
              </w:rPr>
              <w:t>a</w:t>
            </w:r>
            <w:r w:rsidRPr="00387B35">
              <w:t>n</w:t>
            </w:r>
          </w:p>
        </w:tc>
        <w:tc>
          <w:tcPr>
            <w:tcW w:w="1584" w:type="dxa"/>
          </w:tcPr>
          <w:p w:rsidR="004C5C61" w:rsidRPr="00387B35" w:rsidRDefault="004C5C61" w:rsidP="005D7BEE">
            <w:pPr>
              <w:pStyle w:val="Tabletext"/>
            </w:pPr>
            <w:r w:rsidRPr="00387B35">
              <w:t>13</w:t>
            </w:r>
            <w:r w:rsidRPr="00387B35">
              <w:rPr>
                <w:spacing w:val="1"/>
              </w:rPr>
              <w:t>7</w:t>
            </w:r>
            <w:r w:rsidRPr="00387B35">
              <w:t>.0</w:t>
            </w:r>
          </w:p>
        </w:tc>
        <w:tc>
          <w:tcPr>
            <w:tcW w:w="1584" w:type="dxa"/>
          </w:tcPr>
          <w:p w:rsidR="004C5C61" w:rsidRPr="00387B35" w:rsidRDefault="004C5C61" w:rsidP="005D7BEE">
            <w:pPr>
              <w:pStyle w:val="Tabletext"/>
            </w:pPr>
            <w:r w:rsidRPr="00387B35">
              <w:t>13</w:t>
            </w:r>
            <w:r w:rsidRPr="00387B35">
              <w:rPr>
                <w:spacing w:val="1"/>
              </w:rPr>
              <w:t>6</w:t>
            </w:r>
            <w:r w:rsidRPr="00387B35">
              <w:t>.0</w:t>
            </w:r>
          </w:p>
        </w:tc>
        <w:tc>
          <w:tcPr>
            <w:tcW w:w="1584" w:type="dxa"/>
          </w:tcPr>
          <w:p w:rsidR="004C5C61" w:rsidRPr="00387B35" w:rsidRDefault="004C5C61" w:rsidP="005D7BEE">
            <w:pPr>
              <w:pStyle w:val="Tabletext"/>
            </w:pPr>
            <w:r w:rsidRPr="00387B35">
              <w:t>13</w:t>
            </w:r>
            <w:r w:rsidRPr="00387B35">
              <w:rPr>
                <w:spacing w:val="1"/>
              </w:rPr>
              <w:t>6</w:t>
            </w:r>
            <w:r w:rsidRPr="00387B35">
              <w:t>.0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rPr>
                <w:spacing w:val="1"/>
              </w:rPr>
              <w:t>Max</w:t>
            </w:r>
          </w:p>
        </w:tc>
        <w:tc>
          <w:tcPr>
            <w:tcW w:w="1584" w:type="dxa"/>
          </w:tcPr>
          <w:p w:rsidR="004C5C61" w:rsidRPr="00387B35" w:rsidRDefault="004C5C61" w:rsidP="005D7BEE">
            <w:pPr>
              <w:pStyle w:val="Tabletext"/>
            </w:pPr>
            <w:r w:rsidRPr="00387B35">
              <w:t>14</w:t>
            </w:r>
            <w:r w:rsidRPr="00387B35">
              <w:rPr>
                <w:spacing w:val="1"/>
              </w:rPr>
              <w:t>4</w:t>
            </w:r>
            <w:r w:rsidRPr="00387B35">
              <w:t>.0</w:t>
            </w:r>
          </w:p>
        </w:tc>
        <w:tc>
          <w:tcPr>
            <w:tcW w:w="1584" w:type="dxa"/>
          </w:tcPr>
          <w:p w:rsidR="004C5C61" w:rsidRPr="00387B35" w:rsidRDefault="004C5C61" w:rsidP="005D7BEE">
            <w:pPr>
              <w:pStyle w:val="Tabletext"/>
            </w:pPr>
            <w:r w:rsidRPr="00387B35">
              <w:t>14</w:t>
            </w:r>
            <w:r w:rsidRPr="00387B35">
              <w:rPr>
                <w:spacing w:val="1"/>
              </w:rPr>
              <w:t>2</w:t>
            </w:r>
            <w:r w:rsidRPr="00387B35">
              <w:t>.0</w:t>
            </w:r>
          </w:p>
        </w:tc>
        <w:tc>
          <w:tcPr>
            <w:tcW w:w="1584" w:type="dxa"/>
          </w:tcPr>
          <w:p w:rsidR="004C5C61" w:rsidRPr="00387B35" w:rsidRDefault="004C5C61" w:rsidP="005D7BEE">
            <w:pPr>
              <w:pStyle w:val="Tabletext"/>
            </w:pPr>
            <w:r w:rsidRPr="00387B35">
              <w:t>14</w:t>
            </w:r>
            <w:r w:rsidRPr="00387B35">
              <w:rPr>
                <w:spacing w:val="1"/>
              </w:rPr>
              <w:t>4</w:t>
            </w:r>
            <w:r w:rsidRPr="00387B35">
              <w:t>.0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5D7BEE" w:rsidRDefault="004C5C61" w:rsidP="005D7BEE">
            <w:pPr>
              <w:pStyle w:val="Tabletext"/>
              <w:rPr>
                <w:b/>
              </w:rPr>
            </w:pPr>
            <w:r w:rsidRPr="005D7BEE">
              <w:rPr>
                <w:b/>
              </w:rPr>
              <w:t>At d</w:t>
            </w:r>
            <w:r w:rsidRPr="005D7BEE">
              <w:rPr>
                <w:b/>
                <w:spacing w:val="1"/>
              </w:rPr>
              <w:t>a</w:t>
            </w:r>
            <w:r w:rsidRPr="005D7BEE">
              <w:rPr>
                <w:b/>
              </w:rPr>
              <w:t>y 2</w:t>
            </w: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rPr>
                <w:spacing w:val="1"/>
              </w:rPr>
            </w:pPr>
            <w:r w:rsidRPr="00387B35">
              <w:rPr>
                <w:position w:val="1"/>
              </w:rPr>
              <w:t>N</w:t>
            </w:r>
          </w:p>
        </w:tc>
        <w:tc>
          <w:tcPr>
            <w:tcW w:w="1584" w:type="dxa"/>
          </w:tcPr>
          <w:p w:rsidR="004C5C61" w:rsidRPr="00387B35" w:rsidRDefault="004C5C61" w:rsidP="005D7BEE">
            <w:pPr>
              <w:pStyle w:val="Tabletext"/>
            </w:pPr>
            <w:r w:rsidRPr="00387B35">
              <w:t>58</w:t>
            </w:r>
          </w:p>
        </w:tc>
        <w:tc>
          <w:tcPr>
            <w:tcW w:w="1584" w:type="dxa"/>
          </w:tcPr>
          <w:p w:rsidR="004C5C61" w:rsidRPr="00387B35" w:rsidRDefault="004C5C61" w:rsidP="005D7BEE">
            <w:pPr>
              <w:pStyle w:val="Tabletext"/>
            </w:pPr>
            <w:r w:rsidRPr="00387B35">
              <w:t>57</w:t>
            </w:r>
          </w:p>
        </w:tc>
        <w:tc>
          <w:tcPr>
            <w:tcW w:w="1584" w:type="dxa"/>
          </w:tcPr>
          <w:p w:rsidR="004C5C61" w:rsidRPr="00387B35" w:rsidRDefault="004C5C61" w:rsidP="005D7BEE">
            <w:pPr>
              <w:pStyle w:val="Tabletext"/>
            </w:pPr>
            <w:r w:rsidRPr="00387B35">
              <w:t>115</w:t>
            </w:r>
          </w:p>
        </w:tc>
        <w:tc>
          <w:tcPr>
            <w:tcW w:w="1584" w:type="dxa"/>
            <w:vMerge w:val="restart"/>
          </w:tcPr>
          <w:p w:rsidR="004C5C61" w:rsidRPr="00387B35" w:rsidRDefault="004C5C61" w:rsidP="005D7BEE">
            <w:pPr>
              <w:pStyle w:val="Tabletext"/>
            </w:pPr>
            <w:r w:rsidRPr="00387B35">
              <w:t>T-te</w:t>
            </w:r>
            <w:r w:rsidRPr="00387B35">
              <w:rPr>
                <w:spacing w:val="1"/>
              </w:rPr>
              <w:t>s</w:t>
            </w:r>
            <w:r w:rsidRPr="00387B35">
              <w:t>t</w:t>
            </w:r>
          </w:p>
          <w:p w:rsidR="004C5C61" w:rsidRPr="00387B35" w:rsidRDefault="004C5C61" w:rsidP="005D7BEE">
            <w:pPr>
              <w:pStyle w:val="Tabletext"/>
            </w:pPr>
            <w:r w:rsidRPr="00387B35">
              <w:t>p=</w:t>
            </w:r>
            <w:r w:rsidRPr="00387B35">
              <w:rPr>
                <w:spacing w:val="1"/>
              </w:rPr>
              <w:t>0</w:t>
            </w:r>
            <w:r w:rsidRPr="00387B35">
              <w:t>.0</w:t>
            </w:r>
            <w:r w:rsidRPr="00387B35">
              <w:rPr>
                <w:spacing w:val="1"/>
              </w:rPr>
              <w:t>0</w:t>
            </w:r>
            <w:r w:rsidRPr="00387B35">
              <w:t>3</w:t>
            </w:r>
          </w:p>
          <w:p w:rsidR="004C5C61" w:rsidRPr="00387B35" w:rsidRDefault="004C5C61" w:rsidP="005D7BEE">
            <w:pPr>
              <w:pStyle w:val="Tabletext"/>
            </w:pPr>
            <w:r w:rsidRPr="00387B35">
              <w:t>Wilc</w:t>
            </w:r>
            <w:r w:rsidRPr="00387B35">
              <w:rPr>
                <w:spacing w:val="1"/>
              </w:rPr>
              <w:t>o</w:t>
            </w:r>
            <w:r w:rsidRPr="00387B35">
              <w:t>xon</w:t>
            </w:r>
          </w:p>
          <w:p w:rsidR="004C5C61" w:rsidRPr="00387B35" w:rsidRDefault="004C5C61" w:rsidP="005D7BEE">
            <w:pPr>
              <w:pStyle w:val="Tabletext"/>
            </w:pPr>
            <w:r w:rsidRPr="00387B35">
              <w:t>p=</w:t>
            </w:r>
            <w:r w:rsidRPr="00387B35">
              <w:rPr>
                <w:spacing w:val="1"/>
              </w:rPr>
              <w:t>0</w:t>
            </w:r>
            <w:r w:rsidRPr="00387B35">
              <w:t>.0</w:t>
            </w:r>
            <w:r w:rsidRPr="00387B35">
              <w:rPr>
                <w:spacing w:val="1"/>
              </w:rPr>
              <w:t>0</w:t>
            </w:r>
            <w:r w:rsidRPr="00387B35">
              <w:t>4</w:t>
            </w:r>
          </w:p>
        </w:tc>
      </w:tr>
      <w:tr w:rsidR="004C5C61" w:rsidRPr="00387B35" w:rsidTr="00387B35">
        <w:tc>
          <w:tcPr>
            <w:tcW w:w="2304" w:type="dxa"/>
          </w:tcPr>
          <w:p w:rsidR="004C5C61" w:rsidRPr="00387B35" w:rsidRDefault="004C5C61" w:rsidP="005D7BEE">
            <w:pPr>
              <w:pStyle w:val="Tabletext"/>
              <w:rPr>
                <w:spacing w:val="1"/>
              </w:rPr>
            </w:pPr>
            <w:r w:rsidRPr="00387B35">
              <w:t>M</w:t>
            </w:r>
            <w:r w:rsidRPr="00387B35">
              <w:rPr>
                <w:spacing w:val="1"/>
              </w:rPr>
              <w:t>e</w:t>
            </w:r>
            <w:r w:rsidRPr="00387B35">
              <w:t>an (S</w:t>
            </w:r>
            <w:r w:rsidRPr="00387B35">
              <w:rPr>
                <w:spacing w:val="1"/>
              </w:rPr>
              <w:t>D</w:t>
            </w:r>
            <w:r w:rsidRPr="00387B35">
              <w:t>)</w:t>
            </w:r>
          </w:p>
        </w:tc>
        <w:tc>
          <w:tcPr>
            <w:tcW w:w="1584" w:type="dxa"/>
          </w:tcPr>
          <w:p w:rsidR="004C5C61" w:rsidRPr="00387B35" w:rsidRDefault="004C5C61" w:rsidP="005D7BEE">
            <w:pPr>
              <w:pStyle w:val="Tabletext"/>
            </w:pPr>
            <w:r w:rsidRPr="00387B35">
              <w:t>138.1 (</w:t>
            </w:r>
            <w:r w:rsidRPr="00387B35">
              <w:rPr>
                <w:spacing w:val="1"/>
              </w:rPr>
              <w:t>5</w:t>
            </w:r>
            <w:r w:rsidRPr="00387B35">
              <w:t>.5</w:t>
            </w:r>
            <w:r w:rsidRPr="00387B35">
              <w:rPr>
                <w:spacing w:val="1"/>
              </w:rPr>
              <w:t>8)</w:t>
            </w:r>
          </w:p>
        </w:tc>
        <w:tc>
          <w:tcPr>
            <w:tcW w:w="1584" w:type="dxa"/>
          </w:tcPr>
          <w:p w:rsidR="004C5C61" w:rsidRPr="00387B35" w:rsidRDefault="004C5C61" w:rsidP="005D7BEE">
            <w:pPr>
              <w:pStyle w:val="Tabletext"/>
            </w:pPr>
            <w:r w:rsidRPr="00387B35">
              <w:t>134.9 (</w:t>
            </w:r>
            <w:r w:rsidRPr="00387B35">
              <w:rPr>
                <w:spacing w:val="1"/>
              </w:rPr>
              <w:t>5</w:t>
            </w:r>
            <w:r w:rsidRPr="00387B35">
              <w:t>.7</w:t>
            </w:r>
            <w:r w:rsidRPr="00387B35">
              <w:rPr>
                <w:spacing w:val="1"/>
              </w:rPr>
              <w:t>8</w:t>
            </w:r>
            <w:r w:rsidRPr="00387B35">
              <w:t>)</w:t>
            </w:r>
          </w:p>
        </w:tc>
        <w:tc>
          <w:tcPr>
            <w:tcW w:w="1584" w:type="dxa"/>
          </w:tcPr>
          <w:p w:rsidR="004C5C61" w:rsidRPr="00387B35" w:rsidRDefault="004C5C61" w:rsidP="005D7BEE">
            <w:pPr>
              <w:pStyle w:val="Tabletext"/>
            </w:pPr>
            <w:r w:rsidRPr="00387B35">
              <w:t>136.5 (</w:t>
            </w:r>
            <w:r w:rsidRPr="00387B35">
              <w:rPr>
                <w:spacing w:val="1"/>
              </w:rPr>
              <w:t>5</w:t>
            </w:r>
            <w:r w:rsidRPr="00387B35">
              <w:t>.8</w:t>
            </w:r>
            <w:r w:rsidRPr="00387B35">
              <w:rPr>
                <w:spacing w:val="1"/>
              </w:rPr>
              <w:t>8</w:t>
            </w:r>
            <w:r w:rsidRPr="00387B35">
              <w:t>)</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t>M</w:t>
            </w:r>
            <w:r w:rsidRPr="00387B35">
              <w:rPr>
                <w:spacing w:val="1"/>
              </w:rPr>
              <w:t>i</w:t>
            </w:r>
            <w:r w:rsidRPr="00387B35">
              <w:t>n</w:t>
            </w:r>
          </w:p>
        </w:tc>
        <w:tc>
          <w:tcPr>
            <w:tcW w:w="1584" w:type="dxa"/>
          </w:tcPr>
          <w:p w:rsidR="004C5C61" w:rsidRPr="00387B35" w:rsidRDefault="004C5C61" w:rsidP="005D7BEE">
            <w:pPr>
              <w:pStyle w:val="Tabletext"/>
            </w:pPr>
            <w:r w:rsidRPr="00387B35">
              <w:t>122.0</w:t>
            </w:r>
          </w:p>
        </w:tc>
        <w:tc>
          <w:tcPr>
            <w:tcW w:w="1584" w:type="dxa"/>
          </w:tcPr>
          <w:p w:rsidR="004C5C61" w:rsidRPr="00387B35" w:rsidRDefault="004C5C61" w:rsidP="005D7BEE">
            <w:pPr>
              <w:pStyle w:val="Tabletext"/>
            </w:pPr>
            <w:r w:rsidRPr="00387B35">
              <w:t>115.0</w:t>
            </w:r>
          </w:p>
        </w:tc>
        <w:tc>
          <w:tcPr>
            <w:tcW w:w="1584" w:type="dxa"/>
          </w:tcPr>
          <w:p w:rsidR="004C5C61" w:rsidRPr="00387B35" w:rsidRDefault="004C5C61" w:rsidP="005D7BEE">
            <w:pPr>
              <w:pStyle w:val="Tabletext"/>
            </w:pPr>
            <w:r w:rsidRPr="00387B35">
              <w:t>115.0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t>M</w:t>
            </w:r>
            <w:r w:rsidRPr="00387B35">
              <w:rPr>
                <w:spacing w:val="1"/>
              </w:rPr>
              <w:t>e</w:t>
            </w:r>
            <w:r w:rsidRPr="00387B35">
              <w:t>di</w:t>
            </w:r>
            <w:r w:rsidRPr="00387B35">
              <w:rPr>
                <w:spacing w:val="1"/>
              </w:rPr>
              <w:t>a</w:t>
            </w:r>
            <w:r w:rsidRPr="00387B35">
              <w:t>n</w:t>
            </w:r>
          </w:p>
        </w:tc>
        <w:tc>
          <w:tcPr>
            <w:tcW w:w="1584" w:type="dxa"/>
          </w:tcPr>
          <w:p w:rsidR="004C5C61" w:rsidRPr="00387B35" w:rsidRDefault="004C5C61" w:rsidP="005D7BEE">
            <w:pPr>
              <w:pStyle w:val="Tabletext"/>
            </w:pPr>
            <w:r w:rsidRPr="00387B35">
              <w:t>13</w:t>
            </w:r>
            <w:r w:rsidRPr="00387B35">
              <w:rPr>
                <w:spacing w:val="1"/>
              </w:rPr>
              <w:t>7</w:t>
            </w:r>
            <w:r w:rsidRPr="00387B35">
              <w:t>.0</w:t>
            </w:r>
          </w:p>
        </w:tc>
        <w:tc>
          <w:tcPr>
            <w:tcW w:w="1584" w:type="dxa"/>
          </w:tcPr>
          <w:p w:rsidR="004C5C61" w:rsidRPr="00387B35" w:rsidRDefault="004C5C61" w:rsidP="005D7BEE">
            <w:pPr>
              <w:pStyle w:val="Tabletext"/>
            </w:pPr>
            <w:r w:rsidRPr="00387B35">
              <w:t>13</w:t>
            </w:r>
            <w:r w:rsidRPr="00387B35">
              <w:rPr>
                <w:spacing w:val="1"/>
              </w:rPr>
              <w:t>5</w:t>
            </w:r>
            <w:r w:rsidRPr="00387B35">
              <w:t>.0</w:t>
            </w:r>
          </w:p>
        </w:tc>
        <w:tc>
          <w:tcPr>
            <w:tcW w:w="1584" w:type="dxa"/>
          </w:tcPr>
          <w:p w:rsidR="004C5C61" w:rsidRPr="00387B35" w:rsidRDefault="004C5C61" w:rsidP="005D7BEE">
            <w:pPr>
              <w:pStyle w:val="Tabletext"/>
            </w:pPr>
            <w:r w:rsidRPr="00387B35">
              <w:t>13</w:t>
            </w:r>
            <w:r w:rsidRPr="00387B35">
              <w:rPr>
                <w:spacing w:val="1"/>
              </w:rPr>
              <w:t>6</w:t>
            </w:r>
            <w:r w:rsidRPr="00387B35">
              <w:t>.0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rPr>
                <w:spacing w:val="1"/>
              </w:rPr>
              <w:t>Max</w:t>
            </w:r>
          </w:p>
        </w:tc>
        <w:tc>
          <w:tcPr>
            <w:tcW w:w="1584" w:type="dxa"/>
          </w:tcPr>
          <w:p w:rsidR="004C5C61" w:rsidRPr="00387B35" w:rsidRDefault="004C5C61" w:rsidP="005D7BEE">
            <w:pPr>
              <w:pStyle w:val="Tabletext"/>
            </w:pPr>
            <w:r w:rsidRPr="00387B35">
              <w:t>15</w:t>
            </w:r>
            <w:r w:rsidRPr="00387B35">
              <w:rPr>
                <w:spacing w:val="1"/>
              </w:rPr>
              <w:t>1</w:t>
            </w:r>
            <w:r w:rsidRPr="00387B35">
              <w:t>.0</w:t>
            </w:r>
          </w:p>
        </w:tc>
        <w:tc>
          <w:tcPr>
            <w:tcW w:w="1584" w:type="dxa"/>
          </w:tcPr>
          <w:p w:rsidR="004C5C61" w:rsidRPr="00387B35" w:rsidRDefault="004C5C61" w:rsidP="005D7BEE">
            <w:pPr>
              <w:pStyle w:val="Tabletext"/>
            </w:pPr>
            <w:r w:rsidRPr="00387B35">
              <w:t>14</w:t>
            </w:r>
            <w:r w:rsidRPr="00387B35">
              <w:rPr>
                <w:spacing w:val="1"/>
              </w:rPr>
              <w:t>7</w:t>
            </w:r>
            <w:r w:rsidRPr="00387B35">
              <w:t>.0</w:t>
            </w:r>
          </w:p>
        </w:tc>
        <w:tc>
          <w:tcPr>
            <w:tcW w:w="1584" w:type="dxa"/>
          </w:tcPr>
          <w:p w:rsidR="004C5C61" w:rsidRPr="00387B35" w:rsidRDefault="004C5C61" w:rsidP="005D7BEE">
            <w:pPr>
              <w:pStyle w:val="Tabletext"/>
            </w:pPr>
            <w:r w:rsidRPr="00387B35">
              <w:t>15</w:t>
            </w:r>
            <w:r w:rsidRPr="00387B35">
              <w:rPr>
                <w:spacing w:val="1"/>
              </w:rPr>
              <w:t>1</w:t>
            </w:r>
            <w:r w:rsidRPr="00387B35">
              <w:t>.0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5D7BEE" w:rsidRDefault="004C5C61" w:rsidP="005D7BEE">
            <w:pPr>
              <w:pStyle w:val="Tabletext"/>
              <w:rPr>
                <w:b/>
              </w:rPr>
            </w:pPr>
            <w:r w:rsidRPr="005D7BEE">
              <w:rPr>
                <w:b/>
              </w:rPr>
              <w:t>At d</w:t>
            </w:r>
            <w:r w:rsidRPr="005D7BEE">
              <w:rPr>
                <w:b/>
                <w:spacing w:val="1"/>
              </w:rPr>
              <w:t>a</w:t>
            </w:r>
            <w:r w:rsidRPr="005D7BEE">
              <w:rPr>
                <w:b/>
              </w:rPr>
              <w:t>y 3</w:t>
            </w: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rPr>
                <w:spacing w:val="1"/>
              </w:rPr>
            </w:pPr>
            <w:r w:rsidRPr="00387B35">
              <w:rPr>
                <w:position w:val="1"/>
              </w:rPr>
              <w:t>N</w:t>
            </w:r>
          </w:p>
        </w:tc>
        <w:tc>
          <w:tcPr>
            <w:tcW w:w="1584" w:type="dxa"/>
          </w:tcPr>
          <w:p w:rsidR="004C5C61" w:rsidRPr="00387B35" w:rsidRDefault="004C5C61" w:rsidP="005D7BEE">
            <w:pPr>
              <w:pStyle w:val="Tabletext"/>
            </w:pPr>
            <w:r w:rsidRPr="00387B35">
              <w:t>60</w:t>
            </w:r>
          </w:p>
        </w:tc>
        <w:tc>
          <w:tcPr>
            <w:tcW w:w="1584" w:type="dxa"/>
          </w:tcPr>
          <w:p w:rsidR="004C5C61" w:rsidRPr="00387B35" w:rsidRDefault="004C5C61" w:rsidP="005D7BEE">
            <w:pPr>
              <w:pStyle w:val="Tabletext"/>
            </w:pPr>
            <w:r w:rsidRPr="00387B35">
              <w:t>57</w:t>
            </w:r>
          </w:p>
        </w:tc>
        <w:tc>
          <w:tcPr>
            <w:tcW w:w="1584" w:type="dxa"/>
          </w:tcPr>
          <w:p w:rsidR="004C5C61" w:rsidRPr="00387B35" w:rsidRDefault="004C5C61" w:rsidP="005D7BEE">
            <w:pPr>
              <w:pStyle w:val="Tabletext"/>
            </w:pPr>
            <w:r w:rsidRPr="00387B35">
              <w:t>117</w:t>
            </w:r>
          </w:p>
        </w:tc>
        <w:tc>
          <w:tcPr>
            <w:tcW w:w="1584" w:type="dxa"/>
            <w:vMerge w:val="restart"/>
          </w:tcPr>
          <w:p w:rsidR="004C5C61" w:rsidRPr="00387B35" w:rsidRDefault="004C5C61" w:rsidP="005D7BEE">
            <w:pPr>
              <w:pStyle w:val="Tabletext"/>
            </w:pPr>
            <w:r w:rsidRPr="00387B35">
              <w:t>T-te</w:t>
            </w:r>
            <w:r w:rsidRPr="00387B35">
              <w:rPr>
                <w:spacing w:val="1"/>
              </w:rPr>
              <w:t>s</w:t>
            </w:r>
            <w:r w:rsidRPr="00387B35">
              <w:t>t</w:t>
            </w:r>
          </w:p>
          <w:p w:rsidR="004C5C61" w:rsidRPr="00387B35" w:rsidRDefault="004C5C61" w:rsidP="005D7BEE">
            <w:pPr>
              <w:pStyle w:val="Tabletext"/>
            </w:pPr>
            <w:r w:rsidRPr="00387B35">
              <w:t>p=</w:t>
            </w:r>
            <w:r w:rsidRPr="00387B35">
              <w:rPr>
                <w:spacing w:val="1"/>
              </w:rPr>
              <w:t>0</w:t>
            </w:r>
            <w:r w:rsidRPr="00387B35">
              <w:t>.0</w:t>
            </w:r>
            <w:r w:rsidRPr="00387B35">
              <w:rPr>
                <w:spacing w:val="1"/>
              </w:rPr>
              <w:t>0</w:t>
            </w:r>
            <w:r w:rsidRPr="00387B35">
              <w:t>3</w:t>
            </w:r>
          </w:p>
          <w:p w:rsidR="004C5C61" w:rsidRPr="00387B35" w:rsidRDefault="004C5C61" w:rsidP="005D7BEE">
            <w:pPr>
              <w:pStyle w:val="Tabletext"/>
            </w:pPr>
            <w:r w:rsidRPr="00387B35">
              <w:t>Wilc</w:t>
            </w:r>
            <w:r w:rsidRPr="00387B35">
              <w:rPr>
                <w:spacing w:val="1"/>
              </w:rPr>
              <w:t>o</w:t>
            </w:r>
            <w:r w:rsidRPr="00387B35">
              <w:t>xon</w:t>
            </w:r>
          </w:p>
          <w:p w:rsidR="004C5C61" w:rsidRPr="00387B35" w:rsidRDefault="004C5C61" w:rsidP="005D7BEE">
            <w:pPr>
              <w:pStyle w:val="Tabletext"/>
            </w:pPr>
            <w:r w:rsidRPr="00387B35">
              <w:t>p=</w:t>
            </w:r>
            <w:r w:rsidRPr="00387B35">
              <w:rPr>
                <w:spacing w:val="1"/>
              </w:rPr>
              <w:t>0</w:t>
            </w:r>
            <w:r w:rsidRPr="00387B35">
              <w:t>.0</w:t>
            </w:r>
            <w:r w:rsidRPr="00387B35">
              <w:rPr>
                <w:spacing w:val="1"/>
              </w:rPr>
              <w:t>0</w:t>
            </w:r>
            <w:r w:rsidRPr="00387B35">
              <w:t>7</w:t>
            </w:r>
          </w:p>
        </w:tc>
      </w:tr>
      <w:tr w:rsidR="004C5C61" w:rsidRPr="00387B35" w:rsidTr="00387B35">
        <w:tc>
          <w:tcPr>
            <w:tcW w:w="2304" w:type="dxa"/>
          </w:tcPr>
          <w:p w:rsidR="004C5C61" w:rsidRPr="00387B35" w:rsidRDefault="004C5C61" w:rsidP="005D7BEE">
            <w:pPr>
              <w:pStyle w:val="Tabletext"/>
              <w:rPr>
                <w:spacing w:val="1"/>
              </w:rPr>
            </w:pPr>
            <w:r w:rsidRPr="00387B35">
              <w:t>M</w:t>
            </w:r>
            <w:r w:rsidRPr="00387B35">
              <w:rPr>
                <w:spacing w:val="1"/>
              </w:rPr>
              <w:t>e</w:t>
            </w:r>
            <w:r w:rsidRPr="00387B35">
              <w:t>an (S</w:t>
            </w:r>
            <w:r w:rsidRPr="00387B35">
              <w:rPr>
                <w:spacing w:val="1"/>
              </w:rPr>
              <w:t>D</w:t>
            </w:r>
            <w:r w:rsidRPr="00387B35">
              <w:t>)</w:t>
            </w:r>
          </w:p>
        </w:tc>
        <w:tc>
          <w:tcPr>
            <w:tcW w:w="1584" w:type="dxa"/>
          </w:tcPr>
          <w:p w:rsidR="004C5C61" w:rsidRPr="00387B35" w:rsidRDefault="004C5C61" w:rsidP="005D7BEE">
            <w:pPr>
              <w:pStyle w:val="Tabletext"/>
            </w:pPr>
            <w:r w:rsidRPr="00387B35">
              <w:t>142.4 (</w:t>
            </w:r>
            <w:r w:rsidRPr="00387B35">
              <w:rPr>
                <w:spacing w:val="1"/>
              </w:rPr>
              <w:t>6</w:t>
            </w:r>
            <w:r w:rsidRPr="00387B35">
              <w:t>.5</w:t>
            </w:r>
            <w:r w:rsidRPr="00387B35">
              <w:rPr>
                <w:spacing w:val="1"/>
              </w:rPr>
              <w:t>4</w:t>
            </w:r>
            <w:r w:rsidRPr="00387B35">
              <w:t>)</w:t>
            </w:r>
          </w:p>
        </w:tc>
        <w:tc>
          <w:tcPr>
            <w:tcW w:w="1584" w:type="dxa"/>
          </w:tcPr>
          <w:p w:rsidR="004C5C61" w:rsidRPr="00387B35" w:rsidRDefault="004C5C61" w:rsidP="005D7BEE">
            <w:pPr>
              <w:pStyle w:val="Tabletext"/>
            </w:pPr>
            <w:r w:rsidRPr="00387B35">
              <w:t>139.0 (</w:t>
            </w:r>
            <w:r w:rsidRPr="00387B35">
              <w:rPr>
                <w:spacing w:val="1"/>
              </w:rPr>
              <w:t>5</w:t>
            </w:r>
            <w:r w:rsidRPr="00387B35">
              <w:t>.6</w:t>
            </w:r>
            <w:r w:rsidRPr="00387B35">
              <w:rPr>
                <w:spacing w:val="1"/>
              </w:rPr>
              <w:t>0</w:t>
            </w:r>
            <w:r w:rsidRPr="00387B35">
              <w:t>)</w:t>
            </w:r>
          </w:p>
        </w:tc>
        <w:tc>
          <w:tcPr>
            <w:tcW w:w="1584" w:type="dxa"/>
          </w:tcPr>
          <w:p w:rsidR="004C5C61" w:rsidRPr="00387B35" w:rsidRDefault="004C5C61" w:rsidP="005D7BEE">
            <w:pPr>
              <w:pStyle w:val="Tabletext"/>
            </w:pPr>
            <w:r w:rsidRPr="00387B35">
              <w:t>140.7 (</w:t>
            </w:r>
            <w:r w:rsidRPr="00387B35">
              <w:rPr>
                <w:spacing w:val="1"/>
              </w:rPr>
              <w:t>6</w:t>
            </w:r>
            <w:r w:rsidRPr="00387B35">
              <w:t>.3</w:t>
            </w:r>
            <w:r w:rsidRPr="00387B35">
              <w:rPr>
                <w:spacing w:val="1"/>
              </w:rPr>
              <w:t>2</w:t>
            </w:r>
            <w:r w:rsidRPr="00387B35">
              <w:t>)</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t>M</w:t>
            </w:r>
            <w:r w:rsidRPr="00387B35">
              <w:rPr>
                <w:spacing w:val="1"/>
              </w:rPr>
              <w:t>i</w:t>
            </w:r>
            <w:r w:rsidRPr="00387B35">
              <w:t>n</w:t>
            </w:r>
          </w:p>
        </w:tc>
        <w:tc>
          <w:tcPr>
            <w:tcW w:w="1584" w:type="dxa"/>
          </w:tcPr>
          <w:p w:rsidR="004C5C61" w:rsidRPr="00387B35" w:rsidRDefault="004C5C61" w:rsidP="005D7BEE">
            <w:pPr>
              <w:pStyle w:val="Tabletext"/>
            </w:pPr>
            <w:r w:rsidRPr="00387B35">
              <w:t>130.0</w:t>
            </w:r>
          </w:p>
        </w:tc>
        <w:tc>
          <w:tcPr>
            <w:tcW w:w="1584" w:type="dxa"/>
          </w:tcPr>
          <w:p w:rsidR="004C5C61" w:rsidRPr="00387B35" w:rsidRDefault="004C5C61" w:rsidP="005D7BEE">
            <w:pPr>
              <w:pStyle w:val="Tabletext"/>
            </w:pPr>
            <w:r w:rsidRPr="00387B35">
              <w:t>125.0</w:t>
            </w:r>
          </w:p>
        </w:tc>
        <w:tc>
          <w:tcPr>
            <w:tcW w:w="1584" w:type="dxa"/>
          </w:tcPr>
          <w:p w:rsidR="004C5C61" w:rsidRPr="00387B35" w:rsidRDefault="004C5C61" w:rsidP="005D7BEE">
            <w:pPr>
              <w:pStyle w:val="Tabletext"/>
            </w:pPr>
            <w:r w:rsidRPr="00387B35">
              <w:t>125.0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t>M</w:t>
            </w:r>
            <w:r w:rsidRPr="00387B35">
              <w:rPr>
                <w:spacing w:val="1"/>
              </w:rPr>
              <w:t>e</w:t>
            </w:r>
            <w:r w:rsidRPr="00387B35">
              <w:t>di</w:t>
            </w:r>
            <w:r w:rsidRPr="00387B35">
              <w:rPr>
                <w:spacing w:val="1"/>
              </w:rPr>
              <w:t>a</w:t>
            </w:r>
            <w:r w:rsidRPr="00387B35">
              <w:t>n</w:t>
            </w:r>
          </w:p>
        </w:tc>
        <w:tc>
          <w:tcPr>
            <w:tcW w:w="1584" w:type="dxa"/>
          </w:tcPr>
          <w:p w:rsidR="004C5C61" w:rsidRPr="00387B35" w:rsidRDefault="004C5C61" w:rsidP="005D7BEE">
            <w:pPr>
              <w:pStyle w:val="Tabletext"/>
            </w:pPr>
            <w:r w:rsidRPr="00387B35">
              <w:t>14</w:t>
            </w:r>
            <w:r w:rsidRPr="00387B35">
              <w:rPr>
                <w:spacing w:val="1"/>
              </w:rPr>
              <w:t>2</w:t>
            </w:r>
            <w:r w:rsidRPr="00387B35">
              <w:t>.0</w:t>
            </w:r>
          </w:p>
        </w:tc>
        <w:tc>
          <w:tcPr>
            <w:tcW w:w="1584" w:type="dxa"/>
          </w:tcPr>
          <w:p w:rsidR="004C5C61" w:rsidRPr="00387B35" w:rsidRDefault="004C5C61" w:rsidP="005D7BEE">
            <w:pPr>
              <w:pStyle w:val="Tabletext"/>
            </w:pPr>
            <w:r w:rsidRPr="00387B35">
              <w:t>13</w:t>
            </w:r>
            <w:r w:rsidRPr="00387B35">
              <w:rPr>
                <w:spacing w:val="1"/>
              </w:rPr>
              <w:t>8</w:t>
            </w:r>
            <w:r w:rsidRPr="00387B35">
              <w:t>.0</w:t>
            </w:r>
          </w:p>
        </w:tc>
        <w:tc>
          <w:tcPr>
            <w:tcW w:w="1584" w:type="dxa"/>
          </w:tcPr>
          <w:p w:rsidR="004C5C61" w:rsidRPr="00387B35" w:rsidRDefault="004C5C61" w:rsidP="005D7BEE">
            <w:pPr>
              <w:pStyle w:val="Tabletext"/>
            </w:pPr>
            <w:r w:rsidRPr="00387B35">
              <w:t>14</w:t>
            </w:r>
            <w:r w:rsidRPr="00387B35">
              <w:rPr>
                <w:spacing w:val="1"/>
              </w:rPr>
              <w:t>1</w:t>
            </w:r>
            <w:r w:rsidRPr="00387B35">
              <w:t>.0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rPr>
                <w:spacing w:val="1"/>
              </w:rPr>
              <w:t>Max</w:t>
            </w:r>
          </w:p>
        </w:tc>
        <w:tc>
          <w:tcPr>
            <w:tcW w:w="1584" w:type="dxa"/>
          </w:tcPr>
          <w:p w:rsidR="004C5C61" w:rsidRPr="00387B35" w:rsidRDefault="004C5C61" w:rsidP="005D7BEE">
            <w:pPr>
              <w:pStyle w:val="Tabletext"/>
            </w:pPr>
            <w:r w:rsidRPr="00387B35">
              <w:t>16</w:t>
            </w:r>
            <w:r w:rsidRPr="00387B35">
              <w:rPr>
                <w:spacing w:val="1"/>
              </w:rPr>
              <w:t>1</w:t>
            </w:r>
            <w:r w:rsidRPr="00387B35">
              <w:t>.0</w:t>
            </w:r>
          </w:p>
        </w:tc>
        <w:tc>
          <w:tcPr>
            <w:tcW w:w="1584" w:type="dxa"/>
          </w:tcPr>
          <w:p w:rsidR="004C5C61" w:rsidRPr="00387B35" w:rsidRDefault="004C5C61" w:rsidP="005D7BEE">
            <w:pPr>
              <w:pStyle w:val="Tabletext"/>
            </w:pPr>
            <w:r w:rsidRPr="00387B35">
              <w:t>14</w:t>
            </w:r>
            <w:r w:rsidRPr="00387B35">
              <w:rPr>
                <w:spacing w:val="1"/>
              </w:rPr>
              <w:t>9</w:t>
            </w:r>
            <w:r w:rsidRPr="00387B35">
              <w:t>.0</w:t>
            </w:r>
          </w:p>
        </w:tc>
        <w:tc>
          <w:tcPr>
            <w:tcW w:w="1584" w:type="dxa"/>
          </w:tcPr>
          <w:p w:rsidR="004C5C61" w:rsidRPr="00387B35" w:rsidRDefault="004C5C61" w:rsidP="005D7BEE">
            <w:pPr>
              <w:pStyle w:val="Tabletext"/>
            </w:pPr>
            <w:r w:rsidRPr="00387B35">
              <w:t>16</w:t>
            </w:r>
            <w:r w:rsidRPr="00387B35">
              <w:rPr>
                <w:spacing w:val="1"/>
              </w:rPr>
              <w:t>1</w:t>
            </w:r>
            <w:r w:rsidRPr="00387B35">
              <w:t>.0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rPr>
                <w:spacing w:val="1"/>
              </w:rPr>
            </w:pPr>
            <w:r w:rsidRPr="00387B35">
              <w:rPr>
                <w:spacing w:val="1"/>
              </w:rPr>
              <w:t>C</w:t>
            </w:r>
            <w:r w:rsidRPr="00387B35">
              <w:t>re</w:t>
            </w:r>
            <w:r w:rsidRPr="00387B35">
              <w:rPr>
                <w:spacing w:val="1"/>
              </w:rPr>
              <w:t>a</w:t>
            </w:r>
            <w:r w:rsidRPr="00387B35">
              <w:t>ti</w:t>
            </w:r>
            <w:r w:rsidRPr="00387B35">
              <w:rPr>
                <w:spacing w:val="1"/>
              </w:rPr>
              <w:t>n</w:t>
            </w:r>
            <w:r w:rsidRPr="00387B35">
              <w:t>i</w:t>
            </w:r>
            <w:r w:rsidRPr="00387B35">
              <w:rPr>
                <w:spacing w:val="1"/>
              </w:rPr>
              <w:t>n</w:t>
            </w:r>
            <w:r w:rsidRPr="00387B35">
              <w:t xml:space="preserve">e </w:t>
            </w:r>
            <w:r w:rsidRPr="00387B35">
              <w:rPr>
                <w:spacing w:val="1"/>
              </w:rPr>
              <w:t>(</w:t>
            </w:r>
            <w:r w:rsidRPr="00387B35">
              <w:t>µ</w:t>
            </w:r>
            <w:proofErr w:type="spellStart"/>
            <w:r w:rsidRPr="00387B35">
              <w:t>m</w:t>
            </w:r>
            <w:r w:rsidRPr="00387B35">
              <w:rPr>
                <w:spacing w:val="1"/>
              </w:rPr>
              <w:t>o</w:t>
            </w:r>
            <w:r w:rsidRPr="00387B35">
              <w:t>l</w:t>
            </w:r>
            <w:proofErr w:type="spellEnd"/>
            <w:r w:rsidRPr="00387B35">
              <w:t>/</w:t>
            </w:r>
            <w:r w:rsidRPr="00387B35">
              <w:rPr>
                <w:spacing w:val="1"/>
              </w:rPr>
              <w:t>L)</w:t>
            </w: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r>
      <w:tr w:rsidR="004C5C61" w:rsidRPr="00387B35" w:rsidTr="00387B35">
        <w:tc>
          <w:tcPr>
            <w:tcW w:w="2304" w:type="dxa"/>
          </w:tcPr>
          <w:p w:rsidR="004C5C61" w:rsidRPr="005D7BEE" w:rsidRDefault="004C5C61" w:rsidP="005D7BEE">
            <w:pPr>
              <w:pStyle w:val="Tabletext"/>
              <w:rPr>
                <w:b/>
              </w:rPr>
            </w:pPr>
            <w:r w:rsidRPr="005D7BEE">
              <w:rPr>
                <w:b/>
              </w:rPr>
              <w:t>At d</w:t>
            </w:r>
            <w:r w:rsidRPr="005D7BEE">
              <w:rPr>
                <w:b/>
                <w:spacing w:val="1"/>
              </w:rPr>
              <w:t>a</w:t>
            </w:r>
            <w:r w:rsidRPr="005D7BEE">
              <w:rPr>
                <w:b/>
              </w:rPr>
              <w:t>y 1</w:t>
            </w: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rPr>
                <w:spacing w:val="1"/>
              </w:rPr>
            </w:pPr>
            <w:r w:rsidRPr="00387B35">
              <w:rPr>
                <w:position w:val="1"/>
              </w:rPr>
              <w:t>N</w:t>
            </w:r>
          </w:p>
        </w:tc>
        <w:tc>
          <w:tcPr>
            <w:tcW w:w="1584" w:type="dxa"/>
          </w:tcPr>
          <w:p w:rsidR="004C5C61" w:rsidRPr="00387B35" w:rsidRDefault="004C5C61" w:rsidP="005D7BEE">
            <w:pPr>
              <w:pStyle w:val="Tabletext"/>
            </w:pPr>
            <w:r w:rsidRPr="00387B35">
              <w:rPr>
                <w:position w:val="1"/>
              </w:rPr>
              <w:t>53</w:t>
            </w:r>
          </w:p>
        </w:tc>
        <w:tc>
          <w:tcPr>
            <w:tcW w:w="1584" w:type="dxa"/>
          </w:tcPr>
          <w:p w:rsidR="004C5C61" w:rsidRPr="00387B35" w:rsidRDefault="004C5C61" w:rsidP="005D7BEE">
            <w:pPr>
              <w:pStyle w:val="Tabletext"/>
            </w:pPr>
            <w:r w:rsidRPr="00387B35">
              <w:rPr>
                <w:position w:val="1"/>
              </w:rPr>
              <w:t>59</w:t>
            </w:r>
          </w:p>
        </w:tc>
        <w:tc>
          <w:tcPr>
            <w:tcW w:w="1584" w:type="dxa"/>
          </w:tcPr>
          <w:p w:rsidR="004C5C61" w:rsidRPr="00387B35" w:rsidRDefault="004C5C61" w:rsidP="005D7BEE">
            <w:pPr>
              <w:pStyle w:val="Tabletext"/>
            </w:pPr>
            <w:r w:rsidRPr="00387B35">
              <w:rPr>
                <w:position w:val="1"/>
              </w:rPr>
              <w:t>112</w:t>
            </w:r>
          </w:p>
        </w:tc>
        <w:tc>
          <w:tcPr>
            <w:tcW w:w="1584" w:type="dxa"/>
            <w:vMerge w:val="restart"/>
          </w:tcPr>
          <w:p w:rsidR="004C5C61" w:rsidRPr="00387B35" w:rsidRDefault="004C5C61" w:rsidP="005D7BEE">
            <w:pPr>
              <w:pStyle w:val="Tabletext"/>
            </w:pPr>
            <w:r w:rsidRPr="00387B35">
              <w:t>T-te</w:t>
            </w:r>
            <w:r w:rsidRPr="00387B35">
              <w:rPr>
                <w:spacing w:val="1"/>
              </w:rPr>
              <w:t>s</w:t>
            </w:r>
            <w:r w:rsidRPr="00387B35">
              <w:t>t</w:t>
            </w:r>
          </w:p>
          <w:p w:rsidR="004C5C61" w:rsidRPr="00387B35" w:rsidRDefault="004C5C61" w:rsidP="005D7BEE">
            <w:pPr>
              <w:pStyle w:val="Tabletext"/>
            </w:pPr>
            <w:r w:rsidRPr="00387B35">
              <w:t>p=</w:t>
            </w:r>
            <w:r w:rsidRPr="00387B35">
              <w:rPr>
                <w:spacing w:val="1"/>
              </w:rPr>
              <w:t>0</w:t>
            </w:r>
            <w:r w:rsidRPr="00387B35">
              <w:t>.7</w:t>
            </w:r>
            <w:r w:rsidRPr="00387B35">
              <w:rPr>
                <w:spacing w:val="1"/>
              </w:rPr>
              <w:t>5</w:t>
            </w:r>
            <w:r w:rsidRPr="00387B35">
              <w:t>2</w:t>
            </w:r>
          </w:p>
          <w:p w:rsidR="004C5C61" w:rsidRPr="00387B35" w:rsidRDefault="004C5C61" w:rsidP="005D7BEE">
            <w:pPr>
              <w:pStyle w:val="Tabletext"/>
            </w:pPr>
            <w:r w:rsidRPr="00387B35">
              <w:t>Wilc</w:t>
            </w:r>
            <w:r w:rsidRPr="00387B35">
              <w:rPr>
                <w:spacing w:val="1"/>
              </w:rPr>
              <w:t>o</w:t>
            </w:r>
            <w:r w:rsidRPr="00387B35">
              <w:t>xon</w:t>
            </w:r>
          </w:p>
          <w:p w:rsidR="004C5C61" w:rsidRPr="00387B35" w:rsidRDefault="004C5C61" w:rsidP="005D7BEE">
            <w:pPr>
              <w:pStyle w:val="Tabletext"/>
            </w:pPr>
            <w:r w:rsidRPr="00387B35">
              <w:t>p=</w:t>
            </w:r>
            <w:r w:rsidRPr="00387B35">
              <w:rPr>
                <w:spacing w:val="1"/>
              </w:rPr>
              <w:t>0</w:t>
            </w:r>
            <w:r w:rsidRPr="00387B35">
              <w:t>.7</w:t>
            </w:r>
            <w:r w:rsidRPr="00387B35">
              <w:rPr>
                <w:spacing w:val="1"/>
              </w:rPr>
              <w:t>5</w:t>
            </w:r>
            <w:r w:rsidRPr="00387B35">
              <w:t>7</w:t>
            </w:r>
          </w:p>
        </w:tc>
      </w:tr>
      <w:tr w:rsidR="004C5C61" w:rsidRPr="00387B35" w:rsidTr="00387B35">
        <w:tc>
          <w:tcPr>
            <w:tcW w:w="2304" w:type="dxa"/>
          </w:tcPr>
          <w:p w:rsidR="004C5C61" w:rsidRPr="00387B35" w:rsidRDefault="004C5C61" w:rsidP="005D7BEE">
            <w:pPr>
              <w:pStyle w:val="Tabletext"/>
              <w:rPr>
                <w:spacing w:val="1"/>
              </w:rPr>
            </w:pPr>
            <w:r w:rsidRPr="00387B35">
              <w:t>M</w:t>
            </w:r>
            <w:r w:rsidRPr="00387B35">
              <w:rPr>
                <w:spacing w:val="1"/>
              </w:rPr>
              <w:t>e</w:t>
            </w:r>
            <w:r w:rsidRPr="00387B35">
              <w:t>an (S</w:t>
            </w:r>
            <w:r w:rsidRPr="00387B35">
              <w:rPr>
                <w:spacing w:val="1"/>
              </w:rPr>
              <w:t>D</w:t>
            </w:r>
            <w:r w:rsidRPr="00387B35">
              <w:t>)</w:t>
            </w:r>
          </w:p>
        </w:tc>
        <w:tc>
          <w:tcPr>
            <w:tcW w:w="1584" w:type="dxa"/>
          </w:tcPr>
          <w:p w:rsidR="004C5C61" w:rsidRPr="00387B35" w:rsidRDefault="004C5C61" w:rsidP="005D7BEE">
            <w:pPr>
              <w:pStyle w:val="Tabletext"/>
            </w:pPr>
            <w:r w:rsidRPr="00387B35">
              <w:t>63.4 (1</w:t>
            </w:r>
            <w:r w:rsidRPr="00387B35">
              <w:rPr>
                <w:spacing w:val="1"/>
              </w:rPr>
              <w:t>6</w:t>
            </w:r>
            <w:r w:rsidRPr="00387B35">
              <w:t>.6</w:t>
            </w:r>
            <w:r w:rsidRPr="00387B35">
              <w:rPr>
                <w:spacing w:val="1"/>
              </w:rPr>
              <w:t>4</w:t>
            </w:r>
            <w:r w:rsidRPr="00387B35">
              <w:t>)</w:t>
            </w:r>
          </w:p>
        </w:tc>
        <w:tc>
          <w:tcPr>
            <w:tcW w:w="1584" w:type="dxa"/>
          </w:tcPr>
          <w:p w:rsidR="004C5C61" w:rsidRPr="00387B35" w:rsidRDefault="004C5C61" w:rsidP="005D7BEE">
            <w:pPr>
              <w:pStyle w:val="Tabletext"/>
            </w:pPr>
            <w:r w:rsidRPr="00387B35">
              <w:t>64.6 (2</w:t>
            </w:r>
            <w:r w:rsidRPr="00387B35">
              <w:rPr>
                <w:spacing w:val="1"/>
              </w:rPr>
              <w:t>1</w:t>
            </w:r>
            <w:r w:rsidRPr="00387B35">
              <w:t>.5</w:t>
            </w:r>
            <w:r w:rsidRPr="00387B35">
              <w:rPr>
                <w:spacing w:val="1"/>
              </w:rPr>
              <w:t>5</w:t>
            </w:r>
            <w:r w:rsidRPr="00387B35">
              <w:t>)</w:t>
            </w:r>
          </w:p>
        </w:tc>
        <w:tc>
          <w:tcPr>
            <w:tcW w:w="1584" w:type="dxa"/>
          </w:tcPr>
          <w:p w:rsidR="004C5C61" w:rsidRPr="00387B35" w:rsidRDefault="004C5C61" w:rsidP="005D7BEE">
            <w:pPr>
              <w:pStyle w:val="Tabletext"/>
            </w:pPr>
            <w:r w:rsidRPr="00387B35">
              <w:t>64.0 (1</w:t>
            </w:r>
            <w:r w:rsidRPr="00387B35">
              <w:rPr>
                <w:spacing w:val="1"/>
              </w:rPr>
              <w:t>9</w:t>
            </w:r>
            <w:r w:rsidRPr="00387B35">
              <w:t>.3</w:t>
            </w:r>
            <w:r w:rsidRPr="00387B35">
              <w:rPr>
                <w:spacing w:val="1"/>
              </w:rPr>
              <w:t>1</w:t>
            </w:r>
            <w:r w:rsidRPr="00387B35">
              <w:t>)</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t>M</w:t>
            </w:r>
            <w:r w:rsidRPr="00387B35">
              <w:rPr>
                <w:spacing w:val="1"/>
              </w:rPr>
              <w:t>i</w:t>
            </w:r>
            <w:r w:rsidRPr="00387B35">
              <w:t>n</w:t>
            </w:r>
          </w:p>
        </w:tc>
        <w:tc>
          <w:tcPr>
            <w:tcW w:w="1584" w:type="dxa"/>
          </w:tcPr>
          <w:p w:rsidR="004C5C61" w:rsidRPr="00387B35" w:rsidRDefault="004C5C61" w:rsidP="005D7BEE">
            <w:pPr>
              <w:pStyle w:val="Tabletext"/>
            </w:pPr>
            <w:r w:rsidRPr="00387B35">
              <w:t>37.0</w:t>
            </w:r>
          </w:p>
        </w:tc>
        <w:tc>
          <w:tcPr>
            <w:tcW w:w="1584" w:type="dxa"/>
          </w:tcPr>
          <w:p w:rsidR="004C5C61" w:rsidRPr="00387B35" w:rsidRDefault="004C5C61" w:rsidP="005D7BEE">
            <w:pPr>
              <w:pStyle w:val="Tabletext"/>
            </w:pPr>
            <w:r w:rsidRPr="00387B35">
              <w:t>21.0</w:t>
            </w:r>
          </w:p>
        </w:tc>
        <w:tc>
          <w:tcPr>
            <w:tcW w:w="1584" w:type="dxa"/>
          </w:tcPr>
          <w:p w:rsidR="004C5C61" w:rsidRPr="00387B35" w:rsidRDefault="004C5C61" w:rsidP="005D7BEE">
            <w:pPr>
              <w:pStyle w:val="Tabletext"/>
            </w:pPr>
            <w:r w:rsidRPr="00387B35">
              <w:t>21.0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t>M</w:t>
            </w:r>
            <w:r w:rsidRPr="00387B35">
              <w:rPr>
                <w:spacing w:val="1"/>
              </w:rPr>
              <w:t>e</w:t>
            </w:r>
            <w:r w:rsidRPr="00387B35">
              <w:t>di</w:t>
            </w:r>
            <w:r w:rsidRPr="00387B35">
              <w:rPr>
                <w:spacing w:val="1"/>
              </w:rPr>
              <w:t>a</w:t>
            </w:r>
            <w:r w:rsidRPr="00387B35">
              <w:t>n</w:t>
            </w:r>
          </w:p>
        </w:tc>
        <w:tc>
          <w:tcPr>
            <w:tcW w:w="1584" w:type="dxa"/>
          </w:tcPr>
          <w:p w:rsidR="004C5C61" w:rsidRPr="00387B35" w:rsidRDefault="004C5C61" w:rsidP="005D7BEE">
            <w:pPr>
              <w:pStyle w:val="Tabletext"/>
            </w:pPr>
            <w:r w:rsidRPr="00387B35">
              <w:rPr>
                <w:spacing w:val="1"/>
              </w:rPr>
              <w:t>6</w:t>
            </w:r>
            <w:r w:rsidRPr="00387B35">
              <w:t>5.0</w:t>
            </w:r>
          </w:p>
        </w:tc>
        <w:tc>
          <w:tcPr>
            <w:tcW w:w="1584" w:type="dxa"/>
          </w:tcPr>
          <w:p w:rsidR="004C5C61" w:rsidRPr="00387B35" w:rsidRDefault="004C5C61" w:rsidP="005D7BEE">
            <w:pPr>
              <w:pStyle w:val="Tabletext"/>
            </w:pPr>
            <w:r w:rsidRPr="00387B35">
              <w:rPr>
                <w:spacing w:val="1"/>
              </w:rPr>
              <w:t>6</w:t>
            </w:r>
            <w:r w:rsidRPr="00387B35">
              <w:t>3.0</w:t>
            </w:r>
          </w:p>
        </w:tc>
        <w:tc>
          <w:tcPr>
            <w:tcW w:w="1584" w:type="dxa"/>
          </w:tcPr>
          <w:p w:rsidR="004C5C61" w:rsidRPr="00387B35" w:rsidRDefault="004C5C61" w:rsidP="005D7BEE">
            <w:pPr>
              <w:pStyle w:val="Tabletext"/>
            </w:pPr>
            <w:r w:rsidRPr="00387B35">
              <w:rPr>
                <w:spacing w:val="1"/>
              </w:rPr>
              <w:t>6</w:t>
            </w:r>
            <w:r w:rsidRPr="00387B35">
              <w:t>3.5</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rPr>
                <w:spacing w:val="1"/>
              </w:rPr>
              <w:t>Max</w:t>
            </w:r>
          </w:p>
        </w:tc>
        <w:tc>
          <w:tcPr>
            <w:tcW w:w="1584" w:type="dxa"/>
          </w:tcPr>
          <w:p w:rsidR="004C5C61" w:rsidRPr="00387B35" w:rsidRDefault="004C5C61" w:rsidP="005D7BEE">
            <w:pPr>
              <w:pStyle w:val="Tabletext"/>
            </w:pPr>
            <w:r w:rsidRPr="00387B35">
              <w:t>112.0</w:t>
            </w:r>
          </w:p>
        </w:tc>
        <w:tc>
          <w:tcPr>
            <w:tcW w:w="1584" w:type="dxa"/>
          </w:tcPr>
          <w:p w:rsidR="004C5C61" w:rsidRPr="00387B35" w:rsidRDefault="004C5C61" w:rsidP="005D7BEE">
            <w:pPr>
              <w:pStyle w:val="Tabletext"/>
            </w:pPr>
            <w:r w:rsidRPr="00387B35">
              <w:t>155.0</w:t>
            </w:r>
          </w:p>
        </w:tc>
        <w:tc>
          <w:tcPr>
            <w:tcW w:w="1584" w:type="dxa"/>
          </w:tcPr>
          <w:p w:rsidR="004C5C61" w:rsidRPr="00387B35" w:rsidRDefault="004C5C61" w:rsidP="005D7BEE">
            <w:pPr>
              <w:pStyle w:val="Tabletext"/>
            </w:pPr>
            <w:r w:rsidRPr="00387B35">
              <w:t>155.0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t>At d</w:t>
            </w:r>
            <w:r w:rsidRPr="00387B35">
              <w:rPr>
                <w:spacing w:val="1"/>
              </w:rPr>
              <w:t>a</w:t>
            </w:r>
            <w:r w:rsidRPr="00387B35">
              <w:t>y 2</w:t>
            </w: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rPr>
                <w:spacing w:val="1"/>
              </w:rPr>
            </w:pPr>
            <w:r w:rsidRPr="00387B35">
              <w:rPr>
                <w:position w:val="1"/>
              </w:rPr>
              <w:t>N</w:t>
            </w:r>
          </w:p>
        </w:tc>
        <w:tc>
          <w:tcPr>
            <w:tcW w:w="1584" w:type="dxa"/>
          </w:tcPr>
          <w:p w:rsidR="004C5C61" w:rsidRPr="00387B35" w:rsidRDefault="004C5C61" w:rsidP="005D7BEE">
            <w:pPr>
              <w:pStyle w:val="Tabletext"/>
            </w:pPr>
            <w:r w:rsidRPr="00387B35">
              <w:t>48</w:t>
            </w:r>
          </w:p>
        </w:tc>
        <w:tc>
          <w:tcPr>
            <w:tcW w:w="1584" w:type="dxa"/>
          </w:tcPr>
          <w:p w:rsidR="004C5C61" w:rsidRPr="00387B35" w:rsidRDefault="004C5C61" w:rsidP="005D7BEE">
            <w:pPr>
              <w:pStyle w:val="Tabletext"/>
            </w:pPr>
            <w:r w:rsidRPr="00387B35">
              <w:t>52</w:t>
            </w:r>
          </w:p>
        </w:tc>
        <w:tc>
          <w:tcPr>
            <w:tcW w:w="1584" w:type="dxa"/>
          </w:tcPr>
          <w:p w:rsidR="004C5C61" w:rsidRPr="00387B35" w:rsidRDefault="004C5C61" w:rsidP="005D7BEE">
            <w:pPr>
              <w:pStyle w:val="Tabletext"/>
            </w:pPr>
            <w:r w:rsidRPr="00387B35">
              <w:t>100</w:t>
            </w:r>
          </w:p>
        </w:tc>
        <w:tc>
          <w:tcPr>
            <w:tcW w:w="1584" w:type="dxa"/>
            <w:vMerge w:val="restart"/>
          </w:tcPr>
          <w:p w:rsidR="004C5C61" w:rsidRPr="00387B35" w:rsidRDefault="004C5C61" w:rsidP="005D7BEE">
            <w:pPr>
              <w:pStyle w:val="Tabletext"/>
            </w:pPr>
            <w:r w:rsidRPr="00387B35">
              <w:t>T-te</w:t>
            </w:r>
            <w:r w:rsidRPr="00387B35">
              <w:rPr>
                <w:spacing w:val="1"/>
              </w:rPr>
              <w:t>s</w:t>
            </w:r>
            <w:r w:rsidRPr="00387B35">
              <w:t>t</w:t>
            </w:r>
          </w:p>
          <w:p w:rsidR="004C5C61" w:rsidRPr="00387B35" w:rsidRDefault="004C5C61" w:rsidP="005D7BEE">
            <w:pPr>
              <w:pStyle w:val="Tabletext"/>
            </w:pPr>
            <w:r w:rsidRPr="00387B35">
              <w:t>p=</w:t>
            </w:r>
            <w:r w:rsidRPr="00387B35">
              <w:rPr>
                <w:spacing w:val="1"/>
              </w:rPr>
              <w:t>0</w:t>
            </w:r>
            <w:r w:rsidRPr="00387B35">
              <w:t>.1</w:t>
            </w:r>
            <w:r w:rsidRPr="00387B35">
              <w:rPr>
                <w:spacing w:val="1"/>
              </w:rPr>
              <w:t>4</w:t>
            </w:r>
            <w:r w:rsidRPr="00387B35">
              <w:t>0</w:t>
            </w:r>
          </w:p>
          <w:p w:rsidR="004C5C61" w:rsidRPr="00387B35" w:rsidRDefault="004C5C61" w:rsidP="005D7BEE">
            <w:pPr>
              <w:pStyle w:val="Tabletext"/>
            </w:pPr>
            <w:r w:rsidRPr="00387B35">
              <w:t>Wilc</w:t>
            </w:r>
            <w:r w:rsidRPr="00387B35">
              <w:rPr>
                <w:spacing w:val="1"/>
              </w:rPr>
              <w:t>o</w:t>
            </w:r>
            <w:r w:rsidRPr="00387B35">
              <w:t>xon</w:t>
            </w:r>
          </w:p>
          <w:p w:rsidR="004C5C61" w:rsidRPr="00387B35" w:rsidRDefault="004C5C61" w:rsidP="005D7BEE">
            <w:pPr>
              <w:pStyle w:val="Tabletext"/>
            </w:pPr>
            <w:r w:rsidRPr="00387B35">
              <w:t>p=</w:t>
            </w:r>
            <w:r w:rsidRPr="00387B35">
              <w:rPr>
                <w:spacing w:val="1"/>
              </w:rPr>
              <w:t>0</w:t>
            </w:r>
            <w:r w:rsidRPr="00387B35">
              <w:t>.2</w:t>
            </w:r>
            <w:r w:rsidRPr="00387B35">
              <w:rPr>
                <w:spacing w:val="1"/>
              </w:rPr>
              <w:t>4</w:t>
            </w:r>
            <w:r w:rsidRPr="00387B35">
              <w:t>5</w:t>
            </w:r>
          </w:p>
        </w:tc>
      </w:tr>
      <w:tr w:rsidR="004C5C61" w:rsidRPr="00387B35" w:rsidTr="00387B35">
        <w:tc>
          <w:tcPr>
            <w:tcW w:w="2304" w:type="dxa"/>
          </w:tcPr>
          <w:p w:rsidR="004C5C61" w:rsidRPr="00387B35" w:rsidRDefault="004C5C61" w:rsidP="005D7BEE">
            <w:pPr>
              <w:pStyle w:val="Tabletext"/>
              <w:rPr>
                <w:spacing w:val="1"/>
              </w:rPr>
            </w:pPr>
            <w:r w:rsidRPr="00387B35">
              <w:t>M</w:t>
            </w:r>
            <w:r w:rsidRPr="00387B35">
              <w:rPr>
                <w:spacing w:val="1"/>
              </w:rPr>
              <w:t>e</w:t>
            </w:r>
            <w:r w:rsidRPr="00387B35">
              <w:t>an (S</w:t>
            </w:r>
            <w:r w:rsidRPr="00387B35">
              <w:rPr>
                <w:spacing w:val="1"/>
              </w:rPr>
              <w:t>D</w:t>
            </w:r>
            <w:r w:rsidRPr="00387B35">
              <w:t>)</w:t>
            </w:r>
          </w:p>
        </w:tc>
        <w:tc>
          <w:tcPr>
            <w:tcW w:w="1584" w:type="dxa"/>
          </w:tcPr>
          <w:p w:rsidR="004C5C61" w:rsidRPr="00387B35" w:rsidRDefault="004C5C61" w:rsidP="005D7BEE">
            <w:pPr>
              <w:pStyle w:val="Tabletext"/>
            </w:pPr>
            <w:r w:rsidRPr="00387B35">
              <w:t>87.3 (1</w:t>
            </w:r>
            <w:r w:rsidRPr="00387B35">
              <w:rPr>
                <w:spacing w:val="1"/>
              </w:rPr>
              <w:t>9</w:t>
            </w:r>
            <w:r w:rsidRPr="00387B35">
              <w:t>.4</w:t>
            </w:r>
            <w:r w:rsidRPr="00387B35">
              <w:rPr>
                <w:spacing w:val="1"/>
              </w:rPr>
              <w:t>0</w:t>
            </w:r>
          </w:p>
        </w:tc>
        <w:tc>
          <w:tcPr>
            <w:tcW w:w="1584" w:type="dxa"/>
          </w:tcPr>
          <w:p w:rsidR="004C5C61" w:rsidRPr="00387B35" w:rsidRDefault="004C5C61" w:rsidP="005D7BEE">
            <w:pPr>
              <w:pStyle w:val="Tabletext"/>
            </w:pPr>
            <w:r w:rsidRPr="00387B35">
              <w:t>93.9 (2</w:t>
            </w:r>
            <w:r w:rsidRPr="00387B35">
              <w:rPr>
                <w:spacing w:val="1"/>
              </w:rPr>
              <w:t>4</w:t>
            </w:r>
            <w:r w:rsidRPr="00387B35">
              <w:t>.5</w:t>
            </w:r>
            <w:r w:rsidRPr="00387B35">
              <w:rPr>
                <w:spacing w:val="1"/>
              </w:rPr>
              <w:t>0</w:t>
            </w:r>
            <w:r w:rsidRPr="00387B35">
              <w:t>)</w:t>
            </w:r>
          </w:p>
        </w:tc>
        <w:tc>
          <w:tcPr>
            <w:tcW w:w="1584" w:type="dxa"/>
          </w:tcPr>
          <w:p w:rsidR="004C5C61" w:rsidRPr="00387B35" w:rsidRDefault="004C5C61" w:rsidP="005D7BEE">
            <w:pPr>
              <w:pStyle w:val="Tabletext"/>
            </w:pPr>
            <w:r w:rsidRPr="00387B35">
              <w:t>90.8 (2</w:t>
            </w:r>
            <w:r w:rsidRPr="00387B35">
              <w:rPr>
                <w:spacing w:val="1"/>
              </w:rPr>
              <w:t>2</w:t>
            </w:r>
            <w:r w:rsidRPr="00387B35">
              <w:t>.3</w:t>
            </w:r>
            <w:r w:rsidRPr="00387B35">
              <w:rPr>
                <w:spacing w:val="1"/>
              </w:rPr>
              <w:t>3</w:t>
            </w:r>
            <w:r w:rsidRPr="00387B35">
              <w:t>)</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t>M</w:t>
            </w:r>
            <w:r w:rsidRPr="00387B35">
              <w:rPr>
                <w:spacing w:val="1"/>
              </w:rPr>
              <w:t>i</w:t>
            </w:r>
            <w:r w:rsidRPr="00387B35">
              <w:t>n</w:t>
            </w:r>
          </w:p>
        </w:tc>
        <w:tc>
          <w:tcPr>
            <w:tcW w:w="1584" w:type="dxa"/>
          </w:tcPr>
          <w:p w:rsidR="004C5C61" w:rsidRPr="00387B35" w:rsidRDefault="004C5C61" w:rsidP="005D7BEE">
            <w:pPr>
              <w:pStyle w:val="Tabletext"/>
            </w:pPr>
            <w:r w:rsidRPr="00387B35">
              <w:t>40.0</w:t>
            </w:r>
          </w:p>
        </w:tc>
        <w:tc>
          <w:tcPr>
            <w:tcW w:w="1584" w:type="dxa"/>
          </w:tcPr>
          <w:p w:rsidR="004C5C61" w:rsidRPr="00387B35" w:rsidRDefault="004C5C61" w:rsidP="005D7BEE">
            <w:pPr>
              <w:pStyle w:val="Tabletext"/>
            </w:pPr>
            <w:r w:rsidRPr="00387B35">
              <w:t>46.0</w:t>
            </w:r>
          </w:p>
        </w:tc>
        <w:tc>
          <w:tcPr>
            <w:tcW w:w="1584" w:type="dxa"/>
          </w:tcPr>
          <w:p w:rsidR="004C5C61" w:rsidRPr="00387B35" w:rsidRDefault="004C5C61" w:rsidP="005D7BEE">
            <w:pPr>
              <w:pStyle w:val="Tabletext"/>
            </w:pPr>
            <w:r w:rsidRPr="00387B35">
              <w:t>40.0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t>M</w:t>
            </w:r>
            <w:r w:rsidRPr="00387B35">
              <w:rPr>
                <w:spacing w:val="1"/>
              </w:rPr>
              <w:t>e</w:t>
            </w:r>
            <w:r w:rsidRPr="00387B35">
              <w:t>di</w:t>
            </w:r>
            <w:r w:rsidRPr="00387B35">
              <w:rPr>
                <w:spacing w:val="1"/>
              </w:rPr>
              <w:t>a</w:t>
            </w:r>
            <w:r w:rsidRPr="00387B35">
              <w:t>n</w:t>
            </w:r>
          </w:p>
        </w:tc>
        <w:tc>
          <w:tcPr>
            <w:tcW w:w="1584" w:type="dxa"/>
          </w:tcPr>
          <w:p w:rsidR="004C5C61" w:rsidRPr="00387B35" w:rsidRDefault="004C5C61" w:rsidP="005D7BEE">
            <w:pPr>
              <w:pStyle w:val="Tabletext"/>
            </w:pPr>
            <w:r w:rsidRPr="00387B35">
              <w:rPr>
                <w:spacing w:val="1"/>
              </w:rPr>
              <w:t>8</w:t>
            </w:r>
            <w:r w:rsidRPr="00387B35">
              <w:t>4.0</w:t>
            </w:r>
          </w:p>
        </w:tc>
        <w:tc>
          <w:tcPr>
            <w:tcW w:w="1584" w:type="dxa"/>
          </w:tcPr>
          <w:p w:rsidR="004C5C61" w:rsidRPr="00387B35" w:rsidRDefault="004C5C61" w:rsidP="005D7BEE">
            <w:pPr>
              <w:pStyle w:val="Tabletext"/>
            </w:pPr>
            <w:r w:rsidRPr="00387B35">
              <w:rPr>
                <w:spacing w:val="1"/>
              </w:rPr>
              <w:t>8</w:t>
            </w:r>
            <w:r w:rsidRPr="00387B35">
              <w:t>8.5</w:t>
            </w:r>
          </w:p>
        </w:tc>
        <w:tc>
          <w:tcPr>
            <w:tcW w:w="1584" w:type="dxa"/>
          </w:tcPr>
          <w:p w:rsidR="004C5C61" w:rsidRPr="00387B35" w:rsidRDefault="004C5C61" w:rsidP="005D7BEE">
            <w:pPr>
              <w:pStyle w:val="Tabletext"/>
            </w:pPr>
            <w:r w:rsidRPr="00387B35">
              <w:rPr>
                <w:spacing w:val="1"/>
              </w:rPr>
              <w:t>8</w:t>
            </w:r>
            <w:r w:rsidRPr="00387B35">
              <w:t>7.0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rPr>
                <w:spacing w:val="1"/>
              </w:rPr>
              <w:t>Max</w:t>
            </w:r>
          </w:p>
        </w:tc>
        <w:tc>
          <w:tcPr>
            <w:tcW w:w="1584" w:type="dxa"/>
          </w:tcPr>
          <w:p w:rsidR="004C5C61" w:rsidRPr="00387B35" w:rsidRDefault="004C5C61" w:rsidP="005D7BEE">
            <w:pPr>
              <w:pStyle w:val="Tabletext"/>
            </w:pPr>
            <w:r w:rsidRPr="00387B35">
              <w:t>139.0</w:t>
            </w:r>
          </w:p>
        </w:tc>
        <w:tc>
          <w:tcPr>
            <w:tcW w:w="1584" w:type="dxa"/>
          </w:tcPr>
          <w:p w:rsidR="004C5C61" w:rsidRPr="00387B35" w:rsidRDefault="004C5C61" w:rsidP="005D7BEE">
            <w:pPr>
              <w:pStyle w:val="Tabletext"/>
            </w:pPr>
            <w:r w:rsidRPr="00387B35">
              <w:t>154.0</w:t>
            </w:r>
          </w:p>
        </w:tc>
        <w:tc>
          <w:tcPr>
            <w:tcW w:w="1584" w:type="dxa"/>
          </w:tcPr>
          <w:p w:rsidR="004C5C61" w:rsidRPr="00387B35" w:rsidRDefault="004C5C61" w:rsidP="005D7BEE">
            <w:pPr>
              <w:pStyle w:val="Tabletext"/>
            </w:pPr>
            <w:r w:rsidRPr="00387B35">
              <w:t>154.0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5D7BEE" w:rsidRDefault="004C5C61" w:rsidP="005D7BEE">
            <w:pPr>
              <w:pStyle w:val="Tabletext"/>
              <w:rPr>
                <w:b/>
              </w:rPr>
            </w:pPr>
            <w:r w:rsidRPr="005D7BEE">
              <w:rPr>
                <w:b/>
              </w:rPr>
              <w:t>At d</w:t>
            </w:r>
            <w:r w:rsidRPr="005D7BEE">
              <w:rPr>
                <w:b/>
                <w:spacing w:val="1"/>
              </w:rPr>
              <w:t>a</w:t>
            </w:r>
            <w:r w:rsidRPr="005D7BEE">
              <w:rPr>
                <w:b/>
              </w:rPr>
              <w:t>y 3</w:t>
            </w: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c>
          <w:tcPr>
            <w:tcW w:w="1584" w:type="dxa"/>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rPr>
                <w:spacing w:val="1"/>
              </w:rPr>
            </w:pPr>
            <w:r w:rsidRPr="00387B35">
              <w:rPr>
                <w:position w:val="1"/>
              </w:rPr>
              <w:t>N</w:t>
            </w:r>
          </w:p>
        </w:tc>
        <w:tc>
          <w:tcPr>
            <w:tcW w:w="1584" w:type="dxa"/>
          </w:tcPr>
          <w:p w:rsidR="004C5C61" w:rsidRPr="00387B35" w:rsidRDefault="004C5C61" w:rsidP="005D7BEE">
            <w:pPr>
              <w:pStyle w:val="Tabletext"/>
            </w:pPr>
            <w:r w:rsidRPr="00387B35">
              <w:t>57</w:t>
            </w:r>
          </w:p>
        </w:tc>
        <w:tc>
          <w:tcPr>
            <w:tcW w:w="1584" w:type="dxa"/>
          </w:tcPr>
          <w:p w:rsidR="004C5C61" w:rsidRPr="00387B35" w:rsidRDefault="004C5C61" w:rsidP="005D7BEE">
            <w:pPr>
              <w:pStyle w:val="Tabletext"/>
            </w:pPr>
            <w:r w:rsidRPr="00387B35">
              <w:t>54</w:t>
            </w:r>
          </w:p>
        </w:tc>
        <w:tc>
          <w:tcPr>
            <w:tcW w:w="1584" w:type="dxa"/>
          </w:tcPr>
          <w:p w:rsidR="004C5C61" w:rsidRPr="00387B35" w:rsidRDefault="004C5C61" w:rsidP="005D7BEE">
            <w:pPr>
              <w:pStyle w:val="Tabletext"/>
            </w:pPr>
            <w:r w:rsidRPr="00387B35">
              <w:t>111</w:t>
            </w:r>
          </w:p>
        </w:tc>
        <w:tc>
          <w:tcPr>
            <w:tcW w:w="1584" w:type="dxa"/>
            <w:vMerge w:val="restart"/>
          </w:tcPr>
          <w:p w:rsidR="004C5C61" w:rsidRPr="00387B35" w:rsidRDefault="004C5C61" w:rsidP="005D7BEE">
            <w:pPr>
              <w:pStyle w:val="Tabletext"/>
            </w:pPr>
            <w:r w:rsidRPr="00387B35">
              <w:t>T-te</w:t>
            </w:r>
            <w:r w:rsidRPr="00387B35">
              <w:rPr>
                <w:spacing w:val="1"/>
              </w:rPr>
              <w:t>s</w:t>
            </w:r>
            <w:r w:rsidRPr="00387B35">
              <w:t>t</w:t>
            </w:r>
          </w:p>
          <w:p w:rsidR="004C5C61" w:rsidRPr="00387B35" w:rsidRDefault="004C5C61" w:rsidP="005D7BEE">
            <w:pPr>
              <w:pStyle w:val="Tabletext"/>
            </w:pPr>
            <w:r w:rsidRPr="00387B35">
              <w:t>p=</w:t>
            </w:r>
            <w:r w:rsidRPr="00387B35">
              <w:rPr>
                <w:spacing w:val="1"/>
              </w:rPr>
              <w:t>0</w:t>
            </w:r>
            <w:r w:rsidRPr="00387B35">
              <w:t>.0</w:t>
            </w:r>
            <w:r w:rsidRPr="00387B35">
              <w:rPr>
                <w:spacing w:val="1"/>
              </w:rPr>
              <w:t>0</w:t>
            </w:r>
            <w:r w:rsidRPr="00387B35">
              <w:t>5</w:t>
            </w:r>
          </w:p>
          <w:p w:rsidR="004C5C61" w:rsidRPr="00387B35" w:rsidRDefault="004C5C61" w:rsidP="005D7BEE">
            <w:pPr>
              <w:pStyle w:val="Tabletext"/>
            </w:pPr>
            <w:r w:rsidRPr="00387B35">
              <w:t>Wilc</w:t>
            </w:r>
            <w:r w:rsidRPr="00387B35">
              <w:rPr>
                <w:spacing w:val="1"/>
              </w:rPr>
              <w:t>o</w:t>
            </w:r>
            <w:r w:rsidRPr="00387B35">
              <w:t>xon</w:t>
            </w:r>
          </w:p>
          <w:p w:rsidR="004C5C61" w:rsidRPr="00387B35" w:rsidRDefault="004C5C61" w:rsidP="005D7BEE">
            <w:pPr>
              <w:pStyle w:val="Tabletext"/>
            </w:pPr>
            <w:r w:rsidRPr="00387B35">
              <w:t>p=</w:t>
            </w:r>
            <w:r w:rsidRPr="00387B35">
              <w:rPr>
                <w:spacing w:val="1"/>
              </w:rPr>
              <w:t>0</w:t>
            </w:r>
            <w:r w:rsidRPr="00387B35">
              <w:t>.0</w:t>
            </w:r>
            <w:r w:rsidRPr="00387B35">
              <w:rPr>
                <w:spacing w:val="1"/>
              </w:rPr>
              <w:t>0</w:t>
            </w:r>
            <w:r w:rsidRPr="00387B35">
              <w:t>9</w:t>
            </w:r>
          </w:p>
        </w:tc>
      </w:tr>
      <w:tr w:rsidR="004C5C61" w:rsidRPr="00387B35" w:rsidTr="00387B35">
        <w:tc>
          <w:tcPr>
            <w:tcW w:w="2304" w:type="dxa"/>
          </w:tcPr>
          <w:p w:rsidR="004C5C61" w:rsidRPr="00387B35" w:rsidRDefault="004C5C61" w:rsidP="005D7BEE">
            <w:pPr>
              <w:pStyle w:val="Tabletext"/>
              <w:rPr>
                <w:spacing w:val="1"/>
              </w:rPr>
            </w:pPr>
            <w:r w:rsidRPr="00387B35">
              <w:t>M</w:t>
            </w:r>
            <w:r w:rsidRPr="00387B35">
              <w:rPr>
                <w:spacing w:val="1"/>
              </w:rPr>
              <w:t>e</w:t>
            </w:r>
            <w:r w:rsidRPr="00387B35">
              <w:t>an (S</w:t>
            </w:r>
            <w:r w:rsidRPr="00387B35">
              <w:rPr>
                <w:spacing w:val="1"/>
              </w:rPr>
              <w:t>D</w:t>
            </w:r>
            <w:r w:rsidRPr="00387B35">
              <w:t>)</w:t>
            </w:r>
          </w:p>
        </w:tc>
        <w:tc>
          <w:tcPr>
            <w:tcW w:w="1584" w:type="dxa"/>
          </w:tcPr>
          <w:p w:rsidR="004C5C61" w:rsidRPr="00387B35" w:rsidRDefault="004C5C61" w:rsidP="005D7BEE">
            <w:pPr>
              <w:pStyle w:val="Tabletext"/>
            </w:pPr>
            <w:r w:rsidRPr="00387B35">
              <w:t>92.4 (2</w:t>
            </w:r>
            <w:r w:rsidRPr="00387B35">
              <w:rPr>
                <w:spacing w:val="1"/>
              </w:rPr>
              <w:t>0</w:t>
            </w:r>
            <w:r w:rsidRPr="00387B35">
              <w:t>.4</w:t>
            </w:r>
            <w:r w:rsidRPr="00387B35">
              <w:rPr>
                <w:spacing w:val="1"/>
              </w:rPr>
              <w:t>7</w:t>
            </w:r>
            <w:r w:rsidRPr="00387B35">
              <w:t>)</w:t>
            </w:r>
          </w:p>
        </w:tc>
        <w:tc>
          <w:tcPr>
            <w:tcW w:w="1584" w:type="dxa"/>
          </w:tcPr>
          <w:p w:rsidR="004C5C61" w:rsidRPr="00387B35" w:rsidRDefault="004C5C61" w:rsidP="005D7BEE">
            <w:pPr>
              <w:pStyle w:val="Tabletext"/>
            </w:pPr>
            <w:r w:rsidRPr="00387B35">
              <w:t>104.9 (</w:t>
            </w:r>
            <w:r w:rsidRPr="00387B35">
              <w:rPr>
                <w:spacing w:val="1"/>
              </w:rPr>
              <w:t>2</w:t>
            </w:r>
            <w:r w:rsidRPr="00387B35">
              <w:t>5.</w:t>
            </w:r>
            <w:r w:rsidRPr="00387B35">
              <w:rPr>
                <w:spacing w:val="1"/>
              </w:rPr>
              <w:t>2</w:t>
            </w:r>
            <w:r w:rsidRPr="00387B35">
              <w:t>3)</w:t>
            </w:r>
          </w:p>
        </w:tc>
        <w:tc>
          <w:tcPr>
            <w:tcW w:w="1584" w:type="dxa"/>
          </w:tcPr>
          <w:p w:rsidR="004C5C61" w:rsidRPr="00387B35" w:rsidRDefault="004C5C61" w:rsidP="005D7BEE">
            <w:pPr>
              <w:pStyle w:val="Tabletext"/>
            </w:pPr>
            <w:r w:rsidRPr="00387B35">
              <w:t>98.5 (2</w:t>
            </w:r>
            <w:r w:rsidRPr="00387B35">
              <w:rPr>
                <w:spacing w:val="1"/>
              </w:rPr>
              <w:t>3</w:t>
            </w:r>
            <w:r w:rsidRPr="00387B35">
              <w:t>.6</w:t>
            </w:r>
            <w:r w:rsidRPr="00387B35">
              <w:rPr>
                <w:spacing w:val="1"/>
              </w:rPr>
              <w:t>4</w:t>
            </w:r>
            <w:r w:rsidRPr="00387B35">
              <w:t>)</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t>M</w:t>
            </w:r>
            <w:r w:rsidRPr="00387B35">
              <w:rPr>
                <w:spacing w:val="1"/>
              </w:rPr>
              <w:t>i</w:t>
            </w:r>
            <w:r w:rsidRPr="00387B35">
              <w:t>n</w:t>
            </w:r>
          </w:p>
        </w:tc>
        <w:tc>
          <w:tcPr>
            <w:tcW w:w="1584" w:type="dxa"/>
          </w:tcPr>
          <w:p w:rsidR="004C5C61" w:rsidRPr="00387B35" w:rsidRDefault="004C5C61" w:rsidP="005D7BEE">
            <w:pPr>
              <w:pStyle w:val="Tabletext"/>
            </w:pPr>
            <w:r w:rsidRPr="00387B35">
              <w:t>50.0</w:t>
            </w:r>
          </w:p>
        </w:tc>
        <w:tc>
          <w:tcPr>
            <w:tcW w:w="1584" w:type="dxa"/>
          </w:tcPr>
          <w:p w:rsidR="004C5C61" w:rsidRPr="00387B35" w:rsidRDefault="004C5C61" w:rsidP="005D7BEE">
            <w:pPr>
              <w:pStyle w:val="Tabletext"/>
            </w:pPr>
            <w:r w:rsidRPr="00387B35">
              <w:t>58.0</w:t>
            </w:r>
          </w:p>
        </w:tc>
        <w:tc>
          <w:tcPr>
            <w:tcW w:w="1584" w:type="dxa"/>
          </w:tcPr>
          <w:p w:rsidR="004C5C61" w:rsidRPr="00387B35" w:rsidRDefault="004C5C61" w:rsidP="005D7BEE">
            <w:pPr>
              <w:pStyle w:val="Tabletext"/>
            </w:pPr>
            <w:r w:rsidRPr="00387B35">
              <w:t>50.0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t>M</w:t>
            </w:r>
            <w:r w:rsidRPr="00387B35">
              <w:rPr>
                <w:spacing w:val="1"/>
              </w:rPr>
              <w:t>e</w:t>
            </w:r>
            <w:r w:rsidRPr="00387B35">
              <w:t>di</w:t>
            </w:r>
            <w:r w:rsidRPr="00387B35">
              <w:rPr>
                <w:spacing w:val="1"/>
              </w:rPr>
              <w:t>a</w:t>
            </w:r>
            <w:r w:rsidRPr="00387B35">
              <w:t>n</w:t>
            </w:r>
          </w:p>
        </w:tc>
        <w:tc>
          <w:tcPr>
            <w:tcW w:w="1584" w:type="dxa"/>
          </w:tcPr>
          <w:p w:rsidR="004C5C61" w:rsidRPr="00387B35" w:rsidRDefault="004C5C61" w:rsidP="005D7BEE">
            <w:pPr>
              <w:pStyle w:val="Tabletext"/>
            </w:pPr>
            <w:r w:rsidRPr="00387B35">
              <w:rPr>
                <w:spacing w:val="1"/>
              </w:rPr>
              <w:t>9</w:t>
            </w:r>
            <w:r w:rsidRPr="00387B35">
              <w:t>0.0</w:t>
            </w:r>
          </w:p>
        </w:tc>
        <w:tc>
          <w:tcPr>
            <w:tcW w:w="1584" w:type="dxa"/>
          </w:tcPr>
          <w:p w:rsidR="004C5C61" w:rsidRPr="00387B35" w:rsidRDefault="004C5C61" w:rsidP="005D7BEE">
            <w:pPr>
              <w:pStyle w:val="Tabletext"/>
            </w:pPr>
            <w:r w:rsidRPr="00387B35">
              <w:rPr>
                <w:spacing w:val="1"/>
              </w:rPr>
              <w:t>1</w:t>
            </w:r>
            <w:r w:rsidRPr="00387B35">
              <w:t>00</w:t>
            </w:r>
            <w:r w:rsidRPr="00387B35">
              <w:rPr>
                <w:spacing w:val="1"/>
              </w:rPr>
              <w:t>.</w:t>
            </w:r>
            <w:r w:rsidRPr="00387B35">
              <w:t>0</w:t>
            </w:r>
          </w:p>
        </w:tc>
        <w:tc>
          <w:tcPr>
            <w:tcW w:w="1584" w:type="dxa"/>
          </w:tcPr>
          <w:p w:rsidR="004C5C61" w:rsidRPr="00387B35" w:rsidRDefault="004C5C61" w:rsidP="005D7BEE">
            <w:pPr>
              <w:pStyle w:val="Tabletext"/>
            </w:pPr>
            <w:r w:rsidRPr="00387B35">
              <w:rPr>
                <w:spacing w:val="1"/>
              </w:rPr>
              <w:t>9</w:t>
            </w:r>
            <w:r w:rsidRPr="00387B35">
              <w:t>5.0</w:t>
            </w:r>
          </w:p>
        </w:tc>
        <w:tc>
          <w:tcPr>
            <w:tcW w:w="1584" w:type="dxa"/>
            <w:vMerge/>
          </w:tcPr>
          <w:p w:rsidR="004C5C61" w:rsidRPr="00387B35" w:rsidRDefault="004C5C61" w:rsidP="005D7BEE">
            <w:pPr>
              <w:pStyle w:val="Tabletext"/>
            </w:pPr>
          </w:p>
        </w:tc>
      </w:tr>
      <w:tr w:rsidR="004C5C61" w:rsidRPr="00387B35" w:rsidTr="00387B35">
        <w:tc>
          <w:tcPr>
            <w:tcW w:w="2304" w:type="dxa"/>
          </w:tcPr>
          <w:p w:rsidR="004C5C61" w:rsidRPr="00387B35" w:rsidRDefault="004C5C61" w:rsidP="005D7BEE">
            <w:pPr>
              <w:pStyle w:val="Tabletext"/>
            </w:pPr>
            <w:r w:rsidRPr="00387B35">
              <w:rPr>
                <w:spacing w:val="1"/>
              </w:rPr>
              <w:t>Max</w:t>
            </w:r>
          </w:p>
        </w:tc>
        <w:tc>
          <w:tcPr>
            <w:tcW w:w="1584" w:type="dxa"/>
          </w:tcPr>
          <w:p w:rsidR="004C5C61" w:rsidRPr="00387B35" w:rsidRDefault="004C5C61" w:rsidP="005D7BEE">
            <w:pPr>
              <w:pStyle w:val="Tabletext"/>
            </w:pPr>
            <w:r w:rsidRPr="00387B35">
              <w:t>159.0</w:t>
            </w:r>
          </w:p>
        </w:tc>
        <w:tc>
          <w:tcPr>
            <w:tcW w:w="1584" w:type="dxa"/>
          </w:tcPr>
          <w:p w:rsidR="004C5C61" w:rsidRPr="00387B35" w:rsidRDefault="004C5C61" w:rsidP="005D7BEE">
            <w:pPr>
              <w:pStyle w:val="Tabletext"/>
            </w:pPr>
            <w:r w:rsidRPr="00387B35">
              <w:t>183</w:t>
            </w:r>
            <w:r w:rsidRPr="00387B35">
              <w:rPr>
                <w:spacing w:val="1"/>
              </w:rPr>
              <w:t>.</w:t>
            </w:r>
            <w:r w:rsidRPr="00387B35">
              <w:t>0</w:t>
            </w:r>
          </w:p>
        </w:tc>
        <w:tc>
          <w:tcPr>
            <w:tcW w:w="1584" w:type="dxa"/>
          </w:tcPr>
          <w:p w:rsidR="004C5C61" w:rsidRPr="00387B35" w:rsidRDefault="004C5C61" w:rsidP="005D7BEE">
            <w:pPr>
              <w:pStyle w:val="Tabletext"/>
            </w:pPr>
            <w:r w:rsidRPr="00387B35">
              <w:t>183.0</w:t>
            </w:r>
          </w:p>
        </w:tc>
        <w:tc>
          <w:tcPr>
            <w:tcW w:w="1584" w:type="dxa"/>
            <w:vMerge/>
          </w:tcPr>
          <w:p w:rsidR="004C5C61" w:rsidRPr="00387B35" w:rsidRDefault="004C5C61" w:rsidP="005D7BEE">
            <w:pPr>
              <w:pStyle w:val="Tabletext"/>
            </w:pPr>
          </w:p>
        </w:tc>
      </w:tr>
    </w:tbl>
    <w:p w:rsidR="004C5C61" w:rsidRPr="00387B35" w:rsidRDefault="004C5C61" w:rsidP="005D7BEE">
      <w:pPr>
        <w:pStyle w:val="Tabletext"/>
      </w:pPr>
      <w:r w:rsidRPr="00387B35">
        <w:t>1 Patient excluded</w:t>
      </w:r>
    </w:p>
    <w:p w:rsidR="004C5C61" w:rsidRPr="00CD4C09" w:rsidRDefault="004C5C61" w:rsidP="00CD4C09">
      <w:pPr>
        <w:pStyle w:val="Heading7"/>
        <w:rPr>
          <w:b/>
          <w:lang w:eastAsia="ja-JP"/>
        </w:rPr>
      </w:pPr>
      <w:r w:rsidRPr="00CD4C09">
        <w:rPr>
          <w:b/>
          <w:lang w:eastAsia="ja-JP"/>
        </w:rPr>
        <w:t>Study Long Term FU</w:t>
      </w:r>
    </w:p>
    <w:p w:rsidR="004C5C61" w:rsidRPr="00CD4C09" w:rsidRDefault="004C5C61" w:rsidP="00CD4C09">
      <w:r w:rsidRPr="00CD4C09">
        <w:t>Five patients treated with indomethacin (5.6%) developed an episode of acute renal failure as defined by a creatinine above 1.5 mg/</w:t>
      </w:r>
      <w:proofErr w:type="spellStart"/>
      <w:r w:rsidRPr="00CD4C09">
        <w:t>dL</w:t>
      </w:r>
      <w:proofErr w:type="spellEnd"/>
      <w:r w:rsidRPr="00CD4C09">
        <w:t>, from the 9th to the 16th day of life, compared with 4 patients who received ibuprofen (4.3%) which occurred in the first 4 days of life.</w:t>
      </w:r>
    </w:p>
    <w:p w:rsidR="004C5C61" w:rsidRDefault="00387B35" w:rsidP="00FB3072">
      <w:pPr>
        <w:pStyle w:val="TableTitle"/>
      </w:pPr>
      <w:bookmarkStart w:id="135" w:name="_Toc454981344"/>
      <w:r>
        <w:t xml:space="preserve">Table 10: </w:t>
      </w:r>
      <w:r w:rsidR="004C5C61">
        <w:t>Study IBU/Long Term FU: Incidence of renal failure</w:t>
      </w:r>
      <w:bookmarkEnd w:id="135"/>
      <w:r w:rsidR="00FB3072">
        <w:t>.</w:t>
      </w:r>
    </w:p>
    <w:tbl>
      <w:tblPr>
        <w:tblStyle w:val="TableGrid"/>
        <w:tblW w:w="9174" w:type="dxa"/>
        <w:tblLayout w:type="fixed"/>
        <w:tblLook w:val="0000" w:firstRow="0" w:lastRow="0" w:firstColumn="0" w:lastColumn="0" w:noHBand="0" w:noVBand="0"/>
        <w:tblDescription w:val="Table 10: Study IBU/Long Term FU: Incidence of renal failure"/>
      </w:tblPr>
      <w:tblGrid>
        <w:gridCol w:w="1838"/>
        <w:gridCol w:w="1200"/>
        <w:gridCol w:w="1097"/>
        <w:gridCol w:w="1170"/>
        <w:gridCol w:w="1046"/>
        <w:gridCol w:w="999"/>
        <w:gridCol w:w="766"/>
        <w:gridCol w:w="1058"/>
      </w:tblGrid>
      <w:tr w:rsidR="004C5C61" w:rsidRPr="00FB3072" w:rsidTr="00DD6469">
        <w:trPr>
          <w:trHeight w:hRule="exact" w:val="346"/>
          <w:tblHeader/>
        </w:trPr>
        <w:tc>
          <w:tcPr>
            <w:tcW w:w="3038" w:type="dxa"/>
            <w:gridSpan w:val="2"/>
            <w:vMerge w:val="restart"/>
          </w:tcPr>
          <w:p w:rsidR="004C5C61" w:rsidRPr="00FB3072" w:rsidRDefault="004C5C61" w:rsidP="002205D9">
            <w:pPr>
              <w:autoSpaceDE w:val="0"/>
              <w:autoSpaceDN w:val="0"/>
              <w:adjustRightInd w:val="0"/>
              <w:spacing w:before="0" w:after="0" w:line="240" w:lineRule="auto"/>
              <w:ind w:left="175" w:hanging="18"/>
              <w:rPr>
                <w:rFonts w:asciiTheme="minorHAnsi" w:eastAsiaTheme="minorHAnsi" w:hAnsiTheme="minorHAnsi" w:cs="Lucida Console"/>
                <w:b/>
                <w:spacing w:val="1"/>
                <w:sz w:val="18"/>
                <w:szCs w:val="18"/>
              </w:rPr>
            </w:pPr>
            <w:r w:rsidRPr="00FB3072">
              <w:rPr>
                <w:rFonts w:asciiTheme="minorHAnsi" w:eastAsiaTheme="minorHAnsi" w:hAnsiTheme="minorHAnsi" w:cs="Lucida Console"/>
                <w:b/>
                <w:spacing w:val="1"/>
                <w:sz w:val="18"/>
                <w:szCs w:val="18"/>
              </w:rPr>
              <w:t>prob. Fisher (without missing data) = 0.7431</w:t>
            </w:r>
          </w:p>
        </w:tc>
        <w:tc>
          <w:tcPr>
            <w:tcW w:w="2267" w:type="dxa"/>
            <w:gridSpan w:val="2"/>
          </w:tcPr>
          <w:p w:rsidR="004C5C61" w:rsidRPr="00FB3072" w:rsidRDefault="004C5C61" w:rsidP="002205D9">
            <w:pPr>
              <w:autoSpaceDE w:val="0"/>
              <w:autoSpaceDN w:val="0"/>
              <w:adjustRightInd w:val="0"/>
              <w:spacing w:before="62" w:after="0" w:line="240" w:lineRule="auto"/>
              <w:ind w:left="175" w:right="-20" w:hanging="18"/>
              <w:jc w:val="center"/>
              <w:rPr>
                <w:rFonts w:asciiTheme="minorHAnsi" w:eastAsiaTheme="minorHAnsi" w:hAnsiTheme="minorHAnsi" w:cs="Lucida Console"/>
                <w:b/>
                <w:spacing w:val="1"/>
                <w:sz w:val="18"/>
                <w:szCs w:val="18"/>
              </w:rPr>
            </w:pPr>
            <w:r w:rsidRPr="00FB3072">
              <w:rPr>
                <w:rFonts w:asciiTheme="minorHAnsi" w:eastAsiaTheme="minorHAnsi" w:hAnsiTheme="minorHAnsi" w:cs="Lucida Console"/>
                <w:b/>
                <w:spacing w:val="1"/>
                <w:sz w:val="18"/>
                <w:szCs w:val="18"/>
              </w:rPr>
              <w:t>Indomethacin</w:t>
            </w:r>
          </w:p>
        </w:tc>
        <w:tc>
          <w:tcPr>
            <w:tcW w:w="2045" w:type="dxa"/>
            <w:gridSpan w:val="2"/>
          </w:tcPr>
          <w:p w:rsidR="004C5C61" w:rsidRPr="00FB3072" w:rsidRDefault="004C5C61" w:rsidP="002205D9">
            <w:pPr>
              <w:autoSpaceDE w:val="0"/>
              <w:autoSpaceDN w:val="0"/>
              <w:adjustRightInd w:val="0"/>
              <w:spacing w:before="72" w:after="0" w:line="240" w:lineRule="auto"/>
              <w:ind w:left="17" w:right="116"/>
              <w:jc w:val="center"/>
              <w:rPr>
                <w:rFonts w:asciiTheme="minorHAnsi" w:eastAsiaTheme="minorHAnsi" w:hAnsiTheme="minorHAnsi" w:cs="Lucida Console"/>
                <w:b/>
                <w:spacing w:val="1"/>
                <w:sz w:val="18"/>
                <w:szCs w:val="18"/>
              </w:rPr>
            </w:pPr>
            <w:r w:rsidRPr="00FB3072">
              <w:rPr>
                <w:rFonts w:asciiTheme="minorHAnsi" w:eastAsiaTheme="minorHAnsi" w:hAnsiTheme="minorHAnsi" w:cs="Lucida Console"/>
                <w:b/>
                <w:spacing w:val="1"/>
                <w:sz w:val="18"/>
                <w:szCs w:val="18"/>
              </w:rPr>
              <w:t>Ibuprofen</w:t>
            </w:r>
          </w:p>
        </w:tc>
        <w:tc>
          <w:tcPr>
            <w:tcW w:w="1824" w:type="dxa"/>
            <w:gridSpan w:val="2"/>
          </w:tcPr>
          <w:p w:rsidR="004C5C61" w:rsidRPr="00FB3072" w:rsidRDefault="004C5C61" w:rsidP="002205D9">
            <w:pPr>
              <w:autoSpaceDE w:val="0"/>
              <w:autoSpaceDN w:val="0"/>
              <w:adjustRightInd w:val="0"/>
              <w:spacing w:before="66" w:after="0" w:line="240" w:lineRule="auto"/>
              <w:ind w:left="17" w:right="116"/>
              <w:jc w:val="center"/>
              <w:rPr>
                <w:rFonts w:asciiTheme="minorHAnsi" w:eastAsiaTheme="minorHAnsi" w:hAnsiTheme="minorHAnsi" w:cs="Lucida Console"/>
                <w:b/>
                <w:spacing w:val="1"/>
                <w:sz w:val="18"/>
                <w:szCs w:val="18"/>
              </w:rPr>
            </w:pPr>
            <w:r w:rsidRPr="00FB3072">
              <w:rPr>
                <w:rFonts w:asciiTheme="minorHAnsi" w:eastAsiaTheme="minorHAnsi" w:hAnsiTheme="minorHAnsi" w:cs="Lucida Console"/>
                <w:b/>
                <w:spacing w:val="1"/>
                <w:sz w:val="18"/>
                <w:szCs w:val="18"/>
              </w:rPr>
              <w:t>All</w:t>
            </w:r>
          </w:p>
        </w:tc>
      </w:tr>
      <w:tr w:rsidR="004C5C61" w:rsidRPr="00FB3072" w:rsidTr="00DD6469">
        <w:trPr>
          <w:trHeight w:hRule="exact" w:val="335"/>
          <w:tblHeader/>
        </w:trPr>
        <w:tc>
          <w:tcPr>
            <w:tcW w:w="3038" w:type="dxa"/>
            <w:gridSpan w:val="2"/>
            <w:vMerge/>
          </w:tcPr>
          <w:p w:rsidR="004C5C61" w:rsidRPr="00FB3072" w:rsidRDefault="004C5C61" w:rsidP="002205D9">
            <w:pPr>
              <w:autoSpaceDE w:val="0"/>
              <w:autoSpaceDN w:val="0"/>
              <w:adjustRightInd w:val="0"/>
              <w:spacing w:before="0" w:after="0" w:line="240" w:lineRule="auto"/>
              <w:ind w:left="175" w:hanging="18"/>
              <w:rPr>
                <w:rFonts w:asciiTheme="minorHAnsi" w:eastAsiaTheme="minorHAnsi" w:hAnsiTheme="minorHAnsi" w:cs="Lucida Console"/>
                <w:b/>
                <w:spacing w:val="1"/>
                <w:sz w:val="18"/>
                <w:szCs w:val="18"/>
              </w:rPr>
            </w:pPr>
          </w:p>
        </w:tc>
        <w:tc>
          <w:tcPr>
            <w:tcW w:w="1097" w:type="dxa"/>
          </w:tcPr>
          <w:p w:rsidR="004C5C61" w:rsidRPr="00FB3072" w:rsidRDefault="004C5C61" w:rsidP="002205D9">
            <w:pPr>
              <w:autoSpaceDE w:val="0"/>
              <w:autoSpaceDN w:val="0"/>
              <w:adjustRightInd w:val="0"/>
              <w:spacing w:before="0" w:after="0" w:line="240" w:lineRule="auto"/>
              <w:jc w:val="center"/>
              <w:rPr>
                <w:rFonts w:asciiTheme="minorHAnsi" w:eastAsiaTheme="minorHAnsi" w:hAnsiTheme="minorHAnsi" w:cs="Lucida Console"/>
                <w:b/>
                <w:spacing w:val="1"/>
                <w:sz w:val="18"/>
                <w:szCs w:val="18"/>
              </w:rPr>
            </w:pPr>
            <w:r w:rsidRPr="00FB3072">
              <w:rPr>
                <w:rFonts w:asciiTheme="minorHAnsi" w:eastAsiaTheme="minorHAnsi" w:hAnsiTheme="minorHAnsi" w:cs="Lucida Console"/>
                <w:b/>
                <w:spacing w:val="1"/>
                <w:sz w:val="18"/>
                <w:szCs w:val="18"/>
              </w:rPr>
              <w:t>N</w:t>
            </w:r>
          </w:p>
        </w:tc>
        <w:tc>
          <w:tcPr>
            <w:tcW w:w="1170" w:type="dxa"/>
          </w:tcPr>
          <w:p w:rsidR="004C5C61" w:rsidRPr="00FB3072" w:rsidRDefault="004C5C61" w:rsidP="002205D9">
            <w:pPr>
              <w:autoSpaceDE w:val="0"/>
              <w:autoSpaceDN w:val="0"/>
              <w:adjustRightInd w:val="0"/>
              <w:spacing w:before="0" w:after="0" w:line="240" w:lineRule="auto"/>
              <w:jc w:val="center"/>
              <w:rPr>
                <w:rFonts w:asciiTheme="minorHAnsi" w:eastAsiaTheme="minorHAnsi" w:hAnsiTheme="minorHAnsi" w:cs="Lucida Console"/>
                <w:b/>
                <w:spacing w:val="1"/>
                <w:sz w:val="18"/>
                <w:szCs w:val="18"/>
              </w:rPr>
            </w:pPr>
            <w:r w:rsidRPr="00FB3072">
              <w:rPr>
                <w:rFonts w:asciiTheme="minorHAnsi" w:eastAsiaTheme="minorHAnsi" w:hAnsiTheme="minorHAnsi" w:cs="Lucida Console"/>
                <w:b/>
                <w:spacing w:val="1"/>
                <w:sz w:val="18"/>
                <w:szCs w:val="18"/>
              </w:rPr>
              <w:t>%</w:t>
            </w:r>
          </w:p>
        </w:tc>
        <w:tc>
          <w:tcPr>
            <w:tcW w:w="1046" w:type="dxa"/>
          </w:tcPr>
          <w:p w:rsidR="004C5C61" w:rsidRPr="00FB3072" w:rsidRDefault="004C5C61" w:rsidP="002205D9">
            <w:pPr>
              <w:autoSpaceDE w:val="0"/>
              <w:autoSpaceDN w:val="0"/>
              <w:adjustRightInd w:val="0"/>
              <w:spacing w:before="0" w:after="0" w:line="240" w:lineRule="auto"/>
              <w:ind w:right="116"/>
              <w:jc w:val="center"/>
              <w:rPr>
                <w:rFonts w:asciiTheme="minorHAnsi" w:eastAsiaTheme="minorHAnsi" w:hAnsiTheme="minorHAnsi" w:cs="Lucida Console"/>
                <w:b/>
                <w:spacing w:val="1"/>
                <w:sz w:val="18"/>
                <w:szCs w:val="18"/>
              </w:rPr>
            </w:pPr>
            <w:r w:rsidRPr="00FB3072">
              <w:rPr>
                <w:rFonts w:asciiTheme="minorHAnsi" w:eastAsiaTheme="minorHAnsi" w:hAnsiTheme="minorHAnsi" w:cs="Lucida Console"/>
                <w:b/>
                <w:spacing w:val="1"/>
                <w:sz w:val="18"/>
                <w:szCs w:val="18"/>
              </w:rPr>
              <w:t>N</w:t>
            </w:r>
          </w:p>
        </w:tc>
        <w:tc>
          <w:tcPr>
            <w:tcW w:w="999" w:type="dxa"/>
          </w:tcPr>
          <w:p w:rsidR="004C5C61" w:rsidRPr="00FB3072" w:rsidRDefault="004C5C61" w:rsidP="002205D9">
            <w:pPr>
              <w:autoSpaceDE w:val="0"/>
              <w:autoSpaceDN w:val="0"/>
              <w:adjustRightInd w:val="0"/>
              <w:spacing w:before="0" w:after="0" w:line="240" w:lineRule="auto"/>
              <w:ind w:right="116"/>
              <w:jc w:val="center"/>
              <w:rPr>
                <w:rFonts w:asciiTheme="minorHAnsi" w:eastAsiaTheme="minorHAnsi" w:hAnsiTheme="minorHAnsi" w:cs="Lucida Console"/>
                <w:b/>
                <w:spacing w:val="1"/>
                <w:sz w:val="18"/>
                <w:szCs w:val="18"/>
              </w:rPr>
            </w:pPr>
            <w:r w:rsidRPr="00FB3072">
              <w:rPr>
                <w:rFonts w:asciiTheme="minorHAnsi" w:eastAsiaTheme="minorHAnsi" w:hAnsiTheme="minorHAnsi" w:cs="Lucida Console"/>
                <w:b/>
                <w:spacing w:val="1"/>
                <w:sz w:val="18"/>
                <w:szCs w:val="18"/>
              </w:rPr>
              <w:t>%</w:t>
            </w:r>
          </w:p>
        </w:tc>
        <w:tc>
          <w:tcPr>
            <w:tcW w:w="766" w:type="dxa"/>
          </w:tcPr>
          <w:p w:rsidR="004C5C61" w:rsidRPr="00FB3072" w:rsidRDefault="004C5C61" w:rsidP="002205D9">
            <w:pPr>
              <w:autoSpaceDE w:val="0"/>
              <w:autoSpaceDN w:val="0"/>
              <w:adjustRightInd w:val="0"/>
              <w:spacing w:before="0" w:after="0" w:line="240" w:lineRule="auto"/>
              <w:ind w:right="116"/>
              <w:jc w:val="center"/>
              <w:rPr>
                <w:rFonts w:asciiTheme="minorHAnsi" w:eastAsiaTheme="minorHAnsi" w:hAnsiTheme="minorHAnsi" w:cs="Lucida Console"/>
                <w:b/>
                <w:spacing w:val="1"/>
                <w:sz w:val="18"/>
                <w:szCs w:val="18"/>
              </w:rPr>
            </w:pPr>
            <w:r w:rsidRPr="00FB3072">
              <w:rPr>
                <w:rFonts w:asciiTheme="minorHAnsi" w:eastAsiaTheme="minorHAnsi" w:hAnsiTheme="minorHAnsi" w:cs="Lucida Console"/>
                <w:b/>
                <w:spacing w:val="1"/>
                <w:sz w:val="18"/>
                <w:szCs w:val="18"/>
              </w:rPr>
              <w:t>N</w:t>
            </w:r>
          </w:p>
        </w:tc>
        <w:tc>
          <w:tcPr>
            <w:tcW w:w="1058" w:type="dxa"/>
          </w:tcPr>
          <w:p w:rsidR="004C5C61" w:rsidRPr="00FB3072" w:rsidRDefault="004C5C61" w:rsidP="002205D9">
            <w:pPr>
              <w:autoSpaceDE w:val="0"/>
              <w:autoSpaceDN w:val="0"/>
              <w:adjustRightInd w:val="0"/>
              <w:spacing w:before="0" w:after="0" w:line="240" w:lineRule="auto"/>
              <w:ind w:right="116"/>
              <w:jc w:val="center"/>
              <w:rPr>
                <w:rFonts w:asciiTheme="minorHAnsi" w:eastAsiaTheme="minorHAnsi" w:hAnsiTheme="minorHAnsi" w:cs="Lucida Console"/>
                <w:b/>
                <w:spacing w:val="1"/>
                <w:sz w:val="18"/>
                <w:szCs w:val="18"/>
              </w:rPr>
            </w:pPr>
            <w:r w:rsidRPr="00FB3072">
              <w:rPr>
                <w:rFonts w:asciiTheme="minorHAnsi" w:eastAsiaTheme="minorHAnsi" w:hAnsiTheme="minorHAnsi" w:cs="Lucida Console"/>
                <w:b/>
                <w:spacing w:val="1"/>
                <w:sz w:val="18"/>
                <w:szCs w:val="18"/>
              </w:rPr>
              <w:t>%</w:t>
            </w:r>
          </w:p>
        </w:tc>
      </w:tr>
      <w:tr w:rsidR="004C5C61" w:rsidRPr="00FB3072" w:rsidTr="005D7BEE">
        <w:trPr>
          <w:trHeight w:hRule="exact" w:val="328"/>
        </w:trPr>
        <w:tc>
          <w:tcPr>
            <w:tcW w:w="1838" w:type="dxa"/>
            <w:vMerge w:val="restart"/>
          </w:tcPr>
          <w:p w:rsidR="004C5C61" w:rsidRPr="00FB3072" w:rsidRDefault="004C5C61" w:rsidP="005D7BEE">
            <w:pPr>
              <w:pStyle w:val="Tabletext"/>
            </w:pPr>
            <w:r w:rsidRPr="00FB3072">
              <w:t>Non Missing</w:t>
            </w:r>
          </w:p>
        </w:tc>
        <w:tc>
          <w:tcPr>
            <w:tcW w:w="1200" w:type="dxa"/>
          </w:tcPr>
          <w:p w:rsidR="004C5C61" w:rsidRPr="00FB3072" w:rsidRDefault="004C5C61" w:rsidP="005D7BEE">
            <w:pPr>
              <w:pStyle w:val="Tabletext"/>
              <w:jc w:val="center"/>
            </w:pPr>
            <w:r w:rsidRPr="00FB3072">
              <w:t>No</w:t>
            </w:r>
          </w:p>
        </w:tc>
        <w:tc>
          <w:tcPr>
            <w:tcW w:w="1097" w:type="dxa"/>
          </w:tcPr>
          <w:p w:rsidR="004C5C61" w:rsidRPr="00FB3072" w:rsidRDefault="004C5C61" w:rsidP="005D7BEE">
            <w:pPr>
              <w:pStyle w:val="Tabletext"/>
              <w:jc w:val="center"/>
            </w:pPr>
            <w:r w:rsidRPr="00FB3072">
              <w:t>84</w:t>
            </w:r>
          </w:p>
        </w:tc>
        <w:tc>
          <w:tcPr>
            <w:tcW w:w="1170" w:type="dxa"/>
          </w:tcPr>
          <w:p w:rsidR="004C5C61" w:rsidRPr="00FB3072" w:rsidRDefault="004C5C61" w:rsidP="005D7BEE">
            <w:pPr>
              <w:pStyle w:val="Tabletext"/>
              <w:jc w:val="center"/>
            </w:pPr>
            <w:r w:rsidRPr="00FB3072">
              <w:t>94.4</w:t>
            </w:r>
          </w:p>
        </w:tc>
        <w:tc>
          <w:tcPr>
            <w:tcW w:w="1046" w:type="dxa"/>
          </w:tcPr>
          <w:p w:rsidR="004C5C61" w:rsidRPr="00FB3072" w:rsidRDefault="004C5C61" w:rsidP="005D7BEE">
            <w:pPr>
              <w:pStyle w:val="Tabletext"/>
              <w:jc w:val="center"/>
            </w:pPr>
            <w:r w:rsidRPr="00FB3072">
              <w:t>89</w:t>
            </w:r>
          </w:p>
        </w:tc>
        <w:tc>
          <w:tcPr>
            <w:tcW w:w="999" w:type="dxa"/>
          </w:tcPr>
          <w:p w:rsidR="004C5C61" w:rsidRPr="00FB3072" w:rsidRDefault="004C5C61" w:rsidP="005D7BEE">
            <w:pPr>
              <w:pStyle w:val="Tabletext"/>
              <w:jc w:val="center"/>
            </w:pPr>
            <w:r w:rsidRPr="00FB3072">
              <w:t>95.7</w:t>
            </w:r>
          </w:p>
        </w:tc>
        <w:tc>
          <w:tcPr>
            <w:tcW w:w="766" w:type="dxa"/>
          </w:tcPr>
          <w:p w:rsidR="004C5C61" w:rsidRPr="00FB3072" w:rsidRDefault="004C5C61" w:rsidP="005D7BEE">
            <w:pPr>
              <w:pStyle w:val="Tabletext"/>
              <w:jc w:val="center"/>
            </w:pPr>
            <w:r w:rsidRPr="00FB3072">
              <w:t>173</w:t>
            </w:r>
          </w:p>
        </w:tc>
        <w:tc>
          <w:tcPr>
            <w:tcW w:w="1058" w:type="dxa"/>
          </w:tcPr>
          <w:p w:rsidR="004C5C61" w:rsidRPr="00FB3072" w:rsidRDefault="004C5C61" w:rsidP="005D7BEE">
            <w:pPr>
              <w:pStyle w:val="Tabletext"/>
              <w:jc w:val="center"/>
            </w:pPr>
            <w:r w:rsidRPr="00FB3072">
              <w:t>95.1</w:t>
            </w:r>
          </w:p>
        </w:tc>
      </w:tr>
      <w:tr w:rsidR="004C5C61" w:rsidRPr="00FB3072" w:rsidTr="005D7BEE">
        <w:trPr>
          <w:trHeight w:hRule="exact" w:val="344"/>
        </w:trPr>
        <w:tc>
          <w:tcPr>
            <w:tcW w:w="1838" w:type="dxa"/>
            <w:vMerge/>
          </w:tcPr>
          <w:p w:rsidR="004C5C61" w:rsidRPr="00FB3072" w:rsidRDefault="004C5C61" w:rsidP="005D7BEE">
            <w:pPr>
              <w:pStyle w:val="Tabletext"/>
            </w:pPr>
          </w:p>
        </w:tc>
        <w:tc>
          <w:tcPr>
            <w:tcW w:w="1200" w:type="dxa"/>
          </w:tcPr>
          <w:p w:rsidR="004C5C61" w:rsidRPr="00FB3072" w:rsidRDefault="004C5C61" w:rsidP="005D7BEE">
            <w:pPr>
              <w:pStyle w:val="Tabletext"/>
              <w:jc w:val="center"/>
            </w:pPr>
            <w:r w:rsidRPr="00FB3072">
              <w:t>Yes</w:t>
            </w:r>
          </w:p>
        </w:tc>
        <w:tc>
          <w:tcPr>
            <w:tcW w:w="1097" w:type="dxa"/>
          </w:tcPr>
          <w:p w:rsidR="004C5C61" w:rsidRPr="00FB3072" w:rsidRDefault="004C5C61" w:rsidP="005D7BEE">
            <w:pPr>
              <w:pStyle w:val="Tabletext"/>
              <w:jc w:val="center"/>
            </w:pPr>
            <w:r w:rsidRPr="00FB3072">
              <w:t>5</w:t>
            </w:r>
          </w:p>
        </w:tc>
        <w:tc>
          <w:tcPr>
            <w:tcW w:w="1170" w:type="dxa"/>
          </w:tcPr>
          <w:p w:rsidR="004C5C61" w:rsidRPr="00FB3072" w:rsidRDefault="004C5C61" w:rsidP="005D7BEE">
            <w:pPr>
              <w:pStyle w:val="Tabletext"/>
              <w:jc w:val="center"/>
            </w:pPr>
            <w:r w:rsidRPr="00FB3072">
              <w:t>5.6</w:t>
            </w:r>
          </w:p>
        </w:tc>
        <w:tc>
          <w:tcPr>
            <w:tcW w:w="1046" w:type="dxa"/>
          </w:tcPr>
          <w:p w:rsidR="004C5C61" w:rsidRPr="00FB3072" w:rsidRDefault="004C5C61" w:rsidP="005D7BEE">
            <w:pPr>
              <w:pStyle w:val="Tabletext"/>
              <w:jc w:val="center"/>
            </w:pPr>
            <w:r w:rsidRPr="00FB3072">
              <w:t>4</w:t>
            </w:r>
          </w:p>
        </w:tc>
        <w:tc>
          <w:tcPr>
            <w:tcW w:w="999" w:type="dxa"/>
          </w:tcPr>
          <w:p w:rsidR="004C5C61" w:rsidRPr="00FB3072" w:rsidRDefault="004C5C61" w:rsidP="005D7BEE">
            <w:pPr>
              <w:pStyle w:val="Tabletext"/>
              <w:jc w:val="center"/>
            </w:pPr>
            <w:r w:rsidRPr="00FB3072">
              <w:t>4.3</w:t>
            </w:r>
          </w:p>
        </w:tc>
        <w:tc>
          <w:tcPr>
            <w:tcW w:w="766" w:type="dxa"/>
          </w:tcPr>
          <w:p w:rsidR="004C5C61" w:rsidRPr="00FB3072" w:rsidRDefault="004C5C61" w:rsidP="005D7BEE">
            <w:pPr>
              <w:pStyle w:val="Tabletext"/>
              <w:jc w:val="center"/>
            </w:pPr>
            <w:r w:rsidRPr="00FB3072">
              <w:t>9</w:t>
            </w:r>
          </w:p>
        </w:tc>
        <w:tc>
          <w:tcPr>
            <w:tcW w:w="1058" w:type="dxa"/>
          </w:tcPr>
          <w:p w:rsidR="004C5C61" w:rsidRPr="00FB3072" w:rsidRDefault="004C5C61" w:rsidP="005D7BEE">
            <w:pPr>
              <w:pStyle w:val="Tabletext"/>
              <w:jc w:val="center"/>
            </w:pPr>
            <w:r w:rsidRPr="00FB3072">
              <w:t>4.9</w:t>
            </w:r>
          </w:p>
        </w:tc>
      </w:tr>
      <w:tr w:rsidR="004C5C61" w:rsidRPr="00FB3072" w:rsidTr="005D7BEE">
        <w:trPr>
          <w:trHeight w:hRule="exact" w:val="310"/>
        </w:trPr>
        <w:tc>
          <w:tcPr>
            <w:tcW w:w="1838" w:type="dxa"/>
            <w:vMerge/>
          </w:tcPr>
          <w:p w:rsidR="004C5C61" w:rsidRPr="00FB3072" w:rsidRDefault="004C5C61" w:rsidP="005D7BEE">
            <w:pPr>
              <w:pStyle w:val="Tabletext"/>
            </w:pPr>
          </w:p>
        </w:tc>
        <w:tc>
          <w:tcPr>
            <w:tcW w:w="1200" w:type="dxa"/>
          </w:tcPr>
          <w:p w:rsidR="004C5C61" w:rsidRPr="00FB3072" w:rsidRDefault="004C5C61" w:rsidP="005D7BEE">
            <w:pPr>
              <w:pStyle w:val="Tabletext"/>
              <w:jc w:val="center"/>
            </w:pPr>
            <w:r w:rsidRPr="00FB3072">
              <w:t>All</w:t>
            </w:r>
          </w:p>
        </w:tc>
        <w:tc>
          <w:tcPr>
            <w:tcW w:w="1097" w:type="dxa"/>
          </w:tcPr>
          <w:p w:rsidR="004C5C61" w:rsidRPr="00FB3072" w:rsidRDefault="004C5C61" w:rsidP="005D7BEE">
            <w:pPr>
              <w:pStyle w:val="Tabletext"/>
              <w:jc w:val="center"/>
            </w:pPr>
            <w:r w:rsidRPr="00FB3072">
              <w:t>89</w:t>
            </w:r>
          </w:p>
        </w:tc>
        <w:tc>
          <w:tcPr>
            <w:tcW w:w="1170" w:type="dxa"/>
          </w:tcPr>
          <w:p w:rsidR="004C5C61" w:rsidRPr="00FB3072" w:rsidRDefault="004C5C61" w:rsidP="005D7BEE">
            <w:pPr>
              <w:pStyle w:val="Tabletext"/>
              <w:jc w:val="center"/>
            </w:pPr>
            <w:r w:rsidRPr="00FB3072">
              <w:t>100.0</w:t>
            </w:r>
          </w:p>
        </w:tc>
        <w:tc>
          <w:tcPr>
            <w:tcW w:w="1046" w:type="dxa"/>
          </w:tcPr>
          <w:p w:rsidR="004C5C61" w:rsidRPr="00FB3072" w:rsidRDefault="004C5C61" w:rsidP="005D7BEE">
            <w:pPr>
              <w:pStyle w:val="Tabletext"/>
              <w:jc w:val="center"/>
            </w:pPr>
            <w:r w:rsidRPr="00FB3072">
              <w:t>93</w:t>
            </w:r>
          </w:p>
        </w:tc>
        <w:tc>
          <w:tcPr>
            <w:tcW w:w="999" w:type="dxa"/>
          </w:tcPr>
          <w:p w:rsidR="004C5C61" w:rsidRPr="00FB3072" w:rsidRDefault="004C5C61" w:rsidP="005D7BEE">
            <w:pPr>
              <w:pStyle w:val="Tabletext"/>
              <w:jc w:val="center"/>
            </w:pPr>
            <w:r w:rsidRPr="00FB3072">
              <w:t>100.0</w:t>
            </w:r>
          </w:p>
        </w:tc>
        <w:tc>
          <w:tcPr>
            <w:tcW w:w="766" w:type="dxa"/>
          </w:tcPr>
          <w:p w:rsidR="004C5C61" w:rsidRPr="00FB3072" w:rsidRDefault="004C5C61" w:rsidP="005D7BEE">
            <w:pPr>
              <w:pStyle w:val="Tabletext"/>
              <w:jc w:val="center"/>
            </w:pPr>
            <w:r w:rsidRPr="00FB3072">
              <w:t>182</w:t>
            </w:r>
          </w:p>
        </w:tc>
        <w:tc>
          <w:tcPr>
            <w:tcW w:w="1058" w:type="dxa"/>
          </w:tcPr>
          <w:p w:rsidR="004C5C61" w:rsidRPr="00FB3072" w:rsidRDefault="004C5C61" w:rsidP="005D7BEE">
            <w:pPr>
              <w:pStyle w:val="Tabletext"/>
              <w:jc w:val="center"/>
            </w:pPr>
            <w:r w:rsidRPr="00FB3072">
              <w:t>100.0</w:t>
            </w:r>
          </w:p>
        </w:tc>
      </w:tr>
    </w:tbl>
    <w:p w:rsidR="004C5C61" w:rsidRPr="00CD4C09" w:rsidRDefault="004C5C61" w:rsidP="00CD4C09">
      <w:r w:rsidRPr="00CD4C09">
        <w:t>Only 1 ibuprofen treated patient reported with oliguria (defined as a diuresis lower than 1 mL/kg/h) over at least 12 h – recorded during the time span from birth until 1 day after the end of treatment versus 3 patients who received indomethacin. In either group, no patient with oliguria also reported an episode of renal failure.</w:t>
      </w:r>
    </w:p>
    <w:p w:rsidR="004C5C61" w:rsidRDefault="00FB3072" w:rsidP="00387362">
      <w:pPr>
        <w:pStyle w:val="TableTitle"/>
      </w:pPr>
      <w:bookmarkStart w:id="136" w:name="_Toc454981345"/>
      <w:r>
        <w:t xml:space="preserve">Table 11: </w:t>
      </w:r>
      <w:r w:rsidR="004C5C61">
        <w:t>Study IBU/Long Term FU: Incidence of oliguria</w:t>
      </w:r>
      <w:bookmarkEnd w:id="136"/>
      <w:r w:rsidR="007472B5">
        <w:t>.</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11: Study IBU/Long Term FU: Incidence of oliguria."/>
      </w:tblPr>
      <w:tblGrid>
        <w:gridCol w:w="1795"/>
        <w:gridCol w:w="1243"/>
        <w:gridCol w:w="1097"/>
        <w:gridCol w:w="1170"/>
        <w:gridCol w:w="1046"/>
        <w:gridCol w:w="999"/>
        <w:gridCol w:w="766"/>
        <w:gridCol w:w="1058"/>
      </w:tblGrid>
      <w:tr w:rsidR="004C5C61" w:rsidRPr="00681EA9" w:rsidTr="005D7BEE">
        <w:trPr>
          <w:trHeight w:hRule="exact" w:val="346"/>
          <w:tblHeader/>
        </w:trPr>
        <w:tc>
          <w:tcPr>
            <w:tcW w:w="3038" w:type="dxa"/>
            <w:gridSpan w:val="2"/>
            <w:vMerge w:val="restart"/>
            <w:vAlign w:val="center"/>
          </w:tcPr>
          <w:p w:rsidR="004C5C61" w:rsidRPr="005D7BEE" w:rsidRDefault="004C5C61" w:rsidP="005D7BEE">
            <w:pPr>
              <w:pStyle w:val="TableHeading"/>
              <w:rPr>
                <w:b/>
                <w:color w:val="auto"/>
              </w:rPr>
            </w:pPr>
            <w:r w:rsidRPr="005D7BEE">
              <w:rPr>
                <w:b/>
                <w:color w:val="auto"/>
              </w:rPr>
              <w:t>prob. Fisher (without missing data) = 0.3574</w:t>
            </w:r>
          </w:p>
        </w:tc>
        <w:tc>
          <w:tcPr>
            <w:tcW w:w="2267" w:type="dxa"/>
            <w:gridSpan w:val="2"/>
            <w:vAlign w:val="center"/>
          </w:tcPr>
          <w:p w:rsidR="004C5C61" w:rsidRPr="005D7BEE" w:rsidRDefault="004C5C61" w:rsidP="005D7BEE">
            <w:pPr>
              <w:pStyle w:val="TableHeading"/>
              <w:rPr>
                <w:b/>
                <w:color w:val="auto"/>
              </w:rPr>
            </w:pPr>
            <w:r w:rsidRPr="005D7BEE">
              <w:rPr>
                <w:b/>
                <w:color w:val="auto"/>
              </w:rPr>
              <w:t>Indomethacin</w:t>
            </w:r>
          </w:p>
        </w:tc>
        <w:tc>
          <w:tcPr>
            <w:tcW w:w="2045" w:type="dxa"/>
            <w:gridSpan w:val="2"/>
            <w:vAlign w:val="center"/>
          </w:tcPr>
          <w:p w:rsidR="004C5C61" w:rsidRPr="005D7BEE" w:rsidRDefault="004C5C61" w:rsidP="005D7BEE">
            <w:pPr>
              <w:pStyle w:val="TableHeading"/>
              <w:rPr>
                <w:b/>
                <w:color w:val="auto"/>
              </w:rPr>
            </w:pPr>
            <w:r w:rsidRPr="005D7BEE">
              <w:rPr>
                <w:b/>
                <w:color w:val="auto"/>
              </w:rPr>
              <w:t>Ibuprofen</w:t>
            </w:r>
          </w:p>
        </w:tc>
        <w:tc>
          <w:tcPr>
            <w:tcW w:w="1824" w:type="dxa"/>
            <w:gridSpan w:val="2"/>
            <w:vAlign w:val="center"/>
          </w:tcPr>
          <w:p w:rsidR="004C5C61" w:rsidRPr="005D7BEE" w:rsidRDefault="004C5C61" w:rsidP="005D7BEE">
            <w:pPr>
              <w:pStyle w:val="TableHeading"/>
              <w:rPr>
                <w:b/>
                <w:color w:val="auto"/>
              </w:rPr>
            </w:pPr>
            <w:r w:rsidRPr="005D7BEE">
              <w:rPr>
                <w:b/>
                <w:color w:val="auto"/>
              </w:rPr>
              <w:t>All</w:t>
            </w:r>
          </w:p>
        </w:tc>
      </w:tr>
      <w:tr w:rsidR="004C5C61" w:rsidRPr="00681EA9" w:rsidTr="005D7BEE">
        <w:trPr>
          <w:trHeight w:hRule="exact" w:val="335"/>
          <w:tblHeader/>
        </w:trPr>
        <w:tc>
          <w:tcPr>
            <w:tcW w:w="3038" w:type="dxa"/>
            <w:gridSpan w:val="2"/>
            <w:vMerge/>
          </w:tcPr>
          <w:p w:rsidR="004C5C61" w:rsidRPr="005D7BEE" w:rsidRDefault="004C5C61" w:rsidP="005D7BEE">
            <w:pPr>
              <w:pStyle w:val="TableHeading"/>
              <w:rPr>
                <w:b/>
                <w:color w:val="auto"/>
              </w:rPr>
            </w:pPr>
          </w:p>
        </w:tc>
        <w:tc>
          <w:tcPr>
            <w:tcW w:w="1097" w:type="dxa"/>
            <w:vAlign w:val="center"/>
          </w:tcPr>
          <w:p w:rsidR="004C5C61" w:rsidRPr="005D7BEE" w:rsidRDefault="004C5C61" w:rsidP="005D7BEE">
            <w:pPr>
              <w:pStyle w:val="TableHeading"/>
              <w:rPr>
                <w:b/>
                <w:color w:val="auto"/>
              </w:rPr>
            </w:pPr>
            <w:r w:rsidRPr="005D7BEE">
              <w:rPr>
                <w:b/>
                <w:color w:val="auto"/>
              </w:rPr>
              <w:t>N</w:t>
            </w:r>
          </w:p>
        </w:tc>
        <w:tc>
          <w:tcPr>
            <w:tcW w:w="1170" w:type="dxa"/>
            <w:vAlign w:val="center"/>
          </w:tcPr>
          <w:p w:rsidR="004C5C61" w:rsidRPr="005D7BEE" w:rsidRDefault="004C5C61" w:rsidP="005D7BEE">
            <w:pPr>
              <w:pStyle w:val="TableHeading"/>
              <w:rPr>
                <w:b/>
                <w:color w:val="auto"/>
              </w:rPr>
            </w:pPr>
            <w:r w:rsidRPr="005D7BEE">
              <w:rPr>
                <w:b/>
                <w:color w:val="auto"/>
              </w:rPr>
              <w:t>%</w:t>
            </w:r>
          </w:p>
        </w:tc>
        <w:tc>
          <w:tcPr>
            <w:tcW w:w="1046" w:type="dxa"/>
            <w:vAlign w:val="center"/>
          </w:tcPr>
          <w:p w:rsidR="004C5C61" w:rsidRPr="005D7BEE" w:rsidRDefault="004C5C61" w:rsidP="005D7BEE">
            <w:pPr>
              <w:pStyle w:val="TableHeading"/>
              <w:rPr>
                <w:b/>
                <w:color w:val="auto"/>
              </w:rPr>
            </w:pPr>
            <w:r w:rsidRPr="005D7BEE">
              <w:rPr>
                <w:b/>
                <w:color w:val="auto"/>
              </w:rPr>
              <w:t>N</w:t>
            </w:r>
          </w:p>
        </w:tc>
        <w:tc>
          <w:tcPr>
            <w:tcW w:w="999" w:type="dxa"/>
            <w:vAlign w:val="center"/>
          </w:tcPr>
          <w:p w:rsidR="004C5C61" w:rsidRPr="005D7BEE" w:rsidRDefault="004C5C61" w:rsidP="005D7BEE">
            <w:pPr>
              <w:pStyle w:val="TableHeading"/>
              <w:rPr>
                <w:b/>
                <w:color w:val="auto"/>
              </w:rPr>
            </w:pPr>
            <w:r w:rsidRPr="005D7BEE">
              <w:rPr>
                <w:b/>
                <w:color w:val="auto"/>
              </w:rPr>
              <w:t>%</w:t>
            </w:r>
          </w:p>
        </w:tc>
        <w:tc>
          <w:tcPr>
            <w:tcW w:w="766" w:type="dxa"/>
            <w:vAlign w:val="center"/>
          </w:tcPr>
          <w:p w:rsidR="004C5C61" w:rsidRPr="005D7BEE" w:rsidRDefault="004C5C61" w:rsidP="005D7BEE">
            <w:pPr>
              <w:pStyle w:val="TableHeading"/>
              <w:rPr>
                <w:b/>
                <w:color w:val="auto"/>
              </w:rPr>
            </w:pPr>
            <w:r w:rsidRPr="005D7BEE">
              <w:rPr>
                <w:b/>
                <w:color w:val="auto"/>
              </w:rPr>
              <w:t>N</w:t>
            </w:r>
          </w:p>
        </w:tc>
        <w:tc>
          <w:tcPr>
            <w:tcW w:w="1058" w:type="dxa"/>
            <w:vAlign w:val="center"/>
          </w:tcPr>
          <w:p w:rsidR="004C5C61" w:rsidRPr="005D7BEE" w:rsidRDefault="004C5C61" w:rsidP="005D7BEE">
            <w:pPr>
              <w:pStyle w:val="TableHeading"/>
              <w:rPr>
                <w:b/>
                <w:color w:val="auto"/>
              </w:rPr>
            </w:pPr>
            <w:r w:rsidRPr="005D7BEE">
              <w:rPr>
                <w:b/>
                <w:color w:val="auto"/>
              </w:rPr>
              <w:t>%</w:t>
            </w:r>
          </w:p>
        </w:tc>
      </w:tr>
      <w:tr w:rsidR="004C5C61" w:rsidRPr="00681EA9" w:rsidTr="005D7BEE">
        <w:trPr>
          <w:trHeight w:hRule="exact" w:val="335"/>
        </w:trPr>
        <w:tc>
          <w:tcPr>
            <w:tcW w:w="1795" w:type="dxa"/>
            <w:vMerge w:val="restart"/>
          </w:tcPr>
          <w:p w:rsidR="004C5C61" w:rsidRPr="008D7D2D" w:rsidRDefault="004C5C61" w:rsidP="005D7BEE">
            <w:pPr>
              <w:pStyle w:val="Tabletext"/>
            </w:pPr>
            <w:r>
              <w:t>Missing</w:t>
            </w:r>
          </w:p>
        </w:tc>
        <w:tc>
          <w:tcPr>
            <w:tcW w:w="1243" w:type="dxa"/>
          </w:tcPr>
          <w:p w:rsidR="004C5C61" w:rsidRPr="008D7D2D" w:rsidRDefault="004C5C61" w:rsidP="005D7BEE">
            <w:pPr>
              <w:pStyle w:val="Tabletext"/>
              <w:jc w:val="center"/>
            </w:pPr>
          </w:p>
        </w:tc>
        <w:tc>
          <w:tcPr>
            <w:tcW w:w="1097" w:type="dxa"/>
          </w:tcPr>
          <w:p w:rsidR="004C5C61" w:rsidRPr="008D7D2D" w:rsidRDefault="004C5C61" w:rsidP="005D7BEE">
            <w:pPr>
              <w:pStyle w:val="Tabletext"/>
              <w:jc w:val="center"/>
            </w:pPr>
            <w:r>
              <w:t>1</w:t>
            </w:r>
          </w:p>
        </w:tc>
        <w:tc>
          <w:tcPr>
            <w:tcW w:w="1170" w:type="dxa"/>
          </w:tcPr>
          <w:p w:rsidR="004C5C61" w:rsidRPr="008D7D2D" w:rsidRDefault="004C5C61" w:rsidP="005D7BEE">
            <w:pPr>
              <w:pStyle w:val="Tabletext"/>
              <w:jc w:val="center"/>
            </w:pPr>
            <w:r>
              <w:t>100.0</w:t>
            </w:r>
          </w:p>
        </w:tc>
        <w:tc>
          <w:tcPr>
            <w:tcW w:w="1046" w:type="dxa"/>
          </w:tcPr>
          <w:p w:rsidR="004C5C61" w:rsidRPr="008D7D2D" w:rsidRDefault="004C5C61" w:rsidP="005D7BEE">
            <w:pPr>
              <w:pStyle w:val="Tabletext"/>
              <w:jc w:val="center"/>
            </w:pPr>
          </w:p>
        </w:tc>
        <w:tc>
          <w:tcPr>
            <w:tcW w:w="999" w:type="dxa"/>
          </w:tcPr>
          <w:p w:rsidR="004C5C61" w:rsidRPr="008D7D2D" w:rsidRDefault="004C5C61" w:rsidP="005D7BEE">
            <w:pPr>
              <w:pStyle w:val="Tabletext"/>
              <w:jc w:val="center"/>
            </w:pPr>
            <w:r>
              <w:t>-</w:t>
            </w:r>
          </w:p>
        </w:tc>
        <w:tc>
          <w:tcPr>
            <w:tcW w:w="766" w:type="dxa"/>
          </w:tcPr>
          <w:p w:rsidR="004C5C61" w:rsidRPr="008D7D2D" w:rsidRDefault="004C5C61" w:rsidP="005D7BEE">
            <w:pPr>
              <w:pStyle w:val="Tabletext"/>
              <w:jc w:val="center"/>
            </w:pPr>
            <w:r>
              <w:t>1</w:t>
            </w:r>
          </w:p>
        </w:tc>
        <w:tc>
          <w:tcPr>
            <w:tcW w:w="1058" w:type="dxa"/>
          </w:tcPr>
          <w:p w:rsidR="004C5C61" w:rsidRPr="008D7D2D" w:rsidRDefault="004C5C61" w:rsidP="005D7BEE">
            <w:pPr>
              <w:pStyle w:val="Tabletext"/>
              <w:jc w:val="center"/>
            </w:pPr>
            <w:r>
              <w:t>100.0</w:t>
            </w:r>
          </w:p>
        </w:tc>
      </w:tr>
      <w:tr w:rsidR="004C5C61" w:rsidRPr="00681EA9" w:rsidTr="005D7BEE">
        <w:trPr>
          <w:trHeight w:hRule="exact" w:val="335"/>
        </w:trPr>
        <w:tc>
          <w:tcPr>
            <w:tcW w:w="1795" w:type="dxa"/>
            <w:vMerge/>
          </w:tcPr>
          <w:p w:rsidR="004C5C61" w:rsidRPr="008D7D2D" w:rsidRDefault="004C5C61" w:rsidP="005D7BEE">
            <w:pPr>
              <w:pStyle w:val="Tabletext"/>
            </w:pPr>
          </w:p>
        </w:tc>
        <w:tc>
          <w:tcPr>
            <w:tcW w:w="1243" w:type="dxa"/>
          </w:tcPr>
          <w:p w:rsidR="004C5C61" w:rsidRPr="008D7D2D" w:rsidRDefault="004C5C61" w:rsidP="005D7BEE">
            <w:pPr>
              <w:pStyle w:val="Tabletext"/>
              <w:jc w:val="center"/>
            </w:pPr>
            <w:r w:rsidRPr="008D7D2D">
              <w:t>All</w:t>
            </w:r>
          </w:p>
        </w:tc>
        <w:tc>
          <w:tcPr>
            <w:tcW w:w="1097" w:type="dxa"/>
          </w:tcPr>
          <w:p w:rsidR="004C5C61" w:rsidRPr="008D7D2D" w:rsidRDefault="004C5C61" w:rsidP="005D7BEE">
            <w:pPr>
              <w:pStyle w:val="Tabletext"/>
              <w:jc w:val="center"/>
            </w:pPr>
            <w:r>
              <w:t>1</w:t>
            </w:r>
          </w:p>
        </w:tc>
        <w:tc>
          <w:tcPr>
            <w:tcW w:w="1170" w:type="dxa"/>
          </w:tcPr>
          <w:p w:rsidR="004C5C61" w:rsidRPr="008D7D2D" w:rsidRDefault="004C5C61" w:rsidP="005D7BEE">
            <w:pPr>
              <w:pStyle w:val="Tabletext"/>
              <w:jc w:val="center"/>
            </w:pPr>
            <w:r>
              <w:t>100.0</w:t>
            </w:r>
          </w:p>
        </w:tc>
        <w:tc>
          <w:tcPr>
            <w:tcW w:w="1046" w:type="dxa"/>
          </w:tcPr>
          <w:p w:rsidR="004C5C61" w:rsidRPr="008D7D2D" w:rsidRDefault="004C5C61" w:rsidP="005D7BEE">
            <w:pPr>
              <w:pStyle w:val="Tabletext"/>
              <w:jc w:val="center"/>
            </w:pPr>
          </w:p>
        </w:tc>
        <w:tc>
          <w:tcPr>
            <w:tcW w:w="999" w:type="dxa"/>
          </w:tcPr>
          <w:p w:rsidR="004C5C61" w:rsidRPr="008D7D2D" w:rsidRDefault="004C5C61" w:rsidP="005D7BEE">
            <w:pPr>
              <w:pStyle w:val="Tabletext"/>
              <w:jc w:val="center"/>
            </w:pPr>
            <w:r>
              <w:t>-</w:t>
            </w:r>
          </w:p>
        </w:tc>
        <w:tc>
          <w:tcPr>
            <w:tcW w:w="766" w:type="dxa"/>
          </w:tcPr>
          <w:p w:rsidR="004C5C61" w:rsidRPr="008D7D2D" w:rsidRDefault="004C5C61" w:rsidP="005D7BEE">
            <w:pPr>
              <w:pStyle w:val="Tabletext"/>
              <w:jc w:val="center"/>
            </w:pPr>
            <w:r>
              <w:t>1</w:t>
            </w:r>
          </w:p>
        </w:tc>
        <w:tc>
          <w:tcPr>
            <w:tcW w:w="1058" w:type="dxa"/>
          </w:tcPr>
          <w:p w:rsidR="004C5C61" w:rsidRPr="008D7D2D" w:rsidRDefault="004C5C61" w:rsidP="005D7BEE">
            <w:pPr>
              <w:pStyle w:val="Tabletext"/>
              <w:jc w:val="center"/>
            </w:pPr>
            <w:r>
              <w:t>100.0</w:t>
            </w:r>
          </w:p>
        </w:tc>
      </w:tr>
      <w:tr w:rsidR="004C5C61" w:rsidRPr="00681EA9" w:rsidTr="005D7BEE">
        <w:trPr>
          <w:trHeight w:hRule="exact" w:val="328"/>
        </w:trPr>
        <w:tc>
          <w:tcPr>
            <w:tcW w:w="1795" w:type="dxa"/>
            <w:vMerge w:val="restart"/>
          </w:tcPr>
          <w:p w:rsidR="004C5C61" w:rsidRPr="00681EA9" w:rsidRDefault="004C5C61" w:rsidP="005D7BEE">
            <w:pPr>
              <w:pStyle w:val="Tabletext"/>
            </w:pPr>
            <w:r w:rsidRPr="00681EA9">
              <w:t>Non Missing</w:t>
            </w:r>
          </w:p>
        </w:tc>
        <w:tc>
          <w:tcPr>
            <w:tcW w:w="1243" w:type="dxa"/>
          </w:tcPr>
          <w:p w:rsidR="004C5C61" w:rsidRPr="00681EA9" w:rsidRDefault="004C5C61" w:rsidP="005D7BEE">
            <w:pPr>
              <w:pStyle w:val="Tabletext"/>
              <w:jc w:val="center"/>
            </w:pPr>
            <w:r w:rsidRPr="00681EA9">
              <w:t>No</w:t>
            </w:r>
          </w:p>
        </w:tc>
        <w:tc>
          <w:tcPr>
            <w:tcW w:w="1097" w:type="dxa"/>
          </w:tcPr>
          <w:p w:rsidR="004C5C61" w:rsidRPr="00681EA9" w:rsidRDefault="004C5C61" w:rsidP="005D7BEE">
            <w:pPr>
              <w:pStyle w:val="Tabletext"/>
              <w:jc w:val="center"/>
            </w:pPr>
            <w:r w:rsidRPr="00681EA9">
              <w:t>8</w:t>
            </w:r>
            <w:r>
              <w:t>5</w:t>
            </w:r>
          </w:p>
        </w:tc>
        <w:tc>
          <w:tcPr>
            <w:tcW w:w="1170" w:type="dxa"/>
          </w:tcPr>
          <w:p w:rsidR="004C5C61" w:rsidRPr="00681EA9" w:rsidRDefault="004C5C61" w:rsidP="005D7BEE">
            <w:pPr>
              <w:pStyle w:val="Tabletext"/>
              <w:jc w:val="center"/>
            </w:pPr>
            <w:r>
              <w:t>96.6</w:t>
            </w:r>
          </w:p>
        </w:tc>
        <w:tc>
          <w:tcPr>
            <w:tcW w:w="1046" w:type="dxa"/>
          </w:tcPr>
          <w:p w:rsidR="004C5C61" w:rsidRPr="00681EA9" w:rsidRDefault="004C5C61" w:rsidP="005D7BEE">
            <w:pPr>
              <w:pStyle w:val="Tabletext"/>
              <w:jc w:val="center"/>
            </w:pPr>
            <w:r>
              <w:t>92</w:t>
            </w:r>
          </w:p>
        </w:tc>
        <w:tc>
          <w:tcPr>
            <w:tcW w:w="999" w:type="dxa"/>
          </w:tcPr>
          <w:p w:rsidR="004C5C61" w:rsidRPr="00681EA9" w:rsidRDefault="004C5C61" w:rsidP="005D7BEE">
            <w:pPr>
              <w:pStyle w:val="Tabletext"/>
              <w:jc w:val="center"/>
            </w:pPr>
            <w:r>
              <w:t>98.9</w:t>
            </w:r>
          </w:p>
        </w:tc>
        <w:tc>
          <w:tcPr>
            <w:tcW w:w="766" w:type="dxa"/>
          </w:tcPr>
          <w:p w:rsidR="004C5C61" w:rsidRPr="00681EA9" w:rsidRDefault="004C5C61" w:rsidP="005D7BEE">
            <w:pPr>
              <w:pStyle w:val="Tabletext"/>
              <w:jc w:val="center"/>
            </w:pPr>
            <w:r w:rsidRPr="00681EA9">
              <w:t>17</w:t>
            </w:r>
            <w:r>
              <w:t>7</w:t>
            </w:r>
          </w:p>
        </w:tc>
        <w:tc>
          <w:tcPr>
            <w:tcW w:w="1058" w:type="dxa"/>
          </w:tcPr>
          <w:p w:rsidR="004C5C61" w:rsidRPr="00681EA9" w:rsidRDefault="004C5C61" w:rsidP="005D7BEE">
            <w:pPr>
              <w:pStyle w:val="Tabletext"/>
              <w:jc w:val="center"/>
            </w:pPr>
            <w:r>
              <w:t>97.8</w:t>
            </w:r>
          </w:p>
        </w:tc>
      </w:tr>
      <w:tr w:rsidR="004C5C61" w:rsidRPr="00681EA9" w:rsidTr="005D7BEE">
        <w:trPr>
          <w:trHeight w:hRule="exact" w:val="344"/>
        </w:trPr>
        <w:tc>
          <w:tcPr>
            <w:tcW w:w="1795" w:type="dxa"/>
            <w:vMerge/>
          </w:tcPr>
          <w:p w:rsidR="004C5C61" w:rsidRPr="00681EA9" w:rsidRDefault="004C5C61" w:rsidP="005D7BEE">
            <w:pPr>
              <w:pStyle w:val="Tabletext"/>
            </w:pPr>
          </w:p>
        </w:tc>
        <w:tc>
          <w:tcPr>
            <w:tcW w:w="1243" w:type="dxa"/>
          </w:tcPr>
          <w:p w:rsidR="004C5C61" w:rsidRPr="00681EA9" w:rsidRDefault="004C5C61" w:rsidP="005D7BEE">
            <w:pPr>
              <w:pStyle w:val="Tabletext"/>
              <w:jc w:val="center"/>
            </w:pPr>
            <w:r w:rsidRPr="00681EA9">
              <w:t>Yes</w:t>
            </w:r>
          </w:p>
        </w:tc>
        <w:tc>
          <w:tcPr>
            <w:tcW w:w="1097" w:type="dxa"/>
          </w:tcPr>
          <w:p w:rsidR="004C5C61" w:rsidRPr="00681EA9" w:rsidRDefault="004C5C61" w:rsidP="005D7BEE">
            <w:pPr>
              <w:pStyle w:val="Tabletext"/>
              <w:jc w:val="center"/>
            </w:pPr>
            <w:r>
              <w:t>3</w:t>
            </w:r>
          </w:p>
        </w:tc>
        <w:tc>
          <w:tcPr>
            <w:tcW w:w="1170" w:type="dxa"/>
          </w:tcPr>
          <w:p w:rsidR="004C5C61" w:rsidRPr="00681EA9" w:rsidRDefault="004C5C61" w:rsidP="005D7BEE">
            <w:pPr>
              <w:pStyle w:val="Tabletext"/>
              <w:jc w:val="center"/>
            </w:pPr>
            <w:r>
              <w:t>3.4</w:t>
            </w:r>
          </w:p>
        </w:tc>
        <w:tc>
          <w:tcPr>
            <w:tcW w:w="1046" w:type="dxa"/>
          </w:tcPr>
          <w:p w:rsidR="004C5C61" w:rsidRPr="00681EA9" w:rsidRDefault="004C5C61" w:rsidP="005D7BEE">
            <w:pPr>
              <w:pStyle w:val="Tabletext"/>
              <w:jc w:val="center"/>
            </w:pPr>
            <w:r>
              <w:t>1</w:t>
            </w:r>
          </w:p>
        </w:tc>
        <w:tc>
          <w:tcPr>
            <w:tcW w:w="999" w:type="dxa"/>
          </w:tcPr>
          <w:p w:rsidR="004C5C61" w:rsidRPr="00681EA9" w:rsidRDefault="004C5C61" w:rsidP="005D7BEE">
            <w:pPr>
              <w:pStyle w:val="Tabletext"/>
              <w:jc w:val="center"/>
            </w:pPr>
            <w:r>
              <w:t>1.1</w:t>
            </w:r>
          </w:p>
        </w:tc>
        <w:tc>
          <w:tcPr>
            <w:tcW w:w="766" w:type="dxa"/>
          </w:tcPr>
          <w:p w:rsidR="004C5C61" w:rsidRPr="00681EA9" w:rsidRDefault="004C5C61" w:rsidP="005D7BEE">
            <w:pPr>
              <w:pStyle w:val="Tabletext"/>
              <w:jc w:val="center"/>
            </w:pPr>
            <w:r>
              <w:t>4</w:t>
            </w:r>
          </w:p>
        </w:tc>
        <w:tc>
          <w:tcPr>
            <w:tcW w:w="1058" w:type="dxa"/>
          </w:tcPr>
          <w:p w:rsidR="004C5C61" w:rsidRPr="00681EA9" w:rsidRDefault="004C5C61" w:rsidP="005D7BEE">
            <w:pPr>
              <w:pStyle w:val="Tabletext"/>
              <w:jc w:val="center"/>
            </w:pPr>
            <w:r>
              <w:t>2.2</w:t>
            </w:r>
          </w:p>
        </w:tc>
      </w:tr>
      <w:tr w:rsidR="004C5C61" w:rsidRPr="00681EA9" w:rsidTr="005D7BEE">
        <w:trPr>
          <w:trHeight w:hRule="exact" w:val="310"/>
        </w:trPr>
        <w:tc>
          <w:tcPr>
            <w:tcW w:w="1795" w:type="dxa"/>
            <w:vMerge/>
          </w:tcPr>
          <w:p w:rsidR="004C5C61" w:rsidRPr="00681EA9" w:rsidRDefault="004C5C61" w:rsidP="005D7BEE">
            <w:pPr>
              <w:pStyle w:val="Tabletext"/>
            </w:pPr>
          </w:p>
        </w:tc>
        <w:tc>
          <w:tcPr>
            <w:tcW w:w="1243" w:type="dxa"/>
          </w:tcPr>
          <w:p w:rsidR="004C5C61" w:rsidRPr="00681EA9" w:rsidRDefault="004C5C61" w:rsidP="005D7BEE">
            <w:pPr>
              <w:pStyle w:val="Tabletext"/>
              <w:jc w:val="center"/>
            </w:pPr>
            <w:r w:rsidRPr="00681EA9">
              <w:t>All</w:t>
            </w:r>
          </w:p>
        </w:tc>
        <w:tc>
          <w:tcPr>
            <w:tcW w:w="1097" w:type="dxa"/>
          </w:tcPr>
          <w:p w:rsidR="004C5C61" w:rsidRPr="00681EA9" w:rsidRDefault="004C5C61" w:rsidP="005D7BEE">
            <w:pPr>
              <w:pStyle w:val="Tabletext"/>
              <w:jc w:val="center"/>
            </w:pPr>
            <w:r>
              <w:t>88</w:t>
            </w:r>
          </w:p>
        </w:tc>
        <w:tc>
          <w:tcPr>
            <w:tcW w:w="1170" w:type="dxa"/>
          </w:tcPr>
          <w:p w:rsidR="004C5C61" w:rsidRPr="00681EA9" w:rsidRDefault="004C5C61" w:rsidP="005D7BEE">
            <w:pPr>
              <w:pStyle w:val="Tabletext"/>
              <w:jc w:val="center"/>
            </w:pPr>
            <w:r w:rsidRPr="00681EA9">
              <w:t>100.0</w:t>
            </w:r>
          </w:p>
        </w:tc>
        <w:tc>
          <w:tcPr>
            <w:tcW w:w="1046" w:type="dxa"/>
          </w:tcPr>
          <w:p w:rsidR="004C5C61" w:rsidRPr="00681EA9" w:rsidRDefault="004C5C61" w:rsidP="005D7BEE">
            <w:pPr>
              <w:pStyle w:val="Tabletext"/>
              <w:jc w:val="center"/>
            </w:pPr>
            <w:r w:rsidRPr="00681EA9">
              <w:t>93</w:t>
            </w:r>
          </w:p>
        </w:tc>
        <w:tc>
          <w:tcPr>
            <w:tcW w:w="999" w:type="dxa"/>
          </w:tcPr>
          <w:p w:rsidR="004C5C61" w:rsidRPr="00681EA9" w:rsidRDefault="004C5C61" w:rsidP="005D7BEE">
            <w:pPr>
              <w:pStyle w:val="Tabletext"/>
              <w:jc w:val="center"/>
            </w:pPr>
            <w:r w:rsidRPr="00681EA9">
              <w:t>100.0</w:t>
            </w:r>
          </w:p>
        </w:tc>
        <w:tc>
          <w:tcPr>
            <w:tcW w:w="766" w:type="dxa"/>
          </w:tcPr>
          <w:p w:rsidR="004C5C61" w:rsidRPr="00681EA9" w:rsidRDefault="004C5C61" w:rsidP="005D7BEE">
            <w:pPr>
              <w:pStyle w:val="Tabletext"/>
              <w:jc w:val="center"/>
            </w:pPr>
            <w:r w:rsidRPr="00681EA9">
              <w:t>182</w:t>
            </w:r>
          </w:p>
        </w:tc>
        <w:tc>
          <w:tcPr>
            <w:tcW w:w="1058" w:type="dxa"/>
          </w:tcPr>
          <w:p w:rsidR="004C5C61" w:rsidRPr="00681EA9" w:rsidRDefault="004C5C61" w:rsidP="005D7BEE">
            <w:pPr>
              <w:pStyle w:val="Tabletext"/>
              <w:jc w:val="center"/>
            </w:pPr>
            <w:r w:rsidRPr="00681EA9">
              <w:t>100.0</w:t>
            </w:r>
          </w:p>
        </w:tc>
      </w:tr>
    </w:tbl>
    <w:p w:rsidR="004C5C61" w:rsidRPr="00CD4C09" w:rsidRDefault="004C5C61" w:rsidP="00CD4C09">
      <w:pPr>
        <w:pStyle w:val="Heading7"/>
        <w:rPr>
          <w:b/>
          <w:lang w:eastAsia="ja-JP"/>
        </w:rPr>
      </w:pPr>
      <w:r w:rsidRPr="00CD4C09">
        <w:rPr>
          <w:b/>
          <w:lang w:eastAsia="ja-JP"/>
        </w:rPr>
        <w:t>IBU/20mg/2009</w:t>
      </w:r>
    </w:p>
    <w:p w:rsidR="004C5C61" w:rsidRPr="00CD4C09" w:rsidRDefault="004C5C61" w:rsidP="00CD4C09">
      <w:r w:rsidRPr="00CD4C09">
        <w:t xml:space="preserve">Renal function and homeostasis was assessed by measuring the following parameters daily – weight, fluid intake, urinary output, creatinine, </w:t>
      </w:r>
      <w:proofErr w:type="gramStart"/>
      <w:r w:rsidRPr="00CD4C09">
        <w:t>sodium</w:t>
      </w:r>
      <w:proofErr w:type="gramEnd"/>
      <w:r w:rsidRPr="00CD4C09">
        <w:t xml:space="preserve"> and potassium levels. No consistent, clinically significantly changes were found during the study.</w:t>
      </w:r>
    </w:p>
    <w:p w:rsidR="004C5C61" w:rsidRPr="00EC3AE0" w:rsidRDefault="004C5C61" w:rsidP="00CD4C09">
      <w:pPr>
        <w:pStyle w:val="Heading6"/>
      </w:pPr>
      <w:r w:rsidRPr="00EC3AE0">
        <w:t xml:space="preserve">Studies with evaluable safety data: dose finding and pharmacology </w:t>
      </w:r>
    </w:p>
    <w:p w:rsidR="004C5C61" w:rsidRPr="00CD4C09" w:rsidRDefault="004C5C61" w:rsidP="00CD4C09">
      <w:pPr>
        <w:pStyle w:val="Heading7"/>
        <w:rPr>
          <w:b/>
          <w:lang w:eastAsia="ja-JP"/>
        </w:rPr>
      </w:pPr>
      <w:r w:rsidRPr="00CD4C09">
        <w:rPr>
          <w:b/>
          <w:lang w:eastAsia="ja-JP"/>
        </w:rPr>
        <w:t>IBU/99/</w:t>
      </w:r>
      <w:proofErr w:type="spellStart"/>
      <w:r w:rsidRPr="00CD4C09">
        <w:rPr>
          <w:b/>
          <w:lang w:eastAsia="ja-JP"/>
        </w:rPr>
        <w:t>DoseRange</w:t>
      </w:r>
      <w:proofErr w:type="spellEnd"/>
      <w:r w:rsidRPr="00CD4C09">
        <w:rPr>
          <w:b/>
          <w:lang w:eastAsia="ja-JP"/>
        </w:rPr>
        <w:t xml:space="preserve"> (-27 weeks)</w:t>
      </w:r>
    </w:p>
    <w:p w:rsidR="004C5C61" w:rsidRPr="00CD4C09" w:rsidRDefault="004C5C61" w:rsidP="00CD4C09">
      <w:r w:rsidRPr="00CD4C09">
        <w:t xml:space="preserve">No major effect on renal function was reported but further data analysis showed changes suggesting mild to moderate changes (excessive weight gain and oliguria) usually associated with slight variations on </w:t>
      </w:r>
      <w:proofErr w:type="spellStart"/>
      <w:r w:rsidRPr="00CD4C09">
        <w:t>natraemia</w:t>
      </w:r>
      <w:proofErr w:type="spellEnd"/>
      <w:r w:rsidRPr="00CD4C09">
        <w:t xml:space="preserve"> and </w:t>
      </w:r>
      <w:proofErr w:type="spellStart"/>
      <w:r w:rsidRPr="00CD4C09">
        <w:t>creatininaemia</w:t>
      </w:r>
      <w:proofErr w:type="spellEnd"/>
      <w:r w:rsidRPr="00CD4C09">
        <w:t>. These effects were more frequent at the 10 mg/kg dose regimen.</w:t>
      </w:r>
    </w:p>
    <w:p w:rsidR="004C5C61" w:rsidRDefault="00387362" w:rsidP="00E56B0F">
      <w:pPr>
        <w:pStyle w:val="TableTitle"/>
        <w:rPr>
          <w:lang w:eastAsia="ja-JP"/>
        </w:rPr>
      </w:pPr>
      <w:bookmarkStart w:id="137" w:name="_Toc454981346"/>
      <w:r>
        <w:t xml:space="preserve">Table 12: </w:t>
      </w:r>
      <w:r w:rsidR="004C5C61">
        <w:t>Study IBU/99/</w:t>
      </w:r>
      <w:proofErr w:type="spellStart"/>
      <w:r w:rsidR="004C5C61">
        <w:t>DoseRange</w:t>
      </w:r>
      <w:proofErr w:type="spellEnd"/>
      <w:r w:rsidR="004C5C61">
        <w:t xml:space="preserve"> (-27 weeks): </w:t>
      </w:r>
      <w:r w:rsidR="004C5C61" w:rsidRPr="003802B3">
        <w:rPr>
          <w:lang w:eastAsia="ja-JP"/>
        </w:rPr>
        <w:t>Effects on renal function</w:t>
      </w:r>
      <w:bookmarkEnd w:id="137"/>
    </w:p>
    <w:tbl>
      <w:tblPr>
        <w:tblStyle w:val="TableGrid"/>
        <w:tblW w:w="9080" w:type="dxa"/>
        <w:tblLayout w:type="fixed"/>
        <w:tblLook w:val="0000" w:firstRow="0" w:lastRow="0" w:firstColumn="0" w:lastColumn="0" w:noHBand="0" w:noVBand="0"/>
        <w:tblDescription w:val="Table 12: Study IBU/99/DoseRange (-27 weeks): Effects on renal function"/>
      </w:tblPr>
      <w:tblGrid>
        <w:gridCol w:w="4248"/>
        <w:gridCol w:w="1208"/>
        <w:gridCol w:w="1208"/>
        <w:gridCol w:w="1208"/>
        <w:gridCol w:w="1208"/>
      </w:tblGrid>
      <w:tr w:rsidR="004C5C61" w:rsidRPr="00E56B0F" w:rsidTr="005D7BEE">
        <w:trPr>
          <w:trHeight w:hRule="exact" w:val="576"/>
          <w:tblHeader/>
        </w:trPr>
        <w:tc>
          <w:tcPr>
            <w:tcW w:w="4248" w:type="dxa"/>
            <w:vAlign w:val="center"/>
          </w:tcPr>
          <w:p w:rsidR="004C5C61" w:rsidRPr="005D7BEE" w:rsidRDefault="004C5C61" w:rsidP="005D7BEE">
            <w:pPr>
              <w:pStyle w:val="TableHeading"/>
              <w:rPr>
                <w:b/>
                <w:color w:val="auto"/>
              </w:rPr>
            </w:pPr>
            <w:r w:rsidRPr="005D7BEE">
              <w:rPr>
                <w:b/>
                <w:color w:val="auto"/>
              </w:rPr>
              <w:t>Initial</w:t>
            </w:r>
            <w:r w:rsidRPr="005D7BEE">
              <w:rPr>
                <w:b/>
                <w:color w:val="auto"/>
                <w:spacing w:val="-5"/>
              </w:rPr>
              <w:t xml:space="preserve"> </w:t>
            </w:r>
            <w:r w:rsidRPr="005D7BEE">
              <w:rPr>
                <w:b/>
                <w:color w:val="auto"/>
              </w:rPr>
              <w:t>ibuprofen</w:t>
            </w:r>
            <w:r w:rsidRPr="005D7BEE">
              <w:rPr>
                <w:b/>
                <w:color w:val="auto"/>
                <w:spacing w:val="-9"/>
              </w:rPr>
              <w:t xml:space="preserve"> </w:t>
            </w:r>
            <w:r w:rsidRPr="005D7BEE">
              <w:rPr>
                <w:b/>
                <w:color w:val="auto"/>
              </w:rPr>
              <w:t>dose</w:t>
            </w:r>
            <w:r w:rsidRPr="005D7BEE">
              <w:rPr>
                <w:b/>
                <w:color w:val="auto"/>
                <w:spacing w:val="-5"/>
              </w:rPr>
              <w:t xml:space="preserve"> </w:t>
            </w:r>
            <w:r w:rsidRPr="005D7BEE">
              <w:rPr>
                <w:b/>
                <w:color w:val="auto"/>
              </w:rPr>
              <w:t>(mg/kg)</w:t>
            </w:r>
          </w:p>
        </w:tc>
        <w:tc>
          <w:tcPr>
            <w:tcW w:w="1208" w:type="dxa"/>
            <w:vAlign w:val="center"/>
          </w:tcPr>
          <w:p w:rsidR="004C5C61" w:rsidRPr="005D7BEE" w:rsidRDefault="004C5C61" w:rsidP="005D7BEE">
            <w:pPr>
              <w:pStyle w:val="TableHeading"/>
              <w:rPr>
                <w:b/>
                <w:color w:val="auto"/>
              </w:rPr>
            </w:pPr>
            <w:r w:rsidRPr="005D7BEE">
              <w:rPr>
                <w:b/>
                <w:color w:val="auto"/>
              </w:rPr>
              <w:t>5</w:t>
            </w:r>
          </w:p>
          <w:p w:rsidR="004C5C61" w:rsidRPr="005D7BEE" w:rsidRDefault="004C5C61" w:rsidP="005D7BEE">
            <w:pPr>
              <w:pStyle w:val="TableHeading"/>
              <w:rPr>
                <w:b/>
                <w:color w:val="auto"/>
              </w:rPr>
            </w:pPr>
            <w:r w:rsidRPr="005D7BEE">
              <w:rPr>
                <w:b/>
                <w:color w:val="auto"/>
              </w:rPr>
              <w:t>(n=7)</w:t>
            </w:r>
          </w:p>
        </w:tc>
        <w:tc>
          <w:tcPr>
            <w:tcW w:w="1208" w:type="dxa"/>
            <w:vAlign w:val="center"/>
          </w:tcPr>
          <w:p w:rsidR="004C5C61" w:rsidRPr="005D7BEE" w:rsidRDefault="004C5C61" w:rsidP="005D7BEE">
            <w:pPr>
              <w:pStyle w:val="TableHeading"/>
              <w:rPr>
                <w:b/>
                <w:color w:val="auto"/>
                <w:spacing w:val="-3"/>
              </w:rPr>
            </w:pPr>
            <w:r w:rsidRPr="005D7BEE">
              <w:rPr>
                <w:b/>
                <w:color w:val="auto"/>
              </w:rPr>
              <w:t>10</w:t>
            </w:r>
          </w:p>
          <w:p w:rsidR="004C5C61" w:rsidRPr="005D7BEE" w:rsidRDefault="004C5C61" w:rsidP="005D7BEE">
            <w:pPr>
              <w:pStyle w:val="TableHeading"/>
              <w:rPr>
                <w:b/>
                <w:color w:val="auto"/>
              </w:rPr>
            </w:pPr>
            <w:r w:rsidRPr="005D7BEE">
              <w:rPr>
                <w:b/>
                <w:color w:val="auto"/>
              </w:rPr>
              <w:t>(n=8)</w:t>
            </w:r>
          </w:p>
        </w:tc>
        <w:tc>
          <w:tcPr>
            <w:tcW w:w="1208" w:type="dxa"/>
            <w:vAlign w:val="center"/>
          </w:tcPr>
          <w:p w:rsidR="004C5C61" w:rsidRPr="005D7BEE" w:rsidRDefault="004C5C61" w:rsidP="005D7BEE">
            <w:pPr>
              <w:pStyle w:val="TableHeading"/>
              <w:rPr>
                <w:b/>
                <w:color w:val="auto"/>
              </w:rPr>
            </w:pPr>
            <w:r w:rsidRPr="005D7BEE">
              <w:rPr>
                <w:b/>
                <w:color w:val="auto"/>
              </w:rPr>
              <w:t>15</w:t>
            </w:r>
          </w:p>
          <w:p w:rsidR="004C5C61" w:rsidRPr="005D7BEE" w:rsidRDefault="004C5C61" w:rsidP="005D7BEE">
            <w:pPr>
              <w:pStyle w:val="TableHeading"/>
              <w:rPr>
                <w:b/>
                <w:color w:val="auto"/>
              </w:rPr>
            </w:pPr>
            <w:r w:rsidRPr="005D7BEE">
              <w:rPr>
                <w:b/>
                <w:color w:val="auto"/>
              </w:rPr>
              <w:t>(n=11)</w:t>
            </w:r>
          </w:p>
        </w:tc>
        <w:tc>
          <w:tcPr>
            <w:tcW w:w="1208" w:type="dxa"/>
            <w:vAlign w:val="center"/>
          </w:tcPr>
          <w:p w:rsidR="004C5C61" w:rsidRPr="005D7BEE" w:rsidRDefault="004C5C61" w:rsidP="005D7BEE">
            <w:pPr>
              <w:pStyle w:val="TableHeading"/>
              <w:rPr>
                <w:b/>
                <w:color w:val="auto"/>
              </w:rPr>
            </w:pPr>
            <w:r w:rsidRPr="005D7BEE">
              <w:rPr>
                <w:b/>
                <w:color w:val="auto"/>
              </w:rPr>
              <w:t>20</w:t>
            </w:r>
          </w:p>
          <w:p w:rsidR="004C5C61" w:rsidRPr="005D7BEE" w:rsidRDefault="004C5C61" w:rsidP="005D7BEE">
            <w:pPr>
              <w:pStyle w:val="TableHeading"/>
              <w:rPr>
                <w:b/>
                <w:color w:val="auto"/>
              </w:rPr>
            </w:pPr>
            <w:r w:rsidRPr="005D7BEE">
              <w:rPr>
                <w:b/>
                <w:color w:val="auto"/>
              </w:rPr>
              <w:t>(n=2)</w:t>
            </w:r>
          </w:p>
        </w:tc>
      </w:tr>
      <w:tr w:rsidR="004C5C61" w:rsidRPr="00E56B0F" w:rsidTr="005D7BEE">
        <w:trPr>
          <w:trHeight w:hRule="exact" w:val="288"/>
        </w:trPr>
        <w:tc>
          <w:tcPr>
            <w:tcW w:w="4248" w:type="dxa"/>
          </w:tcPr>
          <w:p w:rsidR="004C5C61" w:rsidRPr="00E56B0F" w:rsidRDefault="004C5C61" w:rsidP="005D7BEE">
            <w:pPr>
              <w:pStyle w:val="Tabletext"/>
            </w:pPr>
            <w:r w:rsidRPr="00E56B0F">
              <w:t>Reported</w:t>
            </w:r>
            <w:r w:rsidRPr="00E56B0F">
              <w:rPr>
                <w:spacing w:val="-9"/>
              </w:rPr>
              <w:t xml:space="preserve"> </w:t>
            </w:r>
            <w:r w:rsidRPr="00E56B0F">
              <w:t>AEs</w:t>
            </w:r>
          </w:p>
        </w:tc>
        <w:tc>
          <w:tcPr>
            <w:tcW w:w="1208" w:type="dxa"/>
          </w:tcPr>
          <w:p w:rsidR="004C5C61" w:rsidRPr="00E56B0F" w:rsidRDefault="004C5C61" w:rsidP="005D7BEE">
            <w:pPr>
              <w:pStyle w:val="Tabletext"/>
              <w:jc w:val="center"/>
            </w:pPr>
          </w:p>
        </w:tc>
        <w:tc>
          <w:tcPr>
            <w:tcW w:w="1208" w:type="dxa"/>
          </w:tcPr>
          <w:p w:rsidR="004C5C61" w:rsidRPr="00E56B0F" w:rsidRDefault="004C5C61" w:rsidP="005D7BEE">
            <w:pPr>
              <w:pStyle w:val="Tabletext"/>
              <w:jc w:val="center"/>
            </w:pPr>
          </w:p>
        </w:tc>
        <w:tc>
          <w:tcPr>
            <w:tcW w:w="1208" w:type="dxa"/>
          </w:tcPr>
          <w:p w:rsidR="004C5C61" w:rsidRPr="00E56B0F" w:rsidRDefault="004C5C61" w:rsidP="005D7BEE">
            <w:pPr>
              <w:pStyle w:val="Tabletext"/>
              <w:jc w:val="center"/>
            </w:pPr>
          </w:p>
        </w:tc>
        <w:tc>
          <w:tcPr>
            <w:tcW w:w="1208" w:type="dxa"/>
          </w:tcPr>
          <w:p w:rsidR="004C5C61" w:rsidRPr="00E56B0F" w:rsidRDefault="004C5C61" w:rsidP="005D7BEE">
            <w:pPr>
              <w:pStyle w:val="Tabletext"/>
              <w:jc w:val="center"/>
            </w:pPr>
          </w:p>
        </w:tc>
      </w:tr>
      <w:tr w:rsidR="004C5C61" w:rsidRPr="00E56B0F" w:rsidTr="005D7BEE">
        <w:trPr>
          <w:trHeight w:hRule="exact" w:val="288"/>
        </w:trPr>
        <w:tc>
          <w:tcPr>
            <w:tcW w:w="4248" w:type="dxa"/>
          </w:tcPr>
          <w:p w:rsidR="004C5C61" w:rsidRPr="00E56B0F" w:rsidRDefault="004C5C61" w:rsidP="005D7BEE">
            <w:pPr>
              <w:pStyle w:val="Tabletext"/>
            </w:pPr>
            <w:r w:rsidRPr="00E56B0F">
              <w:t>Oliguria</w:t>
            </w:r>
          </w:p>
        </w:tc>
        <w:tc>
          <w:tcPr>
            <w:tcW w:w="1208" w:type="dxa"/>
          </w:tcPr>
          <w:p w:rsidR="004C5C61" w:rsidRPr="00E56B0F" w:rsidRDefault="004C5C61" w:rsidP="005D7BEE">
            <w:pPr>
              <w:pStyle w:val="Tabletext"/>
              <w:jc w:val="center"/>
              <w:rPr>
                <w:w w:val="99"/>
              </w:rPr>
            </w:pPr>
            <w:r w:rsidRPr="00E56B0F">
              <w:rPr>
                <w:w w:val="99"/>
              </w:rPr>
              <w:t>0</w:t>
            </w:r>
          </w:p>
        </w:tc>
        <w:tc>
          <w:tcPr>
            <w:tcW w:w="1208" w:type="dxa"/>
          </w:tcPr>
          <w:p w:rsidR="004C5C61" w:rsidRPr="00E56B0F" w:rsidRDefault="004C5C61" w:rsidP="005D7BEE">
            <w:pPr>
              <w:pStyle w:val="Tabletext"/>
              <w:jc w:val="center"/>
            </w:pPr>
            <w:r w:rsidRPr="00E56B0F">
              <w:rPr>
                <w:w w:val="99"/>
              </w:rPr>
              <w:t>5</w:t>
            </w:r>
          </w:p>
        </w:tc>
        <w:tc>
          <w:tcPr>
            <w:tcW w:w="1208" w:type="dxa"/>
          </w:tcPr>
          <w:p w:rsidR="004C5C61" w:rsidRPr="00E56B0F" w:rsidRDefault="004C5C61" w:rsidP="005D7BEE">
            <w:pPr>
              <w:pStyle w:val="Tabletext"/>
              <w:jc w:val="center"/>
            </w:pPr>
            <w:r w:rsidRPr="00E56B0F">
              <w:rPr>
                <w:w w:val="99"/>
              </w:rPr>
              <w:t>0</w:t>
            </w:r>
          </w:p>
        </w:tc>
        <w:tc>
          <w:tcPr>
            <w:tcW w:w="1208" w:type="dxa"/>
          </w:tcPr>
          <w:p w:rsidR="004C5C61" w:rsidRPr="00E56B0F" w:rsidRDefault="004C5C61" w:rsidP="005D7BEE">
            <w:pPr>
              <w:pStyle w:val="Tabletext"/>
              <w:jc w:val="center"/>
              <w:rPr>
                <w:w w:val="99"/>
              </w:rPr>
            </w:pPr>
            <w:r w:rsidRPr="00E56B0F">
              <w:rPr>
                <w:w w:val="99"/>
              </w:rPr>
              <w:t>0</w:t>
            </w:r>
          </w:p>
        </w:tc>
      </w:tr>
      <w:tr w:rsidR="004C5C61" w:rsidRPr="00E56B0F" w:rsidTr="005D7BEE">
        <w:trPr>
          <w:trHeight w:hRule="exact" w:val="288"/>
        </w:trPr>
        <w:tc>
          <w:tcPr>
            <w:tcW w:w="4248" w:type="dxa"/>
          </w:tcPr>
          <w:p w:rsidR="004C5C61" w:rsidRPr="00E56B0F" w:rsidRDefault="004C5C61" w:rsidP="005D7BEE">
            <w:pPr>
              <w:pStyle w:val="Tabletext"/>
            </w:pPr>
            <w:r w:rsidRPr="00E56B0F">
              <w:t>Weight</w:t>
            </w:r>
            <w:r w:rsidRPr="00E56B0F">
              <w:rPr>
                <w:spacing w:val="-7"/>
              </w:rPr>
              <w:t xml:space="preserve"> </w:t>
            </w:r>
            <w:r w:rsidRPr="00E56B0F">
              <w:t>gain</w:t>
            </w:r>
          </w:p>
        </w:tc>
        <w:tc>
          <w:tcPr>
            <w:tcW w:w="1208" w:type="dxa"/>
          </w:tcPr>
          <w:p w:rsidR="004C5C61" w:rsidRPr="00E56B0F" w:rsidRDefault="004C5C61" w:rsidP="005D7BEE">
            <w:pPr>
              <w:pStyle w:val="Tabletext"/>
              <w:jc w:val="center"/>
              <w:rPr>
                <w:w w:val="99"/>
              </w:rPr>
            </w:pPr>
            <w:r w:rsidRPr="00E56B0F">
              <w:rPr>
                <w:w w:val="99"/>
              </w:rPr>
              <w:t>0</w:t>
            </w:r>
          </w:p>
        </w:tc>
        <w:tc>
          <w:tcPr>
            <w:tcW w:w="1208" w:type="dxa"/>
          </w:tcPr>
          <w:p w:rsidR="004C5C61" w:rsidRPr="00E56B0F" w:rsidRDefault="004C5C61" w:rsidP="005D7BEE">
            <w:pPr>
              <w:pStyle w:val="Tabletext"/>
              <w:jc w:val="center"/>
            </w:pPr>
            <w:r w:rsidRPr="00E56B0F">
              <w:t>1</w:t>
            </w:r>
          </w:p>
        </w:tc>
        <w:tc>
          <w:tcPr>
            <w:tcW w:w="1208" w:type="dxa"/>
          </w:tcPr>
          <w:p w:rsidR="004C5C61" w:rsidRPr="00E56B0F" w:rsidRDefault="004C5C61" w:rsidP="005D7BEE">
            <w:pPr>
              <w:pStyle w:val="Tabletext"/>
              <w:jc w:val="center"/>
            </w:pPr>
            <w:r w:rsidRPr="00E56B0F">
              <w:rPr>
                <w:w w:val="99"/>
              </w:rPr>
              <w:t>0</w:t>
            </w:r>
          </w:p>
        </w:tc>
        <w:tc>
          <w:tcPr>
            <w:tcW w:w="1208" w:type="dxa"/>
          </w:tcPr>
          <w:p w:rsidR="004C5C61" w:rsidRPr="00E56B0F" w:rsidRDefault="004C5C61" w:rsidP="005D7BEE">
            <w:pPr>
              <w:pStyle w:val="Tabletext"/>
              <w:jc w:val="center"/>
              <w:rPr>
                <w:w w:val="99"/>
              </w:rPr>
            </w:pPr>
            <w:r w:rsidRPr="00E56B0F">
              <w:rPr>
                <w:w w:val="99"/>
              </w:rPr>
              <w:t>0</w:t>
            </w:r>
          </w:p>
        </w:tc>
      </w:tr>
      <w:tr w:rsidR="004C5C61" w:rsidRPr="00E56B0F" w:rsidTr="005D7BEE">
        <w:trPr>
          <w:trHeight w:hRule="exact" w:val="288"/>
        </w:trPr>
        <w:tc>
          <w:tcPr>
            <w:tcW w:w="4248" w:type="dxa"/>
          </w:tcPr>
          <w:p w:rsidR="004C5C61" w:rsidRPr="00E56B0F" w:rsidRDefault="004C5C61" w:rsidP="005D7BEE">
            <w:pPr>
              <w:pStyle w:val="Tabletext"/>
            </w:pPr>
            <w:r w:rsidRPr="00E56B0F">
              <w:t>Total</w:t>
            </w:r>
            <w:r w:rsidRPr="00E56B0F">
              <w:rPr>
                <w:spacing w:val="-5"/>
              </w:rPr>
              <w:t xml:space="preserve"> </w:t>
            </w:r>
            <w:r w:rsidRPr="00E56B0F">
              <w:t>patients</w:t>
            </w:r>
          </w:p>
        </w:tc>
        <w:tc>
          <w:tcPr>
            <w:tcW w:w="1208" w:type="dxa"/>
          </w:tcPr>
          <w:p w:rsidR="004C5C61" w:rsidRPr="00E56B0F" w:rsidRDefault="004C5C61" w:rsidP="005D7BEE">
            <w:pPr>
              <w:pStyle w:val="Tabletext"/>
              <w:jc w:val="center"/>
            </w:pPr>
            <w:r w:rsidRPr="00E56B0F">
              <w:t>0</w:t>
            </w:r>
          </w:p>
        </w:tc>
        <w:tc>
          <w:tcPr>
            <w:tcW w:w="1208" w:type="dxa"/>
          </w:tcPr>
          <w:p w:rsidR="004C5C61" w:rsidRPr="00E56B0F" w:rsidRDefault="004C5C61" w:rsidP="005D7BEE">
            <w:pPr>
              <w:pStyle w:val="Tabletext"/>
              <w:jc w:val="center"/>
            </w:pPr>
            <w:r w:rsidRPr="00E56B0F">
              <w:t>5</w:t>
            </w:r>
            <w:r w:rsidRPr="00E56B0F">
              <w:rPr>
                <w:spacing w:val="-1"/>
              </w:rPr>
              <w:t xml:space="preserve"> </w:t>
            </w:r>
            <w:r w:rsidRPr="00E56B0F">
              <w:rPr>
                <w:w w:val="99"/>
              </w:rPr>
              <w:t>(71%)</w:t>
            </w:r>
          </w:p>
        </w:tc>
        <w:tc>
          <w:tcPr>
            <w:tcW w:w="1208" w:type="dxa"/>
          </w:tcPr>
          <w:p w:rsidR="004C5C61" w:rsidRPr="00E56B0F" w:rsidRDefault="004C5C61" w:rsidP="005D7BEE">
            <w:pPr>
              <w:pStyle w:val="Tabletext"/>
              <w:jc w:val="center"/>
            </w:pPr>
            <w:r w:rsidRPr="00E56B0F">
              <w:t>0</w:t>
            </w:r>
          </w:p>
        </w:tc>
        <w:tc>
          <w:tcPr>
            <w:tcW w:w="1208" w:type="dxa"/>
          </w:tcPr>
          <w:p w:rsidR="004C5C61" w:rsidRPr="00E56B0F" w:rsidRDefault="004C5C61" w:rsidP="005D7BEE">
            <w:pPr>
              <w:pStyle w:val="Tabletext"/>
              <w:jc w:val="center"/>
            </w:pPr>
            <w:r w:rsidRPr="00E56B0F">
              <w:t>0</w:t>
            </w:r>
          </w:p>
        </w:tc>
      </w:tr>
      <w:tr w:rsidR="004C5C61" w:rsidRPr="00E56B0F" w:rsidTr="005D7BEE">
        <w:trPr>
          <w:trHeight w:hRule="exact" w:val="288"/>
        </w:trPr>
        <w:tc>
          <w:tcPr>
            <w:tcW w:w="4248" w:type="dxa"/>
          </w:tcPr>
          <w:p w:rsidR="004C5C61" w:rsidRPr="00E56B0F" w:rsidRDefault="004C5C61" w:rsidP="005D7BEE">
            <w:pPr>
              <w:pStyle w:val="Tabletext"/>
            </w:pPr>
            <w:r w:rsidRPr="00E56B0F">
              <w:t>Calculated</w:t>
            </w:r>
            <w:r w:rsidRPr="00E56B0F">
              <w:rPr>
                <w:spacing w:val="-10"/>
              </w:rPr>
              <w:t xml:space="preserve"> </w:t>
            </w:r>
            <w:r w:rsidRPr="00E56B0F">
              <w:t>daily</w:t>
            </w:r>
            <w:r w:rsidRPr="00E56B0F">
              <w:rPr>
                <w:spacing w:val="-5"/>
              </w:rPr>
              <w:t xml:space="preserve"> </w:t>
            </w:r>
            <w:r w:rsidRPr="00E56B0F">
              <w:t>weight</w:t>
            </w:r>
            <w:r w:rsidRPr="00E56B0F">
              <w:rPr>
                <w:spacing w:val="-6"/>
              </w:rPr>
              <w:t xml:space="preserve"> </w:t>
            </w:r>
            <w:r w:rsidRPr="00E56B0F">
              <w:t>gain</w:t>
            </w:r>
            <w:r w:rsidRPr="00E56B0F">
              <w:rPr>
                <w:spacing w:val="-4"/>
              </w:rPr>
              <w:t xml:space="preserve"> </w:t>
            </w:r>
            <w:r w:rsidRPr="00E56B0F">
              <w:t>&gt;</w:t>
            </w:r>
            <w:r w:rsidRPr="00E56B0F">
              <w:rPr>
                <w:spacing w:val="-1"/>
              </w:rPr>
              <w:t xml:space="preserve"> </w:t>
            </w:r>
            <w:r w:rsidRPr="00E56B0F">
              <w:t>30g/kg</w:t>
            </w:r>
          </w:p>
        </w:tc>
        <w:tc>
          <w:tcPr>
            <w:tcW w:w="1208" w:type="dxa"/>
          </w:tcPr>
          <w:p w:rsidR="004C5C61" w:rsidRPr="00E56B0F" w:rsidRDefault="004C5C61" w:rsidP="005D7BEE">
            <w:pPr>
              <w:pStyle w:val="Tabletext"/>
              <w:jc w:val="center"/>
            </w:pPr>
          </w:p>
        </w:tc>
        <w:tc>
          <w:tcPr>
            <w:tcW w:w="1208" w:type="dxa"/>
          </w:tcPr>
          <w:p w:rsidR="004C5C61" w:rsidRPr="00E56B0F" w:rsidRDefault="004C5C61" w:rsidP="005D7BEE">
            <w:pPr>
              <w:pStyle w:val="Tabletext"/>
              <w:jc w:val="center"/>
            </w:pPr>
          </w:p>
        </w:tc>
        <w:tc>
          <w:tcPr>
            <w:tcW w:w="1208" w:type="dxa"/>
          </w:tcPr>
          <w:p w:rsidR="004C5C61" w:rsidRPr="00E56B0F" w:rsidRDefault="004C5C61" w:rsidP="005D7BEE">
            <w:pPr>
              <w:pStyle w:val="Tabletext"/>
              <w:jc w:val="center"/>
            </w:pPr>
          </w:p>
        </w:tc>
        <w:tc>
          <w:tcPr>
            <w:tcW w:w="1208" w:type="dxa"/>
          </w:tcPr>
          <w:p w:rsidR="004C5C61" w:rsidRPr="00E56B0F" w:rsidRDefault="004C5C61" w:rsidP="005D7BEE">
            <w:pPr>
              <w:pStyle w:val="Tabletext"/>
              <w:jc w:val="center"/>
            </w:pPr>
          </w:p>
        </w:tc>
      </w:tr>
      <w:tr w:rsidR="004C5C61" w:rsidRPr="00E56B0F" w:rsidTr="005D7BEE">
        <w:trPr>
          <w:trHeight w:hRule="exact" w:val="288"/>
        </w:trPr>
        <w:tc>
          <w:tcPr>
            <w:tcW w:w="4248" w:type="dxa"/>
          </w:tcPr>
          <w:p w:rsidR="004C5C61" w:rsidRPr="00E56B0F" w:rsidRDefault="004C5C61" w:rsidP="005D7BEE">
            <w:pPr>
              <w:pStyle w:val="Tabletext"/>
            </w:pPr>
            <w:r w:rsidRPr="00E56B0F">
              <w:t>Total</w:t>
            </w:r>
            <w:r w:rsidRPr="00E56B0F">
              <w:rPr>
                <w:spacing w:val="-5"/>
              </w:rPr>
              <w:t xml:space="preserve"> </w:t>
            </w:r>
            <w:r w:rsidRPr="00E56B0F">
              <w:t>patients</w:t>
            </w:r>
          </w:p>
        </w:tc>
        <w:tc>
          <w:tcPr>
            <w:tcW w:w="1208" w:type="dxa"/>
          </w:tcPr>
          <w:p w:rsidR="004C5C61" w:rsidRPr="00E56B0F" w:rsidRDefault="004C5C61" w:rsidP="005D7BEE">
            <w:pPr>
              <w:pStyle w:val="Tabletext"/>
              <w:jc w:val="center"/>
            </w:pPr>
            <w:r w:rsidRPr="00E56B0F">
              <w:t>3 (43%)</w:t>
            </w:r>
          </w:p>
        </w:tc>
        <w:tc>
          <w:tcPr>
            <w:tcW w:w="1208" w:type="dxa"/>
          </w:tcPr>
          <w:p w:rsidR="004C5C61" w:rsidRPr="00E56B0F" w:rsidRDefault="004C5C61" w:rsidP="005D7BEE">
            <w:pPr>
              <w:pStyle w:val="Tabletext"/>
              <w:jc w:val="center"/>
            </w:pPr>
            <w:r w:rsidRPr="00E56B0F">
              <w:t>7(100%)</w:t>
            </w:r>
          </w:p>
        </w:tc>
        <w:tc>
          <w:tcPr>
            <w:tcW w:w="1208" w:type="dxa"/>
          </w:tcPr>
          <w:p w:rsidR="004C5C61" w:rsidRPr="00E56B0F" w:rsidRDefault="004C5C61" w:rsidP="005D7BEE">
            <w:pPr>
              <w:pStyle w:val="Tabletext"/>
              <w:jc w:val="center"/>
            </w:pPr>
            <w:r w:rsidRPr="00E56B0F">
              <w:t>4(66%)</w:t>
            </w:r>
          </w:p>
        </w:tc>
        <w:tc>
          <w:tcPr>
            <w:tcW w:w="1208" w:type="dxa"/>
          </w:tcPr>
          <w:p w:rsidR="004C5C61" w:rsidRPr="00E56B0F" w:rsidRDefault="004C5C61" w:rsidP="005D7BEE">
            <w:pPr>
              <w:pStyle w:val="Tabletext"/>
              <w:jc w:val="center"/>
            </w:pPr>
            <w:r w:rsidRPr="00E56B0F">
              <w:t>2 (100%)</w:t>
            </w:r>
          </w:p>
        </w:tc>
      </w:tr>
      <w:tr w:rsidR="004C5C61" w:rsidRPr="00E56B0F" w:rsidTr="005D7BEE">
        <w:trPr>
          <w:trHeight w:hRule="exact" w:val="288"/>
        </w:trPr>
        <w:tc>
          <w:tcPr>
            <w:tcW w:w="4248" w:type="dxa"/>
          </w:tcPr>
          <w:p w:rsidR="004C5C61" w:rsidRPr="00E56B0F" w:rsidRDefault="004C5C61" w:rsidP="005D7BEE">
            <w:pPr>
              <w:pStyle w:val="Tabletext"/>
            </w:pPr>
            <w:r w:rsidRPr="00E56B0F">
              <w:t>24-hour</w:t>
            </w:r>
            <w:r w:rsidRPr="00E56B0F">
              <w:rPr>
                <w:spacing w:val="-8"/>
              </w:rPr>
              <w:t xml:space="preserve"> </w:t>
            </w:r>
            <w:r w:rsidRPr="00E56B0F">
              <w:t>urine</w:t>
            </w:r>
            <w:r w:rsidRPr="00E56B0F">
              <w:rPr>
                <w:spacing w:val="-5"/>
              </w:rPr>
              <w:t xml:space="preserve"> </w:t>
            </w:r>
            <w:r w:rsidRPr="00E56B0F">
              <w:rPr>
                <w:w w:val="99"/>
              </w:rPr>
              <w:t>output</w:t>
            </w:r>
          </w:p>
        </w:tc>
        <w:tc>
          <w:tcPr>
            <w:tcW w:w="1208" w:type="dxa"/>
          </w:tcPr>
          <w:p w:rsidR="004C5C61" w:rsidRPr="00E56B0F" w:rsidRDefault="004C5C61" w:rsidP="005D7BEE">
            <w:pPr>
              <w:pStyle w:val="Tabletext"/>
              <w:jc w:val="center"/>
            </w:pPr>
          </w:p>
        </w:tc>
        <w:tc>
          <w:tcPr>
            <w:tcW w:w="1208" w:type="dxa"/>
          </w:tcPr>
          <w:p w:rsidR="004C5C61" w:rsidRPr="00E56B0F" w:rsidRDefault="004C5C61" w:rsidP="005D7BEE">
            <w:pPr>
              <w:pStyle w:val="Tabletext"/>
              <w:jc w:val="center"/>
            </w:pPr>
          </w:p>
        </w:tc>
        <w:tc>
          <w:tcPr>
            <w:tcW w:w="1208" w:type="dxa"/>
          </w:tcPr>
          <w:p w:rsidR="004C5C61" w:rsidRPr="00E56B0F" w:rsidRDefault="004C5C61" w:rsidP="005D7BEE">
            <w:pPr>
              <w:pStyle w:val="Tabletext"/>
              <w:jc w:val="center"/>
            </w:pPr>
          </w:p>
        </w:tc>
        <w:tc>
          <w:tcPr>
            <w:tcW w:w="1208" w:type="dxa"/>
          </w:tcPr>
          <w:p w:rsidR="004C5C61" w:rsidRPr="00E56B0F" w:rsidRDefault="004C5C61" w:rsidP="005D7BEE">
            <w:pPr>
              <w:pStyle w:val="Tabletext"/>
              <w:jc w:val="center"/>
            </w:pPr>
          </w:p>
        </w:tc>
      </w:tr>
      <w:tr w:rsidR="004C5C61" w:rsidRPr="00E56B0F" w:rsidTr="005D7BEE">
        <w:trPr>
          <w:trHeight w:hRule="exact" w:val="288"/>
        </w:trPr>
        <w:tc>
          <w:tcPr>
            <w:tcW w:w="4248" w:type="dxa"/>
          </w:tcPr>
          <w:p w:rsidR="004C5C61" w:rsidRPr="00E56B0F" w:rsidRDefault="004C5C61" w:rsidP="005D7BEE">
            <w:pPr>
              <w:pStyle w:val="Tabletext"/>
            </w:pPr>
            <w:r w:rsidRPr="00E56B0F">
              <w:t>&lt;</w:t>
            </w:r>
            <w:r w:rsidRPr="00E56B0F">
              <w:rPr>
                <w:spacing w:val="-1"/>
              </w:rPr>
              <w:t xml:space="preserve"> </w:t>
            </w:r>
            <w:r w:rsidRPr="00E56B0F">
              <w:t>1.0</w:t>
            </w:r>
            <w:r w:rsidRPr="00E56B0F">
              <w:rPr>
                <w:spacing w:val="-3"/>
              </w:rPr>
              <w:t xml:space="preserve"> </w:t>
            </w:r>
            <w:r w:rsidRPr="00E56B0F">
              <w:rPr>
                <w:w w:val="99"/>
              </w:rPr>
              <w:t>ml/kg/h</w:t>
            </w:r>
          </w:p>
        </w:tc>
        <w:tc>
          <w:tcPr>
            <w:tcW w:w="1208" w:type="dxa"/>
          </w:tcPr>
          <w:p w:rsidR="004C5C61" w:rsidRPr="00E56B0F" w:rsidRDefault="004C5C61" w:rsidP="005D7BEE">
            <w:pPr>
              <w:pStyle w:val="Tabletext"/>
              <w:jc w:val="center"/>
              <w:rPr>
                <w:w w:val="99"/>
              </w:rPr>
            </w:pPr>
            <w:r w:rsidRPr="00E56B0F">
              <w:rPr>
                <w:w w:val="99"/>
              </w:rPr>
              <w:t>0</w:t>
            </w:r>
          </w:p>
        </w:tc>
        <w:tc>
          <w:tcPr>
            <w:tcW w:w="1208" w:type="dxa"/>
          </w:tcPr>
          <w:p w:rsidR="004C5C61" w:rsidRPr="00E56B0F" w:rsidRDefault="004C5C61" w:rsidP="005D7BEE">
            <w:pPr>
              <w:pStyle w:val="Tabletext"/>
              <w:jc w:val="center"/>
            </w:pPr>
            <w:r w:rsidRPr="00E56B0F">
              <w:rPr>
                <w:w w:val="99"/>
              </w:rPr>
              <w:t>0</w:t>
            </w:r>
          </w:p>
        </w:tc>
        <w:tc>
          <w:tcPr>
            <w:tcW w:w="1208" w:type="dxa"/>
          </w:tcPr>
          <w:p w:rsidR="004C5C61" w:rsidRPr="00E56B0F" w:rsidRDefault="004C5C61" w:rsidP="005D7BEE">
            <w:pPr>
              <w:pStyle w:val="Tabletext"/>
              <w:jc w:val="center"/>
            </w:pPr>
            <w:r w:rsidRPr="00E56B0F">
              <w:rPr>
                <w:w w:val="99"/>
              </w:rPr>
              <w:t>0</w:t>
            </w:r>
          </w:p>
        </w:tc>
        <w:tc>
          <w:tcPr>
            <w:tcW w:w="1208" w:type="dxa"/>
          </w:tcPr>
          <w:p w:rsidR="004C5C61" w:rsidRPr="00E56B0F" w:rsidRDefault="004C5C61" w:rsidP="005D7BEE">
            <w:pPr>
              <w:pStyle w:val="Tabletext"/>
              <w:jc w:val="center"/>
              <w:rPr>
                <w:w w:val="99"/>
              </w:rPr>
            </w:pPr>
            <w:r w:rsidRPr="00E56B0F">
              <w:rPr>
                <w:w w:val="99"/>
              </w:rPr>
              <w:t>0</w:t>
            </w:r>
          </w:p>
        </w:tc>
      </w:tr>
      <w:tr w:rsidR="004C5C61" w:rsidRPr="00E56B0F" w:rsidTr="005D7BEE">
        <w:trPr>
          <w:trHeight w:hRule="exact" w:val="288"/>
        </w:trPr>
        <w:tc>
          <w:tcPr>
            <w:tcW w:w="4248" w:type="dxa"/>
          </w:tcPr>
          <w:p w:rsidR="004C5C61" w:rsidRPr="00E56B0F" w:rsidRDefault="004C5C61" w:rsidP="005D7BEE">
            <w:pPr>
              <w:pStyle w:val="Tabletext"/>
            </w:pPr>
            <w:r w:rsidRPr="00E56B0F">
              <w:t>≤ 1.4 ml/kg/h</w:t>
            </w:r>
          </w:p>
        </w:tc>
        <w:tc>
          <w:tcPr>
            <w:tcW w:w="1208" w:type="dxa"/>
          </w:tcPr>
          <w:p w:rsidR="004C5C61" w:rsidRPr="00E56B0F" w:rsidRDefault="004C5C61" w:rsidP="005D7BEE">
            <w:pPr>
              <w:pStyle w:val="Tabletext"/>
              <w:jc w:val="center"/>
            </w:pPr>
            <w:r w:rsidRPr="00E56B0F">
              <w:t>1 (14%)</w:t>
            </w:r>
          </w:p>
        </w:tc>
        <w:tc>
          <w:tcPr>
            <w:tcW w:w="1208" w:type="dxa"/>
          </w:tcPr>
          <w:p w:rsidR="004C5C61" w:rsidRPr="00E56B0F" w:rsidRDefault="004C5C61" w:rsidP="005D7BEE">
            <w:pPr>
              <w:pStyle w:val="Tabletext"/>
              <w:jc w:val="center"/>
            </w:pPr>
            <w:r w:rsidRPr="00E56B0F">
              <w:t>0</w:t>
            </w:r>
          </w:p>
        </w:tc>
        <w:tc>
          <w:tcPr>
            <w:tcW w:w="1208" w:type="dxa"/>
          </w:tcPr>
          <w:p w:rsidR="004C5C61" w:rsidRPr="00E56B0F" w:rsidRDefault="004C5C61" w:rsidP="005D7BEE">
            <w:pPr>
              <w:pStyle w:val="Tabletext"/>
              <w:jc w:val="center"/>
            </w:pPr>
            <w:r w:rsidRPr="00E56B0F">
              <w:t>1</w:t>
            </w:r>
            <w:r w:rsidRPr="00E56B0F">
              <w:rPr>
                <w:spacing w:val="-1"/>
              </w:rPr>
              <w:t xml:space="preserve"> </w:t>
            </w:r>
            <w:r w:rsidRPr="00E56B0F">
              <w:rPr>
                <w:w w:val="99"/>
              </w:rPr>
              <w:t>(17%)</w:t>
            </w:r>
          </w:p>
        </w:tc>
        <w:tc>
          <w:tcPr>
            <w:tcW w:w="1208" w:type="dxa"/>
          </w:tcPr>
          <w:p w:rsidR="004C5C61" w:rsidRPr="00E56B0F" w:rsidRDefault="004C5C61" w:rsidP="005D7BEE">
            <w:pPr>
              <w:pStyle w:val="Tabletext"/>
              <w:jc w:val="center"/>
            </w:pPr>
            <w:r w:rsidRPr="00E56B0F">
              <w:t>0</w:t>
            </w:r>
          </w:p>
        </w:tc>
      </w:tr>
      <w:tr w:rsidR="004C5C61" w:rsidRPr="00E56B0F" w:rsidTr="005D7BEE">
        <w:trPr>
          <w:trHeight w:hRule="exact" w:val="288"/>
        </w:trPr>
        <w:tc>
          <w:tcPr>
            <w:tcW w:w="4248" w:type="dxa"/>
          </w:tcPr>
          <w:p w:rsidR="004C5C61" w:rsidRPr="00E56B0F" w:rsidRDefault="004C5C61" w:rsidP="005D7BEE">
            <w:pPr>
              <w:pStyle w:val="Tabletext"/>
            </w:pPr>
            <w:r w:rsidRPr="00E56B0F">
              <w:t>Slight changes in Na and/or creatinine*</w:t>
            </w:r>
          </w:p>
        </w:tc>
        <w:tc>
          <w:tcPr>
            <w:tcW w:w="1208" w:type="dxa"/>
          </w:tcPr>
          <w:p w:rsidR="004C5C61" w:rsidRPr="00E56B0F" w:rsidRDefault="004C5C61" w:rsidP="005D7BEE">
            <w:pPr>
              <w:pStyle w:val="Tabletext"/>
              <w:jc w:val="center"/>
            </w:pPr>
          </w:p>
        </w:tc>
        <w:tc>
          <w:tcPr>
            <w:tcW w:w="1208" w:type="dxa"/>
          </w:tcPr>
          <w:p w:rsidR="004C5C61" w:rsidRPr="00E56B0F" w:rsidRDefault="004C5C61" w:rsidP="005D7BEE">
            <w:pPr>
              <w:pStyle w:val="Tabletext"/>
              <w:jc w:val="center"/>
            </w:pPr>
          </w:p>
        </w:tc>
        <w:tc>
          <w:tcPr>
            <w:tcW w:w="1208" w:type="dxa"/>
          </w:tcPr>
          <w:p w:rsidR="004C5C61" w:rsidRPr="00E56B0F" w:rsidRDefault="004C5C61" w:rsidP="005D7BEE">
            <w:pPr>
              <w:pStyle w:val="Tabletext"/>
              <w:jc w:val="center"/>
            </w:pPr>
          </w:p>
        </w:tc>
        <w:tc>
          <w:tcPr>
            <w:tcW w:w="1208" w:type="dxa"/>
          </w:tcPr>
          <w:p w:rsidR="004C5C61" w:rsidRPr="00E56B0F" w:rsidRDefault="004C5C61" w:rsidP="005D7BEE">
            <w:pPr>
              <w:pStyle w:val="Tabletext"/>
              <w:jc w:val="center"/>
            </w:pPr>
          </w:p>
        </w:tc>
      </w:tr>
      <w:tr w:rsidR="004C5C61" w:rsidRPr="00E56B0F" w:rsidTr="005D7BEE">
        <w:trPr>
          <w:trHeight w:hRule="exact" w:val="288"/>
        </w:trPr>
        <w:tc>
          <w:tcPr>
            <w:tcW w:w="4248" w:type="dxa"/>
          </w:tcPr>
          <w:p w:rsidR="004C5C61" w:rsidRPr="00E56B0F" w:rsidRDefault="004C5C61" w:rsidP="005D7BEE">
            <w:pPr>
              <w:pStyle w:val="Tabletext"/>
            </w:pPr>
            <w:r w:rsidRPr="00E56B0F">
              <w:t>Total</w:t>
            </w:r>
            <w:r w:rsidRPr="00E56B0F">
              <w:rPr>
                <w:spacing w:val="-5"/>
              </w:rPr>
              <w:t xml:space="preserve"> </w:t>
            </w:r>
            <w:r w:rsidRPr="00E56B0F">
              <w:t>patients</w:t>
            </w:r>
          </w:p>
        </w:tc>
        <w:tc>
          <w:tcPr>
            <w:tcW w:w="1208" w:type="dxa"/>
          </w:tcPr>
          <w:p w:rsidR="004C5C61" w:rsidRPr="00E56B0F" w:rsidRDefault="004C5C61" w:rsidP="005D7BEE">
            <w:pPr>
              <w:pStyle w:val="Tabletext"/>
              <w:jc w:val="center"/>
            </w:pPr>
            <w:r w:rsidRPr="00E56B0F">
              <w:t>3 (43%)</w:t>
            </w:r>
          </w:p>
        </w:tc>
        <w:tc>
          <w:tcPr>
            <w:tcW w:w="1208" w:type="dxa"/>
          </w:tcPr>
          <w:p w:rsidR="004C5C61" w:rsidRPr="00E56B0F" w:rsidRDefault="004C5C61" w:rsidP="005D7BEE">
            <w:pPr>
              <w:pStyle w:val="Tabletext"/>
              <w:jc w:val="center"/>
            </w:pPr>
            <w:r w:rsidRPr="00E56B0F">
              <w:t>6</w:t>
            </w:r>
            <w:r w:rsidRPr="00E56B0F">
              <w:rPr>
                <w:spacing w:val="-1"/>
              </w:rPr>
              <w:t xml:space="preserve"> </w:t>
            </w:r>
            <w:r w:rsidRPr="00E56B0F">
              <w:t>(85%)</w:t>
            </w:r>
          </w:p>
        </w:tc>
        <w:tc>
          <w:tcPr>
            <w:tcW w:w="1208" w:type="dxa"/>
          </w:tcPr>
          <w:p w:rsidR="004C5C61" w:rsidRPr="00E56B0F" w:rsidRDefault="004C5C61" w:rsidP="005D7BEE">
            <w:pPr>
              <w:pStyle w:val="Tabletext"/>
              <w:jc w:val="center"/>
            </w:pPr>
            <w:r w:rsidRPr="00E56B0F">
              <w:t>3</w:t>
            </w:r>
            <w:r w:rsidRPr="00E56B0F">
              <w:rPr>
                <w:spacing w:val="-1"/>
              </w:rPr>
              <w:t xml:space="preserve"> </w:t>
            </w:r>
            <w:r w:rsidRPr="00E56B0F">
              <w:t>(50%)</w:t>
            </w:r>
          </w:p>
        </w:tc>
        <w:tc>
          <w:tcPr>
            <w:tcW w:w="1208" w:type="dxa"/>
          </w:tcPr>
          <w:p w:rsidR="004C5C61" w:rsidRPr="00E56B0F" w:rsidRDefault="004C5C61" w:rsidP="005D7BEE">
            <w:pPr>
              <w:pStyle w:val="Tabletext"/>
              <w:jc w:val="center"/>
            </w:pPr>
            <w:r w:rsidRPr="00E56B0F">
              <w:t>1 (50%)</w:t>
            </w:r>
          </w:p>
        </w:tc>
      </w:tr>
      <w:tr w:rsidR="004C5C61" w:rsidRPr="00E56B0F" w:rsidTr="005D7BEE">
        <w:trPr>
          <w:trHeight w:hRule="exact" w:val="288"/>
        </w:trPr>
        <w:tc>
          <w:tcPr>
            <w:tcW w:w="4248" w:type="dxa"/>
          </w:tcPr>
          <w:p w:rsidR="004C5C61" w:rsidRPr="00E56B0F" w:rsidRDefault="004C5C61" w:rsidP="005D7BEE">
            <w:pPr>
              <w:pStyle w:val="Tabletext"/>
            </w:pPr>
            <w:r w:rsidRPr="00E56B0F">
              <w:t>Overall</w:t>
            </w:r>
          </w:p>
        </w:tc>
        <w:tc>
          <w:tcPr>
            <w:tcW w:w="1208" w:type="dxa"/>
          </w:tcPr>
          <w:p w:rsidR="004C5C61" w:rsidRPr="00E56B0F" w:rsidRDefault="004C5C61" w:rsidP="005D7BEE">
            <w:pPr>
              <w:pStyle w:val="Tabletext"/>
              <w:jc w:val="center"/>
            </w:pPr>
          </w:p>
        </w:tc>
        <w:tc>
          <w:tcPr>
            <w:tcW w:w="1208" w:type="dxa"/>
          </w:tcPr>
          <w:p w:rsidR="004C5C61" w:rsidRPr="00E56B0F" w:rsidRDefault="004C5C61" w:rsidP="005D7BEE">
            <w:pPr>
              <w:pStyle w:val="Tabletext"/>
              <w:jc w:val="center"/>
            </w:pPr>
          </w:p>
        </w:tc>
        <w:tc>
          <w:tcPr>
            <w:tcW w:w="1208" w:type="dxa"/>
          </w:tcPr>
          <w:p w:rsidR="004C5C61" w:rsidRPr="00E56B0F" w:rsidRDefault="004C5C61" w:rsidP="005D7BEE">
            <w:pPr>
              <w:pStyle w:val="Tabletext"/>
              <w:jc w:val="center"/>
            </w:pPr>
          </w:p>
        </w:tc>
        <w:tc>
          <w:tcPr>
            <w:tcW w:w="1208" w:type="dxa"/>
          </w:tcPr>
          <w:p w:rsidR="004C5C61" w:rsidRPr="00E56B0F" w:rsidRDefault="004C5C61" w:rsidP="005D7BEE">
            <w:pPr>
              <w:pStyle w:val="Tabletext"/>
              <w:jc w:val="center"/>
            </w:pPr>
          </w:p>
        </w:tc>
      </w:tr>
      <w:tr w:rsidR="004C5C61" w:rsidRPr="00E56B0F" w:rsidTr="005D7BEE">
        <w:trPr>
          <w:trHeight w:hRule="exact" w:val="288"/>
        </w:trPr>
        <w:tc>
          <w:tcPr>
            <w:tcW w:w="4248" w:type="dxa"/>
          </w:tcPr>
          <w:p w:rsidR="004C5C61" w:rsidRPr="00E56B0F" w:rsidRDefault="004C5C61" w:rsidP="005D7BEE">
            <w:pPr>
              <w:pStyle w:val="Tabletext"/>
            </w:pPr>
            <w:r w:rsidRPr="00E56B0F">
              <w:t>Total</w:t>
            </w:r>
            <w:r w:rsidRPr="00E56B0F">
              <w:rPr>
                <w:spacing w:val="-5"/>
              </w:rPr>
              <w:t xml:space="preserve"> </w:t>
            </w:r>
            <w:r w:rsidRPr="00E56B0F">
              <w:t>patients</w:t>
            </w:r>
          </w:p>
        </w:tc>
        <w:tc>
          <w:tcPr>
            <w:tcW w:w="1208" w:type="dxa"/>
          </w:tcPr>
          <w:p w:rsidR="004C5C61" w:rsidRPr="00E56B0F" w:rsidRDefault="004C5C61" w:rsidP="005D7BEE">
            <w:pPr>
              <w:pStyle w:val="Tabletext"/>
              <w:jc w:val="center"/>
            </w:pPr>
            <w:r w:rsidRPr="00E56B0F">
              <w:t>4 (57%)</w:t>
            </w:r>
          </w:p>
        </w:tc>
        <w:tc>
          <w:tcPr>
            <w:tcW w:w="1208" w:type="dxa"/>
          </w:tcPr>
          <w:p w:rsidR="004C5C61" w:rsidRPr="00E56B0F" w:rsidRDefault="004C5C61" w:rsidP="005D7BEE">
            <w:pPr>
              <w:pStyle w:val="Tabletext"/>
              <w:jc w:val="center"/>
            </w:pPr>
            <w:r w:rsidRPr="00E56B0F">
              <w:t>7</w:t>
            </w:r>
            <w:r w:rsidRPr="00E56B0F">
              <w:rPr>
                <w:spacing w:val="-1"/>
              </w:rPr>
              <w:t xml:space="preserve"> </w:t>
            </w:r>
            <w:r w:rsidRPr="00E56B0F">
              <w:t>(100%)</w:t>
            </w:r>
          </w:p>
        </w:tc>
        <w:tc>
          <w:tcPr>
            <w:tcW w:w="1208" w:type="dxa"/>
          </w:tcPr>
          <w:p w:rsidR="004C5C61" w:rsidRPr="00E56B0F" w:rsidRDefault="004C5C61" w:rsidP="005D7BEE">
            <w:pPr>
              <w:pStyle w:val="Tabletext"/>
              <w:jc w:val="center"/>
            </w:pPr>
            <w:r w:rsidRPr="00E56B0F">
              <w:t>5</w:t>
            </w:r>
            <w:r w:rsidRPr="00E56B0F">
              <w:rPr>
                <w:spacing w:val="-1"/>
              </w:rPr>
              <w:t xml:space="preserve"> </w:t>
            </w:r>
            <w:r w:rsidRPr="00E56B0F">
              <w:t>(83%)</w:t>
            </w:r>
          </w:p>
        </w:tc>
        <w:tc>
          <w:tcPr>
            <w:tcW w:w="1208" w:type="dxa"/>
          </w:tcPr>
          <w:p w:rsidR="004C5C61" w:rsidRPr="00E56B0F" w:rsidRDefault="004C5C61" w:rsidP="005D7BEE">
            <w:pPr>
              <w:pStyle w:val="Tabletext"/>
              <w:jc w:val="center"/>
            </w:pPr>
            <w:r w:rsidRPr="00E56B0F">
              <w:t>2 (100%)</w:t>
            </w:r>
          </w:p>
        </w:tc>
      </w:tr>
    </w:tbl>
    <w:p w:rsidR="004C5C61" w:rsidRPr="00331270" w:rsidRDefault="004C5C61" w:rsidP="00E56B0F">
      <w:pPr>
        <w:pStyle w:val="TableDescription"/>
        <w:rPr>
          <w:lang w:eastAsia="ja-JP"/>
        </w:rPr>
      </w:pPr>
      <w:r w:rsidRPr="00331270">
        <w:rPr>
          <w:lang w:eastAsia="ja-JP"/>
        </w:rPr>
        <w:t>*</w:t>
      </w:r>
      <w:r>
        <w:rPr>
          <w:lang w:eastAsia="ja-JP"/>
        </w:rPr>
        <w:t xml:space="preserve"> Na decrease &gt; -10 </w:t>
      </w:r>
      <w:proofErr w:type="spellStart"/>
      <w:r>
        <w:rPr>
          <w:lang w:eastAsia="ja-JP"/>
        </w:rPr>
        <w:t>meq</w:t>
      </w:r>
      <w:proofErr w:type="spellEnd"/>
      <w:r>
        <w:rPr>
          <w:lang w:eastAsia="ja-JP"/>
        </w:rPr>
        <w:t xml:space="preserve">/L or </w:t>
      </w:r>
      <w:proofErr w:type="spellStart"/>
      <w:r>
        <w:rPr>
          <w:lang w:eastAsia="ja-JP"/>
        </w:rPr>
        <w:t>creat</w:t>
      </w:r>
      <w:proofErr w:type="spellEnd"/>
      <w:r>
        <w:rPr>
          <w:lang w:eastAsia="ja-JP"/>
        </w:rPr>
        <w:t xml:space="preserve"> increase &gt; 10 </w:t>
      </w:r>
      <w:proofErr w:type="spellStart"/>
      <w:r>
        <w:rPr>
          <w:lang w:eastAsia="ja-JP"/>
        </w:rPr>
        <w:t>mmol</w:t>
      </w:r>
      <w:proofErr w:type="spellEnd"/>
      <w:r>
        <w:rPr>
          <w:lang w:eastAsia="ja-JP"/>
        </w:rPr>
        <w:t xml:space="preserve">/L or Na &lt;130 </w:t>
      </w:r>
      <w:proofErr w:type="spellStart"/>
      <w:r>
        <w:rPr>
          <w:lang w:eastAsia="ja-JP"/>
        </w:rPr>
        <w:t>meq</w:t>
      </w:r>
      <w:proofErr w:type="spellEnd"/>
      <w:r>
        <w:rPr>
          <w:lang w:eastAsia="ja-JP"/>
        </w:rPr>
        <w:t xml:space="preserve">/L or </w:t>
      </w:r>
      <w:proofErr w:type="spellStart"/>
      <w:r>
        <w:rPr>
          <w:lang w:eastAsia="ja-JP"/>
        </w:rPr>
        <w:t>creat</w:t>
      </w:r>
      <w:proofErr w:type="spellEnd"/>
      <w:r>
        <w:rPr>
          <w:lang w:eastAsia="ja-JP"/>
        </w:rPr>
        <w:t xml:space="preserve"> &gt; 140 </w:t>
      </w:r>
      <w:proofErr w:type="spellStart"/>
      <w:r>
        <w:rPr>
          <w:lang w:eastAsia="ja-JP"/>
        </w:rPr>
        <w:t>mmol</w:t>
      </w:r>
      <w:proofErr w:type="spellEnd"/>
      <w:r>
        <w:rPr>
          <w:lang w:eastAsia="ja-JP"/>
        </w:rPr>
        <w:t>/L</w:t>
      </w:r>
    </w:p>
    <w:p w:rsidR="004C5C61" w:rsidRPr="00CD4C09" w:rsidRDefault="004C5C61" w:rsidP="00CD4C09">
      <w:pPr>
        <w:pStyle w:val="Heading7"/>
        <w:rPr>
          <w:b/>
          <w:lang w:eastAsia="ja-JP"/>
        </w:rPr>
      </w:pPr>
      <w:r w:rsidRPr="00CD4C09">
        <w:rPr>
          <w:b/>
          <w:lang w:eastAsia="ja-JP"/>
        </w:rPr>
        <w:t>IBU/99/</w:t>
      </w:r>
      <w:proofErr w:type="spellStart"/>
      <w:r w:rsidRPr="00CD4C09">
        <w:rPr>
          <w:b/>
          <w:lang w:eastAsia="ja-JP"/>
        </w:rPr>
        <w:t>DoseRange</w:t>
      </w:r>
      <w:proofErr w:type="spellEnd"/>
      <w:r w:rsidRPr="00CD4C09">
        <w:rPr>
          <w:b/>
          <w:lang w:eastAsia="ja-JP"/>
        </w:rPr>
        <w:t xml:space="preserve"> (+27 weeks)</w:t>
      </w:r>
    </w:p>
    <w:p w:rsidR="004C5C61" w:rsidRPr="00CD4C09" w:rsidRDefault="004C5C61" w:rsidP="00CD4C09">
      <w:r w:rsidRPr="00CD4C09">
        <w:t xml:space="preserve">No major effect on renal function was reported but further data analysis showed changes suggesting mild to moderate changes (excessive weight gain and oliguria) usually associated with slight variations on </w:t>
      </w:r>
      <w:proofErr w:type="spellStart"/>
      <w:r w:rsidRPr="00CD4C09">
        <w:t>natraemia</w:t>
      </w:r>
      <w:proofErr w:type="spellEnd"/>
      <w:r w:rsidRPr="00CD4C09">
        <w:t xml:space="preserve"> and </w:t>
      </w:r>
      <w:proofErr w:type="spellStart"/>
      <w:r w:rsidRPr="00CD4C09">
        <w:t>creatininaemia</w:t>
      </w:r>
      <w:proofErr w:type="spellEnd"/>
      <w:r w:rsidRPr="00CD4C09">
        <w:t>. These effects were more frequent at the highest dose regimen.</w:t>
      </w:r>
    </w:p>
    <w:p w:rsidR="004C5C61" w:rsidRDefault="00E56B0F" w:rsidP="00F937E6">
      <w:pPr>
        <w:pStyle w:val="TableTitle"/>
        <w:rPr>
          <w:lang w:eastAsia="ja-JP"/>
        </w:rPr>
      </w:pPr>
      <w:bookmarkStart w:id="138" w:name="_Toc454981347"/>
      <w:r>
        <w:t xml:space="preserve">Table 13: </w:t>
      </w:r>
      <w:r w:rsidR="004C5C61">
        <w:t>Study IBU/99/</w:t>
      </w:r>
      <w:proofErr w:type="spellStart"/>
      <w:r w:rsidR="004C5C61">
        <w:t>DoseRange</w:t>
      </w:r>
      <w:proofErr w:type="spellEnd"/>
      <w:r w:rsidR="004C5C61">
        <w:t xml:space="preserve"> (+27 weeks): </w:t>
      </w:r>
      <w:r w:rsidR="004C5C61" w:rsidRPr="003802B3">
        <w:rPr>
          <w:lang w:eastAsia="ja-JP"/>
        </w:rPr>
        <w:t>Effects on renal function</w:t>
      </w:r>
      <w:bookmarkEnd w:id="138"/>
      <w:r w:rsidR="00F937E6">
        <w:rPr>
          <w:lang w:eastAsia="ja-JP"/>
        </w:rPr>
        <w:t>.</w:t>
      </w:r>
    </w:p>
    <w:tbl>
      <w:tblPr>
        <w:tblStyle w:val="TableGrid"/>
        <w:tblW w:w="0" w:type="auto"/>
        <w:tblLayout w:type="fixed"/>
        <w:tblLook w:val="0000" w:firstRow="0" w:lastRow="0" w:firstColumn="0" w:lastColumn="0" w:noHBand="0" w:noVBand="0"/>
        <w:tblDescription w:val="Table 13: Study IBU/99/DoseRange (+27 weeks): Effects on renal function."/>
      </w:tblPr>
      <w:tblGrid>
        <w:gridCol w:w="4248"/>
        <w:gridCol w:w="1367"/>
        <w:gridCol w:w="1208"/>
      </w:tblGrid>
      <w:tr w:rsidR="004C5C61" w:rsidRPr="00F937E6" w:rsidTr="005D7BEE">
        <w:trPr>
          <w:trHeight w:hRule="exact" w:val="432"/>
          <w:tblHeader/>
        </w:trPr>
        <w:tc>
          <w:tcPr>
            <w:tcW w:w="4248" w:type="dxa"/>
            <w:vAlign w:val="center"/>
          </w:tcPr>
          <w:p w:rsidR="004C5C61" w:rsidRPr="005D7BEE" w:rsidRDefault="004C5C61" w:rsidP="005D7BEE">
            <w:pPr>
              <w:pStyle w:val="TableHeading"/>
              <w:rPr>
                <w:b/>
                <w:color w:val="auto"/>
              </w:rPr>
            </w:pPr>
            <w:r w:rsidRPr="005D7BEE">
              <w:rPr>
                <w:b/>
                <w:color w:val="auto"/>
              </w:rPr>
              <w:t>Initial</w:t>
            </w:r>
            <w:r w:rsidRPr="005D7BEE">
              <w:rPr>
                <w:b/>
                <w:color w:val="auto"/>
                <w:spacing w:val="-5"/>
              </w:rPr>
              <w:t xml:space="preserve"> </w:t>
            </w:r>
            <w:r w:rsidRPr="005D7BEE">
              <w:rPr>
                <w:b/>
                <w:color w:val="auto"/>
              </w:rPr>
              <w:t>ibuprofen</w:t>
            </w:r>
            <w:r w:rsidRPr="005D7BEE">
              <w:rPr>
                <w:b/>
                <w:color w:val="auto"/>
                <w:spacing w:val="-9"/>
              </w:rPr>
              <w:t xml:space="preserve"> </w:t>
            </w:r>
            <w:r w:rsidRPr="005D7BEE">
              <w:rPr>
                <w:b/>
                <w:color w:val="auto"/>
              </w:rPr>
              <w:t>dose</w:t>
            </w:r>
            <w:r w:rsidRPr="005D7BEE">
              <w:rPr>
                <w:b/>
                <w:color w:val="auto"/>
                <w:spacing w:val="-5"/>
              </w:rPr>
              <w:t xml:space="preserve"> </w:t>
            </w:r>
            <w:r w:rsidRPr="005D7BEE">
              <w:rPr>
                <w:b/>
                <w:color w:val="auto"/>
              </w:rPr>
              <w:t>(mg/kg)</w:t>
            </w:r>
          </w:p>
        </w:tc>
        <w:tc>
          <w:tcPr>
            <w:tcW w:w="1367" w:type="dxa"/>
            <w:vAlign w:val="center"/>
          </w:tcPr>
          <w:p w:rsidR="004C5C61" w:rsidRPr="005D7BEE" w:rsidRDefault="004C5C61" w:rsidP="005D7BEE">
            <w:pPr>
              <w:pStyle w:val="TableHeading"/>
              <w:rPr>
                <w:b/>
                <w:color w:val="auto"/>
              </w:rPr>
            </w:pPr>
            <w:r w:rsidRPr="005D7BEE">
              <w:rPr>
                <w:b/>
                <w:color w:val="auto"/>
              </w:rPr>
              <w:t>10</w:t>
            </w:r>
            <w:r w:rsidRPr="005D7BEE">
              <w:rPr>
                <w:b/>
                <w:color w:val="auto"/>
                <w:spacing w:val="-3"/>
              </w:rPr>
              <w:t xml:space="preserve"> </w:t>
            </w:r>
            <w:r w:rsidRPr="005D7BEE">
              <w:rPr>
                <w:b/>
                <w:color w:val="auto"/>
              </w:rPr>
              <w:t>(n=8)</w:t>
            </w:r>
          </w:p>
        </w:tc>
        <w:tc>
          <w:tcPr>
            <w:tcW w:w="1208" w:type="dxa"/>
            <w:vAlign w:val="center"/>
          </w:tcPr>
          <w:p w:rsidR="004C5C61" w:rsidRPr="005D7BEE" w:rsidRDefault="004C5C61" w:rsidP="005D7BEE">
            <w:pPr>
              <w:pStyle w:val="TableHeading"/>
              <w:rPr>
                <w:b/>
                <w:color w:val="auto"/>
              </w:rPr>
            </w:pPr>
            <w:r w:rsidRPr="005D7BEE">
              <w:rPr>
                <w:b/>
                <w:color w:val="auto"/>
              </w:rPr>
              <w:t>15</w:t>
            </w:r>
            <w:r w:rsidRPr="005D7BEE">
              <w:rPr>
                <w:b/>
                <w:color w:val="auto"/>
                <w:spacing w:val="-3"/>
              </w:rPr>
              <w:t xml:space="preserve"> </w:t>
            </w:r>
            <w:r w:rsidRPr="005D7BEE">
              <w:rPr>
                <w:b/>
                <w:color w:val="auto"/>
              </w:rPr>
              <w:t>(n=11)</w:t>
            </w:r>
          </w:p>
        </w:tc>
      </w:tr>
      <w:tr w:rsidR="004C5C61" w:rsidRPr="00F937E6" w:rsidTr="005D7BEE">
        <w:trPr>
          <w:trHeight w:hRule="exact" w:val="288"/>
        </w:trPr>
        <w:tc>
          <w:tcPr>
            <w:tcW w:w="4248" w:type="dxa"/>
          </w:tcPr>
          <w:p w:rsidR="004C5C61" w:rsidRPr="00F937E6" w:rsidRDefault="004C5C61" w:rsidP="005D7BEE">
            <w:pPr>
              <w:pStyle w:val="Tabletext"/>
            </w:pPr>
            <w:r w:rsidRPr="00F937E6">
              <w:t>Reported</w:t>
            </w:r>
            <w:r w:rsidRPr="00F937E6">
              <w:rPr>
                <w:spacing w:val="-9"/>
              </w:rPr>
              <w:t xml:space="preserve"> </w:t>
            </w:r>
            <w:r w:rsidRPr="00F937E6">
              <w:t>AEs</w:t>
            </w:r>
          </w:p>
        </w:tc>
        <w:tc>
          <w:tcPr>
            <w:tcW w:w="1367" w:type="dxa"/>
          </w:tcPr>
          <w:p w:rsidR="004C5C61" w:rsidRPr="00F937E6" w:rsidRDefault="004C5C61" w:rsidP="005D7BEE">
            <w:pPr>
              <w:pStyle w:val="Tabletext"/>
              <w:jc w:val="center"/>
            </w:pPr>
          </w:p>
        </w:tc>
        <w:tc>
          <w:tcPr>
            <w:tcW w:w="1208" w:type="dxa"/>
          </w:tcPr>
          <w:p w:rsidR="004C5C61" w:rsidRPr="00F937E6" w:rsidRDefault="004C5C61" w:rsidP="005D7BEE">
            <w:pPr>
              <w:pStyle w:val="Tabletext"/>
              <w:jc w:val="center"/>
            </w:pPr>
          </w:p>
        </w:tc>
      </w:tr>
      <w:tr w:rsidR="004C5C61" w:rsidRPr="00F937E6" w:rsidTr="005D7BEE">
        <w:trPr>
          <w:trHeight w:hRule="exact" w:val="288"/>
        </w:trPr>
        <w:tc>
          <w:tcPr>
            <w:tcW w:w="4248" w:type="dxa"/>
          </w:tcPr>
          <w:p w:rsidR="004C5C61" w:rsidRPr="00F937E6" w:rsidRDefault="004C5C61" w:rsidP="005D7BEE">
            <w:pPr>
              <w:pStyle w:val="Tabletext"/>
            </w:pPr>
            <w:r w:rsidRPr="00F937E6">
              <w:t>Oliguria</w:t>
            </w:r>
          </w:p>
        </w:tc>
        <w:tc>
          <w:tcPr>
            <w:tcW w:w="1367" w:type="dxa"/>
          </w:tcPr>
          <w:p w:rsidR="004C5C61" w:rsidRPr="00F937E6" w:rsidRDefault="004C5C61" w:rsidP="005D7BEE">
            <w:pPr>
              <w:pStyle w:val="Tabletext"/>
              <w:jc w:val="center"/>
            </w:pPr>
            <w:r w:rsidRPr="00F937E6">
              <w:rPr>
                <w:w w:val="99"/>
              </w:rPr>
              <w:t>2</w:t>
            </w:r>
          </w:p>
        </w:tc>
        <w:tc>
          <w:tcPr>
            <w:tcW w:w="1208" w:type="dxa"/>
          </w:tcPr>
          <w:p w:rsidR="004C5C61" w:rsidRPr="00F937E6" w:rsidRDefault="004C5C61" w:rsidP="005D7BEE">
            <w:pPr>
              <w:pStyle w:val="Tabletext"/>
              <w:jc w:val="center"/>
            </w:pPr>
            <w:r w:rsidRPr="00F937E6">
              <w:rPr>
                <w:w w:val="99"/>
              </w:rPr>
              <w:t>5</w:t>
            </w:r>
          </w:p>
        </w:tc>
      </w:tr>
      <w:tr w:rsidR="004C5C61" w:rsidRPr="00F937E6" w:rsidTr="005D7BEE">
        <w:trPr>
          <w:trHeight w:hRule="exact" w:val="288"/>
        </w:trPr>
        <w:tc>
          <w:tcPr>
            <w:tcW w:w="4248" w:type="dxa"/>
          </w:tcPr>
          <w:p w:rsidR="004C5C61" w:rsidRPr="00F937E6" w:rsidRDefault="004C5C61" w:rsidP="005D7BEE">
            <w:pPr>
              <w:pStyle w:val="Tabletext"/>
            </w:pPr>
            <w:r w:rsidRPr="00F937E6">
              <w:t>Weight</w:t>
            </w:r>
            <w:r w:rsidRPr="00F937E6">
              <w:rPr>
                <w:spacing w:val="-7"/>
              </w:rPr>
              <w:t xml:space="preserve"> </w:t>
            </w:r>
            <w:r w:rsidRPr="00F937E6">
              <w:t>gain</w:t>
            </w:r>
          </w:p>
        </w:tc>
        <w:tc>
          <w:tcPr>
            <w:tcW w:w="1367" w:type="dxa"/>
          </w:tcPr>
          <w:p w:rsidR="004C5C61" w:rsidRPr="00F937E6" w:rsidRDefault="004C5C61" w:rsidP="005D7BEE">
            <w:pPr>
              <w:pStyle w:val="Tabletext"/>
              <w:jc w:val="center"/>
            </w:pPr>
          </w:p>
        </w:tc>
        <w:tc>
          <w:tcPr>
            <w:tcW w:w="1208" w:type="dxa"/>
          </w:tcPr>
          <w:p w:rsidR="004C5C61" w:rsidRPr="00F937E6" w:rsidRDefault="004C5C61" w:rsidP="005D7BEE">
            <w:pPr>
              <w:pStyle w:val="Tabletext"/>
              <w:jc w:val="center"/>
            </w:pPr>
            <w:r w:rsidRPr="00F937E6">
              <w:rPr>
                <w:w w:val="99"/>
              </w:rPr>
              <w:t>2</w:t>
            </w:r>
          </w:p>
        </w:tc>
      </w:tr>
      <w:tr w:rsidR="004C5C61" w:rsidRPr="00F937E6" w:rsidTr="005D7BEE">
        <w:trPr>
          <w:trHeight w:hRule="exact" w:val="288"/>
        </w:trPr>
        <w:tc>
          <w:tcPr>
            <w:tcW w:w="4248" w:type="dxa"/>
          </w:tcPr>
          <w:p w:rsidR="004C5C61" w:rsidRPr="00F937E6" w:rsidRDefault="004C5C61" w:rsidP="005D7BEE">
            <w:pPr>
              <w:pStyle w:val="Tabletext"/>
            </w:pPr>
            <w:r w:rsidRPr="00F937E6">
              <w:t>Total</w:t>
            </w:r>
            <w:r w:rsidRPr="00F937E6">
              <w:rPr>
                <w:spacing w:val="-5"/>
              </w:rPr>
              <w:t xml:space="preserve"> </w:t>
            </w:r>
            <w:r w:rsidRPr="00F937E6">
              <w:t>patients</w:t>
            </w:r>
          </w:p>
        </w:tc>
        <w:tc>
          <w:tcPr>
            <w:tcW w:w="1367" w:type="dxa"/>
          </w:tcPr>
          <w:p w:rsidR="004C5C61" w:rsidRPr="00F937E6" w:rsidRDefault="004C5C61" w:rsidP="005D7BEE">
            <w:pPr>
              <w:pStyle w:val="Tabletext"/>
              <w:jc w:val="center"/>
            </w:pPr>
            <w:r w:rsidRPr="00F937E6">
              <w:t>2</w:t>
            </w:r>
            <w:r w:rsidRPr="00F937E6">
              <w:rPr>
                <w:spacing w:val="-1"/>
              </w:rPr>
              <w:t xml:space="preserve"> </w:t>
            </w:r>
            <w:r w:rsidRPr="00F937E6">
              <w:rPr>
                <w:w w:val="99"/>
              </w:rPr>
              <w:t>(25%)</w:t>
            </w:r>
          </w:p>
        </w:tc>
        <w:tc>
          <w:tcPr>
            <w:tcW w:w="1208" w:type="dxa"/>
          </w:tcPr>
          <w:p w:rsidR="004C5C61" w:rsidRPr="00F937E6" w:rsidRDefault="004C5C61" w:rsidP="005D7BEE">
            <w:pPr>
              <w:pStyle w:val="Tabletext"/>
              <w:jc w:val="center"/>
            </w:pPr>
            <w:r w:rsidRPr="00F937E6">
              <w:t>6</w:t>
            </w:r>
            <w:r w:rsidRPr="00F937E6">
              <w:rPr>
                <w:spacing w:val="-1"/>
              </w:rPr>
              <w:t xml:space="preserve"> </w:t>
            </w:r>
            <w:r w:rsidRPr="00F937E6">
              <w:rPr>
                <w:w w:val="99"/>
              </w:rPr>
              <w:t>(55%)</w:t>
            </w:r>
          </w:p>
        </w:tc>
      </w:tr>
      <w:tr w:rsidR="004C5C61" w:rsidRPr="00F937E6" w:rsidTr="005D7BEE">
        <w:trPr>
          <w:trHeight w:hRule="exact" w:val="288"/>
        </w:trPr>
        <w:tc>
          <w:tcPr>
            <w:tcW w:w="4248" w:type="dxa"/>
          </w:tcPr>
          <w:p w:rsidR="004C5C61" w:rsidRPr="00F937E6" w:rsidRDefault="004C5C61" w:rsidP="005D7BEE">
            <w:pPr>
              <w:pStyle w:val="Tabletext"/>
            </w:pPr>
            <w:r w:rsidRPr="00F937E6">
              <w:t>Calculated</w:t>
            </w:r>
            <w:r w:rsidRPr="00F937E6">
              <w:rPr>
                <w:spacing w:val="-10"/>
              </w:rPr>
              <w:t xml:space="preserve"> </w:t>
            </w:r>
            <w:r w:rsidRPr="00F937E6">
              <w:t>daily</w:t>
            </w:r>
            <w:r w:rsidRPr="00F937E6">
              <w:rPr>
                <w:spacing w:val="-5"/>
              </w:rPr>
              <w:t xml:space="preserve"> </w:t>
            </w:r>
            <w:r w:rsidRPr="00F937E6">
              <w:t>weight</w:t>
            </w:r>
            <w:r w:rsidRPr="00F937E6">
              <w:rPr>
                <w:spacing w:val="-6"/>
              </w:rPr>
              <w:t xml:space="preserve"> </w:t>
            </w:r>
            <w:r w:rsidRPr="00F937E6">
              <w:t>gain</w:t>
            </w:r>
            <w:r w:rsidRPr="00F937E6">
              <w:rPr>
                <w:spacing w:val="-4"/>
              </w:rPr>
              <w:t xml:space="preserve"> </w:t>
            </w:r>
            <w:r w:rsidRPr="00F937E6">
              <w:t>&gt;</w:t>
            </w:r>
            <w:r w:rsidRPr="00F937E6">
              <w:rPr>
                <w:spacing w:val="-1"/>
              </w:rPr>
              <w:t xml:space="preserve"> </w:t>
            </w:r>
            <w:r w:rsidRPr="00F937E6">
              <w:t>30g/kg</w:t>
            </w:r>
          </w:p>
        </w:tc>
        <w:tc>
          <w:tcPr>
            <w:tcW w:w="1367" w:type="dxa"/>
          </w:tcPr>
          <w:p w:rsidR="004C5C61" w:rsidRPr="00F937E6" w:rsidRDefault="004C5C61" w:rsidP="005D7BEE">
            <w:pPr>
              <w:pStyle w:val="Tabletext"/>
              <w:jc w:val="center"/>
            </w:pPr>
          </w:p>
        </w:tc>
        <w:tc>
          <w:tcPr>
            <w:tcW w:w="1208" w:type="dxa"/>
          </w:tcPr>
          <w:p w:rsidR="004C5C61" w:rsidRPr="00F937E6" w:rsidRDefault="004C5C61" w:rsidP="005D7BEE">
            <w:pPr>
              <w:pStyle w:val="Tabletext"/>
              <w:jc w:val="center"/>
            </w:pPr>
          </w:p>
        </w:tc>
      </w:tr>
      <w:tr w:rsidR="004C5C61" w:rsidRPr="00F937E6" w:rsidTr="005D7BEE">
        <w:trPr>
          <w:trHeight w:hRule="exact" w:val="288"/>
        </w:trPr>
        <w:tc>
          <w:tcPr>
            <w:tcW w:w="4248" w:type="dxa"/>
          </w:tcPr>
          <w:p w:rsidR="004C5C61" w:rsidRPr="00F937E6" w:rsidRDefault="004C5C61" w:rsidP="005D7BEE">
            <w:pPr>
              <w:pStyle w:val="Tabletext"/>
            </w:pPr>
            <w:r w:rsidRPr="00F937E6">
              <w:t>Total</w:t>
            </w:r>
            <w:r w:rsidRPr="00F937E6">
              <w:rPr>
                <w:spacing w:val="-5"/>
              </w:rPr>
              <w:t xml:space="preserve"> </w:t>
            </w:r>
            <w:r w:rsidRPr="00F937E6">
              <w:t>patients</w:t>
            </w:r>
          </w:p>
        </w:tc>
        <w:tc>
          <w:tcPr>
            <w:tcW w:w="1367" w:type="dxa"/>
          </w:tcPr>
          <w:p w:rsidR="004C5C61" w:rsidRPr="00F937E6" w:rsidRDefault="004C5C61" w:rsidP="005D7BEE">
            <w:pPr>
              <w:pStyle w:val="Tabletext"/>
              <w:jc w:val="center"/>
            </w:pPr>
            <w:r w:rsidRPr="00F937E6">
              <w:t>4</w:t>
            </w:r>
            <w:r w:rsidRPr="00F937E6">
              <w:rPr>
                <w:spacing w:val="-1"/>
              </w:rPr>
              <w:t xml:space="preserve"> </w:t>
            </w:r>
            <w:r w:rsidRPr="00F937E6">
              <w:t>(50%)</w:t>
            </w:r>
          </w:p>
        </w:tc>
        <w:tc>
          <w:tcPr>
            <w:tcW w:w="1208" w:type="dxa"/>
          </w:tcPr>
          <w:p w:rsidR="004C5C61" w:rsidRPr="00F937E6" w:rsidRDefault="004C5C61" w:rsidP="005D7BEE">
            <w:pPr>
              <w:pStyle w:val="Tabletext"/>
              <w:jc w:val="center"/>
            </w:pPr>
            <w:r w:rsidRPr="00F937E6">
              <w:t>6</w:t>
            </w:r>
            <w:r w:rsidRPr="00F937E6">
              <w:rPr>
                <w:spacing w:val="-1"/>
              </w:rPr>
              <w:t xml:space="preserve"> </w:t>
            </w:r>
            <w:r w:rsidRPr="00F937E6">
              <w:t>(55%)</w:t>
            </w:r>
          </w:p>
        </w:tc>
      </w:tr>
      <w:tr w:rsidR="004C5C61" w:rsidRPr="00F937E6" w:rsidTr="005D7BEE">
        <w:trPr>
          <w:trHeight w:hRule="exact" w:val="288"/>
        </w:trPr>
        <w:tc>
          <w:tcPr>
            <w:tcW w:w="4248" w:type="dxa"/>
          </w:tcPr>
          <w:p w:rsidR="004C5C61" w:rsidRPr="00F937E6" w:rsidRDefault="004C5C61" w:rsidP="005D7BEE">
            <w:pPr>
              <w:pStyle w:val="Tabletext"/>
            </w:pPr>
            <w:r w:rsidRPr="00F937E6">
              <w:t>24-hour</w:t>
            </w:r>
            <w:r w:rsidRPr="00F937E6">
              <w:rPr>
                <w:spacing w:val="-8"/>
              </w:rPr>
              <w:t xml:space="preserve"> </w:t>
            </w:r>
            <w:r w:rsidRPr="00F937E6">
              <w:t>urine</w:t>
            </w:r>
            <w:r w:rsidRPr="00F937E6">
              <w:rPr>
                <w:spacing w:val="-5"/>
              </w:rPr>
              <w:t xml:space="preserve"> </w:t>
            </w:r>
            <w:r w:rsidRPr="00F937E6">
              <w:rPr>
                <w:w w:val="99"/>
              </w:rPr>
              <w:t>output</w:t>
            </w:r>
          </w:p>
        </w:tc>
        <w:tc>
          <w:tcPr>
            <w:tcW w:w="1367" w:type="dxa"/>
          </w:tcPr>
          <w:p w:rsidR="004C5C61" w:rsidRPr="00F937E6" w:rsidRDefault="004C5C61" w:rsidP="005D7BEE">
            <w:pPr>
              <w:pStyle w:val="Tabletext"/>
              <w:jc w:val="center"/>
            </w:pPr>
          </w:p>
        </w:tc>
        <w:tc>
          <w:tcPr>
            <w:tcW w:w="1208" w:type="dxa"/>
          </w:tcPr>
          <w:p w:rsidR="004C5C61" w:rsidRPr="00F937E6" w:rsidRDefault="004C5C61" w:rsidP="005D7BEE">
            <w:pPr>
              <w:pStyle w:val="Tabletext"/>
              <w:jc w:val="center"/>
            </w:pPr>
          </w:p>
        </w:tc>
      </w:tr>
      <w:tr w:rsidR="004C5C61" w:rsidRPr="00F937E6" w:rsidTr="005D7BEE">
        <w:trPr>
          <w:trHeight w:hRule="exact" w:val="288"/>
        </w:trPr>
        <w:tc>
          <w:tcPr>
            <w:tcW w:w="4248" w:type="dxa"/>
          </w:tcPr>
          <w:p w:rsidR="004C5C61" w:rsidRPr="00F937E6" w:rsidRDefault="004C5C61" w:rsidP="005D7BEE">
            <w:pPr>
              <w:pStyle w:val="Tabletext"/>
            </w:pPr>
            <w:r w:rsidRPr="00F937E6">
              <w:t>&lt;</w:t>
            </w:r>
            <w:r w:rsidRPr="00F937E6">
              <w:rPr>
                <w:spacing w:val="-1"/>
              </w:rPr>
              <w:t xml:space="preserve"> </w:t>
            </w:r>
            <w:r w:rsidRPr="00F937E6">
              <w:t>1.0</w:t>
            </w:r>
            <w:r w:rsidRPr="00F937E6">
              <w:rPr>
                <w:spacing w:val="-3"/>
              </w:rPr>
              <w:t xml:space="preserve"> </w:t>
            </w:r>
            <w:r w:rsidRPr="00F937E6">
              <w:rPr>
                <w:w w:val="99"/>
              </w:rPr>
              <w:t>ml/kg/h</w:t>
            </w:r>
          </w:p>
        </w:tc>
        <w:tc>
          <w:tcPr>
            <w:tcW w:w="1367" w:type="dxa"/>
          </w:tcPr>
          <w:p w:rsidR="004C5C61" w:rsidRPr="00F937E6" w:rsidRDefault="004C5C61" w:rsidP="005D7BEE">
            <w:pPr>
              <w:pStyle w:val="Tabletext"/>
              <w:jc w:val="center"/>
            </w:pPr>
            <w:r w:rsidRPr="00F937E6">
              <w:rPr>
                <w:w w:val="99"/>
              </w:rPr>
              <w:t>0</w:t>
            </w:r>
          </w:p>
        </w:tc>
        <w:tc>
          <w:tcPr>
            <w:tcW w:w="1208" w:type="dxa"/>
          </w:tcPr>
          <w:p w:rsidR="004C5C61" w:rsidRPr="00F937E6" w:rsidRDefault="004C5C61" w:rsidP="005D7BEE">
            <w:pPr>
              <w:pStyle w:val="Tabletext"/>
              <w:jc w:val="center"/>
            </w:pPr>
            <w:r w:rsidRPr="00F937E6">
              <w:rPr>
                <w:w w:val="99"/>
              </w:rPr>
              <w:t>0</w:t>
            </w:r>
          </w:p>
        </w:tc>
      </w:tr>
      <w:tr w:rsidR="004C5C61" w:rsidRPr="00F937E6" w:rsidTr="005D7BEE">
        <w:trPr>
          <w:trHeight w:hRule="exact" w:val="288"/>
        </w:trPr>
        <w:tc>
          <w:tcPr>
            <w:tcW w:w="4248" w:type="dxa"/>
          </w:tcPr>
          <w:p w:rsidR="004C5C61" w:rsidRPr="00F937E6" w:rsidRDefault="004C5C61" w:rsidP="005D7BEE">
            <w:pPr>
              <w:pStyle w:val="Tabletext"/>
            </w:pPr>
            <w:r w:rsidRPr="00F937E6">
              <w:t>≤ 1.4 ml/kg/h</w:t>
            </w:r>
          </w:p>
        </w:tc>
        <w:tc>
          <w:tcPr>
            <w:tcW w:w="1367" w:type="dxa"/>
          </w:tcPr>
          <w:p w:rsidR="004C5C61" w:rsidRPr="00F937E6" w:rsidRDefault="004C5C61" w:rsidP="005D7BEE">
            <w:pPr>
              <w:pStyle w:val="Tabletext"/>
              <w:jc w:val="center"/>
            </w:pPr>
            <w:r w:rsidRPr="00F937E6">
              <w:t>1</w:t>
            </w:r>
            <w:r w:rsidRPr="00F937E6">
              <w:rPr>
                <w:spacing w:val="-1"/>
              </w:rPr>
              <w:t xml:space="preserve"> </w:t>
            </w:r>
            <w:r w:rsidRPr="00F937E6">
              <w:rPr>
                <w:w w:val="99"/>
              </w:rPr>
              <w:t>(12%)</w:t>
            </w:r>
          </w:p>
        </w:tc>
        <w:tc>
          <w:tcPr>
            <w:tcW w:w="1208" w:type="dxa"/>
          </w:tcPr>
          <w:p w:rsidR="004C5C61" w:rsidRPr="00F937E6" w:rsidRDefault="004C5C61" w:rsidP="005D7BEE">
            <w:pPr>
              <w:pStyle w:val="Tabletext"/>
              <w:jc w:val="center"/>
            </w:pPr>
            <w:r w:rsidRPr="00F937E6">
              <w:t>4</w:t>
            </w:r>
            <w:r w:rsidRPr="00F937E6">
              <w:rPr>
                <w:spacing w:val="-1"/>
              </w:rPr>
              <w:t xml:space="preserve"> </w:t>
            </w:r>
            <w:r w:rsidRPr="00F937E6">
              <w:rPr>
                <w:w w:val="99"/>
              </w:rPr>
              <w:t>(36%)</w:t>
            </w:r>
          </w:p>
        </w:tc>
      </w:tr>
      <w:tr w:rsidR="004C5C61" w:rsidRPr="00F937E6" w:rsidTr="005D7BEE">
        <w:trPr>
          <w:trHeight w:hRule="exact" w:val="288"/>
        </w:trPr>
        <w:tc>
          <w:tcPr>
            <w:tcW w:w="4248" w:type="dxa"/>
          </w:tcPr>
          <w:p w:rsidR="004C5C61" w:rsidRPr="00F937E6" w:rsidRDefault="004C5C61" w:rsidP="005D7BEE">
            <w:pPr>
              <w:pStyle w:val="Tabletext"/>
            </w:pPr>
            <w:r w:rsidRPr="00F937E6">
              <w:t>Slight changes in Na and/or creatinine</w:t>
            </w:r>
          </w:p>
        </w:tc>
        <w:tc>
          <w:tcPr>
            <w:tcW w:w="1367" w:type="dxa"/>
          </w:tcPr>
          <w:p w:rsidR="004C5C61" w:rsidRPr="00F937E6" w:rsidRDefault="004C5C61" w:rsidP="005D7BEE">
            <w:pPr>
              <w:pStyle w:val="Tabletext"/>
              <w:jc w:val="center"/>
            </w:pPr>
          </w:p>
        </w:tc>
        <w:tc>
          <w:tcPr>
            <w:tcW w:w="1208" w:type="dxa"/>
          </w:tcPr>
          <w:p w:rsidR="004C5C61" w:rsidRPr="00F937E6" w:rsidRDefault="004C5C61" w:rsidP="005D7BEE">
            <w:pPr>
              <w:pStyle w:val="Tabletext"/>
              <w:jc w:val="center"/>
            </w:pPr>
          </w:p>
        </w:tc>
      </w:tr>
      <w:tr w:rsidR="004C5C61" w:rsidRPr="00F937E6" w:rsidTr="005D7BEE">
        <w:trPr>
          <w:trHeight w:hRule="exact" w:val="288"/>
        </w:trPr>
        <w:tc>
          <w:tcPr>
            <w:tcW w:w="4248" w:type="dxa"/>
          </w:tcPr>
          <w:p w:rsidR="004C5C61" w:rsidRPr="00F937E6" w:rsidRDefault="004C5C61" w:rsidP="005D7BEE">
            <w:pPr>
              <w:pStyle w:val="Tabletext"/>
            </w:pPr>
            <w:r w:rsidRPr="00F937E6">
              <w:t>Total</w:t>
            </w:r>
            <w:r w:rsidRPr="00F937E6">
              <w:rPr>
                <w:spacing w:val="-5"/>
              </w:rPr>
              <w:t xml:space="preserve"> </w:t>
            </w:r>
            <w:r w:rsidRPr="00F937E6">
              <w:t>patients</w:t>
            </w:r>
          </w:p>
        </w:tc>
        <w:tc>
          <w:tcPr>
            <w:tcW w:w="1367" w:type="dxa"/>
          </w:tcPr>
          <w:p w:rsidR="004C5C61" w:rsidRPr="00F937E6" w:rsidRDefault="004C5C61" w:rsidP="005D7BEE">
            <w:pPr>
              <w:pStyle w:val="Tabletext"/>
              <w:jc w:val="center"/>
            </w:pPr>
            <w:r w:rsidRPr="00F937E6">
              <w:t>2</w:t>
            </w:r>
            <w:r w:rsidRPr="00F937E6">
              <w:rPr>
                <w:spacing w:val="-1"/>
              </w:rPr>
              <w:t xml:space="preserve"> </w:t>
            </w:r>
            <w:r w:rsidRPr="00F937E6">
              <w:t>(25%)</w:t>
            </w:r>
          </w:p>
        </w:tc>
        <w:tc>
          <w:tcPr>
            <w:tcW w:w="1208" w:type="dxa"/>
          </w:tcPr>
          <w:p w:rsidR="004C5C61" w:rsidRPr="00F937E6" w:rsidRDefault="004C5C61" w:rsidP="005D7BEE">
            <w:pPr>
              <w:pStyle w:val="Tabletext"/>
              <w:jc w:val="center"/>
            </w:pPr>
            <w:r w:rsidRPr="00F937E6">
              <w:t>6</w:t>
            </w:r>
            <w:r w:rsidRPr="00F937E6">
              <w:rPr>
                <w:spacing w:val="-1"/>
              </w:rPr>
              <w:t xml:space="preserve"> </w:t>
            </w:r>
            <w:r w:rsidRPr="00F937E6">
              <w:t>(55%)</w:t>
            </w:r>
          </w:p>
        </w:tc>
      </w:tr>
      <w:tr w:rsidR="004C5C61" w:rsidRPr="00F937E6" w:rsidTr="005D7BEE">
        <w:trPr>
          <w:trHeight w:hRule="exact" w:val="288"/>
        </w:trPr>
        <w:tc>
          <w:tcPr>
            <w:tcW w:w="4248" w:type="dxa"/>
          </w:tcPr>
          <w:p w:rsidR="004C5C61" w:rsidRPr="00F937E6" w:rsidRDefault="004C5C61" w:rsidP="005D7BEE">
            <w:pPr>
              <w:pStyle w:val="Tabletext"/>
            </w:pPr>
            <w:r w:rsidRPr="00F937E6">
              <w:t>Overall</w:t>
            </w:r>
          </w:p>
        </w:tc>
        <w:tc>
          <w:tcPr>
            <w:tcW w:w="1367" w:type="dxa"/>
          </w:tcPr>
          <w:p w:rsidR="004C5C61" w:rsidRPr="00F937E6" w:rsidRDefault="004C5C61" w:rsidP="005D7BEE">
            <w:pPr>
              <w:pStyle w:val="Tabletext"/>
              <w:jc w:val="center"/>
            </w:pPr>
          </w:p>
        </w:tc>
        <w:tc>
          <w:tcPr>
            <w:tcW w:w="1208" w:type="dxa"/>
          </w:tcPr>
          <w:p w:rsidR="004C5C61" w:rsidRPr="00F937E6" w:rsidRDefault="004C5C61" w:rsidP="005D7BEE">
            <w:pPr>
              <w:pStyle w:val="Tabletext"/>
              <w:jc w:val="center"/>
            </w:pPr>
          </w:p>
        </w:tc>
      </w:tr>
      <w:tr w:rsidR="004C5C61" w:rsidRPr="00F937E6" w:rsidTr="005D7BEE">
        <w:trPr>
          <w:trHeight w:hRule="exact" w:val="288"/>
        </w:trPr>
        <w:tc>
          <w:tcPr>
            <w:tcW w:w="4248" w:type="dxa"/>
          </w:tcPr>
          <w:p w:rsidR="004C5C61" w:rsidRPr="00F937E6" w:rsidRDefault="004C5C61" w:rsidP="005D7BEE">
            <w:pPr>
              <w:pStyle w:val="Tabletext"/>
            </w:pPr>
            <w:r w:rsidRPr="00F937E6">
              <w:t>Total</w:t>
            </w:r>
            <w:r w:rsidRPr="00F937E6">
              <w:rPr>
                <w:spacing w:val="-5"/>
              </w:rPr>
              <w:t xml:space="preserve"> </w:t>
            </w:r>
            <w:r w:rsidRPr="00F937E6">
              <w:t>patients</w:t>
            </w:r>
          </w:p>
        </w:tc>
        <w:tc>
          <w:tcPr>
            <w:tcW w:w="1367" w:type="dxa"/>
          </w:tcPr>
          <w:p w:rsidR="004C5C61" w:rsidRPr="00F937E6" w:rsidRDefault="004C5C61" w:rsidP="005D7BEE">
            <w:pPr>
              <w:pStyle w:val="Tabletext"/>
              <w:jc w:val="center"/>
            </w:pPr>
            <w:r w:rsidRPr="00F937E6">
              <w:t>5</w:t>
            </w:r>
            <w:r w:rsidRPr="00F937E6">
              <w:rPr>
                <w:spacing w:val="-1"/>
              </w:rPr>
              <w:t xml:space="preserve"> </w:t>
            </w:r>
            <w:r w:rsidRPr="00F937E6">
              <w:t>(62%)</w:t>
            </w:r>
          </w:p>
        </w:tc>
        <w:tc>
          <w:tcPr>
            <w:tcW w:w="1208" w:type="dxa"/>
          </w:tcPr>
          <w:p w:rsidR="004C5C61" w:rsidRPr="00F937E6" w:rsidRDefault="004C5C61" w:rsidP="005D7BEE">
            <w:pPr>
              <w:pStyle w:val="Tabletext"/>
              <w:jc w:val="center"/>
            </w:pPr>
            <w:r w:rsidRPr="00F937E6">
              <w:t>9</w:t>
            </w:r>
            <w:r w:rsidRPr="00F937E6">
              <w:rPr>
                <w:spacing w:val="-1"/>
              </w:rPr>
              <w:t xml:space="preserve"> </w:t>
            </w:r>
            <w:r w:rsidRPr="00F937E6">
              <w:t>(82%)</w:t>
            </w:r>
          </w:p>
        </w:tc>
      </w:tr>
    </w:tbl>
    <w:p w:rsidR="004C5C61" w:rsidRDefault="004C5C61" w:rsidP="00CD4C09">
      <w:pPr>
        <w:pStyle w:val="Heading5"/>
      </w:pPr>
      <w:bookmarkStart w:id="139" w:name="_Toc272414671"/>
      <w:bookmarkStart w:id="140" w:name="_Toc290888535"/>
      <w:bookmarkStart w:id="141" w:name="_Toc416353751"/>
      <w:bookmarkStart w:id="142" w:name="_Toc421005294"/>
      <w:bookmarkStart w:id="143" w:name="_Toc432079171"/>
      <w:bookmarkStart w:id="144" w:name="_Toc432080744"/>
      <w:r w:rsidRPr="00545B14">
        <w:t>Other clinical chemistry</w:t>
      </w:r>
      <w:bookmarkEnd w:id="139"/>
      <w:bookmarkEnd w:id="140"/>
      <w:bookmarkEnd w:id="141"/>
      <w:bookmarkEnd w:id="142"/>
      <w:bookmarkEnd w:id="143"/>
      <w:bookmarkEnd w:id="144"/>
    </w:p>
    <w:p w:rsidR="004C5C61" w:rsidRPr="005D53B8" w:rsidRDefault="004C5C61" w:rsidP="00CD4C09">
      <w:pPr>
        <w:pStyle w:val="Heading6"/>
        <w:rPr>
          <w:lang w:eastAsia="ja-JP"/>
        </w:rPr>
      </w:pPr>
      <w:r w:rsidRPr="005D53B8">
        <w:rPr>
          <w:lang w:eastAsia="ja-JP"/>
        </w:rPr>
        <w:t>Glucose</w:t>
      </w:r>
    </w:p>
    <w:p w:rsidR="004C5C61" w:rsidRPr="00CD4C09" w:rsidRDefault="004C5C61" w:rsidP="00CD4C09">
      <w:pPr>
        <w:pStyle w:val="Heading7"/>
        <w:rPr>
          <w:b/>
          <w:lang w:eastAsia="ja-JP"/>
        </w:rPr>
      </w:pPr>
      <w:r w:rsidRPr="00CD4C09">
        <w:rPr>
          <w:b/>
          <w:lang w:eastAsia="ja-JP"/>
        </w:rPr>
        <w:t>Study IBU/99/</w:t>
      </w:r>
      <w:proofErr w:type="spellStart"/>
      <w:r w:rsidRPr="00CD4C09">
        <w:rPr>
          <w:b/>
          <w:lang w:eastAsia="ja-JP"/>
        </w:rPr>
        <w:t>DoseRange</w:t>
      </w:r>
      <w:proofErr w:type="spellEnd"/>
      <w:r w:rsidRPr="00CD4C09">
        <w:rPr>
          <w:b/>
          <w:lang w:eastAsia="ja-JP"/>
        </w:rPr>
        <w:t xml:space="preserve"> (+27)</w:t>
      </w:r>
    </w:p>
    <w:p w:rsidR="004C5C61" w:rsidRPr="00CD4C09" w:rsidRDefault="004C5C61" w:rsidP="00CD4C09">
      <w:r w:rsidRPr="00CD4C09">
        <w:t xml:space="preserve">Since the Pedea ibuprofen solution contains trometamol, an alkalinising agent which may induce hypoglycaemia at high doses, blood glucose and pH were measured before and 30 minutes after the loading dose. Median blood glucose decreased from 5.5 to 5.1 </w:t>
      </w:r>
      <w:proofErr w:type="spellStart"/>
      <w:r w:rsidRPr="00CD4C09">
        <w:t>mmol</w:t>
      </w:r>
      <w:proofErr w:type="spellEnd"/>
      <w:r w:rsidRPr="00CD4C09">
        <w:t>/L (in 15 patients with available data) but without apparent dose relationship. Median blood pH did not change (in 11 patients with available data).</w:t>
      </w:r>
    </w:p>
    <w:p w:rsidR="004C5C61" w:rsidRPr="00CD4C09" w:rsidRDefault="004C5C61" w:rsidP="00CD4C09">
      <w:pPr>
        <w:pStyle w:val="Heading7"/>
        <w:rPr>
          <w:b/>
          <w:lang w:eastAsia="ja-JP"/>
        </w:rPr>
      </w:pPr>
      <w:r w:rsidRPr="00CD4C09">
        <w:rPr>
          <w:b/>
          <w:lang w:eastAsia="ja-JP"/>
        </w:rPr>
        <w:lastRenderedPageBreak/>
        <w:t>Study IBU/20mg/2009</w:t>
      </w:r>
    </w:p>
    <w:p w:rsidR="004C5C61" w:rsidRPr="00CD4C09" w:rsidRDefault="004C5C61" w:rsidP="00CD4C09">
      <w:r w:rsidRPr="00CD4C09">
        <w:t xml:space="preserve">All patients remained within a range of </w:t>
      </w:r>
      <w:proofErr w:type="gramStart"/>
      <w:r w:rsidRPr="00CD4C09">
        <w:t xml:space="preserve">3.5 </w:t>
      </w:r>
      <w:proofErr w:type="spellStart"/>
      <w:r w:rsidRPr="00CD4C09">
        <w:t>mmol</w:t>
      </w:r>
      <w:proofErr w:type="spellEnd"/>
      <w:r w:rsidRPr="00CD4C09">
        <w:t>/L</w:t>
      </w:r>
      <w:proofErr w:type="gramEnd"/>
      <w:r w:rsidRPr="00CD4C09">
        <w:t xml:space="preserve"> and 11.6 </w:t>
      </w:r>
      <w:proofErr w:type="spellStart"/>
      <w:r w:rsidRPr="00CD4C09">
        <w:t>mmol</w:t>
      </w:r>
      <w:proofErr w:type="spellEnd"/>
      <w:r w:rsidRPr="00CD4C09">
        <w:t>/L, which corresponds to acceptable ranges for preterm newborns.</w:t>
      </w:r>
    </w:p>
    <w:p w:rsidR="004C5C61" w:rsidRPr="00545B14" w:rsidRDefault="004C5C61" w:rsidP="00CD4C09">
      <w:pPr>
        <w:pStyle w:val="Heading6"/>
      </w:pPr>
      <w:bookmarkStart w:id="145" w:name="_Toc272414672"/>
      <w:bookmarkStart w:id="146" w:name="_Toc290888536"/>
      <w:bookmarkStart w:id="147" w:name="_Toc416353752"/>
      <w:bookmarkStart w:id="148" w:name="_Toc421005295"/>
      <w:bookmarkStart w:id="149" w:name="_Toc432079172"/>
      <w:bookmarkStart w:id="150" w:name="_Toc432080745"/>
      <w:r w:rsidRPr="00545B14">
        <w:t>Haematology</w:t>
      </w:r>
      <w:bookmarkEnd w:id="145"/>
      <w:bookmarkEnd w:id="146"/>
      <w:bookmarkEnd w:id="147"/>
      <w:bookmarkEnd w:id="148"/>
      <w:r>
        <w:t xml:space="preserve"> and haematological toxicity</w:t>
      </w:r>
      <w:bookmarkEnd w:id="149"/>
      <w:bookmarkEnd w:id="150"/>
    </w:p>
    <w:p w:rsidR="004C5C61" w:rsidRPr="00CD4C09" w:rsidRDefault="004C5C61" w:rsidP="00CD4C09">
      <w:bookmarkStart w:id="151" w:name="_Toc272414674"/>
      <w:bookmarkStart w:id="152" w:name="_Toc290888538"/>
      <w:bookmarkStart w:id="153" w:name="_Toc416353753"/>
      <w:bookmarkStart w:id="154" w:name="_Toc421005296"/>
      <w:bookmarkStart w:id="155" w:name="_Toc432079173"/>
      <w:bookmarkStart w:id="156" w:name="_Toc432080746"/>
      <w:r w:rsidRPr="00CD4C09">
        <w:t>In most of the studies haematology parameters were measured at inclusion and at end of treatment. No consistent, clinically significant changes were found in any of the studies.</w:t>
      </w:r>
    </w:p>
    <w:p w:rsidR="004C5C61" w:rsidRPr="00545B14" w:rsidRDefault="004C5C61" w:rsidP="00CD4C09">
      <w:pPr>
        <w:pStyle w:val="Heading6"/>
      </w:pPr>
      <w:bookmarkStart w:id="157" w:name="_Toc272414676"/>
      <w:bookmarkStart w:id="158" w:name="_Toc290888540"/>
      <w:bookmarkStart w:id="159" w:name="_Toc416353755"/>
      <w:bookmarkStart w:id="160" w:name="_Toc421005298"/>
      <w:bookmarkStart w:id="161" w:name="_Toc432079175"/>
      <w:bookmarkStart w:id="162" w:name="_Toc432080748"/>
      <w:bookmarkEnd w:id="151"/>
      <w:bookmarkEnd w:id="152"/>
      <w:bookmarkEnd w:id="153"/>
      <w:bookmarkEnd w:id="154"/>
      <w:bookmarkEnd w:id="155"/>
      <w:bookmarkEnd w:id="156"/>
      <w:r w:rsidRPr="00545B14">
        <w:t>Vital signs</w:t>
      </w:r>
      <w:bookmarkEnd w:id="157"/>
      <w:bookmarkEnd w:id="158"/>
      <w:bookmarkEnd w:id="159"/>
      <w:bookmarkEnd w:id="160"/>
      <w:r>
        <w:t xml:space="preserve"> and clinical examination findings</w:t>
      </w:r>
      <w:bookmarkEnd w:id="161"/>
      <w:bookmarkEnd w:id="162"/>
    </w:p>
    <w:p w:rsidR="004C5C61" w:rsidRPr="00CD4C09" w:rsidRDefault="004C5C61" w:rsidP="00CD4C09">
      <w:bookmarkStart w:id="163" w:name="_Toc432079176"/>
      <w:bookmarkStart w:id="164" w:name="_Toc432080749"/>
      <w:r w:rsidRPr="00CD4C09">
        <w:t xml:space="preserve">Overall, no consistent clinical relevant changes in vital signs and physical examination were found that could be related to ibuprofen. </w:t>
      </w:r>
      <w:bookmarkEnd w:id="163"/>
      <w:bookmarkEnd w:id="164"/>
      <w:r w:rsidRPr="00CD4C09">
        <w:t>Not all CSRs report on the individual parameters.</w:t>
      </w:r>
    </w:p>
    <w:p w:rsidR="004C5C61" w:rsidRPr="00CD4C09" w:rsidRDefault="004C5C61" w:rsidP="00CD4C09">
      <w:pPr>
        <w:pStyle w:val="Heading7"/>
        <w:rPr>
          <w:b/>
          <w:lang w:eastAsia="ja-JP"/>
        </w:rPr>
      </w:pPr>
      <w:r w:rsidRPr="00CD4C09">
        <w:rPr>
          <w:b/>
          <w:lang w:eastAsia="ja-JP"/>
        </w:rPr>
        <w:t>Study IBU/99/</w:t>
      </w:r>
      <w:proofErr w:type="spellStart"/>
      <w:r w:rsidRPr="00CD4C09">
        <w:rPr>
          <w:b/>
          <w:lang w:eastAsia="ja-JP"/>
        </w:rPr>
        <w:t>DoseRange</w:t>
      </w:r>
      <w:proofErr w:type="spellEnd"/>
    </w:p>
    <w:p w:rsidR="004C5C61" w:rsidRPr="00CD4C09" w:rsidRDefault="004C5C61" w:rsidP="00CD4C09">
      <w:pPr>
        <w:pStyle w:val="Heading7"/>
        <w:rPr>
          <w:b/>
          <w:lang w:eastAsia="ja-JP"/>
        </w:rPr>
      </w:pPr>
      <w:r w:rsidRPr="00CD4C09">
        <w:rPr>
          <w:b/>
          <w:lang w:eastAsia="ja-JP"/>
        </w:rPr>
        <w:t>Blood pressure and heart rate</w:t>
      </w:r>
    </w:p>
    <w:p w:rsidR="004C5C61" w:rsidRPr="00CD4C09" w:rsidRDefault="004C5C61" w:rsidP="00CD4C09">
      <w:r w:rsidRPr="00CD4C09">
        <w:t xml:space="preserve">Blood pressure measurements were not standardised with regard to the ibuprofen infusions. </w:t>
      </w:r>
    </w:p>
    <w:p w:rsidR="004C5C61" w:rsidRPr="00CD4C09" w:rsidRDefault="004C5C61" w:rsidP="00CD4C09">
      <w:r w:rsidRPr="00CD4C09">
        <w:t>In the -27 week group, analysis of the measurements taken indicated that patients in the 15 and 20 mg/kg groups had initially higher BP values, which is consistent with a better clinical condition as suggested by their ventilation requirements. Slight increases in both systolic and diastolic BP as well as in mean BP were recorded over the treatment period in all dose level groups, which is consistent with an improvement of the haemodynamic conditions.</w:t>
      </w:r>
    </w:p>
    <w:p w:rsidR="004C5C61" w:rsidRPr="00CD4C09" w:rsidRDefault="004C5C61" w:rsidP="00CD4C09">
      <w:r w:rsidRPr="00CD4C09">
        <w:t>In the +27 week group, patients from the 15 mg/kg group had initially higher BP values, which is consistent with a better clinical condition as suggested by their ventilation requirements. A slight and transient BP increase was recorded over the treatment days in this group. In patients from the 10 mg/kg group BP values rose only after the treatment days and eventually reached the levels of the other group. Whether the trend observed in the highest dose level group indicates a pharmacological effect of the drug is difficult to establish in such a small sample.</w:t>
      </w:r>
    </w:p>
    <w:p w:rsidR="004C5C61" w:rsidRPr="00CD4C09" w:rsidRDefault="004C5C61" w:rsidP="00CD4C09">
      <w:r w:rsidRPr="00CD4C09">
        <w:t>Variations in heart rate however remain difficult to interpret, because of often single value per patient and time point: nevertheless these variations tended to decrease which was consistent with the improvement in the patients’ haemodynamic conditions.</w:t>
      </w:r>
    </w:p>
    <w:p w:rsidR="004C5C61" w:rsidRPr="00CD4C09" w:rsidRDefault="004C5C61" w:rsidP="00CD4C09">
      <w:pPr>
        <w:pStyle w:val="Heading7"/>
        <w:rPr>
          <w:b/>
          <w:lang w:eastAsia="ja-JP"/>
        </w:rPr>
      </w:pPr>
      <w:r w:rsidRPr="00CD4C09">
        <w:rPr>
          <w:b/>
          <w:lang w:eastAsia="ja-JP"/>
        </w:rPr>
        <w:t>Cerebral Echo-Doppler assessment</w:t>
      </w:r>
    </w:p>
    <w:p w:rsidR="004C5C61" w:rsidRPr="00CD4C09" w:rsidRDefault="004C5C61" w:rsidP="00CD4C09">
      <w:r w:rsidRPr="00CD4C09">
        <w:t>Cerebral Echo-Doppler was performed before and 3 h after the loading dose of ibuprofen in order to evaluate any potential deleterious effect of the drug on cerebral blood flow. Velocities in the anterior or mean cerebral artery showed only minor changes regardless of the dose.</w:t>
      </w:r>
    </w:p>
    <w:p w:rsidR="00605AD4" w:rsidRDefault="00605AD4" w:rsidP="00605AD4">
      <w:pPr>
        <w:pStyle w:val="Heading4"/>
      </w:pPr>
      <w:r w:rsidRPr="00605AD4">
        <w:t>Post</w:t>
      </w:r>
      <w:r w:rsidR="00E63418">
        <w:t xml:space="preserve"> </w:t>
      </w:r>
      <w:r w:rsidRPr="00605AD4">
        <w:t>marketing data</w:t>
      </w:r>
    </w:p>
    <w:p w:rsidR="00B73B9D" w:rsidRPr="00B73B9D" w:rsidRDefault="00B73B9D" w:rsidP="00B73B9D">
      <w:r w:rsidRPr="00B73B9D">
        <w:t xml:space="preserve">Pedea was granted marketing authorisation in the EU on 29 July 2004. </w:t>
      </w:r>
    </w:p>
    <w:p w:rsidR="00B73B9D" w:rsidRDefault="00F937E6" w:rsidP="00B73B9D">
      <w:pPr>
        <w:pStyle w:val="TableTitle"/>
        <w:rPr>
          <w:lang w:eastAsia="ja-JP"/>
        </w:rPr>
      </w:pPr>
      <w:proofErr w:type="gramStart"/>
      <w:r>
        <w:rPr>
          <w:lang w:eastAsia="ja-JP"/>
        </w:rPr>
        <w:t>Table 14</w:t>
      </w:r>
      <w:r w:rsidR="00B73B9D">
        <w:rPr>
          <w:lang w:eastAsia="ja-JP"/>
        </w:rPr>
        <w:t xml:space="preserve">: </w:t>
      </w:r>
      <w:r w:rsidR="00B73B9D" w:rsidRPr="00B72A5B">
        <w:rPr>
          <w:lang w:eastAsia="ja-JP"/>
        </w:rPr>
        <w:t>Patient exposure</w:t>
      </w:r>
      <w:r w:rsidR="00533401">
        <w:rPr>
          <w:lang w:eastAsia="ja-JP"/>
        </w:rPr>
        <w:t>.</w:t>
      </w:r>
      <w:proofErr w:type="gramEnd"/>
    </w:p>
    <w:tbl>
      <w:tblPr>
        <w:tblStyle w:val="TableTGAblue"/>
        <w:tblW w:w="0" w:type="auto"/>
        <w:tblLook w:val="04A0" w:firstRow="1" w:lastRow="0" w:firstColumn="1" w:lastColumn="0" w:noHBand="0" w:noVBand="1"/>
        <w:tblDescription w:val="Table 14: Patient exposure."/>
      </w:tblPr>
      <w:tblGrid>
        <w:gridCol w:w="3613"/>
        <w:gridCol w:w="1897"/>
        <w:gridCol w:w="1605"/>
        <w:gridCol w:w="1605"/>
      </w:tblGrid>
      <w:tr w:rsidR="00B73B9D" w:rsidRPr="00533401" w:rsidTr="005D7BEE">
        <w:trPr>
          <w:cnfStyle w:val="100000000000" w:firstRow="1" w:lastRow="0" w:firstColumn="0" w:lastColumn="0" w:oddVBand="0" w:evenVBand="0" w:oddHBand="0" w:evenHBand="0" w:firstRowFirstColumn="0" w:firstRowLastColumn="0" w:lastRowFirstColumn="0" w:lastRowLastColumn="0"/>
          <w:trHeight w:val="227"/>
        </w:trPr>
        <w:tc>
          <w:tcPr>
            <w:tcW w:w="3964" w:type="dxa"/>
            <w:vAlign w:val="center"/>
          </w:tcPr>
          <w:p w:rsidR="00B73B9D" w:rsidRPr="00533401" w:rsidRDefault="00B73B9D" w:rsidP="005D7BEE">
            <w:pPr>
              <w:pStyle w:val="TableHeading"/>
              <w:rPr>
                <w:b w:val="0"/>
                <w:lang w:eastAsia="ja-JP"/>
              </w:rPr>
            </w:pPr>
            <w:r w:rsidRPr="00533401">
              <w:rPr>
                <w:lang w:eastAsia="ja-JP"/>
              </w:rPr>
              <w:t>PSUR Reporting period</w:t>
            </w:r>
          </w:p>
        </w:tc>
        <w:tc>
          <w:tcPr>
            <w:tcW w:w="1985" w:type="dxa"/>
            <w:vAlign w:val="center"/>
          </w:tcPr>
          <w:p w:rsidR="00B73B9D" w:rsidRPr="00533401" w:rsidRDefault="00B73B9D" w:rsidP="005D7BEE">
            <w:pPr>
              <w:pStyle w:val="TableHeading"/>
              <w:rPr>
                <w:b w:val="0"/>
                <w:lang w:eastAsia="ja-JP"/>
              </w:rPr>
            </w:pPr>
            <w:r w:rsidRPr="00533401">
              <w:rPr>
                <w:lang w:eastAsia="ja-JP"/>
              </w:rPr>
              <w:t>No</w:t>
            </w:r>
            <w:r w:rsidR="002421AC">
              <w:rPr>
                <w:lang w:eastAsia="ja-JP"/>
              </w:rPr>
              <w:t>.</w:t>
            </w:r>
            <w:r w:rsidRPr="00533401">
              <w:rPr>
                <w:lang w:eastAsia="ja-JP"/>
              </w:rPr>
              <w:t xml:space="preserve"> of boxes</w:t>
            </w:r>
          </w:p>
        </w:tc>
        <w:tc>
          <w:tcPr>
            <w:tcW w:w="1441" w:type="dxa"/>
            <w:vAlign w:val="center"/>
          </w:tcPr>
          <w:p w:rsidR="00B73B9D" w:rsidRPr="00533401" w:rsidRDefault="00B73B9D" w:rsidP="005D7BEE">
            <w:pPr>
              <w:pStyle w:val="TableHeading"/>
              <w:rPr>
                <w:b w:val="0"/>
                <w:lang w:eastAsia="ja-JP"/>
              </w:rPr>
            </w:pPr>
            <w:r w:rsidRPr="00533401">
              <w:rPr>
                <w:lang w:eastAsia="ja-JP"/>
              </w:rPr>
              <w:t>Cumulative total boxes</w:t>
            </w:r>
          </w:p>
        </w:tc>
        <w:tc>
          <w:tcPr>
            <w:tcW w:w="1441" w:type="dxa"/>
            <w:vAlign w:val="center"/>
          </w:tcPr>
          <w:p w:rsidR="00B73B9D" w:rsidRPr="00533401" w:rsidRDefault="00B73B9D" w:rsidP="005D7BEE">
            <w:pPr>
              <w:pStyle w:val="TableHeading"/>
              <w:rPr>
                <w:b w:val="0"/>
                <w:lang w:eastAsia="ja-JP"/>
              </w:rPr>
            </w:pPr>
            <w:r w:rsidRPr="00533401">
              <w:rPr>
                <w:lang w:eastAsia="ja-JP"/>
              </w:rPr>
              <w:t>Cumulative total patients</w:t>
            </w:r>
          </w:p>
        </w:tc>
      </w:tr>
      <w:tr w:rsidR="00B73B9D" w:rsidRPr="00533401" w:rsidTr="005D7BEE">
        <w:trPr>
          <w:trHeight w:val="227"/>
        </w:trPr>
        <w:tc>
          <w:tcPr>
            <w:tcW w:w="3964" w:type="dxa"/>
          </w:tcPr>
          <w:p w:rsidR="00B73B9D" w:rsidRPr="00533401" w:rsidRDefault="00B73B9D" w:rsidP="005D7BEE">
            <w:pPr>
              <w:pStyle w:val="Tabletext"/>
              <w:rPr>
                <w:lang w:eastAsia="ja-JP"/>
              </w:rPr>
            </w:pPr>
            <w:r w:rsidRPr="00533401">
              <w:rPr>
                <w:lang w:eastAsia="ja-JP"/>
              </w:rPr>
              <w:t>29/07/2004 to 29/01/2005</w:t>
            </w:r>
          </w:p>
        </w:tc>
        <w:tc>
          <w:tcPr>
            <w:tcW w:w="1985" w:type="dxa"/>
          </w:tcPr>
          <w:p w:rsidR="00B73B9D" w:rsidRPr="00533401" w:rsidRDefault="00B73B9D" w:rsidP="005D7BEE">
            <w:pPr>
              <w:pStyle w:val="Tabletext"/>
              <w:jc w:val="center"/>
              <w:rPr>
                <w:lang w:eastAsia="ja-JP"/>
              </w:rPr>
            </w:pPr>
            <w:r w:rsidRPr="00533401">
              <w:rPr>
                <w:lang w:eastAsia="ja-JP"/>
              </w:rPr>
              <w:t>2,300</w:t>
            </w:r>
          </w:p>
        </w:tc>
        <w:tc>
          <w:tcPr>
            <w:tcW w:w="1441" w:type="dxa"/>
          </w:tcPr>
          <w:p w:rsidR="00B73B9D" w:rsidRPr="00533401" w:rsidRDefault="00B73B9D" w:rsidP="005D7BEE">
            <w:pPr>
              <w:pStyle w:val="Tabletext"/>
              <w:jc w:val="center"/>
              <w:rPr>
                <w:lang w:eastAsia="ja-JP"/>
              </w:rPr>
            </w:pPr>
          </w:p>
        </w:tc>
        <w:tc>
          <w:tcPr>
            <w:tcW w:w="1441" w:type="dxa"/>
          </w:tcPr>
          <w:p w:rsidR="00B73B9D" w:rsidRPr="00533401" w:rsidRDefault="00B73B9D" w:rsidP="005D7BEE">
            <w:pPr>
              <w:pStyle w:val="Tabletext"/>
              <w:jc w:val="center"/>
              <w:rPr>
                <w:lang w:eastAsia="ja-JP"/>
              </w:rPr>
            </w:pPr>
            <w:r w:rsidRPr="00533401">
              <w:rPr>
                <w:lang w:eastAsia="ja-JP"/>
              </w:rPr>
              <w:t>2,300</w:t>
            </w:r>
          </w:p>
        </w:tc>
      </w:tr>
      <w:tr w:rsidR="00B73B9D" w:rsidRPr="00533401" w:rsidTr="005D7BEE">
        <w:trPr>
          <w:trHeight w:val="227"/>
        </w:trPr>
        <w:tc>
          <w:tcPr>
            <w:tcW w:w="3964" w:type="dxa"/>
          </w:tcPr>
          <w:p w:rsidR="00B73B9D" w:rsidRPr="00533401" w:rsidRDefault="00B73B9D" w:rsidP="005D7BEE">
            <w:pPr>
              <w:pStyle w:val="Tabletext"/>
              <w:rPr>
                <w:lang w:eastAsia="ja-JP"/>
              </w:rPr>
            </w:pPr>
            <w:r w:rsidRPr="00533401">
              <w:rPr>
                <w:lang w:eastAsia="ja-JP"/>
              </w:rPr>
              <w:t>30/01/2005 to 29/07/2005</w:t>
            </w:r>
          </w:p>
        </w:tc>
        <w:tc>
          <w:tcPr>
            <w:tcW w:w="1985" w:type="dxa"/>
          </w:tcPr>
          <w:p w:rsidR="00B73B9D" w:rsidRPr="00533401" w:rsidRDefault="00B73B9D" w:rsidP="005D7BEE">
            <w:pPr>
              <w:pStyle w:val="Tabletext"/>
              <w:jc w:val="center"/>
              <w:rPr>
                <w:lang w:eastAsia="ja-JP"/>
              </w:rPr>
            </w:pPr>
            <w:r w:rsidRPr="00533401">
              <w:rPr>
                <w:lang w:eastAsia="ja-JP"/>
              </w:rPr>
              <w:t>2,500</w:t>
            </w:r>
          </w:p>
        </w:tc>
        <w:tc>
          <w:tcPr>
            <w:tcW w:w="1441" w:type="dxa"/>
          </w:tcPr>
          <w:p w:rsidR="00B73B9D" w:rsidRPr="00533401" w:rsidRDefault="00B73B9D" w:rsidP="005D7BEE">
            <w:pPr>
              <w:pStyle w:val="Tabletext"/>
              <w:jc w:val="center"/>
              <w:rPr>
                <w:lang w:eastAsia="ja-JP"/>
              </w:rPr>
            </w:pPr>
            <w:r w:rsidRPr="00533401">
              <w:rPr>
                <w:lang w:eastAsia="ja-JP"/>
              </w:rPr>
              <w:t>4,500</w:t>
            </w:r>
          </w:p>
        </w:tc>
        <w:tc>
          <w:tcPr>
            <w:tcW w:w="1441" w:type="dxa"/>
          </w:tcPr>
          <w:p w:rsidR="00B73B9D" w:rsidRPr="00533401" w:rsidRDefault="00B73B9D" w:rsidP="005D7BEE">
            <w:pPr>
              <w:pStyle w:val="Tabletext"/>
              <w:jc w:val="center"/>
              <w:rPr>
                <w:lang w:eastAsia="ja-JP"/>
              </w:rPr>
            </w:pPr>
            <w:r w:rsidRPr="00533401">
              <w:rPr>
                <w:lang w:eastAsia="ja-JP"/>
              </w:rPr>
              <w:t>3,900</w:t>
            </w:r>
          </w:p>
        </w:tc>
      </w:tr>
      <w:tr w:rsidR="00B73B9D" w:rsidRPr="00533401" w:rsidTr="005D7BEE">
        <w:trPr>
          <w:trHeight w:val="227"/>
        </w:trPr>
        <w:tc>
          <w:tcPr>
            <w:tcW w:w="3964" w:type="dxa"/>
          </w:tcPr>
          <w:p w:rsidR="00B73B9D" w:rsidRPr="00533401" w:rsidRDefault="00B73B9D" w:rsidP="005D7BEE">
            <w:pPr>
              <w:pStyle w:val="Tabletext"/>
              <w:rPr>
                <w:lang w:eastAsia="ja-JP"/>
              </w:rPr>
            </w:pPr>
            <w:r w:rsidRPr="00533401">
              <w:rPr>
                <w:lang w:eastAsia="ja-JP"/>
              </w:rPr>
              <w:t>30/07/2005 to 29/01/2006</w:t>
            </w:r>
          </w:p>
        </w:tc>
        <w:tc>
          <w:tcPr>
            <w:tcW w:w="1985" w:type="dxa"/>
          </w:tcPr>
          <w:p w:rsidR="00B73B9D" w:rsidRPr="00533401" w:rsidRDefault="00B73B9D" w:rsidP="005D7BEE">
            <w:pPr>
              <w:pStyle w:val="Tabletext"/>
              <w:jc w:val="center"/>
              <w:rPr>
                <w:lang w:eastAsia="ja-JP"/>
              </w:rPr>
            </w:pPr>
            <w:r w:rsidRPr="00533401">
              <w:rPr>
                <w:lang w:eastAsia="ja-JP"/>
              </w:rPr>
              <w:t>2,900</w:t>
            </w:r>
          </w:p>
        </w:tc>
        <w:tc>
          <w:tcPr>
            <w:tcW w:w="1441" w:type="dxa"/>
          </w:tcPr>
          <w:p w:rsidR="00B73B9D" w:rsidRPr="00533401" w:rsidRDefault="00B73B9D" w:rsidP="005D7BEE">
            <w:pPr>
              <w:pStyle w:val="Tabletext"/>
              <w:jc w:val="center"/>
              <w:rPr>
                <w:lang w:eastAsia="ja-JP"/>
              </w:rPr>
            </w:pPr>
            <w:r w:rsidRPr="00533401">
              <w:rPr>
                <w:lang w:eastAsia="ja-JP"/>
              </w:rPr>
              <w:t>7,100</w:t>
            </w:r>
          </w:p>
        </w:tc>
        <w:tc>
          <w:tcPr>
            <w:tcW w:w="1441" w:type="dxa"/>
          </w:tcPr>
          <w:p w:rsidR="00B73B9D" w:rsidRPr="00533401" w:rsidRDefault="00B73B9D" w:rsidP="005D7BEE">
            <w:pPr>
              <w:pStyle w:val="Tabletext"/>
              <w:jc w:val="center"/>
              <w:rPr>
                <w:lang w:eastAsia="ja-JP"/>
              </w:rPr>
            </w:pPr>
            <w:r w:rsidRPr="00533401">
              <w:rPr>
                <w:lang w:eastAsia="ja-JP"/>
              </w:rPr>
              <w:t>5,600</w:t>
            </w:r>
          </w:p>
        </w:tc>
      </w:tr>
      <w:tr w:rsidR="00B73B9D" w:rsidRPr="00533401" w:rsidTr="005D7BEE">
        <w:trPr>
          <w:trHeight w:val="227"/>
        </w:trPr>
        <w:tc>
          <w:tcPr>
            <w:tcW w:w="3964" w:type="dxa"/>
          </w:tcPr>
          <w:p w:rsidR="00B73B9D" w:rsidRPr="00533401" w:rsidRDefault="00B73B9D" w:rsidP="005D7BEE">
            <w:pPr>
              <w:pStyle w:val="Tabletext"/>
              <w:rPr>
                <w:lang w:eastAsia="ja-JP"/>
              </w:rPr>
            </w:pPr>
            <w:r w:rsidRPr="00533401">
              <w:rPr>
                <w:lang w:eastAsia="ja-JP"/>
              </w:rPr>
              <w:t>30/01/2006 to 29/07/2006</w:t>
            </w:r>
          </w:p>
        </w:tc>
        <w:tc>
          <w:tcPr>
            <w:tcW w:w="1985" w:type="dxa"/>
          </w:tcPr>
          <w:p w:rsidR="00B73B9D" w:rsidRPr="00533401" w:rsidRDefault="00B73B9D" w:rsidP="005D7BEE">
            <w:pPr>
              <w:pStyle w:val="Tabletext"/>
              <w:jc w:val="center"/>
              <w:rPr>
                <w:lang w:eastAsia="ja-JP"/>
              </w:rPr>
            </w:pPr>
            <w:r w:rsidRPr="00533401">
              <w:rPr>
                <w:lang w:eastAsia="ja-JP"/>
              </w:rPr>
              <w:t>3,500</w:t>
            </w:r>
          </w:p>
        </w:tc>
        <w:tc>
          <w:tcPr>
            <w:tcW w:w="1441" w:type="dxa"/>
          </w:tcPr>
          <w:p w:rsidR="00B73B9D" w:rsidRPr="00533401" w:rsidRDefault="00B73B9D" w:rsidP="005D7BEE">
            <w:pPr>
              <w:pStyle w:val="Tabletext"/>
              <w:jc w:val="center"/>
              <w:rPr>
                <w:lang w:eastAsia="ja-JP"/>
              </w:rPr>
            </w:pPr>
            <w:r w:rsidRPr="00533401">
              <w:rPr>
                <w:lang w:eastAsia="ja-JP"/>
              </w:rPr>
              <w:t>10,600</w:t>
            </w:r>
          </w:p>
        </w:tc>
        <w:tc>
          <w:tcPr>
            <w:tcW w:w="1441" w:type="dxa"/>
          </w:tcPr>
          <w:p w:rsidR="00B73B9D" w:rsidRPr="00533401" w:rsidRDefault="00B73B9D" w:rsidP="005D7BEE">
            <w:pPr>
              <w:pStyle w:val="Tabletext"/>
              <w:jc w:val="center"/>
              <w:rPr>
                <w:lang w:eastAsia="ja-JP"/>
              </w:rPr>
            </w:pPr>
            <w:r w:rsidRPr="00533401">
              <w:rPr>
                <w:lang w:eastAsia="ja-JP"/>
              </w:rPr>
              <w:t>8,400</w:t>
            </w:r>
          </w:p>
        </w:tc>
      </w:tr>
      <w:tr w:rsidR="00B73B9D" w:rsidRPr="00533401" w:rsidTr="005D7BEE">
        <w:trPr>
          <w:trHeight w:val="227"/>
        </w:trPr>
        <w:tc>
          <w:tcPr>
            <w:tcW w:w="3964" w:type="dxa"/>
          </w:tcPr>
          <w:p w:rsidR="00B73B9D" w:rsidRPr="00533401" w:rsidRDefault="00B73B9D" w:rsidP="005D7BEE">
            <w:pPr>
              <w:pStyle w:val="Tabletext"/>
              <w:rPr>
                <w:lang w:eastAsia="ja-JP"/>
              </w:rPr>
            </w:pPr>
            <w:r w:rsidRPr="00533401">
              <w:rPr>
                <w:lang w:eastAsia="ja-JP"/>
              </w:rPr>
              <w:t>30/07/2006 to 29/07/2007</w:t>
            </w:r>
          </w:p>
        </w:tc>
        <w:tc>
          <w:tcPr>
            <w:tcW w:w="1985" w:type="dxa"/>
          </w:tcPr>
          <w:p w:rsidR="00B73B9D" w:rsidRPr="00533401" w:rsidRDefault="00B73B9D" w:rsidP="005D7BEE">
            <w:pPr>
              <w:pStyle w:val="Tabletext"/>
              <w:jc w:val="center"/>
              <w:rPr>
                <w:lang w:eastAsia="ja-JP"/>
              </w:rPr>
            </w:pPr>
            <w:r w:rsidRPr="00533401">
              <w:rPr>
                <w:lang w:eastAsia="ja-JP"/>
              </w:rPr>
              <w:t>7,900</w:t>
            </w:r>
          </w:p>
        </w:tc>
        <w:tc>
          <w:tcPr>
            <w:tcW w:w="1441" w:type="dxa"/>
          </w:tcPr>
          <w:p w:rsidR="00B73B9D" w:rsidRPr="00533401" w:rsidRDefault="00B73B9D" w:rsidP="005D7BEE">
            <w:pPr>
              <w:pStyle w:val="Tabletext"/>
              <w:jc w:val="center"/>
              <w:rPr>
                <w:lang w:eastAsia="ja-JP"/>
              </w:rPr>
            </w:pPr>
            <w:r w:rsidRPr="00533401">
              <w:rPr>
                <w:lang w:eastAsia="ja-JP"/>
              </w:rPr>
              <w:t>19,100</w:t>
            </w:r>
          </w:p>
        </w:tc>
        <w:tc>
          <w:tcPr>
            <w:tcW w:w="1441" w:type="dxa"/>
          </w:tcPr>
          <w:p w:rsidR="00B73B9D" w:rsidRPr="00533401" w:rsidRDefault="00B73B9D" w:rsidP="005D7BEE">
            <w:pPr>
              <w:pStyle w:val="Tabletext"/>
              <w:jc w:val="center"/>
              <w:rPr>
                <w:lang w:eastAsia="ja-JP"/>
              </w:rPr>
            </w:pPr>
            <w:r w:rsidRPr="00533401">
              <w:rPr>
                <w:lang w:eastAsia="ja-JP"/>
              </w:rPr>
              <w:t>15,200</w:t>
            </w:r>
          </w:p>
        </w:tc>
      </w:tr>
      <w:tr w:rsidR="00B73B9D" w:rsidRPr="00533401" w:rsidTr="005D7BEE">
        <w:trPr>
          <w:trHeight w:val="227"/>
        </w:trPr>
        <w:tc>
          <w:tcPr>
            <w:tcW w:w="3964" w:type="dxa"/>
          </w:tcPr>
          <w:p w:rsidR="00B73B9D" w:rsidRPr="00533401" w:rsidRDefault="00B73B9D" w:rsidP="005D7BEE">
            <w:pPr>
              <w:pStyle w:val="Tabletext"/>
              <w:rPr>
                <w:lang w:eastAsia="ja-JP"/>
              </w:rPr>
            </w:pPr>
            <w:r w:rsidRPr="00533401">
              <w:rPr>
                <w:lang w:eastAsia="ja-JP"/>
              </w:rPr>
              <w:t>30/07/2007 to 29/07/2008</w:t>
            </w:r>
          </w:p>
        </w:tc>
        <w:tc>
          <w:tcPr>
            <w:tcW w:w="1985" w:type="dxa"/>
          </w:tcPr>
          <w:p w:rsidR="00B73B9D" w:rsidRPr="00533401" w:rsidRDefault="00B73B9D" w:rsidP="005D7BEE">
            <w:pPr>
              <w:pStyle w:val="Tabletext"/>
              <w:jc w:val="center"/>
              <w:rPr>
                <w:lang w:eastAsia="ja-JP"/>
              </w:rPr>
            </w:pPr>
            <w:r w:rsidRPr="00533401">
              <w:rPr>
                <w:lang w:eastAsia="ja-JP"/>
              </w:rPr>
              <w:t>8,600</w:t>
            </w:r>
          </w:p>
        </w:tc>
        <w:tc>
          <w:tcPr>
            <w:tcW w:w="1441" w:type="dxa"/>
          </w:tcPr>
          <w:p w:rsidR="00B73B9D" w:rsidRPr="00533401" w:rsidRDefault="00B73B9D" w:rsidP="005D7BEE">
            <w:pPr>
              <w:pStyle w:val="Tabletext"/>
              <w:jc w:val="center"/>
              <w:rPr>
                <w:lang w:eastAsia="ja-JP"/>
              </w:rPr>
            </w:pPr>
            <w:r w:rsidRPr="00533401">
              <w:rPr>
                <w:lang w:eastAsia="ja-JP"/>
              </w:rPr>
              <w:t>26,700</w:t>
            </w:r>
          </w:p>
        </w:tc>
        <w:tc>
          <w:tcPr>
            <w:tcW w:w="1441" w:type="dxa"/>
          </w:tcPr>
          <w:p w:rsidR="00B73B9D" w:rsidRPr="00533401" w:rsidRDefault="00B73B9D" w:rsidP="005D7BEE">
            <w:pPr>
              <w:pStyle w:val="Tabletext"/>
              <w:jc w:val="center"/>
              <w:rPr>
                <w:lang w:eastAsia="ja-JP"/>
              </w:rPr>
            </w:pPr>
            <w:r w:rsidRPr="00533401">
              <w:rPr>
                <w:lang w:eastAsia="ja-JP"/>
              </w:rPr>
              <w:t>21,300</w:t>
            </w:r>
          </w:p>
        </w:tc>
      </w:tr>
      <w:tr w:rsidR="00B73B9D" w:rsidRPr="00533401" w:rsidTr="005D7BEE">
        <w:trPr>
          <w:trHeight w:val="227"/>
        </w:trPr>
        <w:tc>
          <w:tcPr>
            <w:tcW w:w="3964" w:type="dxa"/>
          </w:tcPr>
          <w:p w:rsidR="00B73B9D" w:rsidRPr="00533401" w:rsidRDefault="00B73B9D" w:rsidP="005D7BEE">
            <w:pPr>
              <w:pStyle w:val="Tabletext"/>
              <w:rPr>
                <w:lang w:eastAsia="ja-JP"/>
              </w:rPr>
            </w:pPr>
            <w:r w:rsidRPr="00533401">
              <w:rPr>
                <w:lang w:eastAsia="ja-JP"/>
              </w:rPr>
              <w:t>30/07/2008 to 29/07/2008 addendum</w:t>
            </w:r>
          </w:p>
        </w:tc>
        <w:tc>
          <w:tcPr>
            <w:tcW w:w="1985" w:type="dxa"/>
          </w:tcPr>
          <w:p w:rsidR="00B73B9D" w:rsidRPr="00533401" w:rsidRDefault="00B73B9D" w:rsidP="005D7BEE">
            <w:pPr>
              <w:pStyle w:val="Tabletext"/>
              <w:jc w:val="center"/>
              <w:rPr>
                <w:lang w:eastAsia="ja-JP"/>
              </w:rPr>
            </w:pPr>
            <w:r w:rsidRPr="00533401">
              <w:rPr>
                <w:lang w:eastAsia="ja-JP"/>
              </w:rPr>
              <w:t>2,800</w:t>
            </w:r>
          </w:p>
        </w:tc>
        <w:tc>
          <w:tcPr>
            <w:tcW w:w="1441" w:type="dxa"/>
          </w:tcPr>
          <w:p w:rsidR="00B73B9D" w:rsidRPr="00533401" w:rsidRDefault="00B73B9D" w:rsidP="005D7BEE">
            <w:pPr>
              <w:pStyle w:val="Tabletext"/>
              <w:jc w:val="center"/>
              <w:rPr>
                <w:lang w:eastAsia="ja-JP"/>
              </w:rPr>
            </w:pPr>
            <w:r w:rsidRPr="00533401">
              <w:rPr>
                <w:lang w:eastAsia="ja-JP"/>
              </w:rPr>
              <w:t>29,500</w:t>
            </w:r>
          </w:p>
        </w:tc>
        <w:tc>
          <w:tcPr>
            <w:tcW w:w="1441" w:type="dxa"/>
          </w:tcPr>
          <w:p w:rsidR="00B73B9D" w:rsidRPr="00533401" w:rsidRDefault="00B73B9D" w:rsidP="005D7BEE">
            <w:pPr>
              <w:pStyle w:val="Tabletext"/>
              <w:jc w:val="center"/>
              <w:rPr>
                <w:lang w:eastAsia="ja-JP"/>
              </w:rPr>
            </w:pPr>
            <w:r w:rsidRPr="00533401">
              <w:rPr>
                <w:lang w:eastAsia="ja-JP"/>
              </w:rPr>
              <w:t>23,600</w:t>
            </w:r>
          </w:p>
        </w:tc>
      </w:tr>
      <w:tr w:rsidR="00B73B9D" w:rsidRPr="00533401" w:rsidTr="005D7BEE">
        <w:trPr>
          <w:trHeight w:val="227"/>
        </w:trPr>
        <w:tc>
          <w:tcPr>
            <w:tcW w:w="3964" w:type="dxa"/>
          </w:tcPr>
          <w:p w:rsidR="00B73B9D" w:rsidRPr="00533401" w:rsidRDefault="00B73B9D" w:rsidP="005D7BEE">
            <w:pPr>
              <w:pStyle w:val="Tabletext"/>
              <w:rPr>
                <w:lang w:eastAsia="ja-JP"/>
              </w:rPr>
            </w:pPr>
            <w:r w:rsidRPr="00533401">
              <w:rPr>
                <w:lang w:eastAsia="ja-JP"/>
              </w:rPr>
              <w:t>30/07/2008 to 29/07/2011</w:t>
            </w:r>
          </w:p>
        </w:tc>
        <w:tc>
          <w:tcPr>
            <w:tcW w:w="1985" w:type="dxa"/>
          </w:tcPr>
          <w:p w:rsidR="00B73B9D" w:rsidRPr="00533401" w:rsidRDefault="00B73B9D" w:rsidP="005D7BEE">
            <w:pPr>
              <w:pStyle w:val="Tabletext"/>
              <w:jc w:val="center"/>
              <w:rPr>
                <w:lang w:eastAsia="ja-JP"/>
              </w:rPr>
            </w:pPr>
            <w:r w:rsidRPr="00533401">
              <w:rPr>
                <w:lang w:eastAsia="ja-JP"/>
              </w:rPr>
              <w:t>39,784 (patients)</w:t>
            </w:r>
          </w:p>
        </w:tc>
        <w:tc>
          <w:tcPr>
            <w:tcW w:w="1441" w:type="dxa"/>
          </w:tcPr>
          <w:p w:rsidR="00B73B9D" w:rsidRPr="00533401" w:rsidRDefault="00B73B9D" w:rsidP="005D7BEE">
            <w:pPr>
              <w:pStyle w:val="Tabletext"/>
              <w:jc w:val="center"/>
              <w:rPr>
                <w:lang w:eastAsia="ja-JP"/>
              </w:rPr>
            </w:pPr>
          </w:p>
        </w:tc>
        <w:tc>
          <w:tcPr>
            <w:tcW w:w="1441" w:type="dxa"/>
          </w:tcPr>
          <w:p w:rsidR="00B73B9D" w:rsidRPr="00533401" w:rsidRDefault="00B73B9D" w:rsidP="005D7BEE">
            <w:pPr>
              <w:pStyle w:val="Tabletext"/>
              <w:jc w:val="center"/>
              <w:rPr>
                <w:lang w:eastAsia="ja-JP"/>
              </w:rPr>
            </w:pPr>
            <w:r w:rsidRPr="00533401">
              <w:rPr>
                <w:lang w:eastAsia="ja-JP"/>
              </w:rPr>
              <w:t>63,147</w:t>
            </w:r>
          </w:p>
        </w:tc>
      </w:tr>
      <w:tr w:rsidR="00B73B9D" w:rsidRPr="00533401" w:rsidTr="005D7BEE">
        <w:trPr>
          <w:trHeight w:val="227"/>
        </w:trPr>
        <w:tc>
          <w:tcPr>
            <w:tcW w:w="3964" w:type="dxa"/>
          </w:tcPr>
          <w:p w:rsidR="00B73B9D" w:rsidRPr="00533401" w:rsidRDefault="00B73B9D" w:rsidP="005D7BEE">
            <w:pPr>
              <w:pStyle w:val="Tabletext"/>
              <w:rPr>
                <w:lang w:eastAsia="ja-JP"/>
              </w:rPr>
            </w:pPr>
            <w:r w:rsidRPr="00533401">
              <w:rPr>
                <w:lang w:eastAsia="ja-JP"/>
              </w:rPr>
              <w:t>30/07/2011 to 29/07/2014</w:t>
            </w:r>
          </w:p>
        </w:tc>
        <w:tc>
          <w:tcPr>
            <w:tcW w:w="1985" w:type="dxa"/>
          </w:tcPr>
          <w:p w:rsidR="00B73B9D" w:rsidRPr="00533401" w:rsidRDefault="00B73B9D" w:rsidP="005D7BEE">
            <w:pPr>
              <w:pStyle w:val="Tabletext"/>
              <w:jc w:val="center"/>
              <w:rPr>
                <w:lang w:eastAsia="ja-JP"/>
              </w:rPr>
            </w:pPr>
            <w:r w:rsidRPr="00533401">
              <w:rPr>
                <w:lang w:eastAsia="ja-JP"/>
              </w:rPr>
              <w:t>42,027</w:t>
            </w:r>
          </w:p>
        </w:tc>
        <w:tc>
          <w:tcPr>
            <w:tcW w:w="1441" w:type="dxa"/>
          </w:tcPr>
          <w:p w:rsidR="00B73B9D" w:rsidRPr="00533401" w:rsidRDefault="00B73B9D" w:rsidP="005D7BEE">
            <w:pPr>
              <w:pStyle w:val="Tabletext"/>
              <w:jc w:val="center"/>
              <w:rPr>
                <w:lang w:eastAsia="ja-JP"/>
              </w:rPr>
            </w:pPr>
            <w:r w:rsidRPr="00533401">
              <w:rPr>
                <w:lang w:eastAsia="ja-JP"/>
              </w:rPr>
              <w:t>115,195</w:t>
            </w:r>
          </w:p>
        </w:tc>
        <w:tc>
          <w:tcPr>
            <w:tcW w:w="1441" w:type="dxa"/>
          </w:tcPr>
          <w:p w:rsidR="00B73B9D" w:rsidRPr="00533401" w:rsidRDefault="00B73B9D" w:rsidP="005D7BEE">
            <w:pPr>
              <w:pStyle w:val="Tabletext"/>
              <w:jc w:val="center"/>
              <w:rPr>
                <w:lang w:eastAsia="ja-JP"/>
              </w:rPr>
            </w:pPr>
          </w:p>
        </w:tc>
      </w:tr>
    </w:tbl>
    <w:p w:rsidR="00B73B9D" w:rsidRPr="00003765" w:rsidRDefault="00B73B9D" w:rsidP="00533401">
      <w:pPr>
        <w:pStyle w:val="TableDescription"/>
        <w:rPr>
          <w:lang w:eastAsia="ja-JP"/>
        </w:rPr>
      </w:pPr>
      <w:r w:rsidRPr="00003765">
        <w:rPr>
          <w:lang w:eastAsia="ja-JP"/>
        </w:rPr>
        <w:t>1 box ~ 1 treatment course</w:t>
      </w:r>
    </w:p>
    <w:p w:rsidR="00B73B9D" w:rsidRPr="00533401" w:rsidRDefault="00B73B9D" w:rsidP="00533401">
      <w:r w:rsidRPr="00533401">
        <w:t>Overall, the most commonly reported spontaneous AEs appear to be gastrointestinal disorders (in each report they contribute 23 to 59% of all reports) and renal disorders.</w:t>
      </w:r>
    </w:p>
    <w:p w:rsidR="00B73B9D" w:rsidRPr="00533401" w:rsidRDefault="00B73B9D" w:rsidP="00533401">
      <w:r w:rsidRPr="00533401">
        <w:t xml:space="preserve">Based on the PSUR data </w:t>
      </w:r>
      <w:r w:rsidR="002421AC">
        <w:t xml:space="preserve">(and post marketing studies), </w:t>
      </w:r>
      <w:r w:rsidRPr="00533401">
        <w:t>the sponsor has made the following changes to the SmPC in Europe:</w:t>
      </w:r>
    </w:p>
    <w:p w:rsidR="00B73B9D" w:rsidRPr="00533401" w:rsidRDefault="00B73B9D" w:rsidP="00533401">
      <w:pPr>
        <w:pStyle w:val="ListBullet"/>
      </w:pPr>
      <w:r w:rsidRPr="00533401">
        <w:t>In 2005</w:t>
      </w:r>
      <w:r w:rsidR="00CC7B74">
        <w:t xml:space="preserve"> (PSUR #3)</w:t>
      </w:r>
      <w:r w:rsidR="00315ECE">
        <w:t>,</w:t>
      </w:r>
      <w:r w:rsidRPr="00533401">
        <w:t xml:space="preserve"> the SmPC was updated to include details of potential interactions with antiseptics or disinfectants and with aminoglycosides. The following statements was added:</w:t>
      </w:r>
    </w:p>
    <w:p w:rsidR="00B73B9D" w:rsidRPr="00533401" w:rsidRDefault="00B73B9D" w:rsidP="00533401">
      <w:pPr>
        <w:pStyle w:val="ListBullet"/>
        <w:numPr>
          <w:ilvl w:val="0"/>
          <w:numId w:val="0"/>
        </w:numPr>
        <w:ind w:left="720"/>
        <w:rPr>
          <w:i/>
        </w:rPr>
      </w:pPr>
      <w:r w:rsidRPr="00533401">
        <w:rPr>
          <w:i/>
        </w:rPr>
        <w:t>Chlorhexidine must not be used to disinfect the neck of the ampoule as it is not compatible with the Pedea solution. Therefore, for asepsis of the ampoule before use, ethanol 60% or isopropyl alcohol 70% is recommended. When disinfecting the neck of the ampoule with an antiseptic, to avoid any interaction with the Pedea solution, the ampoule must be completely dry before it is opened</w:t>
      </w:r>
      <w:r w:rsidR="00533401">
        <w:rPr>
          <w:i/>
        </w:rPr>
        <w:t>.</w:t>
      </w:r>
    </w:p>
    <w:p w:rsidR="00533401" w:rsidRDefault="00B73B9D" w:rsidP="00533401">
      <w:pPr>
        <w:pStyle w:val="ListBullet"/>
        <w:numPr>
          <w:ilvl w:val="0"/>
          <w:numId w:val="0"/>
        </w:numPr>
        <w:ind w:left="360"/>
      </w:pPr>
      <w:r w:rsidRPr="00533401">
        <w:t>In section 4.4 of the S</w:t>
      </w:r>
      <w:r w:rsidR="00E10937">
        <w:t>m</w:t>
      </w:r>
      <w:r w:rsidRPr="00533401">
        <w:t>PC (special war</w:t>
      </w:r>
      <w:r w:rsidR="00533401">
        <w:t>ning and precautions for use):</w:t>
      </w:r>
    </w:p>
    <w:p w:rsidR="00B73B9D" w:rsidRPr="00533401" w:rsidRDefault="00B73B9D" w:rsidP="00533401">
      <w:pPr>
        <w:pStyle w:val="ListBullet"/>
        <w:numPr>
          <w:ilvl w:val="0"/>
          <w:numId w:val="0"/>
        </w:numPr>
        <w:ind w:left="720"/>
        <w:rPr>
          <w:i/>
        </w:rPr>
      </w:pPr>
      <w:r w:rsidRPr="00533401">
        <w:rPr>
          <w:i/>
        </w:rPr>
        <w:t>As ibuprofen may decrease the clearance of aminoglycosides, strict surveillance of their serum levels is recommended during co</w:t>
      </w:r>
      <w:r w:rsidR="00533401" w:rsidRPr="00533401">
        <w:rPr>
          <w:i/>
        </w:rPr>
        <w:t>-administration with ibuprofen.</w:t>
      </w:r>
    </w:p>
    <w:p w:rsidR="00533401" w:rsidRDefault="00B73B9D" w:rsidP="00533401">
      <w:pPr>
        <w:pStyle w:val="ListBullet"/>
        <w:numPr>
          <w:ilvl w:val="0"/>
          <w:numId w:val="0"/>
        </w:numPr>
        <w:ind w:left="360"/>
      </w:pPr>
      <w:r w:rsidRPr="00533401">
        <w:t xml:space="preserve">In section </w:t>
      </w:r>
      <w:r w:rsidR="00533401">
        <w:t>4.5 (Interactions) of the S</w:t>
      </w:r>
      <w:r w:rsidR="00E10937">
        <w:t>m</w:t>
      </w:r>
      <w:r w:rsidR="00533401">
        <w:t>PC:</w:t>
      </w:r>
    </w:p>
    <w:p w:rsidR="00B73B9D" w:rsidRPr="00533401" w:rsidRDefault="00B73B9D" w:rsidP="00533401">
      <w:pPr>
        <w:pStyle w:val="ListBullet"/>
        <w:numPr>
          <w:ilvl w:val="0"/>
          <w:numId w:val="0"/>
        </w:numPr>
        <w:ind w:left="720"/>
        <w:rPr>
          <w:i/>
        </w:rPr>
      </w:pPr>
      <w:r w:rsidRPr="00533401">
        <w:rPr>
          <w:i/>
        </w:rPr>
        <w:t>Aminoglycosides: since ibuprofen may decrease the clearance of aminoglycosides, their co-administration may increase the risk of nephrotoxicity a</w:t>
      </w:r>
      <w:r w:rsidR="00533401" w:rsidRPr="00533401">
        <w:rPr>
          <w:i/>
        </w:rPr>
        <w:t>nd ototoxicity.</w:t>
      </w:r>
    </w:p>
    <w:p w:rsidR="00B73B9D" w:rsidRPr="00533401" w:rsidRDefault="00AB268E" w:rsidP="00533401">
      <w:pPr>
        <w:pStyle w:val="ListBullet"/>
      </w:pPr>
      <w:r>
        <w:t>In 2006 (PSUR #4</w:t>
      </w:r>
      <w:r w:rsidR="00B73B9D" w:rsidRPr="00533401">
        <w:t>)</w:t>
      </w:r>
      <w:r w:rsidR="002D0DC4">
        <w:t>,</w:t>
      </w:r>
      <w:r w:rsidR="00B73B9D" w:rsidRPr="00533401">
        <w:t xml:space="preserve"> acute renal failure was added to Section 4.8 Undesirable effects</w:t>
      </w:r>
    </w:p>
    <w:p w:rsidR="00B73B9D" w:rsidRPr="00533401" w:rsidRDefault="00B73B9D" w:rsidP="00533401">
      <w:pPr>
        <w:pStyle w:val="ListBullet"/>
      </w:pPr>
      <w:r w:rsidRPr="00533401">
        <w:t>I</w:t>
      </w:r>
      <w:r w:rsidR="00AB268E">
        <w:t>n 2012 (PSUR #8</w:t>
      </w:r>
      <w:r w:rsidRPr="00533401">
        <w:t>)</w:t>
      </w:r>
      <w:r w:rsidR="002D0DC4">
        <w:t>,</w:t>
      </w:r>
      <w:r w:rsidRPr="00533401">
        <w:t xml:space="preserve"> the post marketing cases of pulmonary hypertension were added to Section 4.4</w:t>
      </w:r>
    </w:p>
    <w:p w:rsidR="00605AD4" w:rsidRPr="00605AD4" w:rsidRDefault="00605AD4" w:rsidP="00605AD4">
      <w:pPr>
        <w:pStyle w:val="Heading4"/>
      </w:pPr>
      <w:r w:rsidRPr="00605AD4">
        <w:t>Evaluator’s conclusions on safety</w:t>
      </w:r>
    </w:p>
    <w:p w:rsidR="00BB56CF" w:rsidRPr="000F62B3" w:rsidRDefault="00BB56CF" w:rsidP="00BB56CF">
      <w:r w:rsidRPr="000F62B3">
        <w:t xml:space="preserve">The Australian submission comprised substantially less safety data than the </w:t>
      </w:r>
      <w:r w:rsidRPr="002421AC">
        <w:t xml:space="preserve">EU </w:t>
      </w:r>
      <w:r w:rsidRPr="00E10937">
        <w:t xml:space="preserve">Marketing Authorization Application (MAA) </w:t>
      </w:r>
      <w:r w:rsidRPr="000F62B3">
        <w:t>submission as it comprised the limited clinical studies and did not include the literature (published studies) which was submitted in Europe. This limited the evaluable safety data. Additionally, the Summary of Clinical Safety was particularly poorly written and did not include a full assessment of the data in the submission.</w:t>
      </w:r>
    </w:p>
    <w:p w:rsidR="00BB56CF" w:rsidRPr="000F62B3" w:rsidRDefault="00BB56CF" w:rsidP="00BB56CF">
      <w:r>
        <w:t>A substantial amount of data comprises</w:t>
      </w:r>
      <w:r w:rsidRPr="000F62B3">
        <w:t xml:space="preserve"> comparison of ibuprofen versus indomethacin but no direct comparative studies are provided except as part of the Long Term FU study, however, this survey is not conclusive due to the retrospective and non-formal study design, small sample size, and the sequential nature of the treatment cohorts (indomethacin followed by ibuprofen).</w:t>
      </w:r>
    </w:p>
    <w:p w:rsidR="00BB56CF" w:rsidRPr="000F62B3" w:rsidRDefault="00BB56CF" w:rsidP="00BB56CF">
      <w:r w:rsidRPr="000F62B3">
        <w:lastRenderedPageBreak/>
        <w:t>The Summary of Clinical Safety focusses on renal, digestive and neurological side effects to support claims of better tolerance than indomethacin</w:t>
      </w:r>
      <w:r>
        <w:t>. However,</w:t>
      </w:r>
      <w:r w:rsidRPr="000F62B3">
        <w:t xml:space="preserve"> in the absence of comparative data</w:t>
      </w:r>
      <w:r>
        <w:t>,</w:t>
      </w:r>
      <w:r w:rsidRPr="000F62B3">
        <w:t xml:space="preserve"> the claims are based solely on retrospective data and </w:t>
      </w:r>
      <w:r>
        <w:t xml:space="preserve">hence </w:t>
      </w:r>
      <w:r w:rsidRPr="000F62B3">
        <w:t>not very convincing.</w:t>
      </w:r>
    </w:p>
    <w:p w:rsidR="00BB56CF" w:rsidRPr="000F62B3" w:rsidRDefault="00BB56CF" w:rsidP="00BB56CF">
      <w:r w:rsidRPr="000F62B3">
        <w:t>In the context of the clinical presentation of PDA in very preterm infants</w:t>
      </w:r>
      <w:r>
        <w:t>,</w:t>
      </w:r>
      <w:r w:rsidRPr="000F62B3">
        <w:t xml:space="preserve"> it is difficult to separate the AEs which could be due to the drug and the </w:t>
      </w:r>
      <w:r>
        <w:t>consequences</w:t>
      </w:r>
      <w:r w:rsidRPr="000F62B3">
        <w:t xml:space="preserve"> of prematurity and PDA, all of which lead to significant mortality and morbidity. With these reservations, the data collected in the studies does comprise a reasonable number of patients all treated in highly monitored, specialised neonatal intensive care units.</w:t>
      </w:r>
    </w:p>
    <w:p w:rsidR="00BB56CF" w:rsidRPr="000F62B3" w:rsidRDefault="00BB56CF" w:rsidP="00BB56CF">
      <w:r w:rsidRPr="000F62B3">
        <w:t>In many of the studies there was not a standardised measurement of safety parameters but the sponsor has collected the measurements taken. This is acceptable given the patient population but unfortunately there is very poor presentation and analysis of the data and little in the way of discussion.</w:t>
      </w:r>
    </w:p>
    <w:p w:rsidR="00BB56CF" w:rsidRPr="000F62B3" w:rsidRDefault="00BB56CF" w:rsidP="00BB56CF">
      <w:r>
        <w:t>In both clinical studies and</w:t>
      </w:r>
      <w:r w:rsidRPr="000F62B3">
        <w:t xml:space="preserve"> post marketing data</w:t>
      </w:r>
      <w:r>
        <w:t>,</w:t>
      </w:r>
      <w:r w:rsidRPr="000F62B3">
        <w:t xml:space="preserve"> the main </w:t>
      </w:r>
      <w:r>
        <w:t>AEs</w:t>
      </w:r>
      <w:r w:rsidRPr="000F62B3">
        <w:t xml:space="preserve"> appear to be related to the known complications of prematurity, particularly IVH and gastrointestinal events (NEC, intestinal or gastric perforation) and renal disorders.</w:t>
      </w:r>
    </w:p>
    <w:p w:rsidR="00BB56CF" w:rsidRPr="000F62B3" w:rsidRDefault="00BB56CF" w:rsidP="00BB56CF">
      <w:r w:rsidRPr="000F62B3">
        <w:t xml:space="preserve">The issue of refractory hypoxaemia which led to premature termination of the study IBU/PROPHYL/2000 appears </w:t>
      </w:r>
      <w:r>
        <w:t xml:space="preserve">to be </w:t>
      </w:r>
      <w:r w:rsidRPr="000F62B3">
        <w:t>isolated and related to the use of ibuprofen as a prophylactic treatment. This is not being sought as an indication and indeed the proposed PI contains an appropriate warning that the product should not be used prophylactically within 6 hours of birth without confirmation of the PDA.</w:t>
      </w:r>
    </w:p>
    <w:p w:rsidR="00BB56CF" w:rsidRPr="000F62B3" w:rsidRDefault="00BB56CF" w:rsidP="00BB56CF">
      <w:r w:rsidRPr="000F62B3">
        <w:t>The most commonly reported AEs in the clinical studies and in the post marketing reports were consistently renal and gastrointestinal.</w:t>
      </w:r>
    </w:p>
    <w:p w:rsidR="00BB56CF" w:rsidRDefault="00BB56CF" w:rsidP="002421AC">
      <w:r w:rsidRPr="000F62B3">
        <w:t>No new safety issues appear to have arisen during the 11 years of marketing experience in Europe</w:t>
      </w:r>
      <w:r>
        <w:t>.</w:t>
      </w:r>
    </w:p>
    <w:p w:rsidR="00605AD4" w:rsidRPr="00605AD4" w:rsidRDefault="00605AD4" w:rsidP="00605AD4">
      <w:pPr>
        <w:pStyle w:val="Heading3"/>
        <w:rPr>
          <w:rFonts w:eastAsia="Cambria"/>
        </w:rPr>
      </w:pPr>
      <w:bookmarkStart w:id="165" w:name="_Toc499196220"/>
      <w:r w:rsidRPr="00605AD4">
        <w:rPr>
          <w:rFonts w:eastAsia="Cambria"/>
        </w:rPr>
        <w:t xml:space="preserve">First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165"/>
    </w:p>
    <w:p w:rsidR="00605AD4" w:rsidRDefault="00605AD4" w:rsidP="00605AD4">
      <w:pPr>
        <w:pStyle w:val="Heading4"/>
      </w:pPr>
      <w:r w:rsidRPr="00605AD4">
        <w:t>First round assessment of benefits</w:t>
      </w:r>
    </w:p>
    <w:p w:rsidR="00232A97" w:rsidRDefault="00DF0EBB" w:rsidP="00232A97">
      <w:r>
        <w:t>See Table 15.</w:t>
      </w:r>
    </w:p>
    <w:p w:rsidR="00DF0EBB" w:rsidRDefault="00DF0EBB" w:rsidP="00DF0EBB">
      <w:pPr>
        <w:pStyle w:val="TableTitle"/>
      </w:pPr>
      <w:proofErr w:type="gramStart"/>
      <w:r>
        <w:t xml:space="preserve">Table 15: </w:t>
      </w:r>
      <w:r w:rsidRPr="00605AD4">
        <w:t>First round assessment of benefits</w:t>
      </w:r>
      <w:r w:rsidR="00E26C96">
        <w:t>.</w:t>
      </w:r>
      <w:proofErr w:type="gramEnd"/>
    </w:p>
    <w:tbl>
      <w:tblPr>
        <w:tblStyle w:val="TableGrid"/>
        <w:tblW w:w="0" w:type="auto"/>
        <w:tblInd w:w="108" w:type="dxa"/>
        <w:tblLook w:val="04A0" w:firstRow="1" w:lastRow="0" w:firstColumn="1" w:lastColumn="0" w:noHBand="0" w:noVBand="1"/>
        <w:tblDescription w:val="Table 15: First round assessment of benefits."/>
      </w:tblPr>
      <w:tblGrid>
        <w:gridCol w:w="4415"/>
        <w:gridCol w:w="4197"/>
      </w:tblGrid>
      <w:tr w:rsidR="00DF0EBB" w:rsidRPr="00DF0EBB" w:rsidTr="005D7BEE">
        <w:trPr>
          <w:tblHeader/>
        </w:trPr>
        <w:tc>
          <w:tcPr>
            <w:tcW w:w="8612" w:type="dxa"/>
            <w:gridSpan w:val="2"/>
            <w:shd w:val="clear" w:color="auto" w:fill="006DA7" w:themeFill="accent3"/>
          </w:tcPr>
          <w:p w:rsidR="00DF0EBB" w:rsidRPr="00DF0EBB" w:rsidRDefault="00DF0EBB" w:rsidP="002205D9">
            <w:pPr>
              <w:jc w:val="both"/>
              <w:rPr>
                <w:rFonts w:asciiTheme="minorHAnsi" w:hAnsiTheme="minorHAnsi"/>
                <w:b/>
                <w:color w:val="FFFFFF" w:themeColor="background1"/>
                <w:sz w:val="18"/>
                <w:szCs w:val="18"/>
              </w:rPr>
            </w:pPr>
            <w:r w:rsidRPr="00DF0EBB">
              <w:rPr>
                <w:rFonts w:asciiTheme="minorHAnsi" w:hAnsiTheme="minorHAnsi"/>
                <w:b/>
                <w:color w:val="FFFFFF" w:themeColor="background1"/>
                <w:sz w:val="18"/>
                <w:szCs w:val="18"/>
              </w:rPr>
              <w:t>Indication: Treatment of PDA</w:t>
            </w:r>
          </w:p>
        </w:tc>
      </w:tr>
      <w:tr w:rsidR="00DF0EBB" w:rsidRPr="00DF0EBB" w:rsidTr="005D7BEE">
        <w:trPr>
          <w:trHeight w:val="340"/>
          <w:tblHeader/>
        </w:trPr>
        <w:tc>
          <w:tcPr>
            <w:tcW w:w="4415" w:type="dxa"/>
            <w:shd w:val="clear" w:color="auto" w:fill="00517D" w:themeFill="accent3" w:themeFillShade="BF"/>
            <w:vAlign w:val="center"/>
          </w:tcPr>
          <w:p w:rsidR="00DF0EBB" w:rsidRPr="005D7BEE" w:rsidRDefault="00DF0EBB" w:rsidP="005D7BEE">
            <w:pPr>
              <w:pStyle w:val="TableHeading"/>
              <w:jc w:val="left"/>
              <w:rPr>
                <w:b/>
              </w:rPr>
            </w:pPr>
            <w:r w:rsidRPr="005D7BEE">
              <w:rPr>
                <w:b/>
              </w:rPr>
              <w:t>Benefits</w:t>
            </w:r>
          </w:p>
        </w:tc>
        <w:tc>
          <w:tcPr>
            <w:tcW w:w="4197" w:type="dxa"/>
            <w:shd w:val="clear" w:color="auto" w:fill="00517D" w:themeFill="accent3" w:themeFillShade="BF"/>
            <w:vAlign w:val="center"/>
          </w:tcPr>
          <w:p w:rsidR="00DF0EBB" w:rsidRPr="005D7BEE" w:rsidRDefault="00DF0EBB" w:rsidP="005D7BEE">
            <w:pPr>
              <w:pStyle w:val="TableHeading"/>
              <w:jc w:val="left"/>
              <w:rPr>
                <w:b/>
              </w:rPr>
            </w:pPr>
            <w:r w:rsidRPr="005D7BEE">
              <w:rPr>
                <w:b/>
              </w:rPr>
              <w:t>Strengths and Uncertainties</w:t>
            </w:r>
          </w:p>
        </w:tc>
      </w:tr>
      <w:tr w:rsidR="00DF0EBB" w:rsidRPr="00DF0EBB" w:rsidTr="005D7BEE">
        <w:tc>
          <w:tcPr>
            <w:tcW w:w="4415" w:type="dxa"/>
          </w:tcPr>
          <w:p w:rsidR="00DF0EBB" w:rsidRPr="00DF0EBB" w:rsidRDefault="00DF0EBB" w:rsidP="00511753">
            <w:pPr>
              <w:rPr>
                <w:rFonts w:asciiTheme="minorHAnsi" w:hAnsiTheme="minorHAnsi" w:cstheme="minorHAnsi"/>
                <w:sz w:val="18"/>
                <w:szCs w:val="18"/>
              </w:rPr>
            </w:pPr>
            <w:r w:rsidRPr="00DF0EBB">
              <w:rPr>
                <w:rFonts w:asciiTheme="minorHAnsi" w:hAnsiTheme="minorHAnsi" w:cstheme="minorHAnsi"/>
                <w:sz w:val="18"/>
                <w:szCs w:val="18"/>
              </w:rPr>
              <w:t>Treatment with ibuprofen in dose regimen of 10-5-5 mg leads to closure of PDA in about 50-80% of preterm infants with GA &lt;32 weeks</w:t>
            </w:r>
          </w:p>
        </w:tc>
        <w:tc>
          <w:tcPr>
            <w:tcW w:w="4197" w:type="dxa"/>
          </w:tcPr>
          <w:p w:rsidR="00DF0EBB" w:rsidRPr="00DF0EBB" w:rsidRDefault="00DF0EBB" w:rsidP="00511753">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s>
              <w:rPr>
                <w:rFonts w:asciiTheme="minorHAnsi" w:hAnsiTheme="minorHAnsi" w:cstheme="minorHAnsi"/>
                <w:sz w:val="18"/>
                <w:szCs w:val="18"/>
              </w:rPr>
            </w:pPr>
            <w:r w:rsidRPr="00DF0EBB">
              <w:rPr>
                <w:rFonts w:asciiTheme="minorHAnsi" w:hAnsiTheme="minorHAnsi" w:cstheme="minorHAnsi"/>
                <w:sz w:val="18"/>
                <w:szCs w:val="18"/>
              </w:rPr>
              <w:t>Strength is placebo controlled trials</w:t>
            </w:r>
          </w:p>
          <w:p w:rsidR="00DF0EBB" w:rsidRPr="00DF0EBB" w:rsidRDefault="00DF0EBB" w:rsidP="00511753">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s>
              <w:rPr>
                <w:rFonts w:asciiTheme="minorHAnsi" w:hAnsiTheme="minorHAnsi" w:cstheme="minorHAnsi"/>
                <w:sz w:val="18"/>
                <w:szCs w:val="18"/>
              </w:rPr>
            </w:pPr>
            <w:r w:rsidRPr="00DF0EBB">
              <w:rPr>
                <w:rFonts w:asciiTheme="minorHAnsi" w:hAnsiTheme="minorHAnsi" w:cstheme="minorHAnsi"/>
                <w:sz w:val="18"/>
                <w:szCs w:val="18"/>
              </w:rPr>
              <w:t>Uncertainties are small numbers, poor trial design (uncontrolled trials) and use of surveys.</w:t>
            </w:r>
          </w:p>
          <w:p w:rsidR="00DF0EBB" w:rsidRPr="00DF0EBB" w:rsidRDefault="00DF0EBB" w:rsidP="00511753">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s>
              <w:rPr>
                <w:rFonts w:asciiTheme="minorHAnsi" w:hAnsiTheme="minorHAnsi" w:cstheme="minorHAnsi"/>
                <w:sz w:val="18"/>
                <w:szCs w:val="18"/>
              </w:rPr>
            </w:pPr>
            <w:r w:rsidRPr="00DF0EBB">
              <w:rPr>
                <w:rFonts w:asciiTheme="minorHAnsi" w:hAnsiTheme="minorHAnsi" w:cstheme="minorHAnsi"/>
                <w:sz w:val="18"/>
                <w:szCs w:val="18"/>
              </w:rPr>
              <w:t>Uncertainty is variable results reported in different trials and surveys</w:t>
            </w:r>
          </w:p>
          <w:p w:rsidR="00DF0EBB" w:rsidRPr="00DF0EBB" w:rsidRDefault="00DF0EBB" w:rsidP="00511753">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s>
              <w:rPr>
                <w:rFonts w:asciiTheme="minorHAnsi" w:hAnsiTheme="minorHAnsi" w:cstheme="minorHAnsi"/>
                <w:sz w:val="18"/>
                <w:szCs w:val="18"/>
              </w:rPr>
            </w:pPr>
            <w:r w:rsidRPr="00DF0EBB">
              <w:rPr>
                <w:rFonts w:asciiTheme="minorHAnsi" w:hAnsiTheme="minorHAnsi" w:cstheme="minorHAnsi"/>
                <w:sz w:val="18"/>
                <w:szCs w:val="18"/>
              </w:rPr>
              <w:t>Uncertainty is also lack of prospective comparative trial with indomethacin (current approved)</w:t>
            </w:r>
          </w:p>
          <w:p w:rsidR="00DF0EBB" w:rsidRPr="00DF0EBB" w:rsidRDefault="00DF0EBB" w:rsidP="00511753">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s>
              <w:rPr>
                <w:rFonts w:asciiTheme="minorHAnsi" w:hAnsiTheme="minorHAnsi" w:cstheme="minorHAnsi"/>
                <w:sz w:val="18"/>
                <w:szCs w:val="18"/>
              </w:rPr>
            </w:pPr>
            <w:r w:rsidRPr="00DF0EBB">
              <w:rPr>
                <w:rFonts w:asciiTheme="minorHAnsi" w:hAnsiTheme="minorHAnsi" w:cstheme="minorHAnsi"/>
                <w:sz w:val="18"/>
                <w:szCs w:val="18"/>
              </w:rPr>
              <w:t>Uncertainty also by complications of comorbidity and know complications of prematurity of all patients.</w:t>
            </w:r>
          </w:p>
        </w:tc>
      </w:tr>
    </w:tbl>
    <w:p w:rsidR="00605AD4" w:rsidRDefault="00605AD4" w:rsidP="00605AD4">
      <w:pPr>
        <w:pStyle w:val="Heading4"/>
      </w:pPr>
      <w:r w:rsidRPr="00605AD4">
        <w:lastRenderedPageBreak/>
        <w:t>First round assessment of risks</w:t>
      </w:r>
    </w:p>
    <w:p w:rsidR="00DF0EBB" w:rsidRDefault="00DF0EBB" w:rsidP="00DF0EBB">
      <w:r>
        <w:t>See Table 16.</w:t>
      </w:r>
    </w:p>
    <w:p w:rsidR="00DF0EBB" w:rsidRDefault="00DF0EBB" w:rsidP="00DF0EBB">
      <w:pPr>
        <w:pStyle w:val="TableTitle"/>
      </w:pPr>
      <w:proofErr w:type="gramStart"/>
      <w:r>
        <w:t xml:space="preserve">Table </w:t>
      </w:r>
      <w:r w:rsidR="00E26C96">
        <w:t>16</w:t>
      </w:r>
      <w:r>
        <w:t xml:space="preserve">: </w:t>
      </w:r>
      <w:r w:rsidRPr="00605AD4">
        <w:t>Fi</w:t>
      </w:r>
      <w:r>
        <w:t>rst round assessment of risks.</w:t>
      </w:r>
      <w:proofErr w:type="gramEnd"/>
    </w:p>
    <w:tbl>
      <w:tblPr>
        <w:tblStyle w:val="TableGrid"/>
        <w:tblW w:w="0" w:type="auto"/>
        <w:tblInd w:w="108" w:type="dxa"/>
        <w:tblLook w:val="04A0" w:firstRow="1" w:lastRow="0" w:firstColumn="1" w:lastColumn="0" w:noHBand="0" w:noVBand="1"/>
        <w:tblDescription w:val="Table 16: First round assessment of risks."/>
      </w:tblPr>
      <w:tblGrid>
        <w:gridCol w:w="4306"/>
        <w:gridCol w:w="4306"/>
      </w:tblGrid>
      <w:tr w:rsidR="00E26C96" w:rsidRPr="00E26C96" w:rsidTr="005D7BEE">
        <w:trPr>
          <w:trHeight w:val="397"/>
          <w:tblHeader/>
        </w:trPr>
        <w:tc>
          <w:tcPr>
            <w:tcW w:w="4395" w:type="dxa"/>
            <w:shd w:val="clear" w:color="auto" w:fill="006DA7" w:themeFill="accent3"/>
            <w:vAlign w:val="center"/>
          </w:tcPr>
          <w:p w:rsidR="00E26C96" w:rsidRPr="005D7BEE" w:rsidRDefault="00E26C96" w:rsidP="005D7BEE">
            <w:pPr>
              <w:pStyle w:val="TableHeading"/>
              <w:jc w:val="left"/>
              <w:rPr>
                <w:b/>
              </w:rPr>
            </w:pPr>
            <w:r w:rsidRPr="005D7BEE">
              <w:rPr>
                <w:b/>
              </w:rPr>
              <w:t>Risks</w:t>
            </w:r>
          </w:p>
        </w:tc>
        <w:tc>
          <w:tcPr>
            <w:tcW w:w="4394" w:type="dxa"/>
            <w:shd w:val="clear" w:color="auto" w:fill="006DA7" w:themeFill="accent3"/>
            <w:vAlign w:val="center"/>
          </w:tcPr>
          <w:p w:rsidR="00E26C96" w:rsidRPr="005D7BEE" w:rsidRDefault="00E26C96" w:rsidP="005D7BEE">
            <w:pPr>
              <w:pStyle w:val="TableHeading"/>
              <w:jc w:val="left"/>
              <w:rPr>
                <w:b/>
              </w:rPr>
            </w:pPr>
            <w:r w:rsidRPr="005D7BEE">
              <w:rPr>
                <w:b/>
              </w:rPr>
              <w:t>Strengths and Uncertainties</w:t>
            </w:r>
          </w:p>
        </w:tc>
      </w:tr>
      <w:tr w:rsidR="00E26C96" w:rsidRPr="00E26C96" w:rsidTr="002205D9">
        <w:tc>
          <w:tcPr>
            <w:tcW w:w="4395" w:type="dxa"/>
          </w:tcPr>
          <w:p w:rsidR="00E26C96" w:rsidRPr="00E26C96" w:rsidRDefault="00E26C96" w:rsidP="00511753">
            <w:pPr>
              <w:rPr>
                <w:rFonts w:asciiTheme="minorHAnsi" w:hAnsiTheme="minorHAnsi" w:cstheme="minorHAnsi"/>
                <w:sz w:val="18"/>
                <w:szCs w:val="18"/>
              </w:rPr>
            </w:pPr>
            <w:r w:rsidRPr="00E26C96">
              <w:rPr>
                <w:rFonts w:asciiTheme="minorHAnsi" w:hAnsiTheme="minorHAnsi" w:cstheme="minorHAnsi"/>
                <w:sz w:val="18"/>
                <w:szCs w:val="18"/>
              </w:rPr>
              <w:t>AEs</w:t>
            </w:r>
            <w:r w:rsidR="007D0D94">
              <w:rPr>
                <w:rFonts w:asciiTheme="minorHAnsi" w:hAnsiTheme="minorHAnsi" w:cstheme="minorHAnsi"/>
                <w:sz w:val="18"/>
                <w:szCs w:val="18"/>
              </w:rPr>
              <w:t xml:space="preserve"> related to renal function, that is, </w:t>
            </w:r>
            <w:r w:rsidRPr="00E26C96">
              <w:rPr>
                <w:rFonts w:asciiTheme="minorHAnsi" w:hAnsiTheme="minorHAnsi" w:cstheme="minorHAnsi"/>
                <w:sz w:val="18"/>
                <w:szCs w:val="18"/>
              </w:rPr>
              <w:t xml:space="preserve">excessive weight gain, oliguria and increased creatinine </w:t>
            </w:r>
          </w:p>
        </w:tc>
        <w:tc>
          <w:tcPr>
            <w:tcW w:w="4394" w:type="dxa"/>
          </w:tcPr>
          <w:p w:rsidR="00E26C96" w:rsidRPr="00E26C96" w:rsidRDefault="00E26C96" w:rsidP="00511753">
            <w:pPr>
              <w:rPr>
                <w:rFonts w:asciiTheme="minorHAnsi" w:hAnsiTheme="minorHAnsi" w:cstheme="minorHAnsi"/>
                <w:sz w:val="18"/>
                <w:szCs w:val="18"/>
                <w:u w:val="single"/>
              </w:rPr>
            </w:pPr>
            <w:r w:rsidRPr="00E26C96">
              <w:rPr>
                <w:rFonts w:asciiTheme="minorHAnsi" w:hAnsiTheme="minorHAnsi" w:cstheme="minorHAnsi"/>
                <w:sz w:val="18"/>
                <w:szCs w:val="18"/>
              </w:rPr>
              <w:t>Most studies consistently found minor and transient changes in renal function.</w:t>
            </w:r>
          </w:p>
        </w:tc>
      </w:tr>
      <w:tr w:rsidR="00E26C96" w:rsidRPr="00E26C96" w:rsidTr="002205D9">
        <w:tc>
          <w:tcPr>
            <w:tcW w:w="4395" w:type="dxa"/>
          </w:tcPr>
          <w:p w:rsidR="00E26C96" w:rsidRPr="00E26C96" w:rsidRDefault="00E26C96" w:rsidP="00511753">
            <w:pPr>
              <w:rPr>
                <w:rFonts w:asciiTheme="minorHAnsi" w:hAnsiTheme="minorHAnsi" w:cstheme="minorHAnsi"/>
                <w:sz w:val="18"/>
                <w:szCs w:val="18"/>
              </w:rPr>
            </w:pPr>
            <w:r w:rsidRPr="00E26C96">
              <w:rPr>
                <w:rFonts w:asciiTheme="minorHAnsi" w:hAnsiTheme="minorHAnsi" w:cstheme="minorHAnsi"/>
                <w:sz w:val="18"/>
                <w:szCs w:val="18"/>
              </w:rPr>
              <w:t>Gastrointestinal AEs</w:t>
            </w:r>
          </w:p>
        </w:tc>
        <w:tc>
          <w:tcPr>
            <w:tcW w:w="4394" w:type="dxa"/>
          </w:tcPr>
          <w:p w:rsidR="00E26C96" w:rsidRPr="00E26C96" w:rsidRDefault="00E26C96" w:rsidP="00511753">
            <w:pPr>
              <w:rPr>
                <w:rFonts w:asciiTheme="minorHAnsi" w:hAnsiTheme="minorHAnsi" w:cstheme="minorHAnsi"/>
                <w:sz w:val="18"/>
                <w:szCs w:val="18"/>
              </w:rPr>
            </w:pPr>
            <w:r w:rsidRPr="00E26C96">
              <w:rPr>
                <w:rFonts w:asciiTheme="minorHAnsi" w:hAnsiTheme="minorHAnsi" w:cstheme="minorHAnsi"/>
                <w:sz w:val="18"/>
                <w:szCs w:val="18"/>
              </w:rPr>
              <w:t>Most common AEs in trials and post marketing. Unproven if related to ibuprofen or not as it is common complication of prematurity.</w:t>
            </w:r>
          </w:p>
        </w:tc>
      </w:tr>
      <w:tr w:rsidR="00E26C96" w:rsidRPr="00E26C96" w:rsidTr="002205D9">
        <w:tc>
          <w:tcPr>
            <w:tcW w:w="4395" w:type="dxa"/>
          </w:tcPr>
          <w:p w:rsidR="00E26C96" w:rsidRPr="00E26C96" w:rsidRDefault="00E26C96" w:rsidP="00511753">
            <w:pPr>
              <w:rPr>
                <w:rFonts w:asciiTheme="minorHAnsi" w:hAnsiTheme="minorHAnsi" w:cstheme="minorHAnsi"/>
                <w:sz w:val="18"/>
                <w:szCs w:val="18"/>
              </w:rPr>
            </w:pPr>
            <w:r w:rsidRPr="00E26C96">
              <w:rPr>
                <w:rFonts w:asciiTheme="minorHAnsi" w:hAnsiTheme="minorHAnsi" w:cstheme="minorHAnsi"/>
                <w:sz w:val="18"/>
                <w:szCs w:val="18"/>
              </w:rPr>
              <w:t xml:space="preserve">Refractory pulmonary hypoxaemia </w:t>
            </w:r>
          </w:p>
        </w:tc>
        <w:tc>
          <w:tcPr>
            <w:tcW w:w="4394" w:type="dxa"/>
          </w:tcPr>
          <w:p w:rsidR="00E26C96" w:rsidRPr="00E26C96" w:rsidRDefault="00E26C96" w:rsidP="00511753">
            <w:pPr>
              <w:rPr>
                <w:rFonts w:asciiTheme="minorHAnsi" w:hAnsiTheme="minorHAnsi" w:cstheme="minorHAnsi"/>
                <w:sz w:val="18"/>
                <w:szCs w:val="18"/>
              </w:rPr>
            </w:pPr>
            <w:r w:rsidRPr="00E26C96">
              <w:rPr>
                <w:rFonts w:asciiTheme="minorHAnsi" w:hAnsiTheme="minorHAnsi" w:cstheme="minorHAnsi"/>
                <w:sz w:val="18"/>
                <w:szCs w:val="18"/>
              </w:rPr>
              <w:t>3 isolated cases led to premature termination of study of prophylactic use and there have also been cases reported post marketing. Causal link has not been proven or disproven</w:t>
            </w:r>
          </w:p>
        </w:tc>
      </w:tr>
    </w:tbl>
    <w:p w:rsidR="00605AD4" w:rsidRPr="00605AD4" w:rsidRDefault="00605AD4" w:rsidP="00605AD4">
      <w:pPr>
        <w:pStyle w:val="Heading4"/>
      </w:pPr>
      <w:r w:rsidRPr="00605AD4">
        <w:t>First round assessment of benefit-risk balance</w:t>
      </w:r>
    </w:p>
    <w:p w:rsidR="00511753" w:rsidRPr="00A64DC7" w:rsidRDefault="00511753" w:rsidP="00A64DC7">
      <w:r w:rsidRPr="00A64DC7">
        <w:t>The submission is less than ideal and is disappointing in that it did not include the literature component submitted in Europe. The efficacy is therefore based on a limited number of patients and treatment regimens that were not primarily investigating the treatment as requested</w:t>
      </w:r>
      <w:r w:rsidR="00724272">
        <w:t xml:space="preserve"> in the proposed indication (for example, </w:t>
      </w:r>
      <w:r w:rsidRPr="00A64DC7">
        <w:t>prophylactic treatment during the first day v</w:t>
      </w:r>
      <w:r w:rsidR="00C203E0">
        <w:t>ersus</w:t>
      </w:r>
      <w:r w:rsidRPr="00A64DC7">
        <w:t xml:space="preserve"> curative treatment after the first 6 days). However, in the studies submitted the outcomes were consistently positive although variable in the different studies. Overall, Pedea did lead to closure of the PDA in the majority of cases. No studies comparing Pedea to the currently accepted treatment of indomethacin were submitted. The retrospective survey indicated that the efficacy is possibly comparable but no conclusive statement can be made.</w:t>
      </w:r>
    </w:p>
    <w:p w:rsidR="00511753" w:rsidRPr="00A64DC7" w:rsidRDefault="00511753" w:rsidP="00A64DC7">
      <w:r w:rsidRPr="00A64DC7">
        <w:t xml:space="preserve">The safety of the product is based on a reasonable number of patients and supported by 10 years of post-marketing data and does not indicate any significant safety issues, especially given the use of the product in highly monitored environment of a </w:t>
      </w:r>
      <w:r w:rsidR="006F0557" w:rsidRPr="006F0557">
        <w:t>NICU (Neonatal Intensive Care Unit</w:t>
      </w:r>
      <w:r w:rsidR="006F0557">
        <w:t>)</w:t>
      </w:r>
      <w:r w:rsidRPr="00A64DC7">
        <w:t>.</w:t>
      </w:r>
    </w:p>
    <w:p w:rsidR="00511753" w:rsidRPr="00A64DC7" w:rsidRDefault="00511753" w:rsidP="00A64DC7">
      <w:r w:rsidRPr="00A64DC7">
        <w:t>Therefore despite reservations about the quality of the submission and the uncertainties of the clinical data submitted, based on the clinical data submitted in the benefit-risk balance of Pedea for the proposed usage is favourable.</w:t>
      </w:r>
    </w:p>
    <w:p w:rsidR="00605AD4" w:rsidRPr="00605AD4" w:rsidRDefault="00605AD4" w:rsidP="00605AD4">
      <w:pPr>
        <w:pStyle w:val="Heading3"/>
        <w:rPr>
          <w:rFonts w:eastAsia="Cambria"/>
        </w:rPr>
      </w:pPr>
      <w:bookmarkStart w:id="166" w:name="_Toc499196221"/>
      <w:r w:rsidRPr="00605AD4">
        <w:rPr>
          <w:rFonts w:eastAsia="Cambria"/>
        </w:rPr>
        <w:t xml:space="preserve">First </w:t>
      </w:r>
      <w:r w:rsidR="00E63418">
        <w:rPr>
          <w:rFonts w:eastAsia="Cambria"/>
        </w:rPr>
        <w:t>r</w:t>
      </w:r>
      <w:r w:rsidRPr="00605AD4">
        <w:rPr>
          <w:rFonts w:eastAsia="Cambria"/>
        </w:rPr>
        <w:t xml:space="preserve">ound </w:t>
      </w:r>
      <w:r w:rsidR="00E63418">
        <w:rPr>
          <w:rFonts w:eastAsia="Cambria"/>
        </w:rPr>
        <w:t>r</w:t>
      </w:r>
      <w:r w:rsidRPr="00605AD4">
        <w:rPr>
          <w:rFonts w:eastAsia="Cambria"/>
        </w:rPr>
        <w:t xml:space="preserve">ecommendation </w:t>
      </w:r>
      <w:r w:rsidR="00E63418">
        <w:rPr>
          <w:rFonts w:eastAsia="Cambria"/>
        </w:rPr>
        <w:t>r</w:t>
      </w:r>
      <w:r w:rsidRPr="00605AD4">
        <w:rPr>
          <w:rFonts w:eastAsia="Cambria"/>
        </w:rPr>
        <w:t xml:space="preserve">egarding </w:t>
      </w:r>
      <w:r w:rsidR="00E63418">
        <w:rPr>
          <w:rFonts w:eastAsia="Cambria"/>
        </w:rPr>
        <w:t>a</w:t>
      </w:r>
      <w:r w:rsidRPr="00605AD4">
        <w:rPr>
          <w:rFonts w:eastAsia="Cambria"/>
        </w:rPr>
        <w:t>uthorisation</w:t>
      </w:r>
      <w:bookmarkEnd w:id="166"/>
    </w:p>
    <w:p w:rsidR="00A64DC7" w:rsidRPr="00A64DC7" w:rsidRDefault="00A64DC7" w:rsidP="00A64DC7">
      <w:r w:rsidRPr="00A64DC7">
        <w:t>Based on the clinical data provided in the submission, approval of Pedea is recommended but it is recommended that the proposed indication should be slightly amended.</w:t>
      </w:r>
    </w:p>
    <w:p w:rsidR="00A64DC7" w:rsidRPr="00A64DC7" w:rsidRDefault="00A64DC7" w:rsidP="00A64DC7">
      <w:r w:rsidRPr="00A64DC7">
        <w:t xml:space="preserve">The sponsor has requested treatment of babies less than 32 weeks however in all the efficacy clinical trials the data is for premature patients less than 29 weeks. In the 2 surveys (IBU/Survey and Long Term FFU there were only a few (unstated) infants in the range &gt;29 weeks. However, the decisive feature is the </w:t>
      </w:r>
      <w:proofErr w:type="spellStart"/>
      <w:r w:rsidRPr="00A64DC7">
        <w:t>haemodynamically</w:t>
      </w:r>
      <w:proofErr w:type="spellEnd"/>
      <w:r w:rsidRPr="00A64DC7">
        <w:t xml:space="preserve"> significant PDA rather than the GA and therefore it may be acceptable to raise the GA to 34 weeks but it would need to emphasised that the treatment should be under the supervision of a specialist neonatologist (this would allow for treatment not in a NICU). This should be included in the Pedea PI also to ensure that there is no inference of com</w:t>
      </w:r>
      <w:r w:rsidR="008A7ACE">
        <w:t>parative safety of Pedea versus</w:t>
      </w:r>
      <w:r w:rsidRPr="00A64DC7">
        <w:t xml:space="preserve"> indomethacin based on not having this statement in the PI.</w:t>
      </w:r>
    </w:p>
    <w:p w:rsidR="00A64DC7" w:rsidRPr="00A64DC7" w:rsidRDefault="00A64DC7" w:rsidP="00A64DC7">
      <w:r w:rsidRPr="00A64DC7">
        <w:lastRenderedPageBreak/>
        <w:t xml:space="preserve">It is noted that the approved PI for indomethacin in Australia includes the types of clinical evidence required (respiratory distress, a continuous murmur, hyperactive precordium, cardiomegaly and pulmonary plethora on chest </w:t>
      </w:r>
      <w:r w:rsidR="0099705E">
        <w:t>X-</w:t>
      </w:r>
      <w:r w:rsidRPr="00A64DC7">
        <w:t xml:space="preserve">ray). In the clinical trials </w:t>
      </w:r>
      <w:proofErr w:type="gramStart"/>
      <w:r w:rsidRPr="00A64DC7">
        <w:t>submitted,</w:t>
      </w:r>
      <w:proofErr w:type="gramEnd"/>
      <w:r w:rsidRPr="00A64DC7">
        <w:t xml:space="preserve"> </w:t>
      </w:r>
      <w:proofErr w:type="spellStart"/>
      <w:r w:rsidRPr="00A64DC7">
        <w:t>haemodynamically</w:t>
      </w:r>
      <w:proofErr w:type="spellEnd"/>
      <w:r w:rsidRPr="00A64DC7">
        <w:t xml:space="preserve"> significant PDA was defined by functional blood flow or echocardiographic features rather than clinical features. If this is defined in the clinical trial</w:t>
      </w:r>
      <w:r w:rsidR="002621C4">
        <w:t>s</w:t>
      </w:r>
      <w:r w:rsidRPr="00A64DC7">
        <w:t xml:space="preserve"> section</w:t>
      </w:r>
      <w:r>
        <w:t>, the</w:t>
      </w:r>
      <w:r w:rsidRPr="00A64DC7">
        <w:t>n it may not be necessary to include clinical features in the indication.</w:t>
      </w:r>
    </w:p>
    <w:p w:rsidR="00A64DC7" w:rsidRPr="00A64DC7" w:rsidRDefault="00A64DC7" w:rsidP="00A64DC7">
      <w:r w:rsidRPr="00A64DC7">
        <w:t>It is therefore recommended that the indication be slightly modified to be:</w:t>
      </w:r>
    </w:p>
    <w:p w:rsidR="00A64DC7" w:rsidRPr="00A64DC7" w:rsidRDefault="00A64DC7" w:rsidP="00A64DC7">
      <w:r w:rsidRPr="00A64DC7">
        <w:t xml:space="preserve">Pedea is indicated for the treatment of </w:t>
      </w:r>
      <w:proofErr w:type="spellStart"/>
      <w:r w:rsidRPr="00A64DC7">
        <w:t>haemodynamically</w:t>
      </w:r>
      <w:proofErr w:type="spellEnd"/>
      <w:r w:rsidRPr="00A64DC7">
        <w:t xml:space="preserve"> significant </w:t>
      </w:r>
      <w:r w:rsidR="009D5461">
        <w:t>PDA</w:t>
      </w:r>
      <w:r w:rsidRPr="00A64DC7">
        <w:t xml:space="preserve"> in preterm newborn infants less than 34 weeks of gestational age. Pedea should only be used in a hospital under the supervision of a specialist neonatologist.</w:t>
      </w:r>
    </w:p>
    <w:p w:rsidR="00605AD4" w:rsidRPr="00605AD4" w:rsidRDefault="00605AD4" w:rsidP="00605AD4">
      <w:pPr>
        <w:pStyle w:val="Heading3"/>
        <w:rPr>
          <w:rFonts w:eastAsia="Cambria"/>
        </w:rPr>
      </w:pPr>
      <w:bookmarkStart w:id="167" w:name="_Toc499196222"/>
      <w:r w:rsidRPr="00605AD4">
        <w:rPr>
          <w:rFonts w:eastAsia="Cambria"/>
        </w:rPr>
        <w:t xml:space="preserve">Clinical </w:t>
      </w:r>
      <w:r w:rsidR="00E63418">
        <w:rPr>
          <w:rFonts w:eastAsia="Cambria"/>
        </w:rPr>
        <w:t>q</w:t>
      </w:r>
      <w:r w:rsidRPr="00605AD4">
        <w:rPr>
          <w:rFonts w:eastAsia="Cambria"/>
        </w:rPr>
        <w:t>uestions</w:t>
      </w:r>
      <w:bookmarkEnd w:id="167"/>
    </w:p>
    <w:p w:rsidR="00A64DC7" w:rsidRPr="00A64DC7" w:rsidRDefault="00A64DC7" w:rsidP="00A64DC7">
      <w:pPr>
        <w:pStyle w:val="Heading4"/>
      </w:pPr>
      <w:r w:rsidRPr="00A64DC7">
        <w:t>Pharmacokinetics</w:t>
      </w:r>
    </w:p>
    <w:p w:rsidR="00A64DC7" w:rsidRPr="00A64DC7" w:rsidRDefault="00A64DC7" w:rsidP="00A64DC7">
      <w:pPr>
        <w:pStyle w:val="ListBullet"/>
      </w:pPr>
      <w:r w:rsidRPr="00A64DC7">
        <w:t>Please correct the sentence in the Summary of Clinical Pharmacology and Clinical Expert Report. Please explain the significance of study 9-33/93 and why it was included in the submission.</w:t>
      </w:r>
    </w:p>
    <w:p w:rsidR="00A64DC7" w:rsidRPr="00A64DC7" w:rsidRDefault="00A64DC7" w:rsidP="00A64DC7">
      <w:pPr>
        <w:pStyle w:val="Heading4"/>
      </w:pPr>
      <w:r w:rsidRPr="00A64DC7">
        <w:t>Safety</w:t>
      </w:r>
    </w:p>
    <w:p w:rsidR="00A64DC7" w:rsidRPr="00A64DC7" w:rsidRDefault="00A64DC7" w:rsidP="00A64DC7">
      <w:pPr>
        <w:pStyle w:val="ListBullet"/>
      </w:pPr>
      <w:r w:rsidRPr="00A64DC7">
        <w:t>Please identify where Table 14.3.3.1S and Table 14.3.3.9S are located in the submission. If not included</w:t>
      </w:r>
      <w:r>
        <w:t>,</w:t>
      </w:r>
      <w:r w:rsidRPr="00A64DC7">
        <w:t xml:space="preserve"> please provide.</w:t>
      </w:r>
    </w:p>
    <w:p w:rsidR="00A64DC7" w:rsidRPr="00A64DC7" w:rsidRDefault="00A64DC7" w:rsidP="00A64DC7">
      <w:pPr>
        <w:pStyle w:val="ListBullet"/>
      </w:pPr>
      <w:r w:rsidRPr="00A64DC7">
        <w:t>Please provide comment on why discontinuations due to AEs were not included.</w:t>
      </w:r>
    </w:p>
    <w:p w:rsidR="00605AD4" w:rsidRPr="00605AD4" w:rsidRDefault="00605AD4" w:rsidP="00605AD4">
      <w:pPr>
        <w:pStyle w:val="Heading3"/>
        <w:rPr>
          <w:rFonts w:eastAsia="Cambria"/>
        </w:rPr>
      </w:pPr>
      <w:bookmarkStart w:id="168" w:name="_Toc499196223"/>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e</w:t>
      </w:r>
      <w:r w:rsidRPr="00605AD4">
        <w:rPr>
          <w:rFonts w:eastAsia="Cambria"/>
        </w:rPr>
        <w:t>valuation</w:t>
      </w:r>
      <w:bookmarkEnd w:id="168"/>
    </w:p>
    <w:p w:rsidR="00720DBB" w:rsidRPr="00605AD4" w:rsidRDefault="00720DBB" w:rsidP="00720DBB">
      <w:r>
        <w:t>Details of sponsor’s responses to clinical questions and evaluator’s subsequent comments are contained in Attachment 2.</w:t>
      </w:r>
    </w:p>
    <w:p w:rsidR="00605AD4" w:rsidRPr="00605AD4" w:rsidRDefault="00605AD4" w:rsidP="00546154">
      <w:pPr>
        <w:pStyle w:val="Heading3"/>
        <w:rPr>
          <w:rFonts w:eastAsia="Cambria"/>
        </w:rPr>
      </w:pPr>
      <w:bookmarkStart w:id="169" w:name="_Toc499196224"/>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169"/>
    </w:p>
    <w:p w:rsidR="00AA1284" w:rsidRPr="009E5085" w:rsidRDefault="00AA1284" w:rsidP="00AA1284">
      <w:pPr>
        <w:pStyle w:val="Heading4"/>
      </w:pPr>
      <w:bookmarkStart w:id="170" w:name="_Toc272414709"/>
      <w:bookmarkStart w:id="171" w:name="_Toc290846349"/>
      <w:bookmarkStart w:id="172" w:name="_Toc442359398"/>
      <w:r w:rsidRPr="009E5085">
        <w:t>Second round assessment of benefits</w:t>
      </w:r>
      <w:bookmarkEnd w:id="170"/>
      <w:bookmarkEnd w:id="171"/>
      <w:bookmarkEnd w:id="172"/>
    </w:p>
    <w:p w:rsidR="00A64DC7" w:rsidRPr="00BF0994" w:rsidRDefault="00A64DC7" w:rsidP="00BF0994">
      <w:bookmarkStart w:id="173" w:name="_Toc272414710"/>
      <w:bookmarkStart w:id="174" w:name="_Toc290846350"/>
      <w:r w:rsidRPr="00BF0994">
        <w:t xml:space="preserve">After consideration of the responses to the clinical questions, the benefits of Pedea in the proposed usage are unchanged from those identified in </w:t>
      </w:r>
      <w:r w:rsidR="00BF0994">
        <w:t>first round</w:t>
      </w:r>
      <w:r w:rsidRPr="00BF0994">
        <w:t>.</w:t>
      </w:r>
    </w:p>
    <w:p w:rsidR="00AA1284" w:rsidRDefault="00AA1284" w:rsidP="00AA1284">
      <w:pPr>
        <w:pStyle w:val="Heading4"/>
      </w:pPr>
      <w:bookmarkStart w:id="175" w:name="_Toc442359399"/>
      <w:r w:rsidRPr="009E5085">
        <w:t>Second round assessment of risks</w:t>
      </w:r>
      <w:bookmarkEnd w:id="173"/>
      <w:bookmarkEnd w:id="174"/>
      <w:bookmarkEnd w:id="175"/>
    </w:p>
    <w:p w:rsidR="001A1916" w:rsidRPr="000D4EAD" w:rsidRDefault="001A1916" w:rsidP="000D4EAD">
      <w:r w:rsidRPr="000D4EAD">
        <w:t xml:space="preserve">After consideration of the responses to the clinical questions, the risks of Pedea in the proposed usage are unchanged from those identified in </w:t>
      </w:r>
      <w:r w:rsidR="000D4EAD">
        <w:t>first round.</w:t>
      </w:r>
    </w:p>
    <w:p w:rsidR="00AA1284" w:rsidRPr="009E5085" w:rsidRDefault="00AA1284" w:rsidP="00AA1284">
      <w:pPr>
        <w:pStyle w:val="Heading4"/>
      </w:pPr>
      <w:bookmarkStart w:id="176" w:name="_Toc272414711"/>
      <w:bookmarkStart w:id="177" w:name="_Toc290846351"/>
      <w:bookmarkStart w:id="178" w:name="_Toc442359400"/>
      <w:r w:rsidRPr="009E5085">
        <w:t>Second round assessment of benefit-risk balance</w:t>
      </w:r>
      <w:bookmarkEnd w:id="176"/>
      <w:bookmarkEnd w:id="177"/>
      <w:bookmarkEnd w:id="178"/>
    </w:p>
    <w:p w:rsidR="00F031DD" w:rsidRPr="00E10A60" w:rsidRDefault="00F031DD" w:rsidP="00E10A60">
      <w:r w:rsidRPr="00E10A60">
        <w:t xml:space="preserve">After consideration of the responses to the clinical questions, the benefit-risk balance is unchanged from that identified in </w:t>
      </w:r>
      <w:r w:rsidR="00E10A60">
        <w:t>first round</w:t>
      </w:r>
      <w:r w:rsidRPr="00E10A60">
        <w:t>.</w:t>
      </w:r>
    </w:p>
    <w:p w:rsidR="00AA1284" w:rsidRDefault="00AA1284" w:rsidP="00AA1284">
      <w:pPr>
        <w:pStyle w:val="Heading3"/>
      </w:pPr>
      <w:bookmarkStart w:id="179" w:name="_Toc460583202"/>
      <w:bookmarkStart w:id="180" w:name="_Toc499196225"/>
      <w:r>
        <w:t>Second round recommendation regarding authorisation</w:t>
      </w:r>
      <w:bookmarkEnd w:id="179"/>
      <w:bookmarkEnd w:id="180"/>
    </w:p>
    <w:p w:rsidR="00074861" w:rsidRPr="00EF6343" w:rsidRDefault="00074861" w:rsidP="00EF6343">
      <w:r w:rsidRPr="00EF6343">
        <w:t xml:space="preserve">The recommendation regarding authorisation is unchanged from that outlined in </w:t>
      </w:r>
      <w:r w:rsidR="00EF6343">
        <w:t>first round</w:t>
      </w:r>
      <w:r w:rsidRPr="00EF6343">
        <w:t>.</w:t>
      </w:r>
    </w:p>
    <w:p w:rsidR="008E7846" w:rsidRPr="00E41208" w:rsidRDefault="008E7846" w:rsidP="00546154">
      <w:pPr>
        <w:pStyle w:val="Heading2"/>
      </w:pPr>
      <w:bookmarkStart w:id="181" w:name="_Toc499196226"/>
      <w:r w:rsidRPr="00E41208">
        <w:lastRenderedPageBreak/>
        <w:t xml:space="preserve">V. Pharmacovigilance </w:t>
      </w:r>
      <w:r>
        <w:t>f</w:t>
      </w:r>
      <w:r w:rsidRPr="00E41208">
        <w:t>indings</w:t>
      </w:r>
      <w:bookmarkEnd w:id="103"/>
      <w:bookmarkEnd w:id="104"/>
      <w:bookmarkEnd w:id="181"/>
    </w:p>
    <w:p w:rsidR="008E7846" w:rsidRDefault="00386150" w:rsidP="008E7846">
      <w:pPr>
        <w:pStyle w:val="Heading3"/>
        <w:rPr>
          <w:lang w:eastAsia="en-AU"/>
        </w:rPr>
      </w:pPr>
      <w:bookmarkStart w:id="182" w:name="_Toc247691526"/>
      <w:bookmarkStart w:id="183" w:name="_Toc314842509"/>
      <w:bookmarkStart w:id="184" w:name="_Toc499196227"/>
      <w:r>
        <w:rPr>
          <w:lang w:eastAsia="en-AU"/>
        </w:rPr>
        <w:t>Risk m</w:t>
      </w:r>
      <w:r w:rsidR="008E7846">
        <w:rPr>
          <w:lang w:eastAsia="en-AU"/>
        </w:rPr>
        <w:t xml:space="preserve">anagement </w:t>
      </w:r>
      <w:r>
        <w:rPr>
          <w:lang w:eastAsia="en-AU"/>
        </w:rPr>
        <w:t>p</w:t>
      </w:r>
      <w:r w:rsidR="008E7846">
        <w:rPr>
          <w:lang w:eastAsia="en-AU"/>
        </w:rPr>
        <w:t>lan</w:t>
      </w:r>
      <w:bookmarkEnd w:id="182"/>
      <w:bookmarkEnd w:id="183"/>
      <w:bookmarkEnd w:id="184"/>
    </w:p>
    <w:p w:rsidR="00D640ED" w:rsidRDefault="00D640ED" w:rsidP="00D93117">
      <w:pPr>
        <w:pStyle w:val="Heading4"/>
        <w:rPr>
          <w:lang w:eastAsia="en-AU"/>
        </w:rPr>
      </w:pPr>
      <w:r>
        <w:rPr>
          <w:lang w:eastAsia="en-AU"/>
        </w:rPr>
        <w:t>Summary</w:t>
      </w:r>
    </w:p>
    <w:p w:rsidR="00D640ED" w:rsidRPr="00D640ED" w:rsidRDefault="00D640ED" w:rsidP="00C07DEE">
      <w:pPr>
        <w:pStyle w:val="ListBullet"/>
      </w:pPr>
      <w:r w:rsidRPr="00D640ED">
        <w:t>In support of the extend</w:t>
      </w:r>
      <w:r w:rsidR="00C07DEE">
        <w:t xml:space="preserve">ed indications, the sponsor </w:t>
      </w:r>
      <w:r w:rsidRPr="00D640ED">
        <w:t>submitted EU-RMP version</w:t>
      </w:r>
      <w:r w:rsidR="00C07DEE">
        <w:t xml:space="preserve"> </w:t>
      </w:r>
      <w:r w:rsidRPr="00D640ED">
        <w:t>2 (DLP 30 July 2011) and ASA version</w:t>
      </w:r>
      <w:r w:rsidR="00C07DEE">
        <w:t xml:space="preserve"> </w:t>
      </w:r>
      <w:r w:rsidRPr="00D640ED">
        <w:t xml:space="preserve">0.1 (7 March 2016). </w:t>
      </w:r>
    </w:p>
    <w:p w:rsidR="00D640ED" w:rsidRPr="00D640ED" w:rsidRDefault="00D640ED" w:rsidP="00C07DEE">
      <w:pPr>
        <w:pStyle w:val="ListBullet"/>
      </w:pPr>
      <w:r w:rsidRPr="00D640ED">
        <w:t xml:space="preserve">The </w:t>
      </w:r>
      <w:r w:rsidR="00C07DEE">
        <w:t>s</w:t>
      </w:r>
      <w:r w:rsidRPr="00D640ED">
        <w:t>ponsor submitted ASA version 0.2 (25 October 2016) in its Section 31 response.</w:t>
      </w:r>
    </w:p>
    <w:p w:rsidR="00D640ED" w:rsidRDefault="00D640ED" w:rsidP="00C07DEE">
      <w:pPr>
        <w:pStyle w:val="ListBullet"/>
      </w:pPr>
      <w:r w:rsidRPr="00D640ED">
        <w:t>The proposed Summary of Safety Concerns and their associated risk monitoring and mitigation strategies are summarised below</w:t>
      </w:r>
      <w:r>
        <w:t>.</w:t>
      </w:r>
    </w:p>
    <w:p w:rsidR="00D640ED" w:rsidRPr="00D640ED" w:rsidRDefault="00D640ED" w:rsidP="00445452">
      <w:pPr>
        <w:pStyle w:val="TableTitle"/>
      </w:pPr>
      <w:proofErr w:type="gramStart"/>
      <w:r>
        <w:t xml:space="preserve">Table </w:t>
      </w:r>
      <w:r w:rsidR="00445452">
        <w:t>17</w:t>
      </w:r>
      <w:r>
        <w:t>:</w:t>
      </w:r>
      <w:r w:rsidR="00445452" w:rsidRPr="00445452">
        <w:t xml:space="preserve"> </w:t>
      </w:r>
      <w:r w:rsidR="00445452" w:rsidRPr="00D640ED">
        <w:t>Summary of Safety Concerns and their associated risk monitoring and mitigation strategies</w:t>
      </w:r>
      <w:r w:rsidR="00445452">
        <w:t>.</w:t>
      </w:r>
      <w:proofErr w:type="gramEnd"/>
    </w:p>
    <w:tbl>
      <w:tblPr>
        <w:tblStyle w:val="TableTGAblue"/>
        <w:tblW w:w="8897" w:type="dxa"/>
        <w:tblLayout w:type="fixed"/>
        <w:tblLook w:val="04A0" w:firstRow="1" w:lastRow="0" w:firstColumn="1" w:lastColumn="0" w:noHBand="0" w:noVBand="1"/>
        <w:tblDescription w:val="Table 17: Summary of Safety Concerns and their associated risk monitoring and mitigation strategies."/>
      </w:tblPr>
      <w:tblGrid>
        <w:gridCol w:w="1668"/>
        <w:gridCol w:w="3118"/>
        <w:gridCol w:w="1418"/>
        <w:gridCol w:w="850"/>
        <w:gridCol w:w="851"/>
        <w:gridCol w:w="992"/>
      </w:tblGrid>
      <w:tr w:rsidR="00D640ED" w:rsidRPr="00445452" w:rsidTr="005D7BEE">
        <w:trPr>
          <w:cnfStyle w:val="100000000000" w:firstRow="1" w:lastRow="0" w:firstColumn="0" w:lastColumn="0" w:oddVBand="0" w:evenVBand="0" w:oddHBand="0" w:evenHBand="0" w:firstRowFirstColumn="0" w:firstRowLastColumn="0" w:lastRowFirstColumn="0" w:lastRowLastColumn="0"/>
          <w:trHeight w:val="131"/>
        </w:trPr>
        <w:tc>
          <w:tcPr>
            <w:tcW w:w="4786" w:type="dxa"/>
            <w:gridSpan w:val="2"/>
            <w:vMerge w:val="restart"/>
          </w:tcPr>
          <w:p w:rsidR="00D640ED" w:rsidRPr="005D7BEE" w:rsidRDefault="00D640ED" w:rsidP="005D7BEE">
            <w:pPr>
              <w:pStyle w:val="TableHeading"/>
            </w:pPr>
            <w:r w:rsidRPr="005D7BEE">
              <w:t>Summary of safety concerns</w:t>
            </w:r>
          </w:p>
        </w:tc>
        <w:tc>
          <w:tcPr>
            <w:tcW w:w="2268" w:type="dxa"/>
            <w:gridSpan w:val="2"/>
          </w:tcPr>
          <w:p w:rsidR="00D640ED" w:rsidRPr="005D7BEE" w:rsidRDefault="00D640ED" w:rsidP="005D7BEE">
            <w:pPr>
              <w:pStyle w:val="TableHeading"/>
            </w:pPr>
            <w:r w:rsidRPr="005D7BEE">
              <w:t>Pharmacovigilance</w:t>
            </w:r>
          </w:p>
        </w:tc>
        <w:tc>
          <w:tcPr>
            <w:tcW w:w="1843" w:type="dxa"/>
            <w:gridSpan w:val="2"/>
          </w:tcPr>
          <w:p w:rsidR="00D640ED" w:rsidRPr="005D7BEE" w:rsidRDefault="00D640ED" w:rsidP="005D7BEE">
            <w:pPr>
              <w:pStyle w:val="TableHeading"/>
            </w:pPr>
            <w:r w:rsidRPr="005D7BEE">
              <w:t>Risk Minimisation</w:t>
            </w:r>
          </w:p>
        </w:tc>
      </w:tr>
      <w:tr w:rsidR="00D640ED" w:rsidRPr="00445452" w:rsidTr="005D7BEE">
        <w:trPr>
          <w:cnfStyle w:val="100000000000" w:firstRow="1" w:lastRow="0" w:firstColumn="0" w:lastColumn="0" w:oddVBand="0" w:evenVBand="0" w:oddHBand="0" w:evenHBand="0" w:firstRowFirstColumn="0" w:firstRowLastColumn="0" w:lastRowFirstColumn="0" w:lastRowLastColumn="0"/>
          <w:trHeight w:val="150"/>
        </w:trPr>
        <w:tc>
          <w:tcPr>
            <w:tcW w:w="4786" w:type="dxa"/>
            <w:gridSpan w:val="2"/>
            <w:vMerge/>
          </w:tcPr>
          <w:p w:rsidR="00D640ED" w:rsidRPr="005D7BEE" w:rsidRDefault="00D640ED" w:rsidP="005D7BEE">
            <w:pPr>
              <w:pStyle w:val="TableHeading"/>
            </w:pPr>
          </w:p>
        </w:tc>
        <w:tc>
          <w:tcPr>
            <w:tcW w:w="1418" w:type="dxa"/>
            <w:shd w:val="clear" w:color="auto" w:fill="auto"/>
          </w:tcPr>
          <w:p w:rsidR="00D640ED" w:rsidRPr="005D7BEE" w:rsidRDefault="00445452" w:rsidP="005D7BEE">
            <w:pPr>
              <w:pStyle w:val="TableHeading"/>
              <w:rPr>
                <w:b w:val="0"/>
                <w:color w:val="auto"/>
              </w:rPr>
            </w:pPr>
            <w:r w:rsidRPr="005D7BEE">
              <w:rPr>
                <w:b w:val="0"/>
                <w:color w:val="auto"/>
              </w:rPr>
              <w:t>R</w:t>
            </w:r>
          </w:p>
        </w:tc>
        <w:tc>
          <w:tcPr>
            <w:tcW w:w="850" w:type="dxa"/>
            <w:shd w:val="clear" w:color="auto" w:fill="auto"/>
          </w:tcPr>
          <w:p w:rsidR="00D640ED" w:rsidRPr="005D7BEE" w:rsidRDefault="00445452" w:rsidP="005D7BEE">
            <w:pPr>
              <w:pStyle w:val="TableHeading"/>
              <w:rPr>
                <w:b w:val="0"/>
                <w:color w:val="auto"/>
              </w:rPr>
            </w:pPr>
            <w:r w:rsidRPr="005D7BEE">
              <w:rPr>
                <w:b w:val="0"/>
                <w:color w:val="auto"/>
              </w:rPr>
              <w:t>A</w:t>
            </w:r>
          </w:p>
        </w:tc>
        <w:tc>
          <w:tcPr>
            <w:tcW w:w="851" w:type="dxa"/>
            <w:shd w:val="clear" w:color="auto" w:fill="auto"/>
          </w:tcPr>
          <w:p w:rsidR="00D640ED" w:rsidRPr="005D7BEE" w:rsidRDefault="00445452" w:rsidP="005D7BEE">
            <w:pPr>
              <w:pStyle w:val="TableHeading"/>
              <w:rPr>
                <w:b w:val="0"/>
                <w:color w:val="auto"/>
              </w:rPr>
            </w:pPr>
            <w:r w:rsidRPr="005D7BEE">
              <w:rPr>
                <w:b w:val="0"/>
                <w:color w:val="auto"/>
              </w:rPr>
              <w:t>R</w:t>
            </w:r>
          </w:p>
        </w:tc>
        <w:tc>
          <w:tcPr>
            <w:tcW w:w="992" w:type="dxa"/>
            <w:shd w:val="clear" w:color="auto" w:fill="auto"/>
          </w:tcPr>
          <w:p w:rsidR="00D640ED" w:rsidRPr="005D7BEE" w:rsidRDefault="00445452" w:rsidP="005D7BEE">
            <w:pPr>
              <w:pStyle w:val="TableHeading"/>
              <w:rPr>
                <w:b w:val="0"/>
                <w:color w:val="auto"/>
              </w:rPr>
            </w:pPr>
            <w:r w:rsidRPr="005D7BEE">
              <w:rPr>
                <w:b w:val="0"/>
                <w:color w:val="auto"/>
              </w:rPr>
              <w:t>A</w:t>
            </w:r>
          </w:p>
        </w:tc>
      </w:tr>
      <w:tr w:rsidR="00D640ED" w:rsidRPr="00445452" w:rsidTr="0099705E">
        <w:trPr>
          <w:trHeight w:val="137"/>
        </w:trPr>
        <w:tc>
          <w:tcPr>
            <w:tcW w:w="1668" w:type="dxa"/>
            <w:vMerge w:val="restart"/>
          </w:tcPr>
          <w:p w:rsidR="00D640ED" w:rsidRPr="005D7BEE" w:rsidRDefault="00D640ED" w:rsidP="005D7BEE">
            <w:pPr>
              <w:pStyle w:val="Tabletext"/>
              <w:rPr>
                <w:b/>
              </w:rPr>
            </w:pPr>
            <w:r w:rsidRPr="005D7BEE">
              <w:rPr>
                <w:b/>
              </w:rPr>
              <w:t>Important identified risks</w:t>
            </w:r>
          </w:p>
        </w:tc>
        <w:tc>
          <w:tcPr>
            <w:tcW w:w="3118" w:type="dxa"/>
          </w:tcPr>
          <w:p w:rsidR="00D640ED" w:rsidRPr="005D7BEE" w:rsidRDefault="00D640ED" w:rsidP="005D7BEE">
            <w:pPr>
              <w:pStyle w:val="Tabletext"/>
            </w:pPr>
            <w:r w:rsidRPr="005D7BEE">
              <w:t>Respiratory function: risk of hypoxemia with pulmonary hypertension, especially if treated with ibuprofen IV within 6 hours of life.</w:t>
            </w:r>
          </w:p>
        </w:tc>
        <w:tc>
          <w:tcPr>
            <w:tcW w:w="1418"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850"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c>
          <w:tcPr>
            <w:tcW w:w="851"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992"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r>
      <w:tr w:rsidR="00D640ED" w:rsidRPr="00445452" w:rsidTr="0099705E">
        <w:trPr>
          <w:trHeight w:val="187"/>
        </w:trPr>
        <w:tc>
          <w:tcPr>
            <w:tcW w:w="1668" w:type="dxa"/>
            <w:vMerge/>
          </w:tcPr>
          <w:p w:rsidR="00D640ED" w:rsidRPr="005D7BEE" w:rsidRDefault="00D640ED" w:rsidP="005D7BEE">
            <w:pPr>
              <w:pStyle w:val="Tabletext"/>
              <w:rPr>
                <w:b/>
              </w:rPr>
            </w:pPr>
          </w:p>
        </w:tc>
        <w:tc>
          <w:tcPr>
            <w:tcW w:w="3118" w:type="dxa"/>
          </w:tcPr>
          <w:p w:rsidR="00D640ED" w:rsidRPr="005D7BEE" w:rsidRDefault="00D640ED" w:rsidP="005D7BEE">
            <w:pPr>
              <w:pStyle w:val="Tabletext"/>
            </w:pPr>
            <w:r w:rsidRPr="005D7BEE">
              <w:t>*Renal function disorders</w:t>
            </w:r>
          </w:p>
        </w:tc>
        <w:tc>
          <w:tcPr>
            <w:tcW w:w="1418"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850"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c>
          <w:tcPr>
            <w:tcW w:w="851"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992"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r>
      <w:tr w:rsidR="00D640ED" w:rsidRPr="00445452" w:rsidTr="0099705E">
        <w:trPr>
          <w:trHeight w:val="159"/>
        </w:trPr>
        <w:tc>
          <w:tcPr>
            <w:tcW w:w="1668" w:type="dxa"/>
            <w:vMerge w:val="restart"/>
          </w:tcPr>
          <w:p w:rsidR="00D640ED" w:rsidRPr="005D7BEE" w:rsidRDefault="00D640ED" w:rsidP="005D7BEE">
            <w:pPr>
              <w:pStyle w:val="Tabletext"/>
              <w:rPr>
                <w:b/>
              </w:rPr>
            </w:pPr>
            <w:r w:rsidRPr="005D7BEE">
              <w:rPr>
                <w:b/>
              </w:rPr>
              <w:t>Important potential risks</w:t>
            </w:r>
          </w:p>
        </w:tc>
        <w:tc>
          <w:tcPr>
            <w:tcW w:w="3118" w:type="dxa"/>
          </w:tcPr>
          <w:p w:rsidR="00D640ED" w:rsidRPr="005D7BEE" w:rsidRDefault="00D640ED" w:rsidP="005D7BEE">
            <w:pPr>
              <w:pStyle w:val="Tabletext"/>
            </w:pPr>
            <w:r w:rsidRPr="005D7BEE">
              <w:t>Cerebral disorders</w:t>
            </w:r>
          </w:p>
        </w:tc>
        <w:tc>
          <w:tcPr>
            <w:tcW w:w="1418"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850"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c>
          <w:tcPr>
            <w:tcW w:w="851"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992"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r>
      <w:tr w:rsidR="00D640ED" w:rsidRPr="00445452" w:rsidTr="0099705E">
        <w:trPr>
          <w:trHeight w:val="122"/>
        </w:trPr>
        <w:tc>
          <w:tcPr>
            <w:tcW w:w="1668" w:type="dxa"/>
            <w:vMerge/>
          </w:tcPr>
          <w:p w:rsidR="00D640ED" w:rsidRPr="005D7BEE" w:rsidRDefault="00D640ED" w:rsidP="005D7BEE">
            <w:pPr>
              <w:pStyle w:val="Tabletext"/>
              <w:rPr>
                <w:b/>
              </w:rPr>
            </w:pPr>
          </w:p>
        </w:tc>
        <w:tc>
          <w:tcPr>
            <w:tcW w:w="3118" w:type="dxa"/>
          </w:tcPr>
          <w:p w:rsidR="00D640ED" w:rsidRPr="005D7BEE" w:rsidRDefault="00D640ED" w:rsidP="005D7BEE">
            <w:pPr>
              <w:pStyle w:val="Tabletext"/>
            </w:pPr>
            <w:r w:rsidRPr="005D7BEE">
              <w:t>Haematological disorders</w:t>
            </w:r>
          </w:p>
        </w:tc>
        <w:tc>
          <w:tcPr>
            <w:tcW w:w="1418"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850"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c>
          <w:tcPr>
            <w:tcW w:w="851"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992"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r>
      <w:tr w:rsidR="00D640ED" w:rsidRPr="00445452" w:rsidTr="0099705E">
        <w:trPr>
          <w:trHeight w:val="122"/>
        </w:trPr>
        <w:tc>
          <w:tcPr>
            <w:tcW w:w="1668" w:type="dxa"/>
            <w:vMerge/>
          </w:tcPr>
          <w:p w:rsidR="00D640ED" w:rsidRPr="005D7BEE" w:rsidRDefault="00D640ED" w:rsidP="005D7BEE">
            <w:pPr>
              <w:pStyle w:val="Tabletext"/>
              <w:rPr>
                <w:b/>
              </w:rPr>
            </w:pPr>
          </w:p>
        </w:tc>
        <w:tc>
          <w:tcPr>
            <w:tcW w:w="3118" w:type="dxa"/>
          </w:tcPr>
          <w:p w:rsidR="00D640ED" w:rsidRPr="005D7BEE" w:rsidRDefault="00D640ED" w:rsidP="005D7BEE">
            <w:pPr>
              <w:pStyle w:val="Tabletext"/>
            </w:pPr>
            <w:r w:rsidRPr="005D7BEE">
              <w:t>Gastrointestinal disorders</w:t>
            </w:r>
          </w:p>
        </w:tc>
        <w:tc>
          <w:tcPr>
            <w:tcW w:w="1418"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850"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c>
          <w:tcPr>
            <w:tcW w:w="851"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992"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r>
      <w:tr w:rsidR="00D640ED" w:rsidRPr="00445452" w:rsidTr="0099705E">
        <w:trPr>
          <w:trHeight w:val="122"/>
        </w:trPr>
        <w:tc>
          <w:tcPr>
            <w:tcW w:w="1668" w:type="dxa"/>
            <w:vMerge/>
          </w:tcPr>
          <w:p w:rsidR="00D640ED" w:rsidRPr="005D7BEE" w:rsidRDefault="00D640ED" w:rsidP="005D7BEE">
            <w:pPr>
              <w:pStyle w:val="Tabletext"/>
              <w:rPr>
                <w:b/>
              </w:rPr>
            </w:pPr>
          </w:p>
        </w:tc>
        <w:tc>
          <w:tcPr>
            <w:tcW w:w="3118" w:type="dxa"/>
          </w:tcPr>
          <w:p w:rsidR="00D640ED" w:rsidRPr="005D7BEE" w:rsidRDefault="00D640ED" w:rsidP="005D7BEE">
            <w:pPr>
              <w:pStyle w:val="Tabletext"/>
            </w:pPr>
            <w:r w:rsidRPr="005D7BEE">
              <w:t>Gestational age under 28 weeks</w:t>
            </w:r>
          </w:p>
        </w:tc>
        <w:tc>
          <w:tcPr>
            <w:tcW w:w="1418"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850"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c>
          <w:tcPr>
            <w:tcW w:w="851"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992"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r>
      <w:tr w:rsidR="00D640ED" w:rsidRPr="00445452" w:rsidTr="0099705E">
        <w:trPr>
          <w:trHeight w:val="122"/>
        </w:trPr>
        <w:tc>
          <w:tcPr>
            <w:tcW w:w="1668" w:type="dxa"/>
            <w:vMerge/>
          </w:tcPr>
          <w:p w:rsidR="00D640ED" w:rsidRPr="005D7BEE" w:rsidRDefault="00D640ED" w:rsidP="005D7BEE">
            <w:pPr>
              <w:pStyle w:val="Tabletext"/>
              <w:rPr>
                <w:b/>
              </w:rPr>
            </w:pPr>
          </w:p>
        </w:tc>
        <w:tc>
          <w:tcPr>
            <w:tcW w:w="3118" w:type="dxa"/>
          </w:tcPr>
          <w:p w:rsidR="00D640ED" w:rsidRPr="005D7BEE" w:rsidRDefault="00D640ED" w:rsidP="005D7BEE">
            <w:pPr>
              <w:pStyle w:val="Tabletext"/>
            </w:pPr>
            <w:r w:rsidRPr="005D7BEE">
              <w:t>Bilirubin toxicity</w:t>
            </w:r>
          </w:p>
        </w:tc>
        <w:tc>
          <w:tcPr>
            <w:tcW w:w="1418"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850"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c>
          <w:tcPr>
            <w:tcW w:w="851"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992"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r>
      <w:tr w:rsidR="00D640ED" w:rsidRPr="00445452" w:rsidTr="0099705E">
        <w:trPr>
          <w:trHeight w:val="112"/>
        </w:trPr>
        <w:tc>
          <w:tcPr>
            <w:tcW w:w="1668" w:type="dxa"/>
            <w:vMerge/>
          </w:tcPr>
          <w:p w:rsidR="00D640ED" w:rsidRPr="005D7BEE" w:rsidRDefault="00D640ED" w:rsidP="005D7BEE">
            <w:pPr>
              <w:pStyle w:val="Tabletext"/>
              <w:rPr>
                <w:b/>
              </w:rPr>
            </w:pPr>
          </w:p>
        </w:tc>
        <w:tc>
          <w:tcPr>
            <w:tcW w:w="3118" w:type="dxa"/>
          </w:tcPr>
          <w:p w:rsidR="00D640ED" w:rsidRPr="005D7BEE" w:rsidRDefault="00D640ED" w:rsidP="005D7BEE">
            <w:pPr>
              <w:pStyle w:val="Tabletext"/>
            </w:pPr>
            <w:r w:rsidRPr="005D7BEE">
              <w:t>Known drug interactions with ibuprofen</w:t>
            </w:r>
          </w:p>
        </w:tc>
        <w:tc>
          <w:tcPr>
            <w:tcW w:w="1418"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850"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c>
          <w:tcPr>
            <w:tcW w:w="851"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992"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r>
      <w:tr w:rsidR="00D640ED" w:rsidRPr="00445452" w:rsidTr="0099705E">
        <w:trPr>
          <w:trHeight w:val="178"/>
        </w:trPr>
        <w:tc>
          <w:tcPr>
            <w:tcW w:w="1668" w:type="dxa"/>
          </w:tcPr>
          <w:p w:rsidR="00D640ED" w:rsidRPr="005D7BEE" w:rsidRDefault="00D640ED" w:rsidP="005D7BEE">
            <w:pPr>
              <w:pStyle w:val="Tabletext"/>
              <w:rPr>
                <w:b/>
              </w:rPr>
            </w:pPr>
            <w:r w:rsidRPr="005D7BEE">
              <w:rPr>
                <w:b/>
              </w:rPr>
              <w:t>Missing information</w:t>
            </w:r>
          </w:p>
        </w:tc>
        <w:tc>
          <w:tcPr>
            <w:tcW w:w="3118" w:type="dxa"/>
          </w:tcPr>
          <w:p w:rsidR="00D640ED" w:rsidRPr="005D7BEE" w:rsidRDefault="00D640ED" w:rsidP="005D7BEE">
            <w:pPr>
              <w:pStyle w:val="Tabletext"/>
            </w:pPr>
            <w:r w:rsidRPr="005D7BEE">
              <w:t>Unknown food and drug interactions</w:t>
            </w:r>
          </w:p>
        </w:tc>
        <w:tc>
          <w:tcPr>
            <w:tcW w:w="1418"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850"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c>
          <w:tcPr>
            <w:tcW w:w="851"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sym w:font="Wingdings" w:char="F0FC"/>
            </w:r>
          </w:p>
        </w:tc>
        <w:tc>
          <w:tcPr>
            <w:tcW w:w="992" w:type="dxa"/>
          </w:tcPr>
          <w:p w:rsidR="00D640ED" w:rsidRPr="00445452" w:rsidRDefault="00D640ED" w:rsidP="00D93117">
            <w:pPr>
              <w:pStyle w:val="Tabletext"/>
              <w:jc w:val="center"/>
              <w:rPr>
                <w:rFonts w:asciiTheme="minorHAnsi" w:hAnsiTheme="minorHAnsi"/>
                <w:sz w:val="18"/>
                <w:szCs w:val="18"/>
              </w:rPr>
            </w:pPr>
            <w:r w:rsidRPr="00445452">
              <w:rPr>
                <w:rFonts w:asciiTheme="minorHAnsi" w:hAnsiTheme="minorHAnsi"/>
                <w:sz w:val="18"/>
                <w:szCs w:val="18"/>
              </w:rPr>
              <w:t>–</w:t>
            </w:r>
          </w:p>
        </w:tc>
      </w:tr>
    </w:tbl>
    <w:p w:rsidR="00445452" w:rsidRDefault="00445452" w:rsidP="00445452">
      <w:pPr>
        <w:pStyle w:val="TableDescription"/>
      </w:pPr>
      <w:r>
        <w:t>R = Routine</w:t>
      </w:r>
    </w:p>
    <w:p w:rsidR="00445452" w:rsidRDefault="00445452" w:rsidP="00445452">
      <w:pPr>
        <w:pStyle w:val="TableDescription"/>
      </w:pPr>
      <w:r>
        <w:t>A = Additional</w:t>
      </w:r>
    </w:p>
    <w:p w:rsidR="00D640ED" w:rsidRDefault="00D640ED" w:rsidP="00445452">
      <w:pPr>
        <w:pStyle w:val="TableDescription"/>
      </w:pPr>
      <w:r w:rsidRPr="00006711">
        <w:t xml:space="preserve">*Added </w:t>
      </w:r>
      <w:r>
        <w:t>on the advice of the clinical evaluator and accepted by the sponsor in its Section 31 response. This Safety Concern is included in ASA version 0.2 (25 October 2016).</w:t>
      </w:r>
    </w:p>
    <w:p w:rsidR="00D640ED" w:rsidRDefault="00D640ED" w:rsidP="006D07C5">
      <w:pPr>
        <w:pStyle w:val="Heading4"/>
      </w:pPr>
      <w:bookmarkStart w:id="185" w:name="_Toc466558591"/>
      <w:r>
        <w:t>New and outstanding recommendations - Round 2</w:t>
      </w:r>
      <w:bookmarkEnd w:id="185"/>
    </w:p>
    <w:p w:rsidR="00D640ED" w:rsidRPr="006D07C5" w:rsidRDefault="00D640ED" w:rsidP="006D07C5">
      <w:r w:rsidRPr="006D07C5">
        <w:t>There are no outstanding issues or new recommendations in Round 2.</w:t>
      </w:r>
    </w:p>
    <w:p w:rsidR="00D640ED" w:rsidRPr="00BB4B51" w:rsidRDefault="00D640ED" w:rsidP="006D07C5">
      <w:pPr>
        <w:pStyle w:val="Heading5"/>
      </w:pPr>
      <w:bookmarkStart w:id="186" w:name="_Toc466558593"/>
      <w:r>
        <w:t>Wording for conditions of registration</w:t>
      </w:r>
      <w:bookmarkEnd w:id="186"/>
    </w:p>
    <w:p w:rsidR="00D640ED" w:rsidRPr="006D07C5" w:rsidRDefault="00D640ED" w:rsidP="006D07C5">
      <w:r w:rsidRPr="006D07C5">
        <w:t xml:space="preserve">Any changes to which the sponsor has agreed should be included in a revised RMP and ASA. However, irrespective of whether or not they are included in the currently available version of the RMP document, the agreed changes become part of the risk management system. </w:t>
      </w:r>
    </w:p>
    <w:p w:rsidR="00D640ED" w:rsidRPr="006D07C5" w:rsidRDefault="00D640ED" w:rsidP="006D07C5">
      <w:r w:rsidRPr="006D07C5">
        <w:t xml:space="preserve">The suggested wording is: Implement EU-RMP version2 (DLP 30 July 2011) with </w:t>
      </w:r>
      <w:r w:rsidR="00D93117">
        <w:t>ASA</w:t>
      </w:r>
      <w:r w:rsidRPr="006D07C5">
        <w:t xml:space="preserve"> (version 0.2, date 25 October 2016) and any future updates as a condition of registration.</w:t>
      </w:r>
    </w:p>
    <w:p w:rsidR="00D640ED" w:rsidRDefault="00D640ED" w:rsidP="006D07C5">
      <w:pPr>
        <w:pStyle w:val="Heading5"/>
      </w:pPr>
      <w:bookmarkStart w:id="187" w:name="_Toc466558594"/>
      <w:r>
        <w:t>Other advice to the Delegate</w:t>
      </w:r>
      <w:bookmarkEnd w:id="187"/>
    </w:p>
    <w:p w:rsidR="00D640ED" w:rsidRPr="006D07C5" w:rsidRDefault="00D640ED" w:rsidP="006D07C5">
      <w:r w:rsidRPr="006D07C5">
        <w:t>The Delegate may wish to consider further simplification to the wording in the</w:t>
      </w:r>
      <w:r w:rsidR="008E373A">
        <w:t xml:space="preserve"> CMI listed under Side Effects</w:t>
      </w:r>
      <w:r w:rsidR="006D07C5">
        <w:t>.</w:t>
      </w:r>
    </w:p>
    <w:p w:rsidR="008E7846" w:rsidRPr="00792A32" w:rsidRDefault="008E7846" w:rsidP="008E7846">
      <w:pPr>
        <w:pStyle w:val="Heading2"/>
      </w:pPr>
      <w:bookmarkStart w:id="188" w:name="_Toc247691527"/>
      <w:bookmarkStart w:id="189" w:name="_Toc314842510"/>
      <w:bookmarkStart w:id="190" w:name="_Toc499196228"/>
      <w:r>
        <w:lastRenderedPageBreak/>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5"/>
      <w:bookmarkEnd w:id="188"/>
      <w:bookmarkEnd w:id="189"/>
      <w:bookmarkEnd w:id="190"/>
    </w:p>
    <w:p w:rsidR="008E7846" w:rsidRDefault="008E7846" w:rsidP="008E7846">
      <w:bookmarkStart w:id="191"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92" w:name="_Toc314842511"/>
      <w:bookmarkStart w:id="193" w:name="_Toc499196229"/>
      <w:r>
        <w:t>Quality</w:t>
      </w:r>
      <w:bookmarkEnd w:id="191"/>
      <w:bookmarkEnd w:id="192"/>
      <w:bookmarkEnd w:id="193"/>
    </w:p>
    <w:p w:rsidR="00620F75" w:rsidRPr="00C13D18" w:rsidRDefault="00620F75" w:rsidP="00C13D18">
      <w:r w:rsidRPr="00C13D18">
        <w:t xml:space="preserve">Pedea is a sterile, clear colourless solution containing a 5mg/mL ibuprofen solution for injection filled in 2 mL colourless </w:t>
      </w:r>
      <w:r w:rsidR="008E373A">
        <w:t>OPC</w:t>
      </w:r>
      <w:r w:rsidRPr="00C13D18">
        <w:t xml:space="preserve"> glass ampoules and supplied in packs of 4 x 2 mL ampoules. Ibuprofen is practically insoluble in water, but it is solubilised in Pedea using a slight molar excess of the base trometamol which forms a salt with ibuprofen (the currently registered ibuprofen injection </w:t>
      </w:r>
      <w:proofErr w:type="spellStart"/>
      <w:r w:rsidRPr="00C13D18">
        <w:t>Caldolor</w:t>
      </w:r>
      <w:proofErr w:type="spellEnd"/>
      <w:r w:rsidRPr="00C13D18">
        <w:t xml:space="preserve"> contains arginine). Trometamol is used as an excipient in over 200 registered injectable products. The same Pedea formulation has been used in all clinical trials provided with this application.</w:t>
      </w:r>
    </w:p>
    <w:p w:rsidR="00620F75" w:rsidRPr="00C13D18" w:rsidRDefault="00620F75" w:rsidP="00C13D18">
      <w:r w:rsidRPr="00C13D18">
        <w:t>The module 3 evaluator has no objections to the registration of Pedea, pending clarification of the details of endotoxin removal from empty ampoules, and revisions to the labelling and the quality aspects of the Product Information.</w:t>
      </w:r>
    </w:p>
    <w:p w:rsidR="008E7846" w:rsidRDefault="008E7846" w:rsidP="008E7846">
      <w:pPr>
        <w:pStyle w:val="Heading3"/>
      </w:pPr>
      <w:bookmarkStart w:id="194" w:name="_Toc314842512"/>
      <w:bookmarkStart w:id="195" w:name="_Toc499196230"/>
      <w:r>
        <w:t>Nonclinical</w:t>
      </w:r>
      <w:bookmarkEnd w:id="194"/>
      <w:bookmarkEnd w:id="195"/>
    </w:p>
    <w:p w:rsidR="00C13D18" w:rsidRPr="00641963" w:rsidRDefault="00C13D18" w:rsidP="00641963">
      <w:r w:rsidRPr="00641963">
        <w:t xml:space="preserve">There are no nonclinical objections to the registration of ibuprofen (Pedea) for the treatment of </w:t>
      </w:r>
      <w:proofErr w:type="spellStart"/>
      <w:r w:rsidRPr="00641963">
        <w:t>haemodynamically</w:t>
      </w:r>
      <w:proofErr w:type="spellEnd"/>
      <w:r w:rsidRPr="00641963">
        <w:t xml:space="preserve"> significant </w:t>
      </w:r>
      <w:r w:rsidR="009D5461">
        <w:t>PDA</w:t>
      </w:r>
      <w:r w:rsidRPr="00641963">
        <w:t xml:space="preserve"> in preterm newborn infants less than 34 weeks of gestational age. </w:t>
      </w:r>
    </w:p>
    <w:p w:rsidR="00C13D18" w:rsidRPr="00641963" w:rsidRDefault="00C13D18" w:rsidP="00641963">
      <w:r w:rsidRPr="00641963">
        <w:t xml:space="preserve">Given the well-established nonclinical and clinical data with ibuprofen, an abridged nonclinical data package was submitted, consisting of an acute </w:t>
      </w:r>
      <w:r w:rsidR="0024731A">
        <w:t>IV</w:t>
      </w:r>
      <w:r w:rsidRPr="00641963">
        <w:t xml:space="preserve"> study in adult and juvenile rats, a local tolerance study in rabbits, and an in vitro study on the effects of ibuprofen and indomethacin on unconjugated bilirubin in rat astrocytes.</w:t>
      </w:r>
    </w:p>
    <w:p w:rsidR="00C13D18" w:rsidRPr="00641963" w:rsidRDefault="00C13D18" w:rsidP="00641963">
      <w:r w:rsidRPr="00641963">
        <w:t xml:space="preserve">In the acute </w:t>
      </w:r>
      <w:r w:rsidR="0024731A">
        <w:t>IV</w:t>
      </w:r>
      <w:r w:rsidRPr="00641963">
        <w:t xml:space="preserve"> toxicity study in adult and weaned rats, central nervous system depression was observed, which resulted in d</w:t>
      </w:r>
      <w:r w:rsidR="00E73A9D">
        <w:t>eath at high doses (420 mg/kg BW</w:t>
      </w:r>
      <w:r w:rsidRPr="00641963">
        <w:t xml:space="preserve">) in both age groups. Clinical signs of toxicity were similar in rats of </w:t>
      </w:r>
      <w:proofErr w:type="gramStart"/>
      <w:r w:rsidRPr="00641963">
        <w:t>both age</w:t>
      </w:r>
      <w:proofErr w:type="gramEnd"/>
      <w:r w:rsidRPr="00641963">
        <w:t xml:space="preserve"> groups and included passivity, reduced spontaneous locomotor activity, absence of startle response and reactivity, abnormal gait, ptosis, piloerection, dyspnoea. The maximum non-lethal dose was 265 mg/kg in both weaned and adult rats (12 times the maximum recommended human dose on </w:t>
      </w:r>
      <w:proofErr w:type="gramStart"/>
      <w:r w:rsidRPr="00641963">
        <w:t>a</w:t>
      </w:r>
      <w:proofErr w:type="gramEnd"/>
      <w:r w:rsidRPr="00641963">
        <w:t xml:space="preserve"> mg/kg basis).</w:t>
      </w:r>
    </w:p>
    <w:p w:rsidR="00C13D18" w:rsidRPr="00641963" w:rsidRDefault="00C13D18" w:rsidP="00641963">
      <w:r w:rsidRPr="00641963">
        <w:t xml:space="preserve">In a local tolerance study, ibuprofen was well tolerated following </w:t>
      </w:r>
      <w:r w:rsidR="0024731A">
        <w:t>IV</w:t>
      </w:r>
      <w:r w:rsidRPr="00641963">
        <w:t xml:space="preserve">, intra-arterial or </w:t>
      </w:r>
      <w:proofErr w:type="spellStart"/>
      <w:r w:rsidRPr="00641963">
        <w:t>perivenous</w:t>
      </w:r>
      <w:proofErr w:type="spellEnd"/>
      <w:r w:rsidRPr="00641963">
        <w:t xml:space="preserve"> injection for 5 days in rabbits using the proposed commercial formulation. Local effects were related to the injection rather than the solution administered and therefore there is low concern for adverse local reactions following injection of Pedea. Moreover, there was no evidence of organ related toxicity at necropsy after 5 daily injections.</w:t>
      </w:r>
    </w:p>
    <w:p w:rsidR="00C13D18" w:rsidRPr="00641963" w:rsidRDefault="00C13D18" w:rsidP="00641963">
      <w:r w:rsidRPr="00641963">
        <w:t xml:space="preserve">An in vitro study further investigated the known bilirubin displacement effects of ibuprofen in cultured rat astrocytes. Ibuprofen potentiated the effects of bilirubin induced necrosis and apoptosis of astrocytes and variably increased the release of TNFα at high bilirubin to albumin ratios but had no effect on the excitotoxicity induced by bilirubin. While the direct clinical relevance of these results is unclear the draft </w:t>
      </w:r>
      <w:r w:rsidR="002E6FAF">
        <w:t>PI</w:t>
      </w:r>
      <w:r w:rsidRPr="00641963">
        <w:t xml:space="preserve"> appropriately advises against ibuprofen use for this indication in the presence of marked hyperbilirubinemia.</w:t>
      </w:r>
    </w:p>
    <w:p w:rsidR="008E7846" w:rsidRDefault="008E7846" w:rsidP="00843E69">
      <w:pPr>
        <w:pStyle w:val="Heading3"/>
        <w:pageBreakBefore/>
      </w:pPr>
      <w:bookmarkStart w:id="196" w:name="_Toc247691530"/>
      <w:bookmarkStart w:id="197" w:name="_Toc314842513"/>
      <w:bookmarkStart w:id="198" w:name="_Toc499196231"/>
      <w:r>
        <w:t>Clinical</w:t>
      </w:r>
      <w:bookmarkEnd w:id="196"/>
      <w:bookmarkEnd w:id="197"/>
      <w:bookmarkEnd w:id="198"/>
    </w:p>
    <w:p w:rsidR="00641963" w:rsidRPr="00565D7F" w:rsidRDefault="00641963" w:rsidP="00565D7F">
      <w:bookmarkStart w:id="199" w:name="_Toc314842514"/>
      <w:r w:rsidRPr="00565D7F">
        <w:t>The clinical evaluator has recommended approval of Pedea, with the revised indication:</w:t>
      </w:r>
    </w:p>
    <w:p w:rsidR="00641963" w:rsidRPr="00565D7F" w:rsidRDefault="00641963" w:rsidP="00565D7F">
      <w:pPr>
        <w:ind w:left="720"/>
        <w:rPr>
          <w:i/>
        </w:rPr>
      </w:pPr>
      <w:r w:rsidRPr="00565D7F">
        <w:rPr>
          <w:i/>
        </w:rPr>
        <w:lastRenderedPageBreak/>
        <w:t xml:space="preserve">Pedea is indicated for the treatment of </w:t>
      </w:r>
      <w:proofErr w:type="spellStart"/>
      <w:r w:rsidRPr="00565D7F">
        <w:rPr>
          <w:i/>
        </w:rPr>
        <w:t>haemodynamically</w:t>
      </w:r>
      <w:proofErr w:type="spellEnd"/>
      <w:r w:rsidRPr="00565D7F">
        <w:rPr>
          <w:i/>
        </w:rPr>
        <w:t xml:space="preserve"> significant patent ductus arteriosus in preterm newborn infants less than 34 weeks of gestational age. Pedea should only be used in a hospital under the supervision of a specialist neonatologist.</w:t>
      </w:r>
    </w:p>
    <w:p w:rsidR="00641963" w:rsidRPr="00565D7F" w:rsidRDefault="00641963" w:rsidP="00565D7F">
      <w:r w:rsidRPr="00565D7F">
        <w:t>The clinical dossier contained the following data:</w:t>
      </w:r>
    </w:p>
    <w:p w:rsidR="00641963" w:rsidRPr="00C77F78" w:rsidRDefault="00641963" w:rsidP="00C77F78">
      <w:pPr>
        <w:pStyle w:val="ListBullet"/>
      </w:pPr>
      <w:r w:rsidRPr="00C77F78">
        <w:t>1 bioequivalence study (IBU/00/BIOEQ/FR)</w:t>
      </w:r>
    </w:p>
    <w:p w:rsidR="00641963" w:rsidRPr="00C77F78" w:rsidRDefault="00641963" w:rsidP="00C77F78">
      <w:pPr>
        <w:pStyle w:val="ListBullet"/>
      </w:pPr>
      <w:r w:rsidRPr="00C77F78">
        <w:t>1 pharmacokinetic study (9-33/93)</w:t>
      </w:r>
    </w:p>
    <w:p w:rsidR="00641963" w:rsidRPr="00C77F78" w:rsidRDefault="00641963" w:rsidP="00C77F78">
      <w:pPr>
        <w:pStyle w:val="ListBullet"/>
      </w:pPr>
      <w:r w:rsidRPr="00C77F78">
        <w:t>2 pharmacodynamic studies (IBU/BILICLIN, IBU/GER/2003)</w:t>
      </w:r>
    </w:p>
    <w:p w:rsidR="00641963" w:rsidRPr="00C77F78" w:rsidRDefault="00641963" w:rsidP="00C77F78">
      <w:pPr>
        <w:pStyle w:val="ListBullet"/>
      </w:pPr>
      <w:r w:rsidRPr="00C77F78">
        <w:t>2 population pharmacokinetic studies (CP025329, P60243)</w:t>
      </w:r>
    </w:p>
    <w:p w:rsidR="00641963" w:rsidRPr="00C77F78" w:rsidRDefault="00641963" w:rsidP="00C77F78">
      <w:pPr>
        <w:pStyle w:val="ListBullet"/>
      </w:pPr>
      <w:r w:rsidRPr="00C77F78">
        <w:t>1 dose ranging study (IBU/99/</w:t>
      </w:r>
      <w:proofErr w:type="spellStart"/>
      <w:r w:rsidRPr="00C77F78">
        <w:t>DoseRange</w:t>
      </w:r>
      <w:proofErr w:type="spellEnd"/>
      <w:r w:rsidRPr="00C77F78">
        <w:t>)</w:t>
      </w:r>
    </w:p>
    <w:p w:rsidR="00641963" w:rsidRPr="00C77F78" w:rsidRDefault="00641963" w:rsidP="00C77F78">
      <w:pPr>
        <w:pStyle w:val="ListBullet"/>
      </w:pPr>
      <w:r w:rsidRPr="00C77F78">
        <w:t>1 pivotal efficacy study (IBU/PROPHYL/2000 curative group)</w:t>
      </w:r>
    </w:p>
    <w:p w:rsidR="00641963" w:rsidRPr="00C77F78" w:rsidRDefault="00641963" w:rsidP="00C77F78">
      <w:pPr>
        <w:pStyle w:val="ListBullet"/>
      </w:pPr>
      <w:r w:rsidRPr="00C77F78">
        <w:t>3 other studies (IBU/PROPHYL/2000, IBU/LT/2004, IBU/20mg/2009)</w:t>
      </w:r>
    </w:p>
    <w:p w:rsidR="00641963" w:rsidRPr="00C77F78" w:rsidRDefault="00641963" w:rsidP="00C77F78">
      <w:pPr>
        <w:pStyle w:val="ListBullet"/>
      </w:pPr>
      <w:r w:rsidRPr="00C77F78">
        <w:t>1 safety study (IBU/Survey)</w:t>
      </w:r>
    </w:p>
    <w:p w:rsidR="00641963" w:rsidRDefault="00641963" w:rsidP="00C77F78">
      <w:pPr>
        <w:pStyle w:val="Heading4"/>
      </w:pPr>
      <w:r w:rsidRPr="003F08CF">
        <w:t>Pharmacology</w:t>
      </w:r>
    </w:p>
    <w:p w:rsidR="00641963" w:rsidRPr="00C77F78" w:rsidRDefault="00641963" w:rsidP="00C77F78">
      <w:r w:rsidRPr="00C77F78">
        <w:t xml:space="preserve">Ibuprofen is a chiral molecule, consisting of a racemic mixture of </w:t>
      </w:r>
      <w:proofErr w:type="gramStart"/>
      <w:r w:rsidRPr="00C77F78">
        <w:t>S(</w:t>
      </w:r>
      <w:proofErr w:type="gramEnd"/>
      <w:r w:rsidRPr="00C77F78">
        <w:t xml:space="preserve">+) and R(-) enantiomers. The </w:t>
      </w:r>
      <w:proofErr w:type="gramStart"/>
      <w:r w:rsidRPr="00C77F78">
        <w:t>S(</w:t>
      </w:r>
      <w:proofErr w:type="gramEnd"/>
      <w:r w:rsidRPr="00C77F78">
        <w:t>+) isomer is responsible for the clinical activity.</w:t>
      </w:r>
    </w:p>
    <w:p w:rsidR="00641963" w:rsidRPr="00C77F78" w:rsidRDefault="00641963" w:rsidP="00C77F78">
      <w:r w:rsidRPr="00C77F78">
        <w:t>Study IBU/00/BIOEQ/FR established bioequivalence of the Orphan Europe ibuprofen (the formulation proposed for Australia) and the reference ibuprofen lysine (</w:t>
      </w:r>
      <w:proofErr w:type="spellStart"/>
      <w:r w:rsidRPr="00C77F78">
        <w:t>Imbun</w:t>
      </w:r>
      <w:proofErr w:type="spellEnd"/>
      <w:r w:rsidRPr="00C77F78">
        <w:t>; the formulation used in most of the published clinical studies) in 18 healthy male volunteers.</w:t>
      </w:r>
    </w:p>
    <w:p w:rsidR="00641963" w:rsidRPr="0012727F" w:rsidRDefault="00641963" w:rsidP="00C77F78">
      <w:pPr>
        <w:pStyle w:val="Heading4"/>
      </w:pPr>
      <w:r w:rsidRPr="0012727F">
        <w:t>Pharmacokinetics</w:t>
      </w:r>
    </w:p>
    <w:p w:rsidR="00641963" w:rsidRPr="00C77F78" w:rsidRDefault="00641963" w:rsidP="00C77F78">
      <w:pPr>
        <w:pStyle w:val="ListBullet"/>
      </w:pPr>
      <w:r w:rsidRPr="00C77F78">
        <w:t xml:space="preserve">Ibuprofen is metabolised in the liver via oxidation (cytochrome P450 2C9) and </w:t>
      </w:r>
      <w:proofErr w:type="spellStart"/>
      <w:r w:rsidRPr="00C77F78">
        <w:t>glucuronidation</w:t>
      </w:r>
      <w:proofErr w:type="spellEnd"/>
      <w:r w:rsidRPr="00C77F78">
        <w:t>. In addition, there is unidirectional conversion of around 60% of R-ibuprofen to S-ibuprofen.</w:t>
      </w:r>
    </w:p>
    <w:p w:rsidR="00641963" w:rsidRPr="00C77F78" w:rsidRDefault="00641963" w:rsidP="00C77F78">
      <w:pPr>
        <w:pStyle w:val="ListBullet"/>
      </w:pPr>
      <w:r w:rsidRPr="00C77F78">
        <w:t>Two studies examined pharmacological parameters in 51 preterm infants.</w:t>
      </w:r>
    </w:p>
    <w:p w:rsidR="00641963" w:rsidRPr="00C77F78" w:rsidRDefault="00641963" w:rsidP="00C77F78">
      <w:pPr>
        <w:pStyle w:val="ListBullet"/>
      </w:pPr>
      <w:r w:rsidRPr="00C77F78">
        <w:t>For S-ibuprofen; estimated mean clearance was 3.8 mL/h/kg, volume of distribution 154 mL/kg, and half-life 35 h.</w:t>
      </w:r>
    </w:p>
    <w:p w:rsidR="00641963" w:rsidRPr="00C77F78" w:rsidRDefault="00641963" w:rsidP="00C77F78">
      <w:pPr>
        <w:pStyle w:val="ListBullet"/>
      </w:pPr>
      <w:r w:rsidRPr="00C77F78">
        <w:t>For R-ibuprofen, estimated mean clearance was 86 mL/h/kg, volume of distribution 194 mL/kg, and half-life 1.6 h.</w:t>
      </w:r>
    </w:p>
    <w:p w:rsidR="00641963" w:rsidRPr="00C77F78" w:rsidRDefault="00641963" w:rsidP="00C77F78">
      <w:pPr>
        <w:pStyle w:val="ListBullet"/>
      </w:pPr>
      <w:r w:rsidRPr="00C77F78">
        <w:t>Population pharmacokinetic analysis in a total of 108 preterm infants derived a mean clearance for S-ibuprofen of 3.5 mL/h/kg, volume of distribution 173 mL/kg, and half-life 34.3 h. R-ibuprofen elimination increased during the first week of life while S-ibuprofen elimination changed little.</w:t>
      </w:r>
    </w:p>
    <w:p w:rsidR="00641963" w:rsidRPr="00C77F78" w:rsidRDefault="00641963" w:rsidP="00C77F78">
      <w:pPr>
        <w:pStyle w:val="ListBullet"/>
      </w:pPr>
      <w:r w:rsidRPr="00C77F78">
        <w:t>No interaction studies were performed. The subjects in the trials received drugs commonly used in the management of preterm infants, such as antibiotics, inotropes, sedatives, steroids, respiratory stimulants, diuretics and bronchodilators.</w:t>
      </w:r>
    </w:p>
    <w:p w:rsidR="00641963" w:rsidRPr="00C77F78" w:rsidRDefault="00641963" w:rsidP="00C77F78">
      <w:pPr>
        <w:pStyle w:val="ListBullet"/>
      </w:pPr>
      <w:r w:rsidRPr="00C77F78">
        <w:t>Compared to adults and older children, clearance was markedly lower and elimination half-life substantially longer in preterm infants.</w:t>
      </w:r>
    </w:p>
    <w:p w:rsidR="00641963" w:rsidRPr="0012727F" w:rsidRDefault="00641963" w:rsidP="00C77F78">
      <w:pPr>
        <w:pStyle w:val="Heading4"/>
      </w:pPr>
      <w:r w:rsidRPr="0012727F">
        <w:t>Pharmacodynamics</w:t>
      </w:r>
    </w:p>
    <w:p w:rsidR="00641963" w:rsidRPr="00C77F78" w:rsidRDefault="00641963" w:rsidP="00C77F78">
      <w:pPr>
        <w:pStyle w:val="ListBullet"/>
      </w:pPr>
      <w:r w:rsidRPr="00C77F78">
        <w:t xml:space="preserve">Ibuprofen inhibits the 2 isoforms of the COX enzyme, leading to reduced prostaglandin synthesis. This is expected to decrease the vasodilatory effects of PGE2 and PGI2, </w:t>
      </w:r>
      <w:r w:rsidRPr="00C77F78">
        <w:lastRenderedPageBreak/>
        <w:t>which are involved in the pathogenesis of ductal patency. This effect is believed to be the main mechanism of action of ibuprofen in this indication.</w:t>
      </w:r>
    </w:p>
    <w:p w:rsidR="00641963" w:rsidRPr="00C77F78" w:rsidRDefault="00641963" w:rsidP="00C77F78">
      <w:pPr>
        <w:pStyle w:val="ListBullet"/>
      </w:pPr>
      <w:r w:rsidRPr="00C77F78">
        <w:t xml:space="preserve">Three pharmacodynamic studies investigated the toxic effects of ibuprofen on pulmonary perfusion, left ventricular function, and unbound bilirubin levels. There were no significant changes seen in pulmonary blood flow parameters, oxygen saturation, </w:t>
      </w:r>
      <w:proofErr w:type="gramStart"/>
      <w:r w:rsidRPr="00C77F78">
        <w:t>systolic</w:t>
      </w:r>
      <w:proofErr w:type="gramEnd"/>
      <w:r w:rsidRPr="00C77F78">
        <w:t xml:space="preserve"> blood pressure or bilirubin levels.</w:t>
      </w:r>
    </w:p>
    <w:p w:rsidR="00641963" w:rsidRDefault="00641963" w:rsidP="00C77F78">
      <w:pPr>
        <w:pStyle w:val="Heading4"/>
      </w:pPr>
      <w:r w:rsidRPr="003F08CF">
        <w:t>Efficacy</w:t>
      </w:r>
    </w:p>
    <w:p w:rsidR="00641963" w:rsidRPr="00C77F78" w:rsidRDefault="00641963" w:rsidP="00C77F78">
      <w:r w:rsidRPr="00C77F78">
        <w:t>Unless otherwise noted, the studies outlined below were performed in Western Europe during the period 1998-2003, and enrolled premature infants under 30 weeks gestation. Clinical studies all followed the regimen of a loading dose followed by two maintenance doses (each half</w:t>
      </w:r>
      <w:r w:rsidR="002E6FAF">
        <w:t xml:space="preserve"> of the loading dose) at 24 h</w:t>
      </w:r>
      <w:r w:rsidRPr="00C77F78">
        <w:t xml:space="preserve"> intervals. This is based on a single published study in 30 infants comparing a three-dose with a single dose regimen. An example regimen is a 10 mg/kg loading dose, followed by two maintenance doses of 5 mg/kg each. This will be referred to as a 10/5/5 dose. This is the dose regimen approved in Europe.</w:t>
      </w:r>
    </w:p>
    <w:p w:rsidR="00641963" w:rsidRPr="00C77F78" w:rsidRDefault="00641963" w:rsidP="00C77F78">
      <w:r w:rsidRPr="00C77F78">
        <w:t>The dose ranging study IBU/99/</w:t>
      </w:r>
      <w:proofErr w:type="spellStart"/>
      <w:r w:rsidRPr="00C77F78">
        <w:t>DoseRange</w:t>
      </w:r>
      <w:proofErr w:type="spellEnd"/>
      <w:r w:rsidRPr="00C77F78">
        <w:t xml:space="preserve"> used loading doses of 5, 10, 15, and 20 mg/kg, in infants with echocardiographic evidence of PDA, dependence on mechanical ventilation or nasal CPAP, and gestational age 24-29 weeks. Infants were divided into two groups according to gestational age (24-26 (N=21) and 27-29 (N=22) weeks). Median birth weight was 830 g (range 600-1030) in the 24-26 week group, and 1030 g (670-1580) in the 27-29 week group. Loading dose of ibuprofen was given at 72-120 h postnatal age. Individual group sizes were small, with particularly low subject numbers in the younger age group receiving higher ibuprofen doses. In the older group, probability of PDA closure was higher wit</w:t>
      </w:r>
      <w:r w:rsidR="002E6FAF">
        <w:t>h the 15/7.5/7.5 regimen (91% versus</w:t>
      </w:r>
      <w:r w:rsidRPr="00C77F78">
        <w:t xml:space="preserve"> 75% for the 10/5/5 dose), but with a higher rate of renal adverse effects. Probability of PDA closure was 33% for both the 15/7.5/7.5 and 10/5/5 regimens in the younger age group. An additional study in Europe showed improved benefit for a 20/10/10 regimen in very low birthweight infants. The clinical evaluator concludes that the proposed 10/5/5 dose represents an appropriate compromise between efficacy and safety, but may not be optimal for low gestational age infants.</w:t>
      </w:r>
    </w:p>
    <w:p w:rsidR="00641963" w:rsidRDefault="00641963" w:rsidP="00C77F78">
      <w:r w:rsidRPr="00C77F78">
        <w:t>The main (“curative”) efficacy study was a substudy of a (“prophylactic”) randomised, placebo-controlled study IBU/PROPHYL/2000 of ibuprofen 10/5/5 in preterm infants under 28 weeks gestational age. After an initial three days of treatment (ibuprofen or placebo, administered in a blinded manner), infants were assessed for the presence of a “significant” PDA (visible on echocardiograph, along with at least 2 out of: LA/aortic root ratio &gt; 1.48; retrograde or absent diastolic flow in the descending aorta; pulsatile flow in the DA; diastolic flow in pulmonary artery &gt; 20 cm/s). Those infants who received placebo initially, then were found to have a PDA, were administered “curative” ibuprofen at the 10/5/5 dose in an open</w:t>
      </w:r>
      <w:r w:rsidR="002E6FAF">
        <w:t xml:space="preserve"> </w:t>
      </w:r>
      <w:r w:rsidRPr="00C77F78">
        <w:t>label manner, with no comparator treatment. The primary efficacy outcome for the “curative” substudy was the need for further treatment (with indomethacin or surgery) due to non-closure of PDA. The c</w:t>
      </w:r>
      <w:r w:rsidR="00C77F78">
        <w:t>omplete study is outlined below.</w:t>
      </w:r>
    </w:p>
    <w:p w:rsidR="00C77F78" w:rsidRPr="00C77F78" w:rsidRDefault="00C77F78" w:rsidP="00704B34">
      <w:pPr>
        <w:pStyle w:val="FigureTitle"/>
      </w:pPr>
      <w:r>
        <w:t xml:space="preserve">Figure </w:t>
      </w:r>
      <w:r w:rsidR="00F50C9C">
        <w:t>2</w:t>
      </w:r>
      <w:r>
        <w:t xml:space="preserve">: </w:t>
      </w:r>
      <w:r w:rsidR="00F50C9C">
        <w:t xml:space="preserve">Study schema: </w:t>
      </w:r>
      <w:r w:rsidR="00117BDF" w:rsidRPr="00C77F78">
        <w:t>IBU/PROPHYL/2000</w:t>
      </w:r>
      <w:r w:rsidR="00117BDF">
        <w:t>.</w:t>
      </w:r>
    </w:p>
    <w:p w:rsidR="00641963" w:rsidRDefault="00704B34" w:rsidP="00641963">
      <w:pPr>
        <w:jc w:val="both"/>
        <w:rPr>
          <w:rFonts w:asciiTheme="minorHAnsi" w:hAnsiTheme="minorHAnsi"/>
        </w:rPr>
      </w:pPr>
      <w:r>
        <w:rPr>
          <w:noProof/>
          <w:lang w:eastAsia="en-AU"/>
        </w:rPr>
        <w:drawing>
          <wp:inline distT="0" distB="0" distL="0" distR="0" wp14:anchorId="79683384" wp14:editId="2D8D3E13">
            <wp:extent cx="5400040" cy="1277317"/>
            <wp:effectExtent l="0" t="0" r="0" b="0"/>
            <wp:docPr id="9" name="Picture 9" descr="Figure 2: Study schema: IBU/PROPHYL/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00040" cy="1277317"/>
                    </a:xfrm>
                    <a:prstGeom prst="rect">
                      <a:avLst/>
                    </a:prstGeom>
                  </pic:spPr>
                </pic:pic>
              </a:graphicData>
            </a:graphic>
          </wp:inline>
        </w:drawing>
      </w:r>
    </w:p>
    <w:p w:rsidR="00641963" w:rsidRPr="00704B34" w:rsidRDefault="00641963" w:rsidP="00704B34">
      <w:r w:rsidRPr="00704B34">
        <w:lastRenderedPageBreak/>
        <w:t xml:space="preserve">25 infants were </w:t>
      </w:r>
      <w:proofErr w:type="gramStart"/>
      <w:r w:rsidRPr="00704B34">
        <w:t>enrolled,</w:t>
      </w:r>
      <w:proofErr w:type="gramEnd"/>
      <w:r w:rsidRPr="00704B34">
        <w:t xml:space="preserve"> with a median gestational age 26 weeks and equal numbers of males and females. Median birth weight was 850 g (range 630-1180). Overall success rate (PDA closure after a single course of treatment) for ibuprofen was 12/25 (48%). Follow-on treatment was surgery (n</w:t>
      </w:r>
      <w:r w:rsidR="002E6FAF">
        <w:t xml:space="preserve"> </w:t>
      </w:r>
      <w:r w:rsidRPr="00704B34">
        <w:t>=</w:t>
      </w:r>
      <w:r w:rsidR="002E6FAF">
        <w:t xml:space="preserve"> </w:t>
      </w:r>
      <w:r w:rsidRPr="00704B34">
        <w:t>4), indomethacin (n</w:t>
      </w:r>
      <w:r w:rsidR="002E6FAF">
        <w:t xml:space="preserve"> </w:t>
      </w:r>
      <w:r w:rsidRPr="00704B34">
        <w:t>=</w:t>
      </w:r>
      <w:r w:rsidR="002E6FAF">
        <w:t xml:space="preserve"> </w:t>
      </w:r>
      <w:r w:rsidRPr="00704B34">
        <w:t>7), or indomethacin then surgery (n</w:t>
      </w:r>
      <w:r w:rsidR="002E6FAF">
        <w:t xml:space="preserve"> </w:t>
      </w:r>
      <w:r w:rsidRPr="00704B34">
        <w:t>=</w:t>
      </w:r>
      <w:r w:rsidR="002E6FAF">
        <w:t xml:space="preserve"> </w:t>
      </w:r>
      <w:r w:rsidRPr="00704B34">
        <w:t>2). Response rate did not seem to be correlated with gestational age. As noted, this was a substudy of the larger study, and was not sufficiently powered to investigate “curative” PDA treatment with ibuprofen.</w:t>
      </w:r>
    </w:p>
    <w:p w:rsidR="00641963" w:rsidRPr="00704B34" w:rsidRDefault="00641963" w:rsidP="00704B34">
      <w:r w:rsidRPr="00704B34">
        <w:t xml:space="preserve">The larger “prophylactic” study was designed to examine the effect of ibuprofen on the need for surgical treatment of PDA in neonates </w:t>
      </w:r>
      <w:proofErr w:type="gramStart"/>
      <w:r w:rsidRPr="00704B34">
        <w:t>under</w:t>
      </w:r>
      <w:proofErr w:type="gramEnd"/>
      <w:r w:rsidRPr="00704B34">
        <w:t xml:space="preserve"> 28 weeks gestational age. The study was planned to enrol 220 infants, but was stopped prematurely after enrolment of 131 infants, following three occurrences of refractory hypoxemia (described below) in subjects treated with ibuprofen. Subjects were given prophylactic ibuprofen or placebo commencing within the first six hours of life, and monitored with echocardiograms on days 3, 7, 14, and 21. Six patients </w:t>
      </w:r>
      <w:proofErr w:type="gramStart"/>
      <w:r w:rsidRPr="00704B34">
        <w:t>in  the</w:t>
      </w:r>
      <w:proofErr w:type="gramEnd"/>
      <w:r w:rsidRPr="00704B34">
        <w:t xml:space="preserve"> placebo group underwent surgery, versus none in the ibuprofen group. The overall incidence of detectable PDA was 59% in the placebo group, versus 29% in the ibuprofen group (p</w:t>
      </w:r>
      <w:r w:rsidR="002E6FAF">
        <w:t xml:space="preserve"> </w:t>
      </w:r>
      <w:r w:rsidRPr="00704B34">
        <w:t>=</w:t>
      </w:r>
      <w:r w:rsidR="002E6FAF">
        <w:t xml:space="preserve"> </w:t>
      </w:r>
      <w:r w:rsidRPr="00704B34">
        <w:t>0.001). 89% of PDAs were detected during the first week of life. Two patients (3%) in the ibuprofen group versus 25 (38%) in the placebo group required “curative” ibuprofen treatment.</w:t>
      </w:r>
    </w:p>
    <w:p w:rsidR="00641963" w:rsidRPr="00704B34" w:rsidRDefault="00641963" w:rsidP="00704B34">
      <w:r w:rsidRPr="00704B34">
        <w:t xml:space="preserve">Study IBU/LT/2004 was a follow-up study of 182 premature neonates with </w:t>
      </w:r>
      <w:proofErr w:type="spellStart"/>
      <w:r w:rsidRPr="00704B34">
        <w:t>haemodynamically</w:t>
      </w:r>
      <w:proofErr w:type="spellEnd"/>
      <w:r w:rsidRPr="00704B34">
        <w:t xml:space="preserve"> significant PDA born </w:t>
      </w:r>
      <w:proofErr w:type="gramStart"/>
      <w:r w:rsidRPr="00704B34">
        <w:t>between 1998-2003 at a single hospital in Berlin who received either ibuprofen (during 2001-2003)</w:t>
      </w:r>
      <w:proofErr w:type="gramEnd"/>
      <w:r w:rsidRPr="00704B34">
        <w:t xml:space="preserve"> (N</w:t>
      </w:r>
      <w:r w:rsidR="002E6FAF">
        <w:t xml:space="preserve"> </w:t>
      </w:r>
      <w:r w:rsidRPr="00704B34">
        <w:t>=</w:t>
      </w:r>
      <w:r w:rsidR="002E6FAF">
        <w:t xml:space="preserve"> </w:t>
      </w:r>
      <w:r w:rsidRPr="00704B34">
        <w:t>93) or indomethacin (during 1998-2001) (N</w:t>
      </w:r>
      <w:r w:rsidR="002E6FAF">
        <w:t xml:space="preserve"> </w:t>
      </w:r>
      <w:r w:rsidRPr="00704B34">
        <w:t>=</w:t>
      </w:r>
      <w:r w:rsidR="002E6FAF">
        <w:t xml:space="preserve"> </w:t>
      </w:r>
      <w:r w:rsidRPr="00704B34">
        <w:t>89). Statistics were mostly descriptive. There were significantly more males in the ibuprof</w:t>
      </w:r>
      <w:r w:rsidR="002E6FAF">
        <w:t>en group (66% versus</w:t>
      </w:r>
      <w:r w:rsidRPr="00704B34">
        <w:t xml:space="preserve"> 51%); male sex is classically associated with a poorer prognosis. PDA closure was achieved with a single course of treatment for 77% of indomethacin treated patients </w:t>
      </w:r>
      <w:r w:rsidR="002E6FAF">
        <w:t>versus</w:t>
      </w:r>
      <w:r w:rsidRPr="00704B34">
        <w:t xml:space="preserve"> 58% of ibuprofen treated </w:t>
      </w:r>
      <w:proofErr w:type="gramStart"/>
      <w:r w:rsidRPr="00704B34">
        <w:t>patients,</w:t>
      </w:r>
      <w:proofErr w:type="gramEnd"/>
      <w:r w:rsidRPr="00704B34">
        <w:t xml:space="preserve"> however the mean duration of treatment was significantly lower with ibuprofen. Surgical treatment was necessary for 27% in the indomethacin group </w:t>
      </w:r>
      <w:r w:rsidR="002E6FAF">
        <w:t>versus</w:t>
      </w:r>
      <w:r w:rsidRPr="00704B34">
        <w:t xml:space="preserve"> 30% in the ibuprofen group (p</w:t>
      </w:r>
      <w:r w:rsidR="002E6FAF">
        <w:t xml:space="preserve"> </w:t>
      </w:r>
      <w:r w:rsidRPr="00704B34">
        <w:t>=</w:t>
      </w:r>
      <w:r w:rsidR="002E6FAF">
        <w:t xml:space="preserve"> </w:t>
      </w:r>
      <w:r w:rsidRPr="00704B34">
        <w:t>0.743).</w:t>
      </w:r>
    </w:p>
    <w:p w:rsidR="00641963" w:rsidRPr="00704B34" w:rsidRDefault="00641963" w:rsidP="00704B34">
      <w:r w:rsidRPr="00704B34">
        <w:t xml:space="preserve">Study IBU/20/2009 was primarily a safety study (of bilirubin levels) of ibuprofen 20/10/10 in 23 neonates less than 28 weeks gestational age with </w:t>
      </w:r>
      <w:proofErr w:type="spellStart"/>
      <w:r w:rsidRPr="00704B34">
        <w:t>haemodynamically</w:t>
      </w:r>
      <w:proofErr w:type="spellEnd"/>
      <w:r w:rsidRPr="00704B34">
        <w:t xml:space="preserve"> significant PDA. Closure of PDA was achieved in 10/23 (44%) after a single dose of ibuprofen.</w:t>
      </w:r>
    </w:p>
    <w:p w:rsidR="00641963" w:rsidRPr="00704B34" w:rsidRDefault="00641963" w:rsidP="00704B34">
      <w:r w:rsidRPr="00704B34">
        <w:t xml:space="preserve">A number of Cochrane literature reviews have examined the use of ibuprofen for PDA closure in premature infants. The 2010 review was based on 19 studies comparing ibuprofen to indomethacin, involving 956 infants. There was no statistically significant efficacy difference between treatments, with relative risk of failure of PDA </w:t>
      </w:r>
      <w:proofErr w:type="gramStart"/>
      <w:r w:rsidRPr="00704B34">
        <w:t>closure  for</w:t>
      </w:r>
      <w:proofErr w:type="gramEnd"/>
      <w:r w:rsidRPr="00704B34">
        <w:t xml:space="preserve"> ibuprofen versus indomethacin of 0.94 (95% CI 0.76-1.17). Based on 15 studies, the relative risk of necrotising enterocolitis was lower with ibuprofen at 0.68 (95% CI 0.47-0.99); there was less evidence of transient renal insufficiency with ibuprofen; no other differences were seen for common neonatal morbidities.</w:t>
      </w:r>
    </w:p>
    <w:p w:rsidR="00641963" w:rsidRDefault="00641963" w:rsidP="00704B34">
      <w:pPr>
        <w:pStyle w:val="Heading4"/>
      </w:pPr>
      <w:r w:rsidRPr="003F08CF">
        <w:t>Safety</w:t>
      </w:r>
    </w:p>
    <w:p w:rsidR="00641963" w:rsidRPr="00704B34" w:rsidRDefault="00641963" w:rsidP="00704B34">
      <w:r w:rsidRPr="00704B34">
        <w:t>The clinical evaluator comments that safety information was poorly presented in the submission, with no aggregated safety assessment performed. The only aggregated safety information available is the table of serious adverse events provided in the draft PI.</w:t>
      </w:r>
    </w:p>
    <w:p w:rsidR="00641963" w:rsidRPr="00704B34" w:rsidRDefault="00641963" w:rsidP="00704B34">
      <w:r w:rsidRPr="00704B34">
        <w:t>Study IBU/Survey was a review of the safety of the 2001 Pedea European compassionate use program, which involved 165 neonates. Infants who had received indomethacin during 2000-2001 were used as a comparator group. Results were:</w:t>
      </w:r>
    </w:p>
    <w:p w:rsidR="00641963" w:rsidRPr="00704B34" w:rsidRDefault="00641963" w:rsidP="00704B34">
      <w:pPr>
        <w:pStyle w:val="ListBullet"/>
      </w:pPr>
      <w:r w:rsidRPr="00704B34">
        <w:t>incidence of “ventilation worsening” was similar for ibuprofen and indomethacin</w:t>
      </w:r>
    </w:p>
    <w:p w:rsidR="00641963" w:rsidRPr="00704B34" w:rsidRDefault="00641963" w:rsidP="00704B34">
      <w:pPr>
        <w:pStyle w:val="ListBullet"/>
      </w:pPr>
      <w:r w:rsidRPr="00704B34">
        <w:lastRenderedPageBreak/>
        <w:t xml:space="preserve">incidence of severe hyponatremia on day 2 was higher for indomethacin (29% </w:t>
      </w:r>
      <w:r w:rsidR="002E6FAF">
        <w:t>versus</w:t>
      </w:r>
      <w:r w:rsidRPr="00704B34">
        <w:t xml:space="preserve"> 6.8%); incidence of oliguria was higher for indomethacin (24% </w:t>
      </w:r>
      <w:r w:rsidR="002E6FAF">
        <w:t>D</w:t>
      </w:r>
      <w:r w:rsidRPr="00704B34">
        <w:t xml:space="preserve">ay 1, 18% </w:t>
      </w:r>
      <w:r w:rsidR="002E6FAF">
        <w:t>D</w:t>
      </w:r>
      <w:r w:rsidRPr="00704B34">
        <w:t xml:space="preserve">ay 2 </w:t>
      </w:r>
      <w:r w:rsidR="002E6FAF">
        <w:t>versus</w:t>
      </w:r>
      <w:r w:rsidRPr="00704B34">
        <w:t xml:space="preserve"> 0% for ibuprofen)</w:t>
      </w:r>
    </w:p>
    <w:p w:rsidR="00641963" w:rsidRPr="00704B34" w:rsidRDefault="00641963" w:rsidP="00704B34">
      <w:pPr>
        <w:pStyle w:val="ListBullet"/>
      </w:pPr>
      <w:proofErr w:type="gramStart"/>
      <w:r w:rsidRPr="00704B34">
        <w:t>mortality</w:t>
      </w:r>
      <w:proofErr w:type="gramEnd"/>
      <w:r w:rsidRPr="00704B34">
        <w:t xml:space="preserve"> was higher in the indomethacin group (18% </w:t>
      </w:r>
      <w:r w:rsidR="002E6FAF">
        <w:t>versus</w:t>
      </w:r>
      <w:r w:rsidRPr="00704B34">
        <w:t xml:space="preserve"> 9.2%)</w:t>
      </w:r>
    </w:p>
    <w:p w:rsidR="00641963" w:rsidRPr="00704B34" w:rsidRDefault="00641963" w:rsidP="00704B34">
      <w:pPr>
        <w:pStyle w:val="ListBullet"/>
      </w:pPr>
      <w:r w:rsidRPr="00704B34">
        <w:t xml:space="preserve">PDA surgery was more frequent in the ibuprofen group (32% </w:t>
      </w:r>
      <w:r w:rsidR="002E6FAF">
        <w:t>versus</w:t>
      </w:r>
      <w:r w:rsidRPr="00704B34">
        <w:t xml:space="preserve"> 9.2%); however it is noted that surgical rate varied considerably between centres, and there was an imbalance of baseline characteristics such as gestational age and birthweight, between the two groups</w:t>
      </w:r>
    </w:p>
    <w:p w:rsidR="00641963" w:rsidRPr="00704B34" w:rsidRDefault="00641963" w:rsidP="00704B34">
      <w:r w:rsidRPr="00704B34">
        <w:t xml:space="preserve">Total estimated exposure to Pedea in clinical trials was 384 patients </w:t>
      </w:r>
      <w:r w:rsidR="002E6FAF">
        <w:t>versus</w:t>
      </w:r>
      <w:r w:rsidRPr="00704B34">
        <w:t xml:space="preserve"> 182 for comparator indomethacin, although no direct comparative study was performed. The clinical evaluator comments that the main adverse effects were those related to the known complications of prematurity, such as intraventricular haemorrhage, renal disorders, and gastrointestinal events. PSUR summaries covered 11 years of </w:t>
      </w:r>
      <w:proofErr w:type="spellStart"/>
      <w:r w:rsidRPr="00704B34">
        <w:t>postmarketing</w:t>
      </w:r>
      <w:proofErr w:type="spellEnd"/>
      <w:r w:rsidRPr="00704B34">
        <w:t xml:space="preserve"> experience in Europe (around 100,000 infants treated); the most commonly reported spontaneous adverse events were gastrointestinal (23 to 59% of all reports) and renal. Post-market reports revealed signals for acute renal failure, pulmonary hypertension, and interaction with aminoglycosides.</w:t>
      </w:r>
    </w:p>
    <w:p w:rsidR="00641963" w:rsidRPr="00704B34" w:rsidRDefault="00641963" w:rsidP="00704B34">
      <w:r w:rsidRPr="00704B34">
        <w:t xml:space="preserve">There were six deaths in infants who received ibuprofen in the curative arm of the main study. No further details are </w:t>
      </w:r>
      <w:proofErr w:type="gramStart"/>
      <w:r w:rsidRPr="00704B34">
        <w:t>provided,</w:t>
      </w:r>
      <w:proofErr w:type="gramEnd"/>
      <w:r w:rsidRPr="00704B34">
        <w:t xml:space="preserve"> however the survival rate was similar to that seen for the subjects who did not receive ibuprofen (because they had no PDA).</w:t>
      </w:r>
    </w:p>
    <w:p w:rsidR="00641963" w:rsidRPr="00704B34" w:rsidRDefault="00641963" w:rsidP="00704B34">
      <w:r w:rsidRPr="00704B34">
        <w:t>Across the three studies performed by the sponsor, there were nine discontinuations due to adverse events: three cases of refractory hypoxemia (described below), one intraventricular haemorrhage, one renal failure, and four “clinical deterioration”.</w:t>
      </w:r>
    </w:p>
    <w:p w:rsidR="00641963" w:rsidRPr="00704B34" w:rsidRDefault="00641963" w:rsidP="00704B34">
      <w:r w:rsidRPr="00704B34">
        <w:t>Specific adverse events examined were:</w:t>
      </w:r>
    </w:p>
    <w:p w:rsidR="00641963" w:rsidRPr="00704B34" w:rsidRDefault="00641963" w:rsidP="00704B34">
      <w:pPr>
        <w:pStyle w:val="ListBullet"/>
      </w:pPr>
      <w:r w:rsidRPr="00704B34">
        <w:t>ibuprofen did not lead to significant increase in bilirubin levels</w:t>
      </w:r>
    </w:p>
    <w:p w:rsidR="00641963" w:rsidRPr="00704B34" w:rsidRDefault="00641963" w:rsidP="00704B34">
      <w:pPr>
        <w:pStyle w:val="ListBullet"/>
      </w:pPr>
      <w:r w:rsidRPr="00704B34">
        <w:t>slight transient renal impairment (increased serum creatinine and decreased urine output) was seen in the prophylactic study; this did not persist after the end of treatment; none of the infants in the curative study had abnormalities of serum creatinine</w:t>
      </w:r>
    </w:p>
    <w:p w:rsidR="00641963" w:rsidRPr="00704B34" w:rsidRDefault="00641963" w:rsidP="00704B34">
      <w:pPr>
        <w:pStyle w:val="ListBullet"/>
      </w:pPr>
      <w:r w:rsidRPr="00704B34">
        <w:t>Pedea had no significant effect on blood glucose or pH</w:t>
      </w:r>
    </w:p>
    <w:p w:rsidR="00641963" w:rsidRPr="00704B34" w:rsidRDefault="00641963" w:rsidP="00704B34">
      <w:pPr>
        <w:pStyle w:val="ListBullet"/>
      </w:pPr>
      <w:r w:rsidRPr="00704B34">
        <w:t>no significant effect for ibuprofen was seen on blood pressure, heart rate, or cerebral blood flow</w:t>
      </w:r>
    </w:p>
    <w:p w:rsidR="00641963" w:rsidRPr="00704B34" w:rsidRDefault="00641963" w:rsidP="00704B34">
      <w:pPr>
        <w:pStyle w:val="ListBullet"/>
      </w:pPr>
      <w:r w:rsidRPr="00704B34">
        <w:t>comparing indomethacin and ibuprofen patients at two years in the follow-up study, incidence of cerebral palsy was similar for indomethacin (13%) and ibuprofen (10%), and there was no statistically significant difference between the two groups in Griffith score for neurodevelopment or the incidence of hearing loss</w:t>
      </w:r>
    </w:p>
    <w:p w:rsidR="00641963" w:rsidRPr="00704B34" w:rsidRDefault="00641963" w:rsidP="00704B34">
      <w:pPr>
        <w:pStyle w:val="ListBullet"/>
      </w:pPr>
      <w:proofErr w:type="gramStart"/>
      <w:r w:rsidRPr="00704B34">
        <w:t>incidence</w:t>
      </w:r>
      <w:proofErr w:type="gramEnd"/>
      <w:r w:rsidRPr="00704B34">
        <w:t xml:space="preserve"> of bronchopulmonary dysplasia (defined as need for supplemental oxygen at 36 weeks gestational age) was similar for ibuprofen (35%) and indomethacin (38%) in the follow-up study. </w:t>
      </w:r>
    </w:p>
    <w:p w:rsidR="00641963" w:rsidRPr="00704B34" w:rsidRDefault="00641963" w:rsidP="00704B34">
      <w:r w:rsidRPr="00704B34">
        <w:t xml:space="preserve">Three cases of pulmonary hypertension with refractory hypoxaemia in neonates less than 28 weeks of gestational age, treated prophylactically with ibuprofen within six hours of birth, prompted the discontinuation of the IBU/PROPHYL/2000 trial. This led to the abandonment of any further investigation of prophylactic use. The events occurred at three different centres, and were described as severe refractory hypoxemia occurring just after the administration of the loading dose of ibuprofen in the first 6 h of life in infants less than 28 weeks gestation. The events were refractory to increased ventilator support and administration of exogenous surfactant, but responded rapidly to nitric oxide. In two of the cases, additional doses of ibuprofen were given without further problems. These </w:t>
      </w:r>
      <w:r w:rsidRPr="00704B34">
        <w:lastRenderedPageBreak/>
        <w:t>events appear isolated and related to the prophylactic use of ibuprofen. The proposed PI contains a warning advising that Pedea should not be used prophylactically within 6 hours of birth without confirmation of PDA.</w:t>
      </w:r>
    </w:p>
    <w:p w:rsidR="008E7846" w:rsidRDefault="00386150" w:rsidP="007B6132">
      <w:pPr>
        <w:pStyle w:val="Heading3"/>
        <w:rPr>
          <w:lang w:eastAsia="en-AU"/>
        </w:rPr>
      </w:pPr>
      <w:bookmarkStart w:id="200" w:name="_Toc499196232"/>
      <w:r>
        <w:rPr>
          <w:lang w:eastAsia="en-AU"/>
        </w:rPr>
        <w:t>Risk m</w:t>
      </w:r>
      <w:r w:rsidR="008E7846">
        <w:rPr>
          <w:lang w:eastAsia="en-AU"/>
        </w:rPr>
        <w:t xml:space="preserve">anagement </w:t>
      </w:r>
      <w:r>
        <w:rPr>
          <w:lang w:eastAsia="en-AU"/>
        </w:rPr>
        <w:t>p</w:t>
      </w:r>
      <w:r w:rsidR="008E7846">
        <w:rPr>
          <w:lang w:eastAsia="en-AU"/>
        </w:rPr>
        <w:t>lan</w:t>
      </w:r>
      <w:bookmarkEnd w:id="199"/>
      <w:bookmarkEnd w:id="200"/>
    </w:p>
    <w:p w:rsidR="00704B34" w:rsidRPr="00704B34" w:rsidRDefault="002E6FAF" w:rsidP="00704B34">
      <w:r>
        <w:t>TGA’s</w:t>
      </w:r>
      <w:r w:rsidR="00704B34" w:rsidRPr="00704B34">
        <w:t xml:space="preserve"> Pharmacovigilance and Special Access Br</w:t>
      </w:r>
      <w:r>
        <w:t xml:space="preserve">anch (PSAB) has accepted the EU-RMP </w:t>
      </w:r>
      <w:r w:rsidR="00704B34" w:rsidRPr="00704B34">
        <w:t xml:space="preserve">for Pedea (ibuprofen) (version 2, 30 July 2011), with </w:t>
      </w:r>
      <w:r>
        <w:t xml:space="preserve">ASA </w:t>
      </w:r>
      <w:r w:rsidR="00704B34" w:rsidRPr="00704B34">
        <w:t>version 0.2 (25 October 2016).</w:t>
      </w:r>
    </w:p>
    <w:p w:rsidR="00704B34" w:rsidRPr="00704B34" w:rsidRDefault="00704B34" w:rsidP="00704B34">
      <w:r w:rsidRPr="00704B34">
        <w:t>The sponsor proposes routine pharmacovigilance, with no planned or ongoing pharmacovigilance studies.</w:t>
      </w:r>
      <w:r w:rsidR="00125446">
        <w:rPr>
          <w:rStyle w:val="FootnoteReference"/>
        </w:rPr>
        <w:footnoteReference w:id="8"/>
      </w:r>
      <w:r w:rsidRPr="00704B34">
        <w:t xml:space="preserve"> The only remaining outstanding recommendations from the RMP evaluator involve changes to the CMI.</w:t>
      </w:r>
    </w:p>
    <w:p w:rsidR="008E7846" w:rsidRDefault="00AA0ED0" w:rsidP="008E7846">
      <w:pPr>
        <w:pStyle w:val="Heading3"/>
      </w:pPr>
      <w:bookmarkStart w:id="201" w:name="_Toc247691531"/>
      <w:bookmarkStart w:id="202" w:name="_Toc314842515"/>
      <w:bookmarkStart w:id="203" w:name="_Toc196046505"/>
      <w:bookmarkStart w:id="204" w:name="_Toc196046949"/>
      <w:bookmarkStart w:id="205" w:name="_Toc499196233"/>
      <w:r>
        <w:t>Risk-benefit a</w:t>
      </w:r>
      <w:r w:rsidR="008E7846">
        <w:t>nalysis</w:t>
      </w:r>
      <w:bookmarkEnd w:id="201"/>
      <w:bookmarkEnd w:id="202"/>
      <w:bookmarkEnd w:id="205"/>
    </w:p>
    <w:p w:rsidR="00D23139" w:rsidRDefault="00D23139" w:rsidP="00D23139">
      <w:pPr>
        <w:pStyle w:val="Heading4"/>
      </w:pPr>
      <w:r w:rsidRPr="00D23139">
        <w:t xml:space="preserve">Delegate’s considerations </w:t>
      </w:r>
    </w:p>
    <w:p w:rsidR="00704B34" w:rsidRPr="00704B34" w:rsidRDefault="00704B34" w:rsidP="00704B34">
      <w:r w:rsidRPr="00704B34">
        <w:t xml:space="preserve">This submission consisted only of a limited number of clinical studies, and did not include the published literature that was part of the European marketing submission. </w:t>
      </w:r>
    </w:p>
    <w:p w:rsidR="00704B34" w:rsidRPr="00704B34" w:rsidRDefault="00704B34" w:rsidP="00704B34">
      <w:pPr>
        <w:pStyle w:val="ListBullet"/>
      </w:pPr>
      <w:r w:rsidRPr="00704B34">
        <w:t>Quality: There are outstanding issues relating to the details of endotoxin removal from empty ampoules, and revisions to the labelling and quality aspects of the Product Information.</w:t>
      </w:r>
    </w:p>
    <w:p w:rsidR="00704B34" w:rsidRPr="00704B34" w:rsidRDefault="00704B34" w:rsidP="00704B34">
      <w:pPr>
        <w:pStyle w:val="ListBullet"/>
      </w:pPr>
      <w:r w:rsidRPr="00704B34">
        <w:t>Nonclinical: The evaluator had no objections to the registration of Pedea.</w:t>
      </w:r>
    </w:p>
    <w:p w:rsidR="00704B34" w:rsidRPr="00704B34" w:rsidRDefault="00704B34" w:rsidP="00704B34">
      <w:pPr>
        <w:pStyle w:val="ListBullet"/>
      </w:pPr>
      <w:r w:rsidRPr="00704B34">
        <w:t>Dose: The dose regimen is based on the results of a single published study. The 10/5/5 regimen represents a compromise between efficacy and safety in 27-29 week gestational age infants, but may not be optimal for lower gestational age infants. This dose regimen was used in almost all of the studies covered by the Cochrane review.</w:t>
      </w:r>
    </w:p>
    <w:p w:rsidR="00704B34" w:rsidRPr="00704B34" w:rsidRDefault="00704B34" w:rsidP="00704B34">
      <w:pPr>
        <w:pStyle w:val="ListBullet"/>
      </w:pPr>
      <w:r w:rsidRPr="00704B34">
        <w:t>Efficacy: Efficacy of ibuprofen was demonstrated in a small clinical study, supported by published systematic literature reviews. The main efficacy study consisted of only 25 infants. Efficacy data were available for 159 infants from other studies. The submitted studies enrolled only infants below 30 weeks gestation, and did not directly compare ibuprofen with indomethacin. Overall success rate of a single course of ibuprofen was 48% in the primary efficacy study. By comparison, information from a systematic literature review included in the Australian PI for Indomethacin IV Mylan appears to give a success rate around 68% following a single course of treatment, across all doses covered by the PI. Cochrane reviews concluded that ibuprofen and indomethacin were equally effective in achieving PDA closure.</w:t>
      </w:r>
    </w:p>
    <w:p w:rsidR="00704B34" w:rsidRPr="00704B34" w:rsidRDefault="00704B34" w:rsidP="00704B34">
      <w:pPr>
        <w:pStyle w:val="ListBullet"/>
      </w:pPr>
      <w:r w:rsidRPr="00704B34">
        <w:t xml:space="preserve">Safety: Safety of ibuprofen was demonstrated in clinical trials and post-marketing experience. Comparative safety with indomethacin was described, although no direct comparative study was performed. Ibuprofen appeared to have improved renal safety over indomethacin; incidence of bronchopulmonary dysplasia was similar between the two drugs. Ibuprofen did not lead to significant increases in bilirubin levels. New safety signals identified during over 10 years of use (with around 100,000 infants treated) as a marketed product in Europe included acute renal failure, pulmonary hypertension, and interaction with aminoglycosides. There were three cases of pulmonary hypertension with refractory hypoxaemia in neonates treated </w:t>
      </w:r>
      <w:r w:rsidRPr="00704B34">
        <w:lastRenderedPageBreak/>
        <w:t>prophylactically with ibuprofen in clinical trials. These events appear isolated and related to the prophylactic use of ibuprofen. Long-term safety at two years was demonstrated, with ibuprofen and indomethacin showing similar incidence of cerebral palsy and hearing loss, and no difference in neurodevelopmental scores.</w:t>
      </w:r>
    </w:p>
    <w:p w:rsidR="00704B34" w:rsidRPr="00704B34" w:rsidRDefault="00704B34" w:rsidP="00704B34">
      <w:pPr>
        <w:pStyle w:val="ListBullet"/>
      </w:pPr>
      <w:r w:rsidRPr="00704B34">
        <w:t>Indication: The sponsor requests the following indication:</w:t>
      </w:r>
    </w:p>
    <w:p w:rsidR="00704B34" w:rsidRPr="00704B34" w:rsidRDefault="00704B34" w:rsidP="00704B34">
      <w:pPr>
        <w:ind w:left="720"/>
        <w:rPr>
          <w:i/>
        </w:rPr>
      </w:pPr>
      <w:r w:rsidRPr="00704B34">
        <w:rPr>
          <w:i/>
        </w:rPr>
        <w:t xml:space="preserve">Pedea is indicated for the treatment of </w:t>
      </w:r>
      <w:proofErr w:type="spellStart"/>
      <w:r w:rsidRPr="00704B34">
        <w:rPr>
          <w:i/>
        </w:rPr>
        <w:t>haemodynamically</w:t>
      </w:r>
      <w:proofErr w:type="spellEnd"/>
      <w:r w:rsidRPr="00704B34">
        <w:rPr>
          <w:i/>
        </w:rPr>
        <w:t xml:space="preserve"> significant patent ductus arteriosus in preterm newborn infants less than 34 weeks of gestational age.</w:t>
      </w:r>
    </w:p>
    <w:p w:rsidR="00704B34" w:rsidRPr="00704B34" w:rsidRDefault="00704B34" w:rsidP="00704B34">
      <w:r w:rsidRPr="00704B34">
        <w:t>The clinical evaluator recommends the following indication:</w:t>
      </w:r>
    </w:p>
    <w:p w:rsidR="00704B34" w:rsidRPr="00704B34" w:rsidRDefault="00704B34" w:rsidP="00704B34">
      <w:pPr>
        <w:ind w:left="720"/>
        <w:rPr>
          <w:i/>
        </w:rPr>
      </w:pPr>
      <w:r w:rsidRPr="00704B34">
        <w:rPr>
          <w:i/>
        </w:rPr>
        <w:t xml:space="preserve">Pedea is indicated for the treatment of </w:t>
      </w:r>
      <w:proofErr w:type="spellStart"/>
      <w:r w:rsidRPr="00704B34">
        <w:rPr>
          <w:i/>
        </w:rPr>
        <w:t>haemodynamically</w:t>
      </w:r>
      <w:proofErr w:type="spellEnd"/>
      <w:r w:rsidRPr="00704B34">
        <w:rPr>
          <w:i/>
        </w:rPr>
        <w:t xml:space="preserve"> significant patent ductus arteriosus in preterm newborn infants less than 34 weeks of gestational age. Pedea should only be used in a hospital under the supervision of a specialist neonatologist.</w:t>
      </w:r>
    </w:p>
    <w:p w:rsidR="00704B34" w:rsidRPr="00704B34" w:rsidRDefault="00704B34" w:rsidP="00704B34">
      <w:r w:rsidRPr="00704B34">
        <w:t>In contrast, the approved indication for the comparator, indomethacin, is:</w:t>
      </w:r>
    </w:p>
    <w:p w:rsidR="00704B34" w:rsidRPr="00704B34" w:rsidRDefault="00704B34" w:rsidP="00704B34">
      <w:pPr>
        <w:ind w:left="720"/>
        <w:rPr>
          <w:i/>
        </w:rPr>
      </w:pPr>
      <w:r w:rsidRPr="00704B34">
        <w:rPr>
          <w:i/>
        </w:rPr>
        <w:t xml:space="preserve">Indomethacin IV Mylan is indicated for the closure of patent ductus arteriosus in premature babies. Clear-cut clinical evidence of a </w:t>
      </w:r>
      <w:proofErr w:type="spellStart"/>
      <w:r w:rsidRPr="00704B34">
        <w:rPr>
          <w:i/>
        </w:rPr>
        <w:t>haemodynamically</w:t>
      </w:r>
      <w:proofErr w:type="spellEnd"/>
      <w:r w:rsidRPr="00704B34">
        <w:rPr>
          <w:i/>
        </w:rPr>
        <w:t xml:space="preserve"> significant patent ductus arteriosus should be present, such as respiratory distress, a continuous murmur, a hyperactive precordium, cardiomegaly and pulmonary plethora on chest x-ray. </w:t>
      </w:r>
      <w:proofErr w:type="gramStart"/>
      <w:r w:rsidRPr="00704B34">
        <w:rPr>
          <w:i/>
        </w:rPr>
        <w:t>Indomethacin IV Mylan.</w:t>
      </w:r>
      <w:proofErr w:type="gramEnd"/>
      <w:r w:rsidRPr="00704B34">
        <w:rPr>
          <w:i/>
        </w:rPr>
        <w:t xml:space="preserve"> </w:t>
      </w:r>
      <w:proofErr w:type="gramStart"/>
      <w:r w:rsidRPr="00704B34">
        <w:rPr>
          <w:i/>
        </w:rPr>
        <w:t>should</w:t>
      </w:r>
      <w:proofErr w:type="gramEnd"/>
      <w:r w:rsidRPr="00704B34">
        <w:rPr>
          <w:i/>
        </w:rPr>
        <w:t xml:space="preserve"> only be used in a hospital under supervision of a specialist neonatologist.</w:t>
      </w:r>
    </w:p>
    <w:p w:rsidR="00704B34" w:rsidRPr="002B63E4" w:rsidRDefault="00704B34" w:rsidP="002B63E4">
      <w:r w:rsidRPr="002B63E4">
        <w:t>The PI contains sufficient warning against the prophylactic use of ibuprofen, and it is considered that, given the context of use, the wording “</w:t>
      </w:r>
      <w:proofErr w:type="spellStart"/>
      <w:r w:rsidRPr="002B63E4">
        <w:t>haemodynamically</w:t>
      </w:r>
      <w:proofErr w:type="spellEnd"/>
      <w:r w:rsidRPr="002B63E4">
        <w:t xml:space="preserve"> significant” does not require further explanation in the indication. Although the submitted studies did not include infants older than 29 weeks gestation, there does not seem to be evidence for decreased efficacy or a worse safety profile in older neonates. ACMs advice is requested on this matter.</w:t>
      </w:r>
    </w:p>
    <w:p w:rsidR="00704B34" w:rsidRPr="002B63E4" w:rsidRDefault="00704B34" w:rsidP="002B63E4">
      <w:r w:rsidRPr="002B63E4">
        <w:t>A suggested wording for the indication is as follows, with the statement “Pedea should only be used in a hospital under the supervision of a specialist neonatologist” being included in the Dosage and Administration section of the PI:</w:t>
      </w:r>
    </w:p>
    <w:p w:rsidR="00704B34" w:rsidRPr="002B63E4" w:rsidRDefault="00704B34" w:rsidP="002B63E4">
      <w:pPr>
        <w:ind w:left="720"/>
        <w:rPr>
          <w:i/>
        </w:rPr>
      </w:pPr>
      <w:r w:rsidRPr="002B63E4">
        <w:rPr>
          <w:i/>
        </w:rPr>
        <w:t xml:space="preserve">Pedea is indicated for the treatment of </w:t>
      </w:r>
      <w:proofErr w:type="spellStart"/>
      <w:r w:rsidRPr="002B63E4">
        <w:rPr>
          <w:i/>
        </w:rPr>
        <w:t>haemodynamically</w:t>
      </w:r>
      <w:proofErr w:type="spellEnd"/>
      <w:r w:rsidRPr="002B63E4">
        <w:rPr>
          <w:i/>
        </w:rPr>
        <w:t xml:space="preserve"> significant patent ductus arteriosus in preterm newborn infants less than 34 weeks of gestational age. </w:t>
      </w:r>
    </w:p>
    <w:p w:rsidR="00704B34" w:rsidRPr="00704B34" w:rsidRDefault="00704B34" w:rsidP="00704B34">
      <w:pPr>
        <w:pStyle w:val="ListBullet"/>
      </w:pPr>
      <w:r w:rsidRPr="00704B34">
        <w:t>Data Deficiencies: The submitted studies did not directly compare ibuprofen and indomethacin. The studies did not include infants 30 weeks gestation or older. The sponsor did not provide an integrated safety summary, and will be asked to provide this as part of their pre-ACM response.</w:t>
      </w:r>
    </w:p>
    <w:p w:rsidR="00704B34" w:rsidRPr="00704B34" w:rsidRDefault="00704B34" w:rsidP="00704B34">
      <w:pPr>
        <w:pStyle w:val="ListBullet"/>
      </w:pPr>
      <w:r w:rsidRPr="00704B34">
        <w:t>Conditions of Registration: The following are proposed as conditions of registration and the sponsor i</w:t>
      </w:r>
      <w:r w:rsidR="00352ED0">
        <w:t xml:space="preserve">s invited to comment in the pre </w:t>
      </w:r>
      <w:r w:rsidRPr="00704B34">
        <w:t>ACM response:</w:t>
      </w:r>
    </w:p>
    <w:p w:rsidR="00704B34" w:rsidRPr="00352ED0" w:rsidRDefault="00704B34" w:rsidP="00352ED0">
      <w:pPr>
        <w:ind w:left="720"/>
        <w:rPr>
          <w:i/>
        </w:rPr>
      </w:pPr>
      <w:proofErr w:type="gramStart"/>
      <w:r w:rsidRPr="00352ED0">
        <w:rPr>
          <w:i/>
        </w:rPr>
        <w:t>The implementation in Australia of the EU Risk management Plan for Pedea (ibuprofen) (version 2, 30 July 2011), with Australian Specific Annex version 0.2 (25 October 2016).</w:t>
      </w:r>
      <w:proofErr w:type="gramEnd"/>
    </w:p>
    <w:p w:rsidR="00CA0F91" w:rsidRDefault="00CA0F91" w:rsidP="00D23139">
      <w:pPr>
        <w:pStyle w:val="Heading4"/>
      </w:pPr>
      <w:r>
        <w:t>Summary of issues</w:t>
      </w:r>
    </w:p>
    <w:p w:rsidR="00CA0F91" w:rsidRPr="00CA0F91" w:rsidRDefault="00CA0F91" w:rsidP="00CA0F91">
      <w:r w:rsidRPr="00CA0F91">
        <w:t>The primary issues are as follows:</w:t>
      </w:r>
    </w:p>
    <w:p w:rsidR="00CA0F91" w:rsidRPr="00CA0F91" w:rsidRDefault="00CA0F91" w:rsidP="00CA0F91">
      <w:pPr>
        <w:pStyle w:val="ListBullet"/>
      </w:pPr>
      <w:r w:rsidRPr="00CA0F91">
        <w:t>The submitted studies were small and did not involve direct comparison with current treatments.</w:t>
      </w:r>
    </w:p>
    <w:p w:rsidR="00CA0F91" w:rsidRPr="00CA0F91" w:rsidRDefault="00CA0F91" w:rsidP="00CA0F91">
      <w:pPr>
        <w:pStyle w:val="ListBullet"/>
      </w:pPr>
      <w:r w:rsidRPr="00CA0F91">
        <w:t>The ibuprofen dose proposed is based on the results of a single published study.</w:t>
      </w:r>
    </w:p>
    <w:p w:rsidR="00CA0F91" w:rsidRPr="00CA0F91" w:rsidRDefault="00CA0F91" w:rsidP="00CA0F91">
      <w:pPr>
        <w:pStyle w:val="ListBullet"/>
      </w:pPr>
      <w:r w:rsidRPr="00CA0F91">
        <w:t xml:space="preserve">The submitted studies enrolled only neonates under 30 </w:t>
      </w:r>
      <w:proofErr w:type="gramStart"/>
      <w:r w:rsidRPr="00CA0F91">
        <w:t>weeks</w:t>
      </w:r>
      <w:proofErr w:type="gramEnd"/>
      <w:r w:rsidRPr="00CA0F91">
        <w:t xml:space="preserve"> gestational age.</w:t>
      </w:r>
    </w:p>
    <w:p w:rsidR="00CA0F91" w:rsidRPr="00CA0F91" w:rsidRDefault="00CA0F91" w:rsidP="00CA0F91">
      <w:pPr>
        <w:pStyle w:val="ListBullet"/>
      </w:pPr>
      <w:r w:rsidRPr="00CA0F91">
        <w:t xml:space="preserve">There is little long-term safety data. </w:t>
      </w:r>
    </w:p>
    <w:p w:rsidR="00D23139" w:rsidRDefault="00D23139" w:rsidP="00CA0F91">
      <w:pPr>
        <w:pStyle w:val="Heading4"/>
      </w:pPr>
      <w:r w:rsidRPr="00D23139">
        <w:lastRenderedPageBreak/>
        <w:t>Proposed action</w:t>
      </w:r>
    </w:p>
    <w:p w:rsidR="00232A97" w:rsidRPr="00E7454F" w:rsidRDefault="00E7454F" w:rsidP="00E7454F">
      <w:r>
        <w:t>The Delegate has</w:t>
      </w:r>
      <w:r w:rsidRPr="00E7454F">
        <w:t xml:space="preserve"> no reason to say, at this time, that the application for Pedea should not be approved for registration.</w:t>
      </w:r>
    </w:p>
    <w:p w:rsidR="00D23139" w:rsidRDefault="00872646" w:rsidP="00D23139">
      <w:pPr>
        <w:pStyle w:val="Heading4"/>
      </w:pPr>
      <w:r>
        <w:t>Request for AC</w:t>
      </w:r>
      <w:r w:rsidR="00D23139" w:rsidRPr="00D23139">
        <w:t>M advice</w:t>
      </w:r>
    </w:p>
    <w:p w:rsidR="00E7454F" w:rsidRPr="00E7454F" w:rsidRDefault="00E7454F" w:rsidP="00E7454F">
      <w:r w:rsidRPr="00E7454F">
        <w:t>The committee is requested to provide advice on the following specific issues:</w:t>
      </w:r>
    </w:p>
    <w:p w:rsidR="00E7454F" w:rsidRPr="00E7454F" w:rsidRDefault="00E7454F" w:rsidP="00E7454F">
      <w:pPr>
        <w:pStyle w:val="ListBullet"/>
      </w:pPr>
      <w:r w:rsidRPr="00E7454F">
        <w:t>Were there adequate numbers of patients in the efficacy studies?</w:t>
      </w:r>
    </w:p>
    <w:p w:rsidR="00E7454F" w:rsidRPr="00E7454F" w:rsidRDefault="00E7454F" w:rsidP="00E7454F">
      <w:pPr>
        <w:pStyle w:val="ListBullet"/>
      </w:pPr>
      <w:r w:rsidRPr="00E7454F">
        <w:t>Is there sufficient support for the proposed dosage regimen?</w:t>
      </w:r>
    </w:p>
    <w:p w:rsidR="00E7454F" w:rsidRPr="00E7454F" w:rsidRDefault="00E7454F" w:rsidP="00E7454F">
      <w:pPr>
        <w:pStyle w:val="ListBullet"/>
      </w:pPr>
      <w:r w:rsidRPr="00E7454F">
        <w:t>Do the data support the proposed age range of less than 34 weeks gestation?</w:t>
      </w:r>
    </w:p>
    <w:p w:rsidR="00E7454F" w:rsidRPr="00E7454F" w:rsidRDefault="00E7454F" w:rsidP="00E7454F">
      <w:pPr>
        <w:pStyle w:val="ListBullet"/>
      </w:pPr>
      <w:r w:rsidRPr="00E7454F">
        <w:t xml:space="preserve">Is there adequate long-term safety information? </w:t>
      </w:r>
    </w:p>
    <w:p w:rsidR="00232A97" w:rsidRPr="00E7454F" w:rsidRDefault="00E7454F" w:rsidP="00E7454F">
      <w:r w:rsidRPr="00E7454F">
        <w:t>The committee is also requested to provide advice on any other issues that it thinks may be relevant to a decision on whether or not to approve this application.</w:t>
      </w:r>
    </w:p>
    <w:p w:rsidR="00BF69AA" w:rsidRDefault="00BF69AA" w:rsidP="00BF69AA">
      <w:pPr>
        <w:pStyle w:val="Heading4"/>
      </w:pPr>
      <w:r>
        <w:t>Questions for sponsor</w:t>
      </w:r>
    </w:p>
    <w:p w:rsidR="00987BCF" w:rsidRPr="00514003" w:rsidRDefault="00987BCF" w:rsidP="00514003">
      <w:r w:rsidRPr="00514003">
        <w:t xml:space="preserve">The sponsor is requested to address </w:t>
      </w:r>
      <w:r w:rsidR="003C3D60">
        <w:t xml:space="preserve">the following issues in the pre </w:t>
      </w:r>
      <w:r w:rsidRPr="00514003">
        <w:t>ACM response:</w:t>
      </w:r>
    </w:p>
    <w:p w:rsidR="00987BCF" w:rsidRPr="00514003" w:rsidRDefault="00987BCF" w:rsidP="00514003">
      <w:pPr>
        <w:pStyle w:val="ListBullet"/>
      </w:pPr>
      <w:r w:rsidRPr="00514003">
        <w:t>Please provide an integrated safety study from the clinical trial program, including treatment-emergent adverse events, serious adverse events, deaths, laboratory abnormalities and any adverse events of special interest.</w:t>
      </w:r>
    </w:p>
    <w:p w:rsidR="00987BCF" w:rsidRPr="00514003" w:rsidRDefault="00987BCF" w:rsidP="00514003">
      <w:pPr>
        <w:pStyle w:val="ListBullet"/>
      </w:pPr>
      <w:r w:rsidRPr="00514003">
        <w:t>Please indicate the regulatory status of Pedea in Canada and New Zealand.</w:t>
      </w:r>
    </w:p>
    <w:p w:rsidR="00D23139" w:rsidRDefault="00232A97" w:rsidP="00D23139">
      <w:pPr>
        <w:pStyle w:val="Heading4"/>
      </w:pPr>
      <w:r>
        <w:t>Response from s</w:t>
      </w:r>
      <w:r w:rsidR="00D23139" w:rsidRPr="00D23139">
        <w:t xml:space="preserve">ponsor </w:t>
      </w:r>
    </w:p>
    <w:p w:rsidR="00FD10D2" w:rsidRPr="00FD10D2" w:rsidRDefault="00FD10D2" w:rsidP="00694AAC">
      <w:pPr>
        <w:pStyle w:val="Heading5"/>
        <w:rPr>
          <w:rFonts w:eastAsiaTheme="minorHAnsi"/>
        </w:rPr>
      </w:pPr>
      <w:r w:rsidRPr="00FD10D2">
        <w:rPr>
          <w:rFonts w:eastAsiaTheme="minorHAnsi"/>
        </w:rPr>
        <w:t xml:space="preserve">Question </w:t>
      </w:r>
      <w:r>
        <w:t xml:space="preserve">for sponsor </w:t>
      </w:r>
      <w:r w:rsidRPr="00FD10D2">
        <w:rPr>
          <w:rFonts w:eastAsiaTheme="minorHAnsi"/>
        </w:rPr>
        <w:t xml:space="preserve">1 </w:t>
      </w:r>
    </w:p>
    <w:p w:rsidR="00FD10D2" w:rsidRPr="002E6FAF" w:rsidRDefault="002E6FAF" w:rsidP="00FD10D2">
      <w:pPr>
        <w:rPr>
          <w:i/>
        </w:rPr>
      </w:pPr>
      <w:r>
        <w:rPr>
          <w:i/>
        </w:rPr>
        <w:t>“</w:t>
      </w:r>
      <w:r w:rsidR="00FD10D2" w:rsidRPr="002E6FAF">
        <w:rPr>
          <w:i/>
        </w:rPr>
        <w:t>Please provide an integrated safety study [summary] from the clinical trial program, including treatment‐emergent adverse events, serious adverse events, deaths, laboratory abnormalities and any adverse events of special interest.</w:t>
      </w:r>
      <w:r>
        <w:rPr>
          <w:i/>
        </w:rPr>
        <w:t>”</w:t>
      </w:r>
    </w:p>
    <w:p w:rsidR="00FD10D2" w:rsidRPr="00FD10D2" w:rsidRDefault="00FD10D2" w:rsidP="00694AAC">
      <w:pPr>
        <w:pStyle w:val="Heading5"/>
        <w:rPr>
          <w:rFonts w:eastAsiaTheme="minorHAnsi"/>
        </w:rPr>
      </w:pPr>
      <w:r>
        <w:t>Sponsor r</w:t>
      </w:r>
      <w:r w:rsidRPr="00FD10D2">
        <w:rPr>
          <w:rFonts w:eastAsiaTheme="minorHAnsi"/>
        </w:rPr>
        <w:t xml:space="preserve">esponse 1 </w:t>
      </w:r>
    </w:p>
    <w:p w:rsidR="00FD10D2" w:rsidRDefault="00FD10D2" w:rsidP="00FD10D2">
      <w:r w:rsidRPr="00FD10D2">
        <w:t xml:space="preserve">Please refer to the attached document “Integrated Safety Summary of Clinical Development Studies with </w:t>
      </w:r>
      <w:r w:rsidR="005B6E89">
        <w:t>Pedea</w:t>
      </w:r>
      <w:r w:rsidRPr="00FD10D2">
        <w:t>”. This summary outlines the treatment</w:t>
      </w:r>
      <w:r w:rsidR="002E6FAF">
        <w:t xml:space="preserve"> </w:t>
      </w:r>
      <w:r w:rsidRPr="00FD10D2">
        <w:t>emergent adverse events</w:t>
      </w:r>
      <w:r w:rsidR="002E6FAF">
        <w:t xml:space="preserve"> (TEAEs)</w:t>
      </w:r>
      <w:r w:rsidRPr="00FD10D2">
        <w:t>, serious adverse events</w:t>
      </w:r>
      <w:r w:rsidR="002E6FAF">
        <w:t xml:space="preserve"> (SAEs)</w:t>
      </w:r>
      <w:r w:rsidRPr="00FD10D2">
        <w:t xml:space="preserve">, deaths, laboratory abnormalities and adverse events of special interest related to </w:t>
      </w:r>
      <w:r w:rsidR="005B6E89">
        <w:t>Pedea</w:t>
      </w:r>
      <w:r w:rsidRPr="00FD10D2">
        <w:t>.</w:t>
      </w:r>
    </w:p>
    <w:p w:rsidR="004F4C2C" w:rsidRPr="00FD10D2" w:rsidRDefault="004F4C2C" w:rsidP="004F4C2C">
      <w:pPr>
        <w:pStyle w:val="Heading5"/>
        <w:rPr>
          <w:rFonts w:eastAsiaTheme="minorHAnsi"/>
        </w:rPr>
      </w:pPr>
      <w:r w:rsidRPr="00FD10D2">
        <w:rPr>
          <w:rFonts w:eastAsiaTheme="minorHAnsi"/>
        </w:rPr>
        <w:t xml:space="preserve">Question </w:t>
      </w:r>
      <w:r>
        <w:t xml:space="preserve">for sponsor </w:t>
      </w:r>
      <w:r>
        <w:rPr>
          <w:rFonts w:eastAsiaTheme="minorHAnsi"/>
        </w:rPr>
        <w:t>2</w:t>
      </w:r>
      <w:r w:rsidRPr="00FD10D2">
        <w:rPr>
          <w:rFonts w:eastAsiaTheme="minorHAnsi"/>
        </w:rPr>
        <w:t xml:space="preserve"> </w:t>
      </w:r>
    </w:p>
    <w:p w:rsidR="004F4C2C" w:rsidRPr="002E6FAF" w:rsidRDefault="002E6FAF" w:rsidP="004F4C2C">
      <w:pPr>
        <w:rPr>
          <w:i/>
        </w:rPr>
      </w:pPr>
      <w:r w:rsidRPr="002E6FAF">
        <w:rPr>
          <w:i/>
        </w:rPr>
        <w:t>“</w:t>
      </w:r>
      <w:r w:rsidR="004F4C2C" w:rsidRPr="002E6FAF">
        <w:rPr>
          <w:i/>
        </w:rPr>
        <w:t>Please indicate the regulatory status of P</w:t>
      </w:r>
      <w:r w:rsidRPr="002E6FAF">
        <w:rPr>
          <w:i/>
        </w:rPr>
        <w:t>edea in Canada and New Zealand.”</w:t>
      </w:r>
    </w:p>
    <w:p w:rsidR="004F4C2C" w:rsidRPr="00FD10D2" w:rsidRDefault="004F4C2C" w:rsidP="004F4C2C">
      <w:pPr>
        <w:pStyle w:val="Heading5"/>
        <w:rPr>
          <w:rFonts w:eastAsiaTheme="minorHAnsi"/>
        </w:rPr>
      </w:pPr>
      <w:r>
        <w:t>Sponsor r</w:t>
      </w:r>
      <w:r w:rsidRPr="00FD10D2">
        <w:rPr>
          <w:rFonts w:eastAsiaTheme="minorHAnsi"/>
        </w:rPr>
        <w:t xml:space="preserve">esponse 1 </w:t>
      </w:r>
    </w:p>
    <w:p w:rsidR="004F4C2C" w:rsidRPr="004F4C2C" w:rsidRDefault="005B6E89" w:rsidP="004F4C2C">
      <w:r>
        <w:t>Pedea</w:t>
      </w:r>
      <w:r w:rsidR="00D479D8">
        <w:t xml:space="preserve"> is not registered in the US</w:t>
      </w:r>
      <w:r w:rsidR="004F4C2C" w:rsidRPr="004F4C2C">
        <w:t xml:space="preserve">, Canada or New Zealand. In the US, a similar product to </w:t>
      </w:r>
      <w:r>
        <w:t>Pedea</w:t>
      </w:r>
      <w:r w:rsidR="004F4C2C" w:rsidRPr="004F4C2C">
        <w:t xml:space="preserve"> is already registered: </w:t>
      </w:r>
      <w:proofErr w:type="spellStart"/>
      <w:r w:rsidR="004F4C2C" w:rsidRPr="004F4C2C">
        <w:t>N</w:t>
      </w:r>
      <w:r w:rsidR="002E6FAF">
        <w:t>eoprofen</w:t>
      </w:r>
      <w:proofErr w:type="spellEnd"/>
      <w:r w:rsidR="004F4C2C" w:rsidRPr="004F4C2C">
        <w:t xml:space="preserve"> (ibuprofen lysine) injection for </w:t>
      </w:r>
      <w:r w:rsidR="0024731A">
        <w:t>IV</w:t>
      </w:r>
      <w:r w:rsidR="004F4C2C" w:rsidRPr="004F4C2C">
        <w:t xml:space="preserve"> use. The Marketing Authorization Holder is </w:t>
      </w:r>
      <w:proofErr w:type="spellStart"/>
      <w:r w:rsidR="004F4C2C" w:rsidRPr="004F4C2C">
        <w:t>Recordati</w:t>
      </w:r>
      <w:proofErr w:type="spellEnd"/>
      <w:r w:rsidR="004F4C2C" w:rsidRPr="004F4C2C">
        <w:t xml:space="preserve"> Rare Diseases Inc. In Canada, </w:t>
      </w:r>
      <w:r>
        <w:t>Pedea</w:t>
      </w:r>
      <w:r w:rsidR="004F4C2C" w:rsidRPr="004F4C2C">
        <w:t xml:space="preserve"> has been supplied for several years as an unapproved product, under the Special Access Programme. In New Zealand, </w:t>
      </w:r>
      <w:r>
        <w:t>Pedea</w:t>
      </w:r>
      <w:r w:rsidR="004F4C2C" w:rsidRPr="004F4C2C">
        <w:t xml:space="preserve"> has been supplied through a similar program, as a Section 29 unapproved product.</w:t>
      </w:r>
    </w:p>
    <w:p w:rsidR="008E7846" w:rsidRDefault="008E7846" w:rsidP="008E7846">
      <w:pPr>
        <w:pStyle w:val="Heading4"/>
      </w:pPr>
      <w:r>
        <w:t xml:space="preserve">Advisory Committee </w:t>
      </w:r>
      <w:r w:rsidR="00E63418">
        <w:t>c</w:t>
      </w:r>
      <w:r>
        <w:t>onsiderations</w:t>
      </w:r>
    </w:p>
    <w:p w:rsidR="00BB19BB" w:rsidRDefault="008B10C0" w:rsidP="008E7846">
      <w:pPr>
        <w:rPr>
          <w:bCs/>
        </w:rPr>
      </w:pPr>
      <w:r w:rsidRPr="008B10C0">
        <w:rPr>
          <w:bCs/>
        </w:rPr>
        <w:t xml:space="preserve">The </w:t>
      </w:r>
      <w:r w:rsidR="002D4A7F" w:rsidRPr="00D23139">
        <w:rPr>
          <w:bCs/>
        </w:rPr>
        <w:t xml:space="preserve">Advisory Committee on Medicines </w:t>
      </w:r>
      <w:r w:rsidR="002D4A7F">
        <w:rPr>
          <w:bCs/>
        </w:rPr>
        <w:t>(</w:t>
      </w:r>
      <w:r w:rsidRPr="008B10C0">
        <w:rPr>
          <w:bCs/>
        </w:rPr>
        <w:t>ACM</w:t>
      </w:r>
      <w:r w:rsidR="00BB19BB">
        <w:rPr>
          <w:bCs/>
        </w:rPr>
        <w:t>)</w:t>
      </w:r>
      <w:r w:rsidRPr="008B10C0">
        <w:rPr>
          <w:bCs/>
        </w:rPr>
        <w:t xml:space="preserve">, taking into account the submitted evidence of efficacy, safety and quality, agreed with the delegate and considered </w:t>
      </w:r>
      <w:r w:rsidR="005B6E89">
        <w:rPr>
          <w:bCs/>
        </w:rPr>
        <w:t>Pedea</w:t>
      </w:r>
      <w:r w:rsidRPr="008B10C0">
        <w:rPr>
          <w:bCs/>
        </w:rPr>
        <w:t xml:space="preserve"> solution for </w:t>
      </w:r>
      <w:r w:rsidRPr="008B10C0">
        <w:rPr>
          <w:bCs/>
        </w:rPr>
        <w:lastRenderedPageBreak/>
        <w:t>injection containing 5 mg/mL of ibuprofen to have an overall positive benefit</w:t>
      </w:r>
      <w:r>
        <w:rPr>
          <w:bCs/>
        </w:rPr>
        <w:t>-</w:t>
      </w:r>
      <w:r w:rsidRPr="008B10C0">
        <w:rPr>
          <w:bCs/>
        </w:rPr>
        <w:t>r</w:t>
      </w:r>
      <w:r w:rsidR="002D4A7F">
        <w:rPr>
          <w:bCs/>
        </w:rPr>
        <w:t>isk profile for the indication:</w:t>
      </w:r>
    </w:p>
    <w:p w:rsidR="000E44C0" w:rsidRDefault="008B10C0" w:rsidP="00BB19BB">
      <w:pPr>
        <w:ind w:left="720"/>
        <w:rPr>
          <w:bCs/>
          <w:i/>
        </w:rPr>
      </w:pPr>
      <w:r w:rsidRPr="00BB19BB">
        <w:rPr>
          <w:bCs/>
          <w:i/>
        </w:rPr>
        <w:t xml:space="preserve">Pedea is indicated for the treatment of </w:t>
      </w:r>
      <w:proofErr w:type="spellStart"/>
      <w:r w:rsidRPr="00BB19BB">
        <w:rPr>
          <w:bCs/>
          <w:i/>
        </w:rPr>
        <w:t>haemodynamically</w:t>
      </w:r>
      <w:proofErr w:type="spellEnd"/>
      <w:r w:rsidRPr="00BB19BB">
        <w:rPr>
          <w:bCs/>
          <w:i/>
        </w:rPr>
        <w:t xml:space="preserve"> significant patent ductus arteriosus in preterm newborn infants less than 34 weeks of gestational age.</w:t>
      </w:r>
    </w:p>
    <w:p w:rsidR="00AB05D8" w:rsidRDefault="008B10C0" w:rsidP="000E44C0">
      <w:r w:rsidRPr="000E44C0">
        <w:t>In making this recommendation</w:t>
      </w:r>
      <w:r w:rsidR="000E44C0">
        <w:t>, the ACM:</w:t>
      </w:r>
    </w:p>
    <w:p w:rsidR="000E44C0" w:rsidRDefault="00AB05D8" w:rsidP="00AB05D8">
      <w:pPr>
        <w:pStyle w:val="ListBullet"/>
      </w:pPr>
      <w:proofErr w:type="gramStart"/>
      <w:r w:rsidRPr="00AB05D8">
        <w:t>noted</w:t>
      </w:r>
      <w:proofErr w:type="gramEnd"/>
      <w:r w:rsidRPr="00AB05D8">
        <w:t xml:space="preserve"> that ibuprofen works as well as indomethacin.</w:t>
      </w:r>
    </w:p>
    <w:p w:rsidR="00AB05D8" w:rsidRDefault="00AB05D8" w:rsidP="00AB05D8">
      <w:pPr>
        <w:pStyle w:val="Heading5"/>
      </w:pPr>
      <w:r w:rsidRPr="00AB05D8">
        <w:t>Proposed condit</w:t>
      </w:r>
      <w:r>
        <w:t>ions of registration</w:t>
      </w:r>
    </w:p>
    <w:p w:rsidR="00AB05D8" w:rsidRDefault="00AB05D8" w:rsidP="000E44C0">
      <w:r w:rsidRPr="00AB05D8">
        <w:t xml:space="preserve">ACM agreed with the </w:t>
      </w:r>
      <w:r w:rsidR="00E466E2">
        <w:t>D</w:t>
      </w:r>
      <w:r w:rsidRPr="00AB05D8">
        <w:t xml:space="preserve">elegate to the proposed amendments to the </w:t>
      </w:r>
      <w:r>
        <w:t>PI</w:t>
      </w:r>
      <w:r w:rsidRPr="00AB05D8">
        <w:t xml:space="preserve"> and CMI and specifically advised on th</w:t>
      </w:r>
      <w:r>
        <w:t>e inclusion of the following:</w:t>
      </w:r>
    </w:p>
    <w:p w:rsidR="00AB05D8" w:rsidRDefault="00AB05D8" w:rsidP="00AB05D8">
      <w:pPr>
        <w:pStyle w:val="ListBullet"/>
      </w:pPr>
      <w:r w:rsidRPr="00AB05D8">
        <w:t xml:space="preserve">an </w:t>
      </w:r>
      <w:r>
        <w:t>additional statement in the PI:</w:t>
      </w:r>
    </w:p>
    <w:p w:rsidR="00AB05D8" w:rsidRPr="00AB05D8" w:rsidRDefault="005B6E89" w:rsidP="00AB05D8">
      <w:pPr>
        <w:pStyle w:val="ListBullet2"/>
        <w:numPr>
          <w:ilvl w:val="0"/>
          <w:numId w:val="0"/>
        </w:numPr>
        <w:ind w:left="720"/>
        <w:rPr>
          <w:i/>
        </w:rPr>
      </w:pPr>
      <w:r>
        <w:rPr>
          <w:i/>
        </w:rPr>
        <w:t>Pedea</w:t>
      </w:r>
      <w:r w:rsidR="00AB05D8" w:rsidRPr="00AB05D8">
        <w:rPr>
          <w:i/>
        </w:rPr>
        <w:t xml:space="preserve"> should only be used in a hospital under the supervision of a specialist neonatologist</w:t>
      </w:r>
    </w:p>
    <w:p w:rsidR="007E51E2" w:rsidRDefault="007E51E2" w:rsidP="00F73B6E">
      <w:pPr>
        <w:pStyle w:val="Heading5"/>
      </w:pPr>
      <w:r>
        <w:t xml:space="preserve">Specific </w:t>
      </w:r>
      <w:r w:rsidR="00F73B6E">
        <w:t>a</w:t>
      </w:r>
      <w:r>
        <w:t>dvice</w:t>
      </w:r>
    </w:p>
    <w:p w:rsidR="007E51E2" w:rsidRDefault="007E51E2" w:rsidP="000E44C0">
      <w:r w:rsidRPr="007E51E2">
        <w:t>ACM advised th</w:t>
      </w:r>
      <w:r w:rsidR="00E23591">
        <w:t>e following in response to the D</w:t>
      </w:r>
      <w:r w:rsidRPr="007E51E2">
        <w:t>elegate’s specifi</w:t>
      </w:r>
      <w:r>
        <w:t>c questions on this submission:</w:t>
      </w:r>
    </w:p>
    <w:p w:rsidR="007E51E2" w:rsidRPr="007E51E2" w:rsidRDefault="007E51E2" w:rsidP="007E51E2">
      <w:pPr>
        <w:pStyle w:val="ListBullet"/>
        <w:rPr>
          <w:i/>
        </w:rPr>
      </w:pPr>
      <w:r w:rsidRPr="007E51E2">
        <w:rPr>
          <w:i/>
        </w:rPr>
        <w:t>1. Were there adequate numbers of patients in the efficacy studies?</w:t>
      </w:r>
    </w:p>
    <w:p w:rsidR="007E51E2" w:rsidRDefault="007E51E2" w:rsidP="000E44C0">
      <w:r w:rsidRPr="007E51E2">
        <w:t>ACM advised that patient numbers were small but sufficient in the efficacy studies taking into consideration that recruitment is a problem with paediatric and neonatal studies. Although there were only a small number of studies, results from all th</w:t>
      </w:r>
      <w:r>
        <w:t>e studies were very consistent.</w:t>
      </w:r>
    </w:p>
    <w:p w:rsidR="007E51E2" w:rsidRPr="007E51E2" w:rsidRDefault="007E51E2" w:rsidP="007E51E2">
      <w:pPr>
        <w:pStyle w:val="ListBullet"/>
        <w:rPr>
          <w:i/>
        </w:rPr>
      </w:pPr>
      <w:r w:rsidRPr="007E51E2">
        <w:rPr>
          <w:i/>
        </w:rPr>
        <w:t>2. Is there sufficient support for the proposed dosage regimen?</w:t>
      </w:r>
    </w:p>
    <w:p w:rsidR="007E51E2" w:rsidRDefault="007E51E2" w:rsidP="000E44C0">
      <w:r w:rsidRPr="007E51E2">
        <w:t>ACM advised that there was sufficient support for the proposed dosage regimen taking into consideration the balance o</w:t>
      </w:r>
      <w:r>
        <w:t>f efficacy and safety concerns.</w:t>
      </w:r>
    </w:p>
    <w:p w:rsidR="007E51E2" w:rsidRPr="007E51E2" w:rsidRDefault="007E51E2" w:rsidP="007E51E2">
      <w:pPr>
        <w:pStyle w:val="ListBullet"/>
        <w:rPr>
          <w:i/>
        </w:rPr>
      </w:pPr>
      <w:r w:rsidRPr="007E51E2">
        <w:rPr>
          <w:i/>
        </w:rPr>
        <w:t>3. Do the data support the proposed age range of less than 34 weeks gestation?</w:t>
      </w:r>
    </w:p>
    <w:p w:rsidR="00AB05D8" w:rsidRDefault="007E51E2" w:rsidP="000E44C0">
      <w:r w:rsidRPr="007E51E2">
        <w:t>ACM advised that the data provided did support the proposed age range with several studies which included a small number of babies of &lt;34 weeks. The ACM noted that infants &gt;30 weeks rarely have a problematic PDA.</w:t>
      </w:r>
    </w:p>
    <w:p w:rsidR="007E51E2" w:rsidRPr="007E51E2" w:rsidRDefault="007E51E2" w:rsidP="007E51E2">
      <w:pPr>
        <w:pStyle w:val="ListBullet"/>
        <w:rPr>
          <w:i/>
        </w:rPr>
      </w:pPr>
      <w:r w:rsidRPr="007E51E2">
        <w:rPr>
          <w:i/>
        </w:rPr>
        <w:t xml:space="preserve">4. </w:t>
      </w:r>
      <w:proofErr w:type="gramStart"/>
      <w:r w:rsidRPr="007E51E2">
        <w:rPr>
          <w:i/>
        </w:rPr>
        <w:t>Is</w:t>
      </w:r>
      <w:proofErr w:type="gramEnd"/>
      <w:r w:rsidRPr="007E51E2">
        <w:rPr>
          <w:i/>
        </w:rPr>
        <w:t xml:space="preserve"> there adequate long-term safety information?</w:t>
      </w:r>
    </w:p>
    <w:p w:rsidR="007E51E2" w:rsidRDefault="007E51E2" w:rsidP="000E44C0">
      <w:r w:rsidRPr="007E51E2">
        <w:t>ACM advised that there was inadequate long term safety data; however, one poor quality study suggested ibuprofen is as safe as indomethacin, the standard treatment for PDA. Short term outcomes predictive of neurodevelopmental problems (IVH</w:t>
      </w:r>
      <w:r>
        <w:t xml:space="preserve">, BPD, </w:t>
      </w:r>
      <w:proofErr w:type="gramStart"/>
      <w:r>
        <w:t>ROP</w:t>
      </w:r>
      <w:proofErr w:type="gramEnd"/>
      <w:r>
        <w:t>) appear similar.</w:t>
      </w:r>
    </w:p>
    <w:p w:rsidR="007E51E2" w:rsidRPr="000E44C0" w:rsidRDefault="007E51E2" w:rsidP="000E44C0">
      <w:r w:rsidRPr="007E51E2">
        <w:t xml:space="preserve">ACM advised that implementation by the sponsor of the recommendations outlined </w:t>
      </w:r>
      <w:r w:rsidR="00E23591">
        <w:t>above to the satisfaction of</w:t>
      </w:r>
      <w:r w:rsidRPr="007E51E2">
        <w:t xml:space="preserve"> TGA, in addition to the evidence of efficacy and safety provided would support the safe and effective use of this product.</w:t>
      </w:r>
    </w:p>
    <w:p w:rsidR="008E7846" w:rsidRPr="002E238E" w:rsidRDefault="008E7846" w:rsidP="008E7846">
      <w:pPr>
        <w:pStyle w:val="Heading3"/>
      </w:pPr>
      <w:bookmarkStart w:id="206" w:name="_Toc247691532"/>
      <w:bookmarkStart w:id="207" w:name="_Toc314842516"/>
      <w:bookmarkStart w:id="208" w:name="_Toc499196234"/>
      <w:bookmarkEnd w:id="106"/>
      <w:bookmarkEnd w:id="203"/>
      <w:bookmarkEnd w:id="204"/>
      <w:r>
        <w:t>Outcome</w:t>
      </w:r>
      <w:bookmarkEnd w:id="206"/>
      <w:bookmarkEnd w:id="207"/>
      <w:bookmarkEnd w:id="208"/>
    </w:p>
    <w:p w:rsidR="00D23139" w:rsidRPr="00D23139" w:rsidRDefault="00D23139" w:rsidP="00D23139">
      <w:bookmarkStart w:id="209" w:name="_Toc247691533"/>
      <w:bookmarkStart w:id="210" w:name="_Toc314842517"/>
      <w:r w:rsidRPr="00D23139">
        <w:t xml:space="preserve">Based on a review of quality, safety and efficacy, TGA approved the registration of </w:t>
      </w:r>
      <w:r w:rsidR="00D479D8" w:rsidRPr="00D479D8">
        <w:t>P</w:t>
      </w:r>
      <w:r w:rsidR="00D479D8">
        <w:t>edea</w:t>
      </w:r>
      <w:r w:rsidR="00805AFB">
        <w:t xml:space="preserve"> (</w:t>
      </w:r>
      <w:r w:rsidR="00D479D8" w:rsidRPr="00D479D8">
        <w:t xml:space="preserve">ibuprofen 10 mg/2 mL solution for </w:t>
      </w:r>
      <w:r w:rsidR="002D5C3B">
        <w:t>IV i</w:t>
      </w:r>
      <w:r w:rsidR="00D479D8" w:rsidRPr="00D479D8">
        <w:t>nfusion 2 mL glass ampoule</w:t>
      </w:r>
      <w:r w:rsidR="002D5C3B">
        <w:t>)</w:t>
      </w:r>
      <w:r w:rsidRPr="00D23139">
        <w:t>, indicated for:</w:t>
      </w:r>
    </w:p>
    <w:p w:rsidR="00D23139" w:rsidRPr="0061390F" w:rsidRDefault="0061390F" w:rsidP="0061390F">
      <w:pPr>
        <w:ind w:left="720"/>
        <w:rPr>
          <w:i/>
        </w:rPr>
      </w:pPr>
      <w:r w:rsidRPr="0061390F">
        <w:rPr>
          <w:i/>
        </w:rPr>
        <w:t>Pedea</w:t>
      </w:r>
      <w:r w:rsidRPr="0061390F">
        <w:rPr>
          <w:i/>
          <w:lang w:eastAsia="ja-JP"/>
        </w:rPr>
        <w:t xml:space="preserve"> is indicated for the treatment of </w:t>
      </w:r>
      <w:proofErr w:type="spellStart"/>
      <w:r w:rsidRPr="0061390F">
        <w:rPr>
          <w:i/>
          <w:lang w:eastAsia="ja-JP"/>
        </w:rPr>
        <w:t>haemodynamically</w:t>
      </w:r>
      <w:proofErr w:type="spellEnd"/>
      <w:r w:rsidRPr="0061390F">
        <w:rPr>
          <w:i/>
          <w:lang w:eastAsia="ja-JP"/>
        </w:rPr>
        <w:t xml:space="preserve"> significant patent ductus arteriosus in preterm newborn infants less than 34 weeks of gestational age</w:t>
      </w:r>
      <w:r w:rsidR="00F75F0A">
        <w:rPr>
          <w:i/>
          <w:lang w:eastAsia="ja-JP"/>
        </w:rPr>
        <w:t>.</w:t>
      </w:r>
    </w:p>
    <w:p w:rsidR="00D23139" w:rsidRPr="00D23139" w:rsidRDefault="00D23139" w:rsidP="00D23139">
      <w:pPr>
        <w:pStyle w:val="Heading4"/>
      </w:pPr>
      <w:r w:rsidRPr="00D23139">
        <w:lastRenderedPageBreak/>
        <w:t>Specific conditions of registration applying to these goods</w:t>
      </w:r>
    </w:p>
    <w:p w:rsidR="00D23139" w:rsidRPr="00D23139" w:rsidRDefault="00F75F0A" w:rsidP="0013480F">
      <w:pPr>
        <w:pStyle w:val="ListBullet"/>
      </w:pPr>
      <w:r>
        <w:t>The Pedea</w:t>
      </w:r>
      <w:r w:rsidR="00F13D2D" w:rsidRPr="00F13D2D">
        <w:t xml:space="preserve"> EU-</w:t>
      </w:r>
      <w:r w:rsidR="00246011">
        <w:t>RMP</w:t>
      </w:r>
      <w:r w:rsidR="00B046AB">
        <w:t>, version 2, D</w:t>
      </w:r>
      <w:r w:rsidR="00261A0D">
        <w:t>ata Lock Point</w:t>
      </w:r>
      <w:r w:rsidR="00F13D2D" w:rsidRPr="00F13D2D">
        <w:t xml:space="preserve"> 30 July 2011, with </w:t>
      </w:r>
      <w:r w:rsidR="007B771D">
        <w:t>ASA</w:t>
      </w:r>
      <w:r w:rsidR="00F13D2D" w:rsidRPr="00F13D2D">
        <w:t xml:space="preserve"> version 0.2, </w:t>
      </w:r>
      <w:r w:rsidR="0013480F">
        <w:t>dated 25 October 2016</w:t>
      </w:r>
      <w:r w:rsidR="00F13D2D" w:rsidRPr="00F13D2D">
        <w:t>, and any subsequent r</w:t>
      </w:r>
      <w:r w:rsidR="004E11A0">
        <w:t xml:space="preserve">evisions, as agreed with </w:t>
      </w:r>
      <w:r w:rsidR="00F13D2D" w:rsidRPr="00F13D2D">
        <w:t>TGA will be implemented in Australia</w:t>
      </w:r>
      <w:r w:rsidR="0013480F">
        <w:t>.</w:t>
      </w:r>
    </w:p>
    <w:p w:rsidR="008E7846" w:rsidRDefault="00A80B5B" w:rsidP="00D23139">
      <w:pPr>
        <w:pStyle w:val="Heading2"/>
      </w:pPr>
      <w:bookmarkStart w:id="211" w:name="_Toc499196235"/>
      <w:proofErr w:type="gramStart"/>
      <w:r>
        <w:t>Attachment 1.</w:t>
      </w:r>
      <w:proofErr w:type="gramEnd"/>
      <w:r>
        <w:t xml:space="preserve"> </w:t>
      </w:r>
      <w:r w:rsidR="008E7846">
        <w:t xml:space="preserve">Product </w:t>
      </w:r>
      <w:r w:rsidR="00AA0ED0">
        <w:t>I</w:t>
      </w:r>
      <w:r w:rsidR="008E7846">
        <w:t>nformation</w:t>
      </w:r>
      <w:bookmarkEnd w:id="209"/>
      <w:bookmarkEnd w:id="210"/>
      <w:bookmarkEnd w:id="211"/>
    </w:p>
    <w:p w:rsidR="00C80137" w:rsidRDefault="002B3624" w:rsidP="00C80137">
      <w:pPr>
        <w:rPr>
          <w:color w:val="000000"/>
          <w:lang w:eastAsia="en-AU"/>
        </w:rPr>
      </w:pPr>
      <w:r w:rsidRPr="00232A97">
        <w:t xml:space="preserve">The </w:t>
      </w:r>
      <w:r w:rsidR="00133A1B" w:rsidRPr="00232A97">
        <w:t>PI</w:t>
      </w:r>
      <w:r w:rsidRPr="00232A97">
        <w:t xml:space="preserve"> approved for </w:t>
      </w:r>
      <w:r w:rsidR="00D21141">
        <w:t>Pedea</w:t>
      </w:r>
      <w:r w:rsidRPr="00232A97">
        <w:t xml:space="preserve"> at the time this AusPAR was published is at Attachment 1. For the most recent </w:t>
      </w:r>
      <w:r w:rsidR="00133A1B" w:rsidRPr="00232A97">
        <w:t>PI,</w:t>
      </w:r>
      <w:r w:rsidRPr="00232A97">
        <w:t xml:space="preserve"> please refer to the </w:t>
      </w:r>
      <w:r w:rsidR="007C6B9B" w:rsidRPr="00232A97">
        <w:t>TGA website at &lt;</w:t>
      </w:r>
      <w:hyperlink r:id="rId23" w:history="1">
        <w:r w:rsidR="007C6B9B" w:rsidRPr="00232A97">
          <w:rPr>
            <w:rStyle w:val="Hyperlink"/>
          </w:rPr>
          <w:t>https://www.tga.gov.au/product-information-pi</w:t>
        </w:r>
      </w:hyperlink>
      <w:r w:rsidR="00232A97">
        <w:t>&gt;.</w:t>
      </w:r>
    </w:p>
    <w:p w:rsidR="00291957" w:rsidRPr="00843E69" w:rsidRDefault="00C80137" w:rsidP="00843E69">
      <w:pPr>
        <w:pStyle w:val="Heading2"/>
        <w:rPr>
          <w:lang w:eastAsia="en-AU"/>
        </w:rPr>
      </w:pPr>
      <w:bookmarkStart w:id="212" w:name="_Toc499196236"/>
      <w:proofErr w:type="gramStart"/>
      <w:r>
        <w:rPr>
          <w:lang w:eastAsia="en-AU"/>
        </w:rPr>
        <w:t>Attachment 2.</w:t>
      </w:r>
      <w:proofErr w:type="gramEnd"/>
      <w:r w:rsidR="00A80B5B">
        <w:rPr>
          <w:lang w:eastAsia="en-AU"/>
        </w:rPr>
        <w:t xml:space="preserve"> </w:t>
      </w:r>
      <w:r>
        <w:rPr>
          <w:lang w:eastAsia="en-AU"/>
        </w:rPr>
        <w:t>Extract from the Clinical Evaluation Report</w:t>
      </w:r>
      <w:bookmarkEnd w:id="212"/>
    </w:p>
    <w:p w:rsidR="00C80137" w:rsidRPr="001D043B" w:rsidRDefault="00C80137" w:rsidP="003A7F6C">
      <w:pPr>
        <w:pStyle w:val="TableTitle"/>
        <w:sectPr w:rsidR="00C80137" w:rsidRPr="001D043B" w:rsidSect="00B452CE">
          <w:headerReference w:type="even" r:id="rId24"/>
          <w:headerReference w:type="default" r:id="rId25"/>
          <w:headerReference w:type="first" r:id="rId26"/>
          <w:footerReference w:type="first" r:id="rId27"/>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32 8605&#10;https://www.tga.gov.au"/>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8" w:history="1">
              <w:r w:rsidRPr="004C239D">
                <w:rPr>
                  <w:rStyle w:val="Hyperlink"/>
                </w:rPr>
                <w:t>info@tga.gov.au</w:t>
              </w:r>
            </w:hyperlink>
            <w:r w:rsidRPr="00487162">
              <w:t xml:space="preserve">  Phone: 1800 020 653  Fax: 02 6232 8605</w:t>
            </w:r>
          </w:p>
          <w:p w:rsidR="001C32CD" w:rsidRPr="004C239D" w:rsidRDefault="00B67C48" w:rsidP="00A05FA4">
            <w:pPr>
              <w:pStyle w:val="Address"/>
              <w:spacing w:line="260" w:lineRule="atLeast"/>
              <w:rPr>
                <w:b/>
                <w:color w:val="0000FF"/>
                <w:u w:val="single"/>
              </w:rPr>
            </w:pPr>
            <w:hyperlink r:id="rId29"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C48" w:rsidRDefault="00B67C48" w:rsidP="00C40A36">
      <w:pPr>
        <w:spacing w:after="0"/>
      </w:pPr>
      <w:r>
        <w:separator/>
      </w:r>
    </w:p>
  </w:endnote>
  <w:endnote w:type="continuationSeparator" w:id="0">
    <w:p w:rsidR="00B67C48" w:rsidRDefault="00B67C48"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48" w:rsidRDefault="00B67C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B67C48" w:rsidRPr="00487162" w:rsidTr="00DB750B">
      <w:trPr>
        <w:trHeight w:val="269"/>
      </w:trPr>
      <w:tc>
        <w:tcPr>
          <w:tcW w:w="7371" w:type="dxa"/>
          <w:tcMar>
            <w:top w:w="142" w:type="dxa"/>
            <w:bottom w:w="0" w:type="dxa"/>
          </w:tcMar>
        </w:tcPr>
        <w:p w:rsidR="00B67C48" w:rsidRPr="00487162" w:rsidRDefault="00B67C48" w:rsidP="00985A17">
          <w:pPr>
            <w:pStyle w:val="Footer"/>
          </w:pPr>
          <w:r w:rsidRPr="00487162">
            <w:t>AusPA</w:t>
          </w:r>
          <w:r>
            <w:t xml:space="preserve">R Pedea </w:t>
          </w:r>
          <w:r w:rsidRPr="00E838AE">
            <w:t>Emerge Health Pty Ltd</w:t>
          </w:r>
          <w:r>
            <w:t xml:space="preserve"> </w:t>
          </w:r>
          <w:r w:rsidRPr="00E838AE">
            <w:t>PM-2015-04658-1-3</w:t>
          </w:r>
          <w:r>
            <w:br/>
            <w:t>Final 10 November 2017</w:t>
          </w:r>
        </w:p>
      </w:tc>
      <w:tc>
        <w:tcPr>
          <w:tcW w:w="1490" w:type="dxa"/>
          <w:tcMar>
            <w:top w:w="142" w:type="dxa"/>
            <w:bottom w:w="0" w:type="dxa"/>
          </w:tcMar>
        </w:tcPr>
        <w:p w:rsidR="00B67C48" w:rsidRPr="00487162" w:rsidRDefault="00B67C48" w:rsidP="00DB750B">
          <w:pPr>
            <w:pStyle w:val="Footer"/>
            <w:jc w:val="right"/>
          </w:pPr>
          <w:r w:rsidRPr="00487162">
            <w:t xml:space="preserve">Page </w:t>
          </w:r>
          <w:r>
            <w:fldChar w:fldCharType="begin"/>
          </w:r>
          <w:r>
            <w:instrText xml:space="preserve"> PAGE  \* Arabic </w:instrText>
          </w:r>
          <w:r>
            <w:fldChar w:fldCharType="separate"/>
          </w:r>
          <w:r w:rsidR="00843E69">
            <w:rPr>
              <w:noProof/>
            </w:rPr>
            <w:t>2</w:t>
          </w:r>
          <w:r>
            <w:fldChar w:fldCharType="end"/>
          </w:r>
          <w:r w:rsidRPr="00487162">
            <w:t xml:space="preserve"> of </w:t>
          </w:r>
          <w:r>
            <w:fldChar w:fldCharType="begin"/>
          </w:r>
          <w:r>
            <w:instrText xml:space="preserve"> NUMPAGES  \* Arabic </w:instrText>
          </w:r>
          <w:r>
            <w:fldChar w:fldCharType="separate"/>
          </w:r>
          <w:r w:rsidR="00843E69">
            <w:rPr>
              <w:noProof/>
            </w:rPr>
            <w:t>48</w:t>
          </w:r>
          <w:r>
            <w:rPr>
              <w:noProof/>
            </w:rPr>
            <w:fldChar w:fldCharType="end"/>
          </w:r>
        </w:p>
      </w:tc>
    </w:tr>
  </w:tbl>
  <w:p w:rsidR="00B67C48" w:rsidRDefault="00B67C48" w:rsidP="003D1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48" w:rsidRDefault="00B67C4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B67C48" w:rsidRPr="00487162" w:rsidTr="00E45619">
      <w:trPr>
        <w:trHeight w:val="269"/>
      </w:trPr>
      <w:tc>
        <w:tcPr>
          <w:tcW w:w="4519" w:type="dxa"/>
          <w:tcBorders>
            <w:top w:val="single" w:sz="4" w:space="0" w:color="auto"/>
          </w:tcBorders>
          <w:tcMar>
            <w:top w:w="142" w:type="dxa"/>
            <w:bottom w:w="0" w:type="dxa"/>
          </w:tcMar>
        </w:tcPr>
        <w:p w:rsidR="00B67C48" w:rsidRPr="00487162" w:rsidRDefault="00B67C48" w:rsidP="00FE1DEE">
          <w:pPr>
            <w:pStyle w:val="Footer"/>
          </w:pPr>
          <w:r w:rsidRPr="00487162">
            <w:t>Document title, Part #, Section # - Section title</w:t>
          </w:r>
        </w:p>
        <w:p w:rsidR="00B67C48" w:rsidRPr="00487162" w:rsidRDefault="00B67C48" w:rsidP="00FE1DEE">
          <w:pPr>
            <w:pStyle w:val="Footer"/>
          </w:pPr>
          <w:r w:rsidRPr="00487162">
            <w:t>V1.0 October 2010</w:t>
          </w:r>
        </w:p>
      </w:tc>
      <w:tc>
        <w:tcPr>
          <w:tcW w:w="4342" w:type="dxa"/>
          <w:tcBorders>
            <w:top w:val="single" w:sz="4" w:space="0" w:color="auto"/>
          </w:tcBorders>
          <w:tcMar>
            <w:top w:w="142" w:type="dxa"/>
            <w:bottom w:w="0" w:type="dxa"/>
          </w:tcMar>
        </w:tcPr>
        <w:p w:rsidR="00B67C48" w:rsidRPr="00487162" w:rsidRDefault="00B67C48"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4</w:t>
          </w:r>
          <w:r>
            <w:rPr>
              <w:noProof/>
            </w:rPr>
            <w:fldChar w:fldCharType="end"/>
          </w:r>
        </w:p>
      </w:tc>
    </w:tr>
  </w:tbl>
  <w:p w:rsidR="00B67C48" w:rsidRDefault="00B67C4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48" w:rsidRPr="001C32CD" w:rsidRDefault="00B67C48" w:rsidP="001C32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B67C48" w:rsidTr="0010601F">
      <w:trPr>
        <w:trHeight w:val="108"/>
      </w:trPr>
      <w:tc>
        <w:tcPr>
          <w:tcW w:w="8875" w:type="dxa"/>
          <w:gridSpan w:val="2"/>
          <w:tcBorders>
            <w:bottom w:val="single" w:sz="4" w:space="0" w:color="auto"/>
          </w:tcBorders>
          <w:tcMar>
            <w:right w:w="284" w:type="dxa"/>
          </w:tcMar>
        </w:tcPr>
        <w:p w:rsidR="00B67C48" w:rsidRDefault="00B67C48" w:rsidP="006E08B3">
          <w:pPr>
            <w:pStyle w:val="Heading3"/>
          </w:pPr>
          <w:r>
            <w:t>Copyright</w:t>
          </w:r>
        </w:p>
        <w:p w:rsidR="00B67C48" w:rsidRDefault="00B67C48" w:rsidP="006E08B3">
          <w:r>
            <w:rPr>
              <w:rFonts w:cs="Arial"/>
            </w:rPr>
            <w:t>©</w:t>
          </w:r>
          <w:r>
            <w:t xml:space="preserve"> Commonwealth of Australia [add year]</w:t>
          </w:r>
        </w:p>
        <w:p w:rsidR="00B67C48" w:rsidRDefault="00B67C48" w:rsidP="006E08B3"/>
        <w:p w:rsidR="00B67C48" w:rsidRDefault="00B67C48"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B67C48" w:rsidRDefault="00B67C48" w:rsidP="006E08B3"/>
        <w:p w:rsidR="00B67C48" w:rsidRDefault="00B67C48" w:rsidP="006E08B3">
          <w:pPr>
            <w:pStyle w:val="Heading3"/>
          </w:pPr>
          <w:r>
            <w:t>Confidentiality</w:t>
          </w:r>
        </w:p>
        <w:p w:rsidR="00B67C48" w:rsidRDefault="00B67C4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B67C48" w:rsidRDefault="00B67C48" w:rsidP="006E08B3"/>
        <w:p w:rsidR="00B67C48" w:rsidRDefault="00B67C48" w:rsidP="006E08B3">
          <w:r>
            <w:t>For submission made by individuals, all personal details, other than your name, will be removed from your submission before it is published on the TGA’s Internet site.</w:t>
          </w:r>
        </w:p>
        <w:p w:rsidR="00B67C48" w:rsidRDefault="00B67C48" w:rsidP="006E08B3"/>
        <w:p w:rsidR="00B67C48" w:rsidRDefault="00B67C48"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B67C48" w:rsidTr="0010601F">
      <w:trPr>
        <w:trHeight w:val="417"/>
      </w:trPr>
      <w:tc>
        <w:tcPr>
          <w:tcW w:w="4519" w:type="dxa"/>
          <w:tcBorders>
            <w:top w:val="single" w:sz="4" w:space="0" w:color="auto"/>
          </w:tcBorders>
          <w:tcMar>
            <w:top w:w="142" w:type="dxa"/>
            <w:bottom w:w="0" w:type="dxa"/>
          </w:tcMar>
        </w:tcPr>
        <w:p w:rsidR="00B67C48" w:rsidRDefault="00B67C48" w:rsidP="006E08B3">
          <w:r>
            <w:t>Document title, Part #, Section # - Section title</w:t>
          </w:r>
        </w:p>
        <w:p w:rsidR="00B67C48" w:rsidRDefault="00B67C48" w:rsidP="006E08B3">
          <w:r>
            <w:t>V1.0 October 2010</w:t>
          </w:r>
        </w:p>
      </w:tc>
      <w:tc>
        <w:tcPr>
          <w:tcW w:w="4356" w:type="dxa"/>
          <w:tcBorders>
            <w:top w:val="single" w:sz="4" w:space="0" w:color="auto"/>
          </w:tcBorders>
          <w:tcMar>
            <w:top w:w="142" w:type="dxa"/>
            <w:bottom w:w="0" w:type="dxa"/>
          </w:tcMar>
        </w:tcPr>
        <w:p w:rsidR="00B67C48" w:rsidRDefault="00B67C48"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4</w:t>
          </w:r>
          <w:r>
            <w:rPr>
              <w:noProof/>
            </w:rPr>
            <w:fldChar w:fldCharType="end"/>
          </w:r>
          <w:r>
            <w:t xml:space="preserve">  </w:t>
          </w:r>
        </w:p>
      </w:tc>
    </w:tr>
  </w:tbl>
  <w:p w:rsidR="00B67C48" w:rsidRDefault="00B67C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C48" w:rsidRDefault="00B67C48" w:rsidP="00C40A36">
      <w:pPr>
        <w:spacing w:after="0"/>
      </w:pPr>
      <w:r>
        <w:separator/>
      </w:r>
    </w:p>
  </w:footnote>
  <w:footnote w:type="continuationSeparator" w:id="0">
    <w:p w:rsidR="00B67C48" w:rsidRDefault="00B67C48" w:rsidP="00C40A36">
      <w:pPr>
        <w:spacing w:after="0"/>
      </w:pPr>
      <w:r>
        <w:continuationSeparator/>
      </w:r>
    </w:p>
  </w:footnote>
  <w:footnote w:id="1">
    <w:p w:rsidR="00B67C48" w:rsidRPr="009113EF" w:rsidRDefault="00B67C48">
      <w:pPr>
        <w:pStyle w:val="FootnoteText"/>
        <w:rPr>
          <w:lang w:val="en-US"/>
        </w:rPr>
      </w:pPr>
      <w:r>
        <w:rPr>
          <w:rStyle w:val="FootnoteReference"/>
        </w:rPr>
        <w:footnoteRef/>
      </w:r>
      <w:r>
        <w:t xml:space="preserve"> Cooper-Peel C, et al. </w:t>
      </w:r>
      <w:r w:rsidRPr="009113EF">
        <w:t xml:space="preserve">Does ibuprofen affect bilirubin albumin binding in newborn infant serum? </w:t>
      </w:r>
      <w:proofErr w:type="spellStart"/>
      <w:proofErr w:type="gramStart"/>
      <w:r w:rsidRPr="009113EF">
        <w:rPr>
          <w:i/>
        </w:rPr>
        <w:t>Pharmacol</w:t>
      </w:r>
      <w:proofErr w:type="spellEnd"/>
      <w:r w:rsidRPr="009113EF">
        <w:rPr>
          <w:i/>
        </w:rPr>
        <w:t>.</w:t>
      </w:r>
      <w:proofErr w:type="gramEnd"/>
      <w:r w:rsidRPr="009113EF">
        <w:rPr>
          <w:i/>
        </w:rPr>
        <w:t xml:space="preserve"> </w:t>
      </w:r>
      <w:proofErr w:type="spellStart"/>
      <w:proofErr w:type="gramStart"/>
      <w:r w:rsidRPr="009113EF">
        <w:rPr>
          <w:i/>
        </w:rPr>
        <w:t>Toxicol</w:t>
      </w:r>
      <w:proofErr w:type="spellEnd"/>
      <w:r w:rsidRPr="009113EF">
        <w:rPr>
          <w:i/>
        </w:rPr>
        <w:t>.</w:t>
      </w:r>
      <w:proofErr w:type="gramEnd"/>
      <w:r>
        <w:t xml:space="preserve"> 76: 297-299 (1996).</w:t>
      </w:r>
    </w:p>
  </w:footnote>
  <w:footnote w:id="2">
    <w:p w:rsidR="00B67C48" w:rsidRPr="009113EF" w:rsidRDefault="00B67C48">
      <w:pPr>
        <w:pStyle w:val="FootnoteText"/>
        <w:rPr>
          <w:lang w:val="en-US"/>
        </w:rPr>
      </w:pPr>
      <w:r>
        <w:rPr>
          <w:rStyle w:val="FootnoteReference"/>
        </w:rPr>
        <w:footnoteRef/>
      </w:r>
      <w:r>
        <w:t xml:space="preserve"> Cooper-Peel C, et al. </w:t>
      </w:r>
      <w:r w:rsidRPr="009113EF">
        <w:t xml:space="preserve">Does ibuprofen affect bilirubin albumin binding in newborn infant serum? </w:t>
      </w:r>
      <w:proofErr w:type="spellStart"/>
      <w:proofErr w:type="gramStart"/>
      <w:r w:rsidRPr="009113EF">
        <w:rPr>
          <w:i/>
        </w:rPr>
        <w:t>Pharmacol</w:t>
      </w:r>
      <w:proofErr w:type="spellEnd"/>
      <w:r w:rsidRPr="009113EF">
        <w:rPr>
          <w:i/>
        </w:rPr>
        <w:t>.</w:t>
      </w:r>
      <w:proofErr w:type="gramEnd"/>
      <w:r w:rsidRPr="009113EF">
        <w:rPr>
          <w:i/>
        </w:rPr>
        <w:t xml:space="preserve"> </w:t>
      </w:r>
      <w:proofErr w:type="spellStart"/>
      <w:proofErr w:type="gramStart"/>
      <w:r w:rsidRPr="009113EF">
        <w:rPr>
          <w:i/>
        </w:rPr>
        <w:t>Toxicol</w:t>
      </w:r>
      <w:proofErr w:type="spellEnd"/>
      <w:r w:rsidRPr="009113EF">
        <w:rPr>
          <w:i/>
        </w:rPr>
        <w:t>.</w:t>
      </w:r>
      <w:proofErr w:type="gramEnd"/>
      <w:r>
        <w:t xml:space="preserve"> 76: 297-299 (1996).</w:t>
      </w:r>
    </w:p>
  </w:footnote>
  <w:footnote w:id="3">
    <w:p w:rsidR="00B67C48" w:rsidRPr="009113EF" w:rsidRDefault="00B67C48">
      <w:pPr>
        <w:pStyle w:val="FootnoteText"/>
        <w:rPr>
          <w:lang w:val="en-US"/>
        </w:rPr>
      </w:pPr>
      <w:r>
        <w:rPr>
          <w:rStyle w:val="FootnoteReference"/>
        </w:rPr>
        <w:footnoteRef/>
      </w:r>
      <w:r>
        <w:t xml:space="preserve"> </w:t>
      </w:r>
      <w:proofErr w:type="gramStart"/>
      <w:r w:rsidRPr="009113EF">
        <w:t>Ami</w:t>
      </w:r>
      <w:r>
        <w:t xml:space="preserve">n SB, </w:t>
      </w:r>
      <w:proofErr w:type="spellStart"/>
      <w:r>
        <w:t>Miravalle</w:t>
      </w:r>
      <w:proofErr w:type="spellEnd"/>
      <w:r>
        <w:t xml:space="preserve"> N. </w:t>
      </w:r>
      <w:r w:rsidRPr="009113EF">
        <w:t>Effect of ibuprofen on bilirubin-binding affinity in premature infants.</w:t>
      </w:r>
      <w:proofErr w:type="gramEnd"/>
      <w:r w:rsidRPr="009113EF">
        <w:t xml:space="preserve"> </w:t>
      </w:r>
      <w:r w:rsidRPr="00514B4E">
        <w:rPr>
          <w:i/>
        </w:rPr>
        <w:t>J. Perinat. Med.</w:t>
      </w:r>
      <w:r w:rsidRPr="009113EF">
        <w:t xml:space="preserve"> 39: 55-58</w:t>
      </w:r>
      <w:r>
        <w:t xml:space="preserve"> (2011).</w:t>
      </w:r>
    </w:p>
  </w:footnote>
  <w:footnote w:id="4">
    <w:p w:rsidR="00B67C48" w:rsidRPr="00641B2B" w:rsidRDefault="00B67C48">
      <w:pPr>
        <w:pStyle w:val="FootnoteText"/>
        <w:rPr>
          <w:lang w:val="en-US"/>
        </w:rPr>
      </w:pPr>
      <w:r>
        <w:rPr>
          <w:rStyle w:val="FootnoteReference"/>
        </w:rPr>
        <w:footnoteRef/>
      </w:r>
      <w:r>
        <w:t xml:space="preserve"> </w:t>
      </w:r>
      <w:r w:rsidRPr="00641B2B">
        <w:t>Rat calculation: maximum non-lethal dose of 265 mg/kg bodyweight; blood volume</w:t>
      </w:r>
      <w:r>
        <w:t xml:space="preserve"> </w:t>
      </w:r>
      <w:r w:rsidRPr="00641B2B">
        <w:t>6% for 250g animal; haematocrit 46</w:t>
      </w:r>
      <w:r>
        <w:t xml:space="preserve"> </w:t>
      </w:r>
      <w:r w:rsidRPr="00641B2B">
        <w:t>=</w:t>
      </w:r>
      <w:r>
        <w:t xml:space="preserve"> </w:t>
      </w:r>
      <w:r w:rsidRPr="00641B2B">
        <w:t>plasma volume 32.4 mL/kg; ‘instantaneous’ plasma concentration of 8200 mg/L. Human neonate calculation: Plasma volume 41.</w:t>
      </w:r>
      <w:r>
        <w:t>5 mL/kg; max dose of 20 mg/kg BW</w:t>
      </w:r>
      <w:r w:rsidRPr="00641B2B">
        <w:t xml:space="preserve"> would give instantaneous </w:t>
      </w:r>
      <w:proofErr w:type="spellStart"/>
      <w:r w:rsidRPr="00641B2B">
        <w:t>concn</w:t>
      </w:r>
      <w:proofErr w:type="spellEnd"/>
      <w:r w:rsidRPr="00641B2B">
        <w:t xml:space="preserve"> of 500mg/L. Protein binding of ibuprofen for human neonate and rat is similar at 95%.</w:t>
      </w:r>
    </w:p>
  </w:footnote>
  <w:footnote w:id="5">
    <w:p w:rsidR="00B67C48" w:rsidRPr="00641B2B" w:rsidRDefault="00B67C48">
      <w:pPr>
        <w:pStyle w:val="FootnoteText"/>
        <w:rPr>
          <w:lang w:val="en-US"/>
        </w:rPr>
      </w:pPr>
      <w:r>
        <w:rPr>
          <w:rStyle w:val="FootnoteReference"/>
        </w:rPr>
        <w:footnoteRef/>
      </w:r>
      <w:r>
        <w:t xml:space="preserve"> </w:t>
      </w:r>
      <w:r w:rsidRPr="00641B2B">
        <w:t xml:space="preserve">Barrow PC: Toxicology testing for products intended for </w:t>
      </w:r>
      <w:proofErr w:type="spellStart"/>
      <w:r w:rsidRPr="00641B2B">
        <w:t>pediatric</w:t>
      </w:r>
      <w:proofErr w:type="spellEnd"/>
      <w:r w:rsidRPr="00641B2B">
        <w:t xml:space="preserve"> populations. In: </w:t>
      </w:r>
      <w:proofErr w:type="spellStart"/>
      <w:r w:rsidRPr="00641B2B">
        <w:t>Sietsema</w:t>
      </w:r>
      <w:proofErr w:type="spellEnd"/>
      <w:r w:rsidRPr="00641B2B">
        <w:t xml:space="preserve"> WK, </w:t>
      </w:r>
      <w:proofErr w:type="spellStart"/>
      <w:r w:rsidRPr="00641B2B">
        <w:t>Schwen</w:t>
      </w:r>
      <w:proofErr w:type="spellEnd"/>
      <w:r w:rsidRPr="00641B2B">
        <w:t xml:space="preserve"> R, eds. Non clinical safety assessment: practical considerations for successful registrations. </w:t>
      </w:r>
      <w:proofErr w:type="spellStart"/>
      <w:r w:rsidRPr="00641B2B">
        <w:t>FDAnews</w:t>
      </w:r>
      <w:proofErr w:type="spellEnd"/>
      <w:r w:rsidRPr="00641B2B">
        <w:t>; May 2007, p</w:t>
      </w:r>
      <w:r>
        <w:t xml:space="preserve">. </w:t>
      </w:r>
      <w:r w:rsidRPr="00641B2B">
        <w:t>413.</w:t>
      </w:r>
    </w:p>
  </w:footnote>
  <w:footnote w:id="6">
    <w:p w:rsidR="00B67C48" w:rsidRPr="005B730C" w:rsidRDefault="00B67C48">
      <w:pPr>
        <w:pStyle w:val="FootnoteText"/>
        <w:rPr>
          <w:lang w:val="en-US"/>
        </w:rPr>
      </w:pPr>
      <w:r>
        <w:rPr>
          <w:rStyle w:val="FootnoteReference"/>
        </w:rPr>
        <w:footnoteRef/>
      </w:r>
      <w:r>
        <w:t xml:space="preserve"> </w:t>
      </w:r>
      <w:proofErr w:type="spellStart"/>
      <w:r w:rsidRPr="005B730C">
        <w:t>Varvarigou</w:t>
      </w:r>
      <w:proofErr w:type="spellEnd"/>
      <w:r w:rsidRPr="005B730C">
        <w:t xml:space="preserve"> A, </w:t>
      </w:r>
      <w:r>
        <w:t>et al</w:t>
      </w:r>
      <w:r w:rsidRPr="005B730C">
        <w:t xml:space="preserve">. </w:t>
      </w:r>
      <w:proofErr w:type="gramStart"/>
      <w:r w:rsidRPr="005B730C">
        <w:t>Early ibuprofen administration to prevent patent ductus arteriosus in premature newborn infa</w:t>
      </w:r>
      <w:r>
        <w:t>nts.</w:t>
      </w:r>
      <w:proofErr w:type="gramEnd"/>
      <w:r>
        <w:t xml:space="preserve"> </w:t>
      </w:r>
      <w:proofErr w:type="gramStart"/>
      <w:r w:rsidRPr="00FA4C04">
        <w:rPr>
          <w:i/>
        </w:rPr>
        <w:t>JAMA</w:t>
      </w:r>
      <w:r>
        <w:t xml:space="preserve"> 275: 539-44 (1996).</w:t>
      </w:r>
      <w:proofErr w:type="gramEnd"/>
    </w:p>
  </w:footnote>
  <w:footnote w:id="7">
    <w:p w:rsidR="00B67C48" w:rsidRPr="00FA4C04" w:rsidRDefault="00B67C48">
      <w:pPr>
        <w:pStyle w:val="FootnoteText"/>
        <w:rPr>
          <w:lang w:val="en-US"/>
        </w:rPr>
      </w:pPr>
      <w:r>
        <w:rPr>
          <w:rStyle w:val="FootnoteReference"/>
        </w:rPr>
        <w:footnoteRef/>
      </w:r>
      <w:r>
        <w:t xml:space="preserve"> </w:t>
      </w:r>
      <w:proofErr w:type="spellStart"/>
      <w:r w:rsidRPr="005B730C">
        <w:t>Varvarigou</w:t>
      </w:r>
      <w:proofErr w:type="spellEnd"/>
      <w:r w:rsidRPr="005B730C">
        <w:t xml:space="preserve"> A, </w:t>
      </w:r>
      <w:r>
        <w:t>et al</w:t>
      </w:r>
      <w:r w:rsidRPr="005B730C">
        <w:t xml:space="preserve">. </w:t>
      </w:r>
      <w:proofErr w:type="gramStart"/>
      <w:r w:rsidRPr="005B730C">
        <w:t>Early ibuprofen administration to prevent patent ductus arteriosus in premature newborn infa</w:t>
      </w:r>
      <w:r>
        <w:t>nts.</w:t>
      </w:r>
      <w:proofErr w:type="gramEnd"/>
      <w:r>
        <w:t xml:space="preserve"> </w:t>
      </w:r>
      <w:proofErr w:type="gramStart"/>
      <w:r w:rsidRPr="00FA4C04">
        <w:rPr>
          <w:i/>
        </w:rPr>
        <w:t>JAMA</w:t>
      </w:r>
      <w:r>
        <w:t xml:space="preserve"> 275: 539-44 (1996).</w:t>
      </w:r>
      <w:proofErr w:type="gramEnd"/>
    </w:p>
  </w:footnote>
  <w:footnote w:id="8">
    <w:p w:rsidR="00B67C48" w:rsidRPr="00125446" w:rsidRDefault="00B67C48">
      <w:pPr>
        <w:pStyle w:val="FootnoteText"/>
        <w:rPr>
          <w:lang w:val="en-US"/>
        </w:rPr>
      </w:pPr>
      <w:r>
        <w:rPr>
          <w:rStyle w:val="FootnoteReference"/>
        </w:rPr>
        <w:footnoteRef/>
      </w:r>
      <w:r>
        <w:t xml:space="preserve"> </w:t>
      </w:r>
      <w:r w:rsidRPr="002451DA">
        <w:t>Routine pharmacovigilance practices involve the following: (a) All suspected adverse reactions that are reported to the personnel of the company are collected and collated in an accessible manner; (b) Reporting to regulatory authorities; (c) Continuous monitoring of the safety profiles of approved products including signal detection and updating of labelling; (d) Submission of Periodic Safety Update Reports (PSURs); and (e) Meeting other local regulatory agency requirements.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48" w:rsidRDefault="00B67C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48" w:rsidRDefault="00B67C48" w:rsidP="00E45619">
    <w:pPr>
      <w:pStyle w:val="Header"/>
    </w:pPr>
    <w:r>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48" w:rsidRDefault="00B67C48">
    <w:pPr>
      <w:rPr>
        <w:noProof/>
        <w:lang w:eastAsia="en-AU"/>
      </w:rPr>
    </w:pPr>
    <w:r w:rsidRPr="00347824">
      <w:rPr>
        <w:noProof/>
        <w:lang w:eastAsia="en-AU"/>
      </w:rPr>
      <w:drawing>
        <wp:anchor distT="0" distB="0" distL="114300" distR="114300" simplePos="0" relativeHeight="251659264" behindDoc="1" locked="0" layoutInCell="1" allowOverlap="1" wp14:anchorId="0AA485AF" wp14:editId="64A93DAC">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B67C48" w:rsidRDefault="00B67C48" w:rsidP="00593AD1">
    <w:pPr>
      <w:pStyle w:val="HeaderNoLi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48" w:rsidRDefault="00B67C4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48" w:rsidRDefault="00B67C48">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48" w:rsidRDefault="00B67C48">
    <w:pPr>
      <w:pStyle w:val="Header"/>
    </w:pPr>
    <w:r>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48" w:rsidRDefault="00B67C4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48" w:rsidRDefault="00B67C48" w:rsidP="004C239D">
    <w:pPr>
      <w:pStyle w:val="HeaderNo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48" w:rsidRDefault="00B67C48" w:rsidP="006E08B3">
    <w:r>
      <w:t>Therapeutic Goods Administration</w:t>
    </w:r>
  </w:p>
  <w:p w:rsidR="00B67C48" w:rsidRDefault="00B67C48"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4B2"/>
    <w:multiLevelType w:val="hybridMultilevel"/>
    <w:tmpl w:val="EA1249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DCA2350"/>
    <w:multiLevelType w:val="hybridMultilevel"/>
    <w:tmpl w:val="5DC6E5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3857E65"/>
    <w:multiLevelType w:val="hybridMultilevel"/>
    <w:tmpl w:val="80965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7">
    <w:nsid w:val="3F596E89"/>
    <w:multiLevelType w:val="hybridMultilevel"/>
    <w:tmpl w:val="7C729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89B15D7"/>
    <w:multiLevelType w:val="hybridMultilevel"/>
    <w:tmpl w:val="A58C8768"/>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BF249B2"/>
    <w:multiLevelType w:val="hybridMultilevel"/>
    <w:tmpl w:val="D62A8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3DA16EE"/>
    <w:multiLevelType w:val="hybridMultilevel"/>
    <w:tmpl w:val="5DC6E5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32F4DDC"/>
    <w:multiLevelType w:val="hybridMultilevel"/>
    <w:tmpl w:val="58F89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0B1B75"/>
    <w:multiLevelType w:val="multilevel"/>
    <w:tmpl w:val="D3FAAFB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5"/>
        </w:tabs>
        <w:ind w:left="1135" w:hanging="1022"/>
      </w:pPr>
      <w:rPr>
        <w:rFonts w:hint="default"/>
      </w:rPr>
    </w:lvl>
    <w:lvl w:ilvl="2">
      <w:start w:val="1"/>
      <w:numFmt w:val="decimal"/>
      <w:lvlText w:val="%1.%2.%3."/>
      <w:lvlJc w:val="left"/>
      <w:pPr>
        <w:tabs>
          <w:tab w:val="num" w:pos="1134"/>
        </w:tabs>
        <w:ind w:left="1134" w:hanging="964"/>
      </w:pPr>
      <w:rPr>
        <w:rFonts w:hint="default"/>
      </w:rPr>
    </w:lvl>
    <w:lvl w:ilvl="3">
      <w:start w:val="1"/>
      <w:numFmt w:val="decimal"/>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3">
    <w:nsid w:val="76BB45C0"/>
    <w:multiLevelType w:val="hybridMultilevel"/>
    <w:tmpl w:val="A546E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5"/>
  </w:num>
  <w:num w:numId="4">
    <w:abstractNumId w:val="3"/>
  </w:num>
  <w:num w:numId="5">
    <w:abstractNumId w:val="8"/>
  </w:num>
  <w:num w:numId="6">
    <w:abstractNumId w:val="12"/>
  </w:num>
  <w:num w:numId="7">
    <w:abstractNumId w:val="6"/>
  </w:num>
  <w:num w:numId="8">
    <w:abstractNumId w:val="7"/>
  </w:num>
  <w:num w:numId="9">
    <w:abstractNumId w:val="2"/>
  </w:num>
  <w:num w:numId="10">
    <w:abstractNumId w:val="13"/>
  </w:num>
  <w:num w:numId="11">
    <w:abstractNumId w:val="0"/>
  </w:num>
  <w:num w:numId="12">
    <w:abstractNumId w:val="4"/>
  </w:num>
  <w:num w:numId="13">
    <w:abstractNumId w:val="9"/>
  </w:num>
  <w:num w:numId="14">
    <w:abstractNumId w:val="11"/>
  </w:num>
  <w:num w:numId="15">
    <w:abstractNumId w:val="10"/>
  </w:num>
  <w:num w:numId="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0A"/>
    <w:rsid w:val="00002031"/>
    <w:rsid w:val="00003DDA"/>
    <w:rsid w:val="00004734"/>
    <w:rsid w:val="00006B22"/>
    <w:rsid w:val="00010C55"/>
    <w:rsid w:val="0001276A"/>
    <w:rsid w:val="000246AE"/>
    <w:rsid w:val="00025C67"/>
    <w:rsid w:val="000367E6"/>
    <w:rsid w:val="00044772"/>
    <w:rsid w:val="00053A6D"/>
    <w:rsid w:val="0005559E"/>
    <w:rsid w:val="000604D6"/>
    <w:rsid w:val="000734D8"/>
    <w:rsid w:val="00074861"/>
    <w:rsid w:val="00077775"/>
    <w:rsid w:val="00085175"/>
    <w:rsid w:val="00090471"/>
    <w:rsid w:val="00090960"/>
    <w:rsid w:val="000964C8"/>
    <w:rsid w:val="00096AA7"/>
    <w:rsid w:val="000A0882"/>
    <w:rsid w:val="000A3AED"/>
    <w:rsid w:val="000B3532"/>
    <w:rsid w:val="000B3A75"/>
    <w:rsid w:val="000B442F"/>
    <w:rsid w:val="000C00C2"/>
    <w:rsid w:val="000C690F"/>
    <w:rsid w:val="000D1295"/>
    <w:rsid w:val="000D391B"/>
    <w:rsid w:val="000D3D6D"/>
    <w:rsid w:val="000D4EAD"/>
    <w:rsid w:val="000D4FC7"/>
    <w:rsid w:val="000E44C0"/>
    <w:rsid w:val="000E6196"/>
    <w:rsid w:val="000F133D"/>
    <w:rsid w:val="000F4869"/>
    <w:rsid w:val="000F5B42"/>
    <w:rsid w:val="000F60BE"/>
    <w:rsid w:val="000F6E6F"/>
    <w:rsid w:val="00100527"/>
    <w:rsid w:val="0010601F"/>
    <w:rsid w:val="0010788A"/>
    <w:rsid w:val="00107A31"/>
    <w:rsid w:val="00110EA5"/>
    <w:rsid w:val="00111B3E"/>
    <w:rsid w:val="00112F56"/>
    <w:rsid w:val="00117BDF"/>
    <w:rsid w:val="00125318"/>
    <w:rsid w:val="00125446"/>
    <w:rsid w:val="001305A2"/>
    <w:rsid w:val="00133238"/>
    <w:rsid w:val="00133A1B"/>
    <w:rsid w:val="0013480F"/>
    <w:rsid w:val="0014197B"/>
    <w:rsid w:val="001447CD"/>
    <w:rsid w:val="001516B1"/>
    <w:rsid w:val="001520C6"/>
    <w:rsid w:val="00154EBB"/>
    <w:rsid w:val="00156316"/>
    <w:rsid w:val="00161181"/>
    <w:rsid w:val="00162D14"/>
    <w:rsid w:val="0016390B"/>
    <w:rsid w:val="00165389"/>
    <w:rsid w:val="00175282"/>
    <w:rsid w:val="0017693F"/>
    <w:rsid w:val="0018110E"/>
    <w:rsid w:val="00181684"/>
    <w:rsid w:val="001843C6"/>
    <w:rsid w:val="001850E0"/>
    <w:rsid w:val="001916ED"/>
    <w:rsid w:val="001A1916"/>
    <w:rsid w:val="001A2158"/>
    <w:rsid w:val="001A525F"/>
    <w:rsid w:val="001B09F9"/>
    <w:rsid w:val="001B5C90"/>
    <w:rsid w:val="001B6448"/>
    <w:rsid w:val="001C219C"/>
    <w:rsid w:val="001C32CD"/>
    <w:rsid w:val="001D2984"/>
    <w:rsid w:val="001D5F7B"/>
    <w:rsid w:val="001E07CF"/>
    <w:rsid w:val="001E59F1"/>
    <w:rsid w:val="001F2CEE"/>
    <w:rsid w:val="001F49EB"/>
    <w:rsid w:val="001F6CBA"/>
    <w:rsid w:val="00201D4E"/>
    <w:rsid w:val="002076C9"/>
    <w:rsid w:val="002205D9"/>
    <w:rsid w:val="00220B8A"/>
    <w:rsid w:val="0022260F"/>
    <w:rsid w:val="002257F3"/>
    <w:rsid w:val="00225990"/>
    <w:rsid w:val="00232A97"/>
    <w:rsid w:val="00232FFE"/>
    <w:rsid w:val="00233456"/>
    <w:rsid w:val="002339A5"/>
    <w:rsid w:val="0024082D"/>
    <w:rsid w:val="002421AC"/>
    <w:rsid w:val="002451DA"/>
    <w:rsid w:val="002458F9"/>
    <w:rsid w:val="00246011"/>
    <w:rsid w:val="0024731A"/>
    <w:rsid w:val="00257848"/>
    <w:rsid w:val="00261A0D"/>
    <w:rsid w:val="002621C4"/>
    <w:rsid w:val="002638B9"/>
    <w:rsid w:val="0027084A"/>
    <w:rsid w:val="00281AA1"/>
    <w:rsid w:val="00286434"/>
    <w:rsid w:val="00286C59"/>
    <w:rsid w:val="0029095B"/>
    <w:rsid w:val="00290984"/>
    <w:rsid w:val="00291957"/>
    <w:rsid w:val="002942D1"/>
    <w:rsid w:val="0029501A"/>
    <w:rsid w:val="002A3721"/>
    <w:rsid w:val="002A5CB5"/>
    <w:rsid w:val="002B0EDE"/>
    <w:rsid w:val="002B1638"/>
    <w:rsid w:val="002B3624"/>
    <w:rsid w:val="002B63E4"/>
    <w:rsid w:val="002C7421"/>
    <w:rsid w:val="002D0952"/>
    <w:rsid w:val="002D0DC4"/>
    <w:rsid w:val="002D4A7F"/>
    <w:rsid w:val="002D4CAD"/>
    <w:rsid w:val="002D5C3B"/>
    <w:rsid w:val="002E40B3"/>
    <w:rsid w:val="002E4C9A"/>
    <w:rsid w:val="002E6FAF"/>
    <w:rsid w:val="002F11F8"/>
    <w:rsid w:val="002F3F56"/>
    <w:rsid w:val="002F44B5"/>
    <w:rsid w:val="00301564"/>
    <w:rsid w:val="00311AC0"/>
    <w:rsid w:val="00315ECE"/>
    <w:rsid w:val="0032583B"/>
    <w:rsid w:val="003262FA"/>
    <w:rsid w:val="00327883"/>
    <w:rsid w:val="00335504"/>
    <w:rsid w:val="00340AA0"/>
    <w:rsid w:val="00340C18"/>
    <w:rsid w:val="003442FD"/>
    <w:rsid w:val="00347824"/>
    <w:rsid w:val="00350567"/>
    <w:rsid w:val="003516DE"/>
    <w:rsid w:val="003521E8"/>
    <w:rsid w:val="00352ED0"/>
    <w:rsid w:val="00355247"/>
    <w:rsid w:val="00365BEF"/>
    <w:rsid w:val="00370CE3"/>
    <w:rsid w:val="003728F3"/>
    <w:rsid w:val="0037496E"/>
    <w:rsid w:val="00374A9F"/>
    <w:rsid w:val="00383221"/>
    <w:rsid w:val="00386150"/>
    <w:rsid w:val="00387362"/>
    <w:rsid w:val="003874CE"/>
    <w:rsid w:val="00387B35"/>
    <w:rsid w:val="00390900"/>
    <w:rsid w:val="00392F43"/>
    <w:rsid w:val="003A7F6C"/>
    <w:rsid w:val="003B4D60"/>
    <w:rsid w:val="003B7E39"/>
    <w:rsid w:val="003C3D60"/>
    <w:rsid w:val="003C51AE"/>
    <w:rsid w:val="003C58DC"/>
    <w:rsid w:val="003D1E62"/>
    <w:rsid w:val="003E0B99"/>
    <w:rsid w:val="003E2486"/>
    <w:rsid w:val="003E3208"/>
    <w:rsid w:val="003F0B04"/>
    <w:rsid w:val="0040134E"/>
    <w:rsid w:val="004334C7"/>
    <w:rsid w:val="00440A2D"/>
    <w:rsid w:val="00441C3F"/>
    <w:rsid w:val="00445452"/>
    <w:rsid w:val="004564A7"/>
    <w:rsid w:val="004617BF"/>
    <w:rsid w:val="00461A75"/>
    <w:rsid w:val="00463658"/>
    <w:rsid w:val="004637A0"/>
    <w:rsid w:val="00470FE2"/>
    <w:rsid w:val="004722CC"/>
    <w:rsid w:val="004936E4"/>
    <w:rsid w:val="00494E60"/>
    <w:rsid w:val="00497487"/>
    <w:rsid w:val="00497B54"/>
    <w:rsid w:val="004A6189"/>
    <w:rsid w:val="004A7076"/>
    <w:rsid w:val="004A7390"/>
    <w:rsid w:val="004B615A"/>
    <w:rsid w:val="004B7B76"/>
    <w:rsid w:val="004C239D"/>
    <w:rsid w:val="004C2DCA"/>
    <w:rsid w:val="004C5C61"/>
    <w:rsid w:val="004C61D2"/>
    <w:rsid w:val="004E11A0"/>
    <w:rsid w:val="004F00BF"/>
    <w:rsid w:val="004F0C4A"/>
    <w:rsid w:val="004F0F38"/>
    <w:rsid w:val="004F47D6"/>
    <w:rsid w:val="004F4C2C"/>
    <w:rsid w:val="00501921"/>
    <w:rsid w:val="00505E0E"/>
    <w:rsid w:val="00511753"/>
    <w:rsid w:val="00514003"/>
    <w:rsid w:val="00514B4E"/>
    <w:rsid w:val="005219D0"/>
    <w:rsid w:val="00530354"/>
    <w:rsid w:val="00533401"/>
    <w:rsid w:val="0053625B"/>
    <w:rsid w:val="005401ED"/>
    <w:rsid w:val="005434C6"/>
    <w:rsid w:val="00543B39"/>
    <w:rsid w:val="00543EEC"/>
    <w:rsid w:val="00546154"/>
    <w:rsid w:val="00550096"/>
    <w:rsid w:val="00555280"/>
    <w:rsid w:val="00557FF9"/>
    <w:rsid w:val="00562327"/>
    <w:rsid w:val="00565D7F"/>
    <w:rsid w:val="005711D5"/>
    <w:rsid w:val="00576378"/>
    <w:rsid w:val="00577130"/>
    <w:rsid w:val="00577945"/>
    <w:rsid w:val="00577E38"/>
    <w:rsid w:val="00585322"/>
    <w:rsid w:val="005857C6"/>
    <w:rsid w:val="00592F6E"/>
    <w:rsid w:val="00593AD1"/>
    <w:rsid w:val="005A68B6"/>
    <w:rsid w:val="005A6C65"/>
    <w:rsid w:val="005B6E89"/>
    <w:rsid w:val="005B730C"/>
    <w:rsid w:val="005C5570"/>
    <w:rsid w:val="005C79A4"/>
    <w:rsid w:val="005D5442"/>
    <w:rsid w:val="005D7BEE"/>
    <w:rsid w:val="0060044B"/>
    <w:rsid w:val="006038C8"/>
    <w:rsid w:val="00603F32"/>
    <w:rsid w:val="00605AD4"/>
    <w:rsid w:val="0061390F"/>
    <w:rsid w:val="00620F75"/>
    <w:rsid w:val="00625A6E"/>
    <w:rsid w:val="00630C42"/>
    <w:rsid w:val="00632398"/>
    <w:rsid w:val="00640FC3"/>
    <w:rsid w:val="00641963"/>
    <w:rsid w:val="00641B2B"/>
    <w:rsid w:val="00642020"/>
    <w:rsid w:val="0065337B"/>
    <w:rsid w:val="0065419D"/>
    <w:rsid w:val="00657A91"/>
    <w:rsid w:val="0066037B"/>
    <w:rsid w:val="006604D8"/>
    <w:rsid w:val="00664A5B"/>
    <w:rsid w:val="0066735C"/>
    <w:rsid w:val="006763D2"/>
    <w:rsid w:val="00680C08"/>
    <w:rsid w:val="00682E41"/>
    <w:rsid w:val="00686B7A"/>
    <w:rsid w:val="006916A0"/>
    <w:rsid w:val="006931B1"/>
    <w:rsid w:val="00694AAC"/>
    <w:rsid w:val="006A15C0"/>
    <w:rsid w:val="006B2BA3"/>
    <w:rsid w:val="006C3E2A"/>
    <w:rsid w:val="006C642F"/>
    <w:rsid w:val="006D03E5"/>
    <w:rsid w:val="006D07C5"/>
    <w:rsid w:val="006D26EA"/>
    <w:rsid w:val="006D5D3E"/>
    <w:rsid w:val="006E08B3"/>
    <w:rsid w:val="006E7327"/>
    <w:rsid w:val="006F0557"/>
    <w:rsid w:val="006F17AC"/>
    <w:rsid w:val="006F25B8"/>
    <w:rsid w:val="006F572E"/>
    <w:rsid w:val="0070133A"/>
    <w:rsid w:val="007046D6"/>
    <w:rsid w:val="00704B34"/>
    <w:rsid w:val="00705DB0"/>
    <w:rsid w:val="00720DBB"/>
    <w:rsid w:val="0072124C"/>
    <w:rsid w:val="00722B57"/>
    <w:rsid w:val="00724272"/>
    <w:rsid w:val="00730F8A"/>
    <w:rsid w:val="00733B2C"/>
    <w:rsid w:val="00735A8C"/>
    <w:rsid w:val="0074253D"/>
    <w:rsid w:val="0074429B"/>
    <w:rsid w:val="007472B5"/>
    <w:rsid w:val="007615BC"/>
    <w:rsid w:val="00762F05"/>
    <w:rsid w:val="007652FF"/>
    <w:rsid w:val="00770CAC"/>
    <w:rsid w:val="00770EF1"/>
    <w:rsid w:val="00773EF7"/>
    <w:rsid w:val="00774E1D"/>
    <w:rsid w:val="007765D8"/>
    <w:rsid w:val="0077675A"/>
    <w:rsid w:val="00780355"/>
    <w:rsid w:val="007819FD"/>
    <w:rsid w:val="00785717"/>
    <w:rsid w:val="00785721"/>
    <w:rsid w:val="007877B3"/>
    <w:rsid w:val="00793A59"/>
    <w:rsid w:val="007A22DC"/>
    <w:rsid w:val="007A3B0A"/>
    <w:rsid w:val="007B6132"/>
    <w:rsid w:val="007B6290"/>
    <w:rsid w:val="007B6E9F"/>
    <w:rsid w:val="007B771D"/>
    <w:rsid w:val="007C1216"/>
    <w:rsid w:val="007C1AF7"/>
    <w:rsid w:val="007C6B9B"/>
    <w:rsid w:val="007D0D94"/>
    <w:rsid w:val="007D3837"/>
    <w:rsid w:val="007E51E2"/>
    <w:rsid w:val="007F5018"/>
    <w:rsid w:val="00802B65"/>
    <w:rsid w:val="00805AFB"/>
    <w:rsid w:val="00805D27"/>
    <w:rsid w:val="00806DCB"/>
    <w:rsid w:val="00816C67"/>
    <w:rsid w:val="00821776"/>
    <w:rsid w:val="00831CE3"/>
    <w:rsid w:val="008321F5"/>
    <w:rsid w:val="00832369"/>
    <w:rsid w:val="00834660"/>
    <w:rsid w:val="00836BC2"/>
    <w:rsid w:val="0084305A"/>
    <w:rsid w:val="00843E69"/>
    <w:rsid w:val="0085156D"/>
    <w:rsid w:val="00855934"/>
    <w:rsid w:val="0085641B"/>
    <w:rsid w:val="00857136"/>
    <w:rsid w:val="00872646"/>
    <w:rsid w:val="00880807"/>
    <w:rsid w:val="00885B11"/>
    <w:rsid w:val="00886D15"/>
    <w:rsid w:val="00887DD8"/>
    <w:rsid w:val="00890FE3"/>
    <w:rsid w:val="00891BA9"/>
    <w:rsid w:val="00896018"/>
    <w:rsid w:val="008960DD"/>
    <w:rsid w:val="0089635C"/>
    <w:rsid w:val="008A2B9D"/>
    <w:rsid w:val="008A3D9F"/>
    <w:rsid w:val="008A5E0B"/>
    <w:rsid w:val="008A6D59"/>
    <w:rsid w:val="008A7ACE"/>
    <w:rsid w:val="008B10C0"/>
    <w:rsid w:val="008B4B03"/>
    <w:rsid w:val="008B596F"/>
    <w:rsid w:val="008C159F"/>
    <w:rsid w:val="008C1623"/>
    <w:rsid w:val="008C1850"/>
    <w:rsid w:val="008C51A9"/>
    <w:rsid w:val="008C678E"/>
    <w:rsid w:val="008D29EF"/>
    <w:rsid w:val="008D7E2D"/>
    <w:rsid w:val="008E0E6C"/>
    <w:rsid w:val="008E3541"/>
    <w:rsid w:val="008E373A"/>
    <w:rsid w:val="008E7846"/>
    <w:rsid w:val="008F02E5"/>
    <w:rsid w:val="008F1CCC"/>
    <w:rsid w:val="008F2967"/>
    <w:rsid w:val="008F6943"/>
    <w:rsid w:val="00902A21"/>
    <w:rsid w:val="009113EF"/>
    <w:rsid w:val="00912385"/>
    <w:rsid w:val="00913F88"/>
    <w:rsid w:val="00920330"/>
    <w:rsid w:val="009219D7"/>
    <w:rsid w:val="00922D53"/>
    <w:rsid w:val="00923B70"/>
    <w:rsid w:val="00924482"/>
    <w:rsid w:val="00930237"/>
    <w:rsid w:val="00935D40"/>
    <w:rsid w:val="00937C17"/>
    <w:rsid w:val="00940A89"/>
    <w:rsid w:val="00946EA5"/>
    <w:rsid w:val="00963C08"/>
    <w:rsid w:val="009752A5"/>
    <w:rsid w:val="009835BA"/>
    <w:rsid w:val="0098585A"/>
    <w:rsid w:val="00985A17"/>
    <w:rsid w:val="00987BCF"/>
    <w:rsid w:val="0099705E"/>
    <w:rsid w:val="009A4CED"/>
    <w:rsid w:val="009A690D"/>
    <w:rsid w:val="009B1D12"/>
    <w:rsid w:val="009B416B"/>
    <w:rsid w:val="009C2A77"/>
    <w:rsid w:val="009C4503"/>
    <w:rsid w:val="009C4BD5"/>
    <w:rsid w:val="009D5461"/>
    <w:rsid w:val="009D7B77"/>
    <w:rsid w:val="009E0B36"/>
    <w:rsid w:val="009E0BB0"/>
    <w:rsid w:val="009E3FBB"/>
    <w:rsid w:val="009F4183"/>
    <w:rsid w:val="009F7353"/>
    <w:rsid w:val="00A04F85"/>
    <w:rsid w:val="00A05A0E"/>
    <w:rsid w:val="00A05FA4"/>
    <w:rsid w:val="00A102E4"/>
    <w:rsid w:val="00A12C42"/>
    <w:rsid w:val="00A14DF7"/>
    <w:rsid w:val="00A30405"/>
    <w:rsid w:val="00A3246D"/>
    <w:rsid w:val="00A36FA7"/>
    <w:rsid w:val="00A44DDB"/>
    <w:rsid w:val="00A475B7"/>
    <w:rsid w:val="00A47AF7"/>
    <w:rsid w:val="00A47C3E"/>
    <w:rsid w:val="00A50226"/>
    <w:rsid w:val="00A60BAD"/>
    <w:rsid w:val="00A61AD1"/>
    <w:rsid w:val="00A64DC7"/>
    <w:rsid w:val="00A80B5B"/>
    <w:rsid w:val="00A84E36"/>
    <w:rsid w:val="00A964D1"/>
    <w:rsid w:val="00AA0ED0"/>
    <w:rsid w:val="00AA1284"/>
    <w:rsid w:val="00AB05D8"/>
    <w:rsid w:val="00AB268E"/>
    <w:rsid w:val="00AC2B40"/>
    <w:rsid w:val="00AC2BB2"/>
    <w:rsid w:val="00AC2C3C"/>
    <w:rsid w:val="00AC512D"/>
    <w:rsid w:val="00AD0083"/>
    <w:rsid w:val="00AD3935"/>
    <w:rsid w:val="00AE65EB"/>
    <w:rsid w:val="00AE67A7"/>
    <w:rsid w:val="00AF1D94"/>
    <w:rsid w:val="00AF60C5"/>
    <w:rsid w:val="00B009C6"/>
    <w:rsid w:val="00B01548"/>
    <w:rsid w:val="00B046AB"/>
    <w:rsid w:val="00B13EBD"/>
    <w:rsid w:val="00B21D29"/>
    <w:rsid w:val="00B25034"/>
    <w:rsid w:val="00B25841"/>
    <w:rsid w:val="00B33588"/>
    <w:rsid w:val="00B33863"/>
    <w:rsid w:val="00B35C34"/>
    <w:rsid w:val="00B37D17"/>
    <w:rsid w:val="00B4175E"/>
    <w:rsid w:val="00B452CE"/>
    <w:rsid w:val="00B51D08"/>
    <w:rsid w:val="00B54C25"/>
    <w:rsid w:val="00B65F43"/>
    <w:rsid w:val="00B67C48"/>
    <w:rsid w:val="00B73B9D"/>
    <w:rsid w:val="00B73EED"/>
    <w:rsid w:val="00B76B91"/>
    <w:rsid w:val="00B77EB1"/>
    <w:rsid w:val="00B80678"/>
    <w:rsid w:val="00B811C6"/>
    <w:rsid w:val="00B8457E"/>
    <w:rsid w:val="00B855B0"/>
    <w:rsid w:val="00B864A1"/>
    <w:rsid w:val="00B92E08"/>
    <w:rsid w:val="00BB19BB"/>
    <w:rsid w:val="00BB56CF"/>
    <w:rsid w:val="00BC622A"/>
    <w:rsid w:val="00BC66D7"/>
    <w:rsid w:val="00BE0A78"/>
    <w:rsid w:val="00BE79F0"/>
    <w:rsid w:val="00BF046D"/>
    <w:rsid w:val="00BF0994"/>
    <w:rsid w:val="00BF1190"/>
    <w:rsid w:val="00BF5D04"/>
    <w:rsid w:val="00BF69AA"/>
    <w:rsid w:val="00C009AA"/>
    <w:rsid w:val="00C04FC6"/>
    <w:rsid w:val="00C07DEE"/>
    <w:rsid w:val="00C1164D"/>
    <w:rsid w:val="00C13D18"/>
    <w:rsid w:val="00C1566F"/>
    <w:rsid w:val="00C16861"/>
    <w:rsid w:val="00C203E0"/>
    <w:rsid w:val="00C2649C"/>
    <w:rsid w:val="00C30E4F"/>
    <w:rsid w:val="00C346AB"/>
    <w:rsid w:val="00C404A6"/>
    <w:rsid w:val="00C40A36"/>
    <w:rsid w:val="00C44419"/>
    <w:rsid w:val="00C45E7B"/>
    <w:rsid w:val="00C471B1"/>
    <w:rsid w:val="00C47773"/>
    <w:rsid w:val="00C6316B"/>
    <w:rsid w:val="00C634A9"/>
    <w:rsid w:val="00C64586"/>
    <w:rsid w:val="00C70D53"/>
    <w:rsid w:val="00C73D0B"/>
    <w:rsid w:val="00C75B48"/>
    <w:rsid w:val="00C772FF"/>
    <w:rsid w:val="00C77F78"/>
    <w:rsid w:val="00C80137"/>
    <w:rsid w:val="00C801AF"/>
    <w:rsid w:val="00C80256"/>
    <w:rsid w:val="00C9475A"/>
    <w:rsid w:val="00C94CD4"/>
    <w:rsid w:val="00C97218"/>
    <w:rsid w:val="00C9747E"/>
    <w:rsid w:val="00CA0F91"/>
    <w:rsid w:val="00CB6BC0"/>
    <w:rsid w:val="00CC1B7C"/>
    <w:rsid w:val="00CC66CA"/>
    <w:rsid w:val="00CC727F"/>
    <w:rsid w:val="00CC7B74"/>
    <w:rsid w:val="00CD4C09"/>
    <w:rsid w:val="00CF15C3"/>
    <w:rsid w:val="00CF2B6F"/>
    <w:rsid w:val="00CF2F3E"/>
    <w:rsid w:val="00CF58B6"/>
    <w:rsid w:val="00CF7688"/>
    <w:rsid w:val="00CF7973"/>
    <w:rsid w:val="00D0062D"/>
    <w:rsid w:val="00D017ED"/>
    <w:rsid w:val="00D040D3"/>
    <w:rsid w:val="00D04C65"/>
    <w:rsid w:val="00D201D2"/>
    <w:rsid w:val="00D21141"/>
    <w:rsid w:val="00D224FE"/>
    <w:rsid w:val="00D23139"/>
    <w:rsid w:val="00D30FB4"/>
    <w:rsid w:val="00D3534C"/>
    <w:rsid w:val="00D41147"/>
    <w:rsid w:val="00D425BB"/>
    <w:rsid w:val="00D479D8"/>
    <w:rsid w:val="00D640ED"/>
    <w:rsid w:val="00D6493E"/>
    <w:rsid w:val="00D7195D"/>
    <w:rsid w:val="00D7301E"/>
    <w:rsid w:val="00D83AE1"/>
    <w:rsid w:val="00D855D4"/>
    <w:rsid w:val="00D902C9"/>
    <w:rsid w:val="00D93117"/>
    <w:rsid w:val="00D93466"/>
    <w:rsid w:val="00DA1124"/>
    <w:rsid w:val="00DA3744"/>
    <w:rsid w:val="00DB6124"/>
    <w:rsid w:val="00DB750B"/>
    <w:rsid w:val="00DB75B7"/>
    <w:rsid w:val="00DC6E02"/>
    <w:rsid w:val="00DD28CD"/>
    <w:rsid w:val="00DD461B"/>
    <w:rsid w:val="00DD5F12"/>
    <w:rsid w:val="00DD6469"/>
    <w:rsid w:val="00DE02AE"/>
    <w:rsid w:val="00DE1356"/>
    <w:rsid w:val="00DF0EBB"/>
    <w:rsid w:val="00DF1D7F"/>
    <w:rsid w:val="00DF4BE4"/>
    <w:rsid w:val="00E02602"/>
    <w:rsid w:val="00E02FB4"/>
    <w:rsid w:val="00E054FA"/>
    <w:rsid w:val="00E10937"/>
    <w:rsid w:val="00E10A60"/>
    <w:rsid w:val="00E13FC7"/>
    <w:rsid w:val="00E154CC"/>
    <w:rsid w:val="00E16D9A"/>
    <w:rsid w:val="00E20571"/>
    <w:rsid w:val="00E23591"/>
    <w:rsid w:val="00E235F7"/>
    <w:rsid w:val="00E23659"/>
    <w:rsid w:val="00E239D4"/>
    <w:rsid w:val="00E24331"/>
    <w:rsid w:val="00E26130"/>
    <w:rsid w:val="00E26C96"/>
    <w:rsid w:val="00E40B22"/>
    <w:rsid w:val="00E4287A"/>
    <w:rsid w:val="00E44ED1"/>
    <w:rsid w:val="00E45619"/>
    <w:rsid w:val="00E4588F"/>
    <w:rsid w:val="00E466E2"/>
    <w:rsid w:val="00E46DA3"/>
    <w:rsid w:val="00E51BB1"/>
    <w:rsid w:val="00E56B0F"/>
    <w:rsid w:val="00E624A5"/>
    <w:rsid w:val="00E63418"/>
    <w:rsid w:val="00E64BA4"/>
    <w:rsid w:val="00E70402"/>
    <w:rsid w:val="00E7344E"/>
    <w:rsid w:val="00E73A9D"/>
    <w:rsid w:val="00E7454F"/>
    <w:rsid w:val="00E82665"/>
    <w:rsid w:val="00E838AE"/>
    <w:rsid w:val="00EA2C57"/>
    <w:rsid w:val="00EA7F6A"/>
    <w:rsid w:val="00EB0798"/>
    <w:rsid w:val="00EB40AD"/>
    <w:rsid w:val="00EB586E"/>
    <w:rsid w:val="00EB5FC8"/>
    <w:rsid w:val="00EC463D"/>
    <w:rsid w:val="00EC7A85"/>
    <w:rsid w:val="00ED2922"/>
    <w:rsid w:val="00ED38E0"/>
    <w:rsid w:val="00ED3CAD"/>
    <w:rsid w:val="00ED5A41"/>
    <w:rsid w:val="00ED5D6E"/>
    <w:rsid w:val="00EE1DE8"/>
    <w:rsid w:val="00EE27C2"/>
    <w:rsid w:val="00EF4BAD"/>
    <w:rsid w:val="00EF6343"/>
    <w:rsid w:val="00EF6E82"/>
    <w:rsid w:val="00F031DD"/>
    <w:rsid w:val="00F033EC"/>
    <w:rsid w:val="00F03A18"/>
    <w:rsid w:val="00F04F68"/>
    <w:rsid w:val="00F1158B"/>
    <w:rsid w:val="00F12670"/>
    <w:rsid w:val="00F13D2D"/>
    <w:rsid w:val="00F14B27"/>
    <w:rsid w:val="00F3148D"/>
    <w:rsid w:val="00F325C5"/>
    <w:rsid w:val="00F32FE0"/>
    <w:rsid w:val="00F35298"/>
    <w:rsid w:val="00F45446"/>
    <w:rsid w:val="00F47333"/>
    <w:rsid w:val="00F47E37"/>
    <w:rsid w:val="00F50C9C"/>
    <w:rsid w:val="00F53C07"/>
    <w:rsid w:val="00F54B65"/>
    <w:rsid w:val="00F640B6"/>
    <w:rsid w:val="00F66DF2"/>
    <w:rsid w:val="00F73B6E"/>
    <w:rsid w:val="00F75990"/>
    <w:rsid w:val="00F75F0A"/>
    <w:rsid w:val="00F80E40"/>
    <w:rsid w:val="00F848D9"/>
    <w:rsid w:val="00F937E6"/>
    <w:rsid w:val="00FA4C04"/>
    <w:rsid w:val="00FA5B82"/>
    <w:rsid w:val="00FA639E"/>
    <w:rsid w:val="00FA63BB"/>
    <w:rsid w:val="00FB3072"/>
    <w:rsid w:val="00FC1FCA"/>
    <w:rsid w:val="00FC25E4"/>
    <w:rsid w:val="00FC4EF7"/>
    <w:rsid w:val="00FC7F64"/>
    <w:rsid w:val="00FD0824"/>
    <w:rsid w:val="00FD10D2"/>
    <w:rsid w:val="00FD119B"/>
    <w:rsid w:val="00FD1EDC"/>
    <w:rsid w:val="00FE1292"/>
    <w:rsid w:val="00FE1DEE"/>
    <w:rsid w:val="00FF2126"/>
    <w:rsid w:val="00FF3719"/>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0"/>
    <w:lsdException w:name="Subtitle" w:semiHidden="0" w:uiPriority="11" w:unhideWhenUsed="0"/>
    <w:lsdException w:name="Date"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5D7BEE"/>
    <w:pPr>
      <w:spacing w:before="0" w:after="0" w:line="240" w:lineRule="auto"/>
    </w:pPr>
    <w:rPr>
      <w:sz w:val="20"/>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semiHidden/>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7E51E2"/>
    <w:pPr>
      <w:ind w:left="720"/>
      <w:contextualSpacing/>
    </w:pPr>
  </w:style>
  <w:style w:type="paragraph" w:customStyle="1" w:styleId="Numberedlist">
    <w:name w:val="Numbered list"/>
    <w:basedOn w:val="Normal"/>
    <w:rsid w:val="00355247"/>
    <w:pPr>
      <w:tabs>
        <w:tab w:val="num" w:pos="360"/>
      </w:tabs>
      <w:spacing w:before="0" w:line="240" w:lineRule="auto"/>
      <w:ind w:left="360" w:hanging="360"/>
    </w:pPr>
    <w:rPr>
      <w:rFonts w:ascii="Times New Roman" w:eastAsia="Times New Roman" w:hAnsi="Times New Roman"/>
      <w:sz w:val="24"/>
      <w:szCs w:val="20"/>
    </w:rPr>
  </w:style>
  <w:style w:type="paragraph" w:customStyle="1" w:styleId="Default">
    <w:name w:val="Default"/>
    <w:rsid w:val="00232FF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basedOn w:val="Normal"/>
    <w:link w:val="StandardChar"/>
    <w:qFormat/>
    <w:rsid w:val="00641B2B"/>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641B2B"/>
    <w:rPr>
      <w:rFonts w:ascii="Cambria" w:eastAsia="Times New Roman" w:hAnsi="Cambria" w:cs="Times New Roman"/>
      <w:snapToGrid w:val="0"/>
      <w:kern w:val="16"/>
      <w:szCs w:val="24"/>
    </w:rPr>
  </w:style>
  <w:style w:type="paragraph" w:customStyle="1" w:styleId="Tabletextleft">
    <w:name w:val="Table text (left)"/>
    <w:basedOn w:val="Tabletext"/>
    <w:rsid w:val="00641B2B"/>
    <w:pPr>
      <w:spacing w:before="20" w:after="20" w:line="200" w:lineRule="exact"/>
      <w:ind w:left="57" w:right="57"/>
    </w:pPr>
    <w:rPr>
      <w:rFonts w:eastAsia="Times New Roman"/>
      <w:snapToGrid w:val="0"/>
      <w:kern w:val="16"/>
      <w:sz w:val="18"/>
      <w:szCs w:val="18"/>
    </w:rPr>
  </w:style>
  <w:style w:type="paragraph" w:customStyle="1" w:styleId="Bulletpoint">
    <w:name w:val="Bullet point"/>
    <w:basedOn w:val="Standard"/>
    <w:rsid w:val="00641B2B"/>
    <w:pPr>
      <w:numPr>
        <w:numId w:val="5"/>
      </w:numPr>
      <w:tabs>
        <w:tab w:val="left" w:pos="397"/>
      </w:tabs>
      <w:spacing w:after="180"/>
    </w:pPr>
  </w:style>
  <w:style w:type="paragraph" w:customStyle="1" w:styleId="TableHeading">
    <w:name w:val="Table Heading"/>
    <w:basedOn w:val="Normal"/>
    <w:rsid w:val="005219D0"/>
    <w:pPr>
      <w:spacing w:before="0" w:after="0" w:line="240" w:lineRule="auto"/>
      <w:jc w:val="center"/>
    </w:pPr>
    <w:rPr>
      <w:rFonts w:asciiTheme="minorHAnsi" w:eastAsia="Calibri" w:hAnsiTheme="minorHAnsi"/>
      <w:color w:val="FFFFFF"/>
      <w:sz w:val="20"/>
    </w:rPr>
  </w:style>
  <w:style w:type="paragraph" w:customStyle="1" w:styleId="Tabletitle0">
    <w:name w:val="Table title"/>
    <w:basedOn w:val="Normal"/>
    <w:next w:val="Normal"/>
    <w:rsid w:val="004C5C61"/>
    <w:pPr>
      <w:keepNext/>
      <w:spacing w:after="180"/>
      <w:outlineLvl w:val="4"/>
    </w:pPr>
    <w:rPr>
      <w:rFonts w:cstheme="minorBidi"/>
      <w:b/>
    </w:rPr>
  </w:style>
  <w:style w:type="paragraph" w:customStyle="1" w:styleId="Bullet2">
    <w:name w:val="Bullet 2"/>
    <w:basedOn w:val="Normal"/>
    <w:rsid w:val="004C5C61"/>
    <w:pPr>
      <w:numPr>
        <w:numId w:val="7"/>
      </w:numPr>
      <w:spacing w:after="0" w:line="240" w:lineRule="auto"/>
    </w:pPr>
    <w:rPr>
      <w:rFonts w:eastAsia="Times New Roman"/>
      <w:kern w:val="24"/>
      <w:szCs w:val="24"/>
      <w:lang w:eastAsia="en-AU"/>
    </w:rPr>
  </w:style>
  <w:style w:type="paragraph" w:customStyle="1" w:styleId="Instructions1">
    <w:name w:val="Instructions 1"/>
    <w:basedOn w:val="Normal"/>
    <w:qFormat/>
    <w:rsid w:val="004C5C61"/>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TableBullet">
    <w:name w:val="Table Bullet"/>
    <w:basedOn w:val="Normal"/>
    <w:rsid w:val="004C5C6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Comment1">
    <w:name w:val="Comment 1"/>
    <w:basedOn w:val="Normal"/>
    <w:next w:val="Normal"/>
    <w:qFormat/>
    <w:rsid w:val="004C5C61"/>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styleId="TOC4">
    <w:name w:val="toc 4"/>
    <w:basedOn w:val="Normal"/>
    <w:next w:val="Normal"/>
    <w:autoRedefine/>
    <w:uiPriority w:val="39"/>
    <w:unhideWhenUsed/>
    <w:rsid w:val="004C5C61"/>
    <w:pPr>
      <w:spacing w:before="0" w:after="100" w:line="276" w:lineRule="auto"/>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4C5C61"/>
    <w:pPr>
      <w:spacing w:before="0" w:after="100" w:line="276"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4C5C61"/>
    <w:pPr>
      <w:spacing w:before="0" w:after="100" w:line="276"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4C5C61"/>
    <w:pPr>
      <w:spacing w:before="0" w:after="100" w:line="276"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4C5C61"/>
    <w:pPr>
      <w:spacing w:before="0" w:after="100" w:line="276"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4C5C61"/>
    <w:pPr>
      <w:spacing w:before="0" w:after="100" w:line="276" w:lineRule="auto"/>
      <w:ind w:left="1760"/>
    </w:pPr>
    <w:rPr>
      <w:rFonts w:asciiTheme="minorHAnsi" w:eastAsiaTheme="minorEastAsia" w:hAnsiTheme="minorHAnsi" w:cstheme="minorBidi"/>
      <w:lang w:eastAsia="en-AU"/>
    </w:rPr>
  </w:style>
  <w:style w:type="paragraph" w:styleId="TableofFigures">
    <w:name w:val="table of figures"/>
    <w:basedOn w:val="Normal"/>
    <w:next w:val="Normal"/>
    <w:uiPriority w:val="99"/>
    <w:unhideWhenUsed/>
    <w:rsid w:val="004C5C61"/>
    <w:pPr>
      <w:spacing w:after="0"/>
    </w:pPr>
  </w:style>
  <w:style w:type="character" w:styleId="Strong">
    <w:name w:val="Strong"/>
    <w:basedOn w:val="DefaultParagraphFont"/>
    <w:uiPriority w:val="22"/>
    <w:qFormat/>
    <w:rsid w:val="004C5C61"/>
    <w:rPr>
      <w:b/>
      <w:bCs/>
    </w:rPr>
  </w:style>
  <w:style w:type="character" w:styleId="Emphasis">
    <w:name w:val="Emphasis"/>
    <w:basedOn w:val="DefaultParagraphFont"/>
    <w:uiPriority w:val="20"/>
    <w:qFormat/>
    <w:rsid w:val="004C5C61"/>
    <w:rPr>
      <w:b/>
      <w:bCs/>
      <w:i w:val="0"/>
      <w:iCs w:val="0"/>
    </w:rPr>
  </w:style>
  <w:style w:type="character" w:customStyle="1" w:styleId="st1">
    <w:name w:val="st1"/>
    <w:basedOn w:val="DefaultParagraphFont"/>
    <w:rsid w:val="004C5C61"/>
  </w:style>
  <w:style w:type="paragraph" w:styleId="BodyText">
    <w:name w:val="Body Text"/>
    <w:basedOn w:val="Normal"/>
    <w:link w:val="BodyTextChar"/>
    <w:rsid w:val="004C5C61"/>
    <w:pPr>
      <w:widowControl w:val="0"/>
      <w:spacing w:before="0" w:after="0" w:line="240" w:lineRule="auto"/>
      <w:jc w:val="both"/>
    </w:pPr>
    <w:rPr>
      <w:rFonts w:ascii="Times New Roman" w:eastAsia="Times New Roman" w:hAnsi="Times New Roman"/>
      <w:snapToGrid w:val="0"/>
      <w:sz w:val="24"/>
      <w:szCs w:val="20"/>
    </w:rPr>
  </w:style>
  <w:style w:type="character" w:customStyle="1" w:styleId="BodyTextChar">
    <w:name w:val="Body Text Char"/>
    <w:basedOn w:val="DefaultParagraphFont"/>
    <w:link w:val="BodyText"/>
    <w:rsid w:val="004C5C61"/>
    <w:rPr>
      <w:rFonts w:ascii="Times New Roman" w:eastAsia="Times New Roman" w:hAnsi="Times New Roman" w:cs="Times New Roman"/>
      <w:snapToGrid w:val="0"/>
      <w:sz w:val="24"/>
      <w:szCs w:val="20"/>
    </w:rPr>
  </w:style>
  <w:style w:type="paragraph" w:customStyle="1" w:styleId="Bulletlist">
    <w:name w:val="Bullet list"/>
    <w:basedOn w:val="Standard"/>
    <w:link w:val="BulletlistChar"/>
    <w:qFormat/>
    <w:rsid w:val="00D640ED"/>
    <w:pPr>
      <w:numPr>
        <w:numId w:val="9"/>
      </w:numPr>
      <w:spacing w:after="180"/>
      <w:ind w:left="426" w:hanging="284"/>
    </w:pPr>
    <w:rPr>
      <w:kern w:val="2"/>
      <w:sz w:val="23"/>
    </w:rPr>
  </w:style>
  <w:style w:type="character" w:customStyle="1" w:styleId="TabletextChar">
    <w:name w:val="Table text Char"/>
    <w:basedOn w:val="StandardChar"/>
    <w:link w:val="Tabletext"/>
    <w:rsid w:val="005D7BEE"/>
    <w:rPr>
      <w:rFonts w:ascii="Cambria" w:eastAsia="Cambria" w:hAnsi="Cambria" w:cs="Times New Roman"/>
      <w:snapToGrid/>
      <w:kern w:val="16"/>
      <w:sz w:val="20"/>
      <w:szCs w:val="24"/>
    </w:rPr>
  </w:style>
  <w:style w:type="character" w:customStyle="1" w:styleId="BulletlistChar">
    <w:name w:val="Bullet list Char"/>
    <w:basedOn w:val="StandardChar"/>
    <w:link w:val="Bulletlist"/>
    <w:rsid w:val="00D640ED"/>
    <w:rPr>
      <w:rFonts w:ascii="Cambria" w:eastAsia="Times New Roman" w:hAnsi="Cambria" w:cs="Times New Roman"/>
      <w:snapToGrid w:val="0"/>
      <w:kern w:val="2"/>
      <w:sz w:val="23"/>
      <w:szCs w:val="24"/>
    </w:rPr>
  </w:style>
  <w:style w:type="character" w:customStyle="1" w:styleId="Style2">
    <w:name w:val="Style2"/>
    <w:basedOn w:val="DefaultParagraphFont"/>
    <w:uiPriority w:val="1"/>
    <w:rsid w:val="00E7454F"/>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0"/>
    <w:lsdException w:name="Subtitle" w:semiHidden="0" w:uiPriority="11" w:unhideWhenUsed="0"/>
    <w:lsdException w:name="Date"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5D7BEE"/>
    <w:pPr>
      <w:spacing w:before="0" w:after="0" w:line="240" w:lineRule="auto"/>
    </w:pPr>
    <w:rPr>
      <w:sz w:val="20"/>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semiHidden/>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7E51E2"/>
    <w:pPr>
      <w:ind w:left="720"/>
      <w:contextualSpacing/>
    </w:pPr>
  </w:style>
  <w:style w:type="paragraph" w:customStyle="1" w:styleId="Numberedlist">
    <w:name w:val="Numbered list"/>
    <w:basedOn w:val="Normal"/>
    <w:rsid w:val="00355247"/>
    <w:pPr>
      <w:tabs>
        <w:tab w:val="num" w:pos="360"/>
      </w:tabs>
      <w:spacing w:before="0" w:line="240" w:lineRule="auto"/>
      <w:ind w:left="360" w:hanging="360"/>
    </w:pPr>
    <w:rPr>
      <w:rFonts w:ascii="Times New Roman" w:eastAsia="Times New Roman" w:hAnsi="Times New Roman"/>
      <w:sz w:val="24"/>
      <w:szCs w:val="20"/>
    </w:rPr>
  </w:style>
  <w:style w:type="paragraph" w:customStyle="1" w:styleId="Default">
    <w:name w:val="Default"/>
    <w:rsid w:val="00232FF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basedOn w:val="Normal"/>
    <w:link w:val="StandardChar"/>
    <w:qFormat/>
    <w:rsid w:val="00641B2B"/>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641B2B"/>
    <w:rPr>
      <w:rFonts w:ascii="Cambria" w:eastAsia="Times New Roman" w:hAnsi="Cambria" w:cs="Times New Roman"/>
      <w:snapToGrid w:val="0"/>
      <w:kern w:val="16"/>
      <w:szCs w:val="24"/>
    </w:rPr>
  </w:style>
  <w:style w:type="paragraph" w:customStyle="1" w:styleId="Tabletextleft">
    <w:name w:val="Table text (left)"/>
    <w:basedOn w:val="Tabletext"/>
    <w:rsid w:val="00641B2B"/>
    <w:pPr>
      <w:spacing w:before="20" w:after="20" w:line="200" w:lineRule="exact"/>
      <w:ind w:left="57" w:right="57"/>
    </w:pPr>
    <w:rPr>
      <w:rFonts w:eastAsia="Times New Roman"/>
      <w:snapToGrid w:val="0"/>
      <w:kern w:val="16"/>
      <w:sz w:val="18"/>
      <w:szCs w:val="18"/>
    </w:rPr>
  </w:style>
  <w:style w:type="paragraph" w:customStyle="1" w:styleId="Bulletpoint">
    <w:name w:val="Bullet point"/>
    <w:basedOn w:val="Standard"/>
    <w:rsid w:val="00641B2B"/>
    <w:pPr>
      <w:numPr>
        <w:numId w:val="5"/>
      </w:numPr>
      <w:tabs>
        <w:tab w:val="left" w:pos="397"/>
      </w:tabs>
      <w:spacing w:after="180"/>
    </w:pPr>
  </w:style>
  <w:style w:type="paragraph" w:customStyle="1" w:styleId="TableHeading">
    <w:name w:val="Table Heading"/>
    <w:basedOn w:val="Normal"/>
    <w:rsid w:val="005219D0"/>
    <w:pPr>
      <w:spacing w:before="0" w:after="0" w:line="240" w:lineRule="auto"/>
      <w:jc w:val="center"/>
    </w:pPr>
    <w:rPr>
      <w:rFonts w:asciiTheme="minorHAnsi" w:eastAsia="Calibri" w:hAnsiTheme="minorHAnsi"/>
      <w:color w:val="FFFFFF"/>
      <w:sz w:val="20"/>
    </w:rPr>
  </w:style>
  <w:style w:type="paragraph" w:customStyle="1" w:styleId="Tabletitle0">
    <w:name w:val="Table title"/>
    <w:basedOn w:val="Normal"/>
    <w:next w:val="Normal"/>
    <w:rsid w:val="004C5C61"/>
    <w:pPr>
      <w:keepNext/>
      <w:spacing w:after="180"/>
      <w:outlineLvl w:val="4"/>
    </w:pPr>
    <w:rPr>
      <w:rFonts w:cstheme="minorBidi"/>
      <w:b/>
    </w:rPr>
  </w:style>
  <w:style w:type="paragraph" w:customStyle="1" w:styleId="Bullet2">
    <w:name w:val="Bullet 2"/>
    <w:basedOn w:val="Normal"/>
    <w:rsid w:val="004C5C61"/>
    <w:pPr>
      <w:numPr>
        <w:numId w:val="7"/>
      </w:numPr>
      <w:spacing w:after="0" w:line="240" w:lineRule="auto"/>
    </w:pPr>
    <w:rPr>
      <w:rFonts w:eastAsia="Times New Roman"/>
      <w:kern w:val="24"/>
      <w:szCs w:val="24"/>
      <w:lang w:eastAsia="en-AU"/>
    </w:rPr>
  </w:style>
  <w:style w:type="paragraph" w:customStyle="1" w:styleId="Instructions1">
    <w:name w:val="Instructions 1"/>
    <w:basedOn w:val="Normal"/>
    <w:qFormat/>
    <w:rsid w:val="004C5C61"/>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TableBullet">
    <w:name w:val="Table Bullet"/>
    <w:basedOn w:val="Normal"/>
    <w:rsid w:val="004C5C6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Comment1">
    <w:name w:val="Comment 1"/>
    <w:basedOn w:val="Normal"/>
    <w:next w:val="Normal"/>
    <w:qFormat/>
    <w:rsid w:val="004C5C61"/>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styleId="TOC4">
    <w:name w:val="toc 4"/>
    <w:basedOn w:val="Normal"/>
    <w:next w:val="Normal"/>
    <w:autoRedefine/>
    <w:uiPriority w:val="39"/>
    <w:unhideWhenUsed/>
    <w:rsid w:val="004C5C61"/>
    <w:pPr>
      <w:spacing w:before="0" w:after="100" w:line="276" w:lineRule="auto"/>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4C5C61"/>
    <w:pPr>
      <w:spacing w:before="0" w:after="100" w:line="276"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4C5C61"/>
    <w:pPr>
      <w:spacing w:before="0" w:after="100" w:line="276"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4C5C61"/>
    <w:pPr>
      <w:spacing w:before="0" w:after="100" w:line="276"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4C5C61"/>
    <w:pPr>
      <w:spacing w:before="0" w:after="100" w:line="276"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4C5C61"/>
    <w:pPr>
      <w:spacing w:before="0" w:after="100" w:line="276" w:lineRule="auto"/>
      <w:ind w:left="1760"/>
    </w:pPr>
    <w:rPr>
      <w:rFonts w:asciiTheme="minorHAnsi" w:eastAsiaTheme="minorEastAsia" w:hAnsiTheme="minorHAnsi" w:cstheme="minorBidi"/>
      <w:lang w:eastAsia="en-AU"/>
    </w:rPr>
  </w:style>
  <w:style w:type="paragraph" w:styleId="TableofFigures">
    <w:name w:val="table of figures"/>
    <w:basedOn w:val="Normal"/>
    <w:next w:val="Normal"/>
    <w:uiPriority w:val="99"/>
    <w:unhideWhenUsed/>
    <w:rsid w:val="004C5C61"/>
    <w:pPr>
      <w:spacing w:after="0"/>
    </w:pPr>
  </w:style>
  <w:style w:type="character" w:styleId="Strong">
    <w:name w:val="Strong"/>
    <w:basedOn w:val="DefaultParagraphFont"/>
    <w:uiPriority w:val="22"/>
    <w:qFormat/>
    <w:rsid w:val="004C5C61"/>
    <w:rPr>
      <w:b/>
      <w:bCs/>
    </w:rPr>
  </w:style>
  <w:style w:type="character" w:styleId="Emphasis">
    <w:name w:val="Emphasis"/>
    <w:basedOn w:val="DefaultParagraphFont"/>
    <w:uiPriority w:val="20"/>
    <w:qFormat/>
    <w:rsid w:val="004C5C61"/>
    <w:rPr>
      <w:b/>
      <w:bCs/>
      <w:i w:val="0"/>
      <w:iCs w:val="0"/>
    </w:rPr>
  </w:style>
  <w:style w:type="character" w:customStyle="1" w:styleId="st1">
    <w:name w:val="st1"/>
    <w:basedOn w:val="DefaultParagraphFont"/>
    <w:rsid w:val="004C5C61"/>
  </w:style>
  <w:style w:type="paragraph" w:styleId="BodyText">
    <w:name w:val="Body Text"/>
    <w:basedOn w:val="Normal"/>
    <w:link w:val="BodyTextChar"/>
    <w:rsid w:val="004C5C61"/>
    <w:pPr>
      <w:widowControl w:val="0"/>
      <w:spacing w:before="0" w:after="0" w:line="240" w:lineRule="auto"/>
      <w:jc w:val="both"/>
    </w:pPr>
    <w:rPr>
      <w:rFonts w:ascii="Times New Roman" w:eastAsia="Times New Roman" w:hAnsi="Times New Roman"/>
      <w:snapToGrid w:val="0"/>
      <w:sz w:val="24"/>
      <w:szCs w:val="20"/>
    </w:rPr>
  </w:style>
  <w:style w:type="character" w:customStyle="1" w:styleId="BodyTextChar">
    <w:name w:val="Body Text Char"/>
    <w:basedOn w:val="DefaultParagraphFont"/>
    <w:link w:val="BodyText"/>
    <w:rsid w:val="004C5C61"/>
    <w:rPr>
      <w:rFonts w:ascii="Times New Roman" w:eastAsia="Times New Roman" w:hAnsi="Times New Roman" w:cs="Times New Roman"/>
      <w:snapToGrid w:val="0"/>
      <w:sz w:val="24"/>
      <w:szCs w:val="20"/>
    </w:rPr>
  </w:style>
  <w:style w:type="paragraph" w:customStyle="1" w:styleId="Bulletlist">
    <w:name w:val="Bullet list"/>
    <w:basedOn w:val="Standard"/>
    <w:link w:val="BulletlistChar"/>
    <w:qFormat/>
    <w:rsid w:val="00D640ED"/>
    <w:pPr>
      <w:numPr>
        <w:numId w:val="9"/>
      </w:numPr>
      <w:spacing w:after="180"/>
      <w:ind w:left="426" w:hanging="284"/>
    </w:pPr>
    <w:rPr>
      <w:kern w:val="2"/>
      <w:sz w:val="23"/>
    </w:rPr>
  </w:style>
  <w:style w:type="character" w:customStyle="1" w:styleId="TabletextChar">
    <w:name w:val="Table text Char"/>
    <w:basedOn w:val="StandardChar"/>
    <w:link w:val="Tabletext"/>
    <w:rsid w:val="005D7BEE"/>
    <w:rPr>
      <w:rFonts w:ascii="Cambria" w:eastAsia="Cambria" w:hAnsi="Cambria" w:cs="Times New Roman"/>
      <w:snapToGrid/>
      <w:kern w:val="16"/>
      <w:sz w:val="20"/>
      <w:szCs w:val="24"/>
    </w:rPr>
  </w:style>
  <w:style w:type="character" w:customStyle="1" w:styleId="BulletlistChar">
    <w:name w:val="Bullet list Char"/>
    <w:basedOn w:val="StandardChar"/>
    <w:link w:val="Bulletlist"/>
    <w:rsid w:val="00D640ED"/>
    <w:rPr>
      <w:rFonts w:ascii="Cambria" w:eastAsia="Times New Roman" w:hAnsi="Cambria" w:cs="Times New Roman"/>
      <w:snapToGrid w:val="0"/>
      <w:kern w:val="2"/>
      <w:sz w:val="23"/>
      <w:szCs w:val="24"/>
    </w:rPr>
  </w:style>
  <w:style w:type="character" w:customStyle="1" w:styleId="Style2">
    <w:name w:val="Style2"/>
    <w:basedOn w:val="DefaultParagraphFont"/>
    <w:uiPriority w:val="1"/>
    <w:rsid w:val="00E7454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tga.gov.au/product-information-pi" TargetMode="External"/><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tga.gov.au/product-information-pi" TargetMode="Externa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hyperlink" Target="mailto:tga.copyright@tga.gov.au" TargetMode="External"/><Relationship Id="rId19" Type="http://schemas.openxmlformats.org/officeDocument/2006/relationships/image" Target="media/image4.png"/><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517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0F33F-B1DA-4F8D-BDDC-E48CF301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425</TotalTime>
  <Pages>48</Pages>
  <Words>15758</Words>
  <Characters>90615</Characters>
  <Application>Microsoft Office Word</Application>
  <DocSecurity>0</DocSecurity>
  <Lines>2831</Lines>
  <Paragraphs>2263</Paragraphs>
  <ScaleCrop>false</ScaleCrop>
  <HeadingPairs>
    <vt:vector size="2" baseType="variant">
      <vt:variant>
        <vt:lpstr>Title</vt:lpstr>
      </vt:variant>
      <vt:variant>
        <vt:i4>1</vt:i4>
      </vt:variant>
    </vt:vector>
  </HeadingPairs>
  <TitlesOfParts>
    <vt:vector size="1" baseType="lpstr">
      <vt:lpstr>Australian Public Assessment Report for ibuprofen</vt:lpstr>
    </vt:vector>
  </TitlesOfParts>
  <Company>Department of Health </Company>
  <LinksUpToDate>false</LinksUpToDate>
  <CharactersWithSpaces>104110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ibuprofen</dc:title>
  <dc:subject>prescription medicine</dc:subject>
  <dc:creator>Therapeutic Goods Administration</dc:creator>
  <cp:keywords>auspar</cp:keywords>
  <cp:lastModifiedBy>Therapeutic Goods Administration (TGA) </cp:lastModifiedBy>
  <cp:revision>244</cp:revision>
  <cp:lastPrinted>2015-09-22T23:39:00Z</cp:lastPrinted>
  <dcterms:created xsi:type="dcterms:W3CDTF">2015-11-02T01:43:00Z</dcterms:created>
  <dcterms:modified xsi:type="dcterms:W3CDTF">2017-11-22T23:28:00Z</dcterms:modified>
  <cp:category>external publication</cp:category>
</cp:coreProperties>
</file>