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2AEB0ADE" w14:textId="77777777" w:rsidTr="00BF1190">
        <w:trPr>
          <w:trHeight w:val="1863"/>
        </w:trPr>
        <w:tc>
          <w:tcPr>
            <w:tcW w:w="3652" w:type="dxa"/>
            <w:tcBorders>
              <w:top w:val="nil"/>
              <w:left w:val="nil"/>
              <w:bottom w:val="nil"/>
              <w:right w:val="nil"/>
            </w:tcBorders>
          </w:tcPr>
          <w:p w14:paraId="1030604C" w14:textId="6B2063B8" w:rsidR="008E7846" w:rsidRPr="00096AA7" w:rsidRDefault="000A0E97" w:rsidP="00DF17CD">
            <w:pPr>
              <w:rPr>
                <w:rFonts w:ascii="Arial" w:hAnsi="Arial" w:cs="Arial"/>
                <w:b/>
                <w:color w:val="002C47"/>
                <w:sz w:val="36"/>
                <w:szCs w:val="36"/>
              </w:rPr>
            </w:pPr>
            <w:r>
              <w:rPr>
                <w:rFonts w:ascii="Arial" w:hAnsi="Arial" w:cs="Arial"/>
                <w:b/>
                <w:color w:val="002C47"/>
                <w:sz w:val="36"/>
                <w:szCs w:val="36"/>
              </w:rPr>
              <w:t>June</w:t>
            </w:r>
            <w:r w:rsidR="00DF17CD">
              <w:rPr>
                <w:rFonts w:ascii="Arial" w:hAnsi="Arial" w:cs="Arial"/>
                <w:b/>
                <w:color w:val="002C47"/>
                <w:sz w:val="36"/>
                <w:szCs w:val="36"/>
              </w:rPr>
              <w:t xml:space="preserve"> 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0C2FE49" w14:textId="77777777" w:rsidTr="0032583B">
        <w:trPr>
          <w:trHeight w:val="868"/>
        </w:trPr>
        <w:tc>
          <w:tcPr>
            <w:tcW w:w="9079" w:type="dxa"/>
          </w:tcPr>
          <w:p w14:paraId="160CB686" w14:textId="116B5642" w:rsidR="0032583B" w:rsidRPr="00A964D1" w:rsidRDefault="0032583B" w:rsidP="003510BC">
            <w:pPr>
              <w:pStyle w:val="Title"/>
              <w:rPr>
                <w:color w:val="FFFFFF" w:themeColor="background1"/>
              </w:rPr>
            </w:pPr>
            <w:r w:rsidRPr="00A964D1">
              <w:rPr>
                <w:color w:val="FFFFFF" w:themeColor="background1"/>
              </w:rPr>
              <w:t xml:space="preserve">Australian Public Assessment Report for </w:t>
            </w:r>
            <w:r w:rsidR="003510BC">
              <w:rPr>
                <w:color w:val="FFFFFF" w:themeColor="background1"/>
              </w:rPr>
              <w:t>Human normal immunoglobulin</w:t>
            </w:r>
          </w:p>
        </w:tc>
      </w:tr>
      <w:tr w:rsidR="0032583B" w:rsidRPr="00B64760" w14:paraId="072FFB14" w14:textId="77777777" w:rsidTr="0032583B">
        <w:tc>
          <w:tcPr>
            <w:tcW w:w="9079" w:type="dxa"/>
          </w:tcPr>
          <w:p w14:paraId="53A1F48F" w14:textId="77777777" w:rsidR="0032583B" w:rsidRPr="008E7846" w:rsidRDefault="0032583B" w:rsidP="00460036">
            <w:pPr>
              <w:pStyle w:val="Subtitle"/>
              <w:rPr>
                <w:color w:val="FFFFFF" w:themeColor="background1"/>
              </w:rPr>
            </w:pPr>
            <w:r w:rsidRPr="008E7846">
              <w:rPr>
                <w:color w:val="FFFFFF" w:themeColor="background1"/>
              </w:rPr>
              <w:t xml:space="preserve">Proprietary Product Name: </w:t>
            </w:r>
            <w:r w:rsidR="00DF17CD" w:rsidRPr="00DF17CD">
              <w:rPr>
                <w:color w:val="FFFFFF" w:themeColor="background1"/>
              </w:rPr>
              <w:t>Cutaquig</w:t>
            </w:r>
          </w:p>
        </w:tc>
      </w:tr>
      <w:tr w:rsidR="0032583B" w:rsidRPr="00B64760" w14:paraId="1B12FE63" w14:textId="77777777" w:rsidTr="0032583B">
        <w:trPr>
          <w:trHeight w:val="486"/>
        </w:trPr>
        <w:tc>
          <w:tcPr>
            <w:tcW w:w="9079" w:type="dxa"/>
          </w:tcPr>
          <w:p w14:paraId="56BFE723" w14:textId="77777777" w:rsidR="0032583B" w:rsidRPr="008E7846" w:rsidRDefault="00460036" w:rsidP="0032583B">
            <w:pPr>
              <w:pStyle w:val="Subtitle"/>
              <w:rPr>
                <w:color w:val="FFFFFF" w:themeColor="background1"/>
              </w:rPr>
            </w:pPr>
            <w:r>
              <w:rPr>
                <w:color w:val="FFFFFF" w:themeColor="background1"/>
              </w:rPr>
              <w:t xml:space="preserve">Sponsor: </w:t>
            </w:r>
            <w:r w:rsidR="00DF17CD" w:rsidRPr="00DF17CD">
              <w:rPr>
                <w:color w:val="FFFFFF" w:themeColor="background1"/>
              </w:rPr>
              <w:t>Octapharma Australia Pty Ltd</w:t>
            </w:r>
          </w:p>
        </w:tc>
      </w:tr>
    </w:tbl>
    <w:p w14:paraId="42B5D92E" w14:textId="77777777" w:rsidR="008E7846" w:rsidRPr="0085156D" w:rsidRDefault="008E7846" w:rsidP="0085156D">
      <w:r w:rsidRPr="0085156D">
        <w:br w:type="page"/>
      </w:r>
    </w:p>
    <w:p w14:paraId="5559A2E9" w14:textId="77777777" w:rsidR="008E7846" w:rsidRPr="001F6CBA" w:rsidRDefault="008E7846" w:rsidP="008E7846">
      <w:pPr>
        <w:pStyle w:val="NonTOCHeading2"/>
      </w:pPr>
      <w:r w:rsidRPr="001F6CBA">
        <w:lastRenderedPageBreak/>
        <w:t>About the Therapeutic Goods Administration (TGA)</w:t>
      </w:r>
    </w:p>
    <w:p w14:paraId="6ACB9F61"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0AE4B2B"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59867F12"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17C5B633"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16EB8225" w14:textId="1CE4CC09"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63EC8115" w14:textId="77777777" w:rsidR="008E7846" w:rsidRDefault="008E7846" w:rsidP="00875A6B">
      <w:pPr>
        <w:pStyle w:val="NonTOCHeading2"/>
      </w:pPr>
      <w:r>
        <w:t>About AusPARs</w:t>
      </w:r>
    </w:p>
    <w:p w14:paraId="0320F2F3"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2151278" w14:textId="77777777" w:rsidR="008E7846" w:rsidRDefault="008E7846" w:rsidP="008E7846">
      <w:pPr>
        <w:pStyle w:val="ListBullet"/>
        <w:numPr>
          <w:ilvl w:val="0"/>
          <w:numId w:val="3"/>
        </w:numPr>
        <w:ind w:left="357" w:hanging="357"/>
      </w:pPr>
      <w:r>
        <w:t>AusPARs are prepared and published by the TGA.</w:t>
      </w:r>
    </w:p>
    <w:p w14:paraId="1D72564C"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46655DC7"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39CB6FAA"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4C879477" w14:textId="77777777" w:rsidR="00924482" w:rsidRPr="00DF1D7F" w:rsidRDefault="00924482" w:rsidP="00F54B65">
      <w:pPr>
        <w:pStyle w:val="LegalSubheading"/>
        <w:spacing w:before="3120"/>
      </w:pPr>
      <w:r w:rsidRPr="00DF1D7F">
        <w:t>Copyright</w:t>
      </w:r>
    </w:p>
    <w:p w14:paraId="08576C8E" w14:textId="1074393C"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1CEC3677"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CF23385" w14:textId="77777777" w:rsidR="0089635C" w:rsidRPr="0089635C" w:rsidRDefault="0089635C" w:rsidP="0010788A">
          <w:pPr>
            <w:pStyle w:val="Contents"/>
          </w:pPr>
          <w:r w:rsidRPr="0010788A">
            <w:t>Co</w:t>
          </w:r>
          <w:bookmarkStart w:id="2" w:name="_GoBack"/>
          <w:bookmarkEnd w:id="2"/>
          <w:r w:rsidRPr="0010788A">
            <w:t>ntents</w:t>
          </w:r>
        </w:p>
        <w:p w14:paraId="32818976" w14:textId="49B88413" w:rsidR="00F672AB"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76652752" w:history="1">
            <w:r w:rsidR="00F672AB" w:rsidRPr="001B2FDE">
              <w:rPr>
                <w:rStyle w:val="Hyperlink"/>
                <w:noProof/>
              </w:rPr>
              <w:t>List of abbreviations</w:t>
            </w:r>
            <w:r w:rsidR="00F672AB">
              <w:rPr>
                <w:noProof/>
                <w:webHidden/>
              </w:rPr>
              <w:tab/>
            </w:r>
            <w:r w:rsidR="00F672AB">
              <w:rPr>
                <w:noProof/>
                <w:webHidden/>
              </w:rPr>
              <w:fldChar w:fldCharType="begin"/>
            </w:r>
            <w:r w:rsidR="00F672AB">
              <w:rPr>
                <w:noProof/>
                <w:webHidden/>
              </w:rPr>
              <w:instrText xml:space="preserve"> PAGEREF _Toc76652752 \h </w:instrText>
            </w:r>
            <w:r w:rsidR="00F672AB">
              <w:rPr>
                <w:noProof/>
                <w:webHidden/>
              </w:rPr>
            </w:r>
            <w:r w:rsidR="00F672AB">
              <w:rPr>
                <w:noProof/>
                <w:webHidden/>
              </w:rPr>
              <w:fldChar w:fldCharType="separate"/>
            </w:r>
            <w:r w:rsidR="00F672AB">
              <w:rPr>
                <w:noProof/>
                <w:webHidden/>
              </w:rPr>
              <w:t>4</w:t>
            </w:r>
            <w:r w:rsidR="00F672AB">
              <w:rPr>
                <w:noProof/>
                <w:webHidden/>
              </w:rPr>
              <w:fldChar w:fldCharType="end"/>
            </w:r>
          </w:hyperlink>
        </w:p>
        <w:p w14:paraId="2E83411F" w14:textId="12E1F5C3" w:rsidR="00F672AB" w:rsidRDefault="00F672AB">
          <w:pPr>
            <w:pStyle w:val="TOC1"/>
            <w:rPr>
              <w:rFonts w:asciiTheme="minorHAnsi" w:eastAsiaTheme="minorEastAsia" w:hAnsiTheme="minorHAnsi" w:cstheme="minorBidi"/>
              <w:b w:val="0"/>
              <w:noProof/>
              <w:sz w:val="22"/>
              <w:lang w:eastAsia="en-AU"/>
            </w:rPr>
          </w:pPr>
          <w:hyperlink w:anchor="_Toc76652753" w:history="1">
            <w:r w:rsidRPr="001B2FDE">
              <w:rPr>
                <w:rStyle w:val="Hyperlink"/>
                <w:noProof/>
              </w:rPr>
              <w:t>I. Introduction to product submission</w:t>
            </w:r>
            <w:r>
              <w:rPr>
                <w:noProof/>
                <w:webHidden/>
              </w:rPr>
              <w:tab/>
            </w:r>
            <w:r>
              <w:rPr>
                <w:noProof/>
                <w:webHidden/>
              </w:rPr>
              <w:fldChar w:fldCharType="begin"/>
            </w:r>
            <w:r>
              <w:rPr>
                <w:noProof/>
                <w:webHidden/>
              </w:rPr>
              <w:instrText xml:space="preserve"> PAGEREF _Toc76652753 \h </w:instrText>
            </w:r>
            <w:r>
              <w:rPr>
                <w:noProof/>
                <w:webHidden/>
              </w:rPr>
            </w:r>
            <w:r>
              <w:rPr>
                <w:noProof/>
                <w:webHidden/>
              </w:rPr>
              <w:fldChar w:fldCharType="separate"/>
            </w:r>
            <w:r>
              <w:rPr>
                <w:noProof/>
                <w:webHidden/>
              </w:rPr>
              <w:t>6</w:t>
            </w:r>
            <w:r>
              <w:rPr>
                <w:noProof/>
                <w:webHidden/>
              </w:rPr>
              <w:fldChar w:fldCharType="end"/>
            </w:r>
          </w:hyperlink>
        </w:p>
        <w:p w14:paraId="7C660026" w14:textId="36B5EA66" w:rsidR="00F672AB" w:rsidRDefault="00F672AB">
          <w:pPr>
            <w:pStyle w:val="TOC2"/>
            <w:rPr>
              <w:rFonts w:asciiTheme="minorHAnsi" w:eastAsiaTheme="minorEastAsia" w:hAnsiTheme="minorHAnsi" w:cstheme="minorBidi"/>
              <w:b w:val="0"/>
              <w:noProof/>
              <w:sz w:val="22"/>
              <w:lang w:eastAsia="en-AU"/>
            </w:rPr>
          </w:pPr>
          <w:hyperlink w:anchor="_Toc76652754" w:history="1">
            <w:r w:rsidRPr="001B2FDE">
              <w:rPr>
                <w:rStyle w:val="Hyperlink"/>
                <w:noProof/>
                <w:lang w:eastAsia="en-AU"/>
              </w:rPr>
              <w:t>Submission details</w:t>
            </w:r>
            <w:r>
              <w:rPr>
                <w:noProof/>
                <w:webHidden/>
              </w:rPr>
              <w:tab/>
            </w:r>
            <w:r>
              <w:rPr>
                <w:noProof/>
                <w:webHidden/>
              </w:rPr>
              <w:fldChar w:fldCharType="begin"/>
            </w:r>
            <w:r>
              <w:rPr>
                <w:noProof/>
                <w:webHidden/>
              </w:rPr>
              <w:instrText xml:space="preserve"> PAGEREF _Toc76652754 \h </w:instrText>
            </w:r>
            <w:r>
              <w:rPr>
                <w:noProof/>
                <w:webHidden/>
              </w:rPr>
            </w:r>
            <w:r>
              <w:rPr>
                <w:noProof/>
                <w:webHidden/>
              </w:rPr>
              <w:fldChar w:fldCharType="separate"/>
            </w:r>
            <w:r>
              <w:rPr>
                <w:noProof/>
                <w:webHidden/>
              </w:rPr>
              <w:t>6</w:t>
            </w:r>
            <w:r>
              <w:rPr>
                <w:noProof/>
                <w:webHidden/>
              </w:rPr>
              <w:fldChar w:fldCharType="end"/>
            </w:r>
          </w:hyperlink>
        </w:p>
        <w:p w14:paraId="7020B35A" w14:textId="3E0AD4FE" w:rsidR="00F672AB" w:rsidRDefault="00F672AB">
          <w:pPr>
            <w:pStyle w:val="TOC2"/>
            <w:rPr>
              <w:rFonts w:asciiTheme="minorHAnsi" w:eastAsiaTheme="minorEastAsia" w:hAnsiTheme="minorHAnsi" w:cstheme="minorBidi"/>
              <w:b w:val="0"/>
              <w:noProof/>
              <w:sz w:val="22"/>
              <w:lang w:eastAsia="en-AU"/>
            </w:rPr>
          </w:pPr>
          <w:hyperlink w:anchor="_Toc76652755" w:history="1">
            <w:r w:rsidRPr="001B2FDE">
              <w:rPr>
                <w:rStyle w:val="Hyperlink"/>
                <w:noProof/>
              </w:rPr>
              <w:t>Product background</w:t>
            </w:r>
            <w:r>
              <w:rPr>
                <w:noProof/>
                <w:webHidden/>
              </w:rPr>
              <w:tab/>
            </w:r>
            <w:r>
              <w:rPr>
                <w:noProof/>
                <w:webHidden/>
              </w:rPr>
              <w:fldChar w:fldCharType="begin"/>
            </w:r>
            <w:r>
              <w:rPr>
                <w:noProof/>
                <w:webHidden/>
              </w:rPr>
              <w:instrText xml:space="preserve"> PAGEREF _Toc76652755 \h </w:instrText>
            </w:r>
            <w:r>
              <w:rPr>
                <w:noProof/>
                <w:webHidden/>
              </w:rPr>
            </w:r>
            <w:r>
              <w:rPr>
                <w:noProof/>
                <w:webHidden/>
              </w:rPr>
              <w:fldChar w:fldCharType="separate"/>
            </w:r>
            <w:r>
              <w:rPr>
                <w:noProof/>
                <w:webHidden/>
              </w:rPr>
              <w:t>7</w:t>
            </w:r>
            <w:r>
              <w:rPr>
                <w:noProof/>
                <w:webHidden/>
              </w:rPr>
              <w:fldChar w:fldCharType="end"/>
            </w:r>
          </w:hyperlink>
        </w:p>
        <w:p w14:paraId="318D8626" w14:textId="416E808D" w:rsidR="00F672AB" w:rsidRDefault="00F672AB">
          <w:pPr>
            <w:pStyle w:val="TOC2"/>
            <w:rPr>
              <w:rFonts w:asciiTheme="minorHAnsi" w:eastAsiaTheme="minorEastAsia" w:hAnsiTheme="minorHAnsi" w:cstheme="minorBidi"/>
              <w:b w:val="0"/>
              <w:noProof/>
              <w:sz w:val="22"/>
              <w:lang w:eastAsia="en-AU"/>
            </w:rPr>
          </w:pPr>
          <w:hyperlink w:anchor="_Toc76652756" w:history="1">
            <w:r w:rsidRPr="001B2FDE">
              <w:rPr>
                <w:rStyle w:val="Hyperlink"/>
                <w:noProof/>
              </w:rPr>
              <w:t>Regulatory status</w:t>
            </w:r>
            <w:r>
              <w:rPr>
                <w:noProof/>
                <w:webHidden/>
              </w:rPr>
              <w:tab/>
            </w:r>
            <w:r>
              <w:rPr>
                <w:noProof/>
                <w:webHidden/>
              </w:rPr>
              <w:fldChar w:fldCharType="begin"/>
            </w:r>
            <w:r>
              <w:rPr>
                <w:noProof/>
                <w:webHidden/>
              </w:rPr>
              <w:instrText xml:space="preserve"> PAGEREF _Toc76652756 \h </w:instrText>
            </w:r>
            <w:r>
              <w:rPr>
                <w:noProof/>
                <w:webHidden/>
              </w:rPr>
            </w:r>
            <w:r>
              <w:rPr>
                <w:noProof/>
                <w:webHidden/>
              </w:rPr>
              <w:fldChar w:fldCharType="separate"/>
            </w:r>
            <w:r>
              <w:rPr>
                <w:noProof/>
                <w:webHidden/>
              </w:rPr>
              <w:t>8</w:t>
            </w:r>
            <w:r>
              <w:rPr>
                <w:noProof/>
                <w:webHidden/>
              </w:rPr>
              <w:fldChar w:fldCharType="end"/>
            </w:r>
          </w:hyperlink>
        </w:p>
        <w:p w14:paraId="1D601C6D" w14:textId="4A8A3ADB" w:rsidR="00F672AB" w:rsidRDefault="00F672AB">
          <w:pPr>
            <w:pStyle w:val="TOC2"/>
            <w:rPr>
              <w:rFonts w:asciiTheme="minorHAnsi" w:eastAsiaTheme="minorEastAsia" w:hAnsiTheme="minorHAnsi" w:cstheme="minorBidi"/>
              <w:b w:val="0"/>
              <w:noProof/>
              <w:sz w:val="22"/>
              <w:lang w:eastAsia="en-AU"/>
            </w:rPr>
          </w:pPr>
          <w:hyperlink w:anchor="_Toc76652757" w:history="1">
            <w:r w:rsidRPr="001B2FDE">
              <w:rPr>
                <w:rStyle w:val="Hyperlink"/>
                <w:noProof/>
              </w:rPr>
              <w:t>Product Information</w:t>
            </w:r>
            <w:r>
              <w:rPr>
                <w:noProof/>
                <w:webHidden/>
              </w:rPr>
              <w:tab/>
            </w:r>
            <w:r>
              <w:rPr>
                <w:noProof/>
                <w:webHidden/>
              </w:rPr>
              <w:fldChar w:fldCharType="begin"/>
            </w:r>
            <w:r>
              <w:rPr>
                <w:noProof/>
                <w:webHidden/>
              </w:rPr>
              <w:instrText xml:space="preserve"> PAGEREF _Toc76652757 \h </w:instrText>
            </w:r>
            <w:r>
              <w:rPr>
                <w:noProof/>
                <w:webHidden/>
              </w:rPr>
            </w:r>
            <w:r>
              <w:rPr>
                <w:noProof/>
                <w:webHidden/>
              </w:rPr>
              <w:fldChar w:fldCharType="separate"/>
            </w:r>
            <w:r>
              <w:rPr>
                <w:noProof/>
                <w:webHidden/>
              </w:rPr>
              <w:t>9</w:t>
            </w:r>
            <w:r>
              <w:rPr>
                <w:noProof/>
                <w:webHidden/>
              </w:rPr>
              <w:fldChar w:fldCharType="end"/>
            </w:r>
          </w:hyperlink>
        </w:p>
        <w:p w14:paraId="0B2F330E" w14:textId="1D0AAB35" w:rsidR="00F672AB" w:rsidRDefault="00F672AB">
          <w:pPr>
            <w:pStyle w:val="TOC1"/>
            <w:rPr>
              <w:rFonts w:asciiTheme="minorHAnsi" w:eastAsiaTheme="minorEastAsia" w:hAnsiTheme="minorHAnsi" w:cstheme="minorBidi"/>
              <w:b w:val="0"/>
              <w:noProof/>
              <w:sz w:val="22"/>
              <w:lang w:eastAsia="en-AU"/>
            </w:rPr>
          </w:pPr>
          <w:hyperlink w:anchor="_Toc76652758" w:history="1">
            <w:r w:rsidRPr="001B2FDE">
              <w:rPr>
                <w:rStyle w:val="Hyperlink"/>
                <w:noProof/>
              </w:rPr>
              <w:t>II. Registration timeline</w:t>
            </w:r>
            <w:r>
              <w:rPr>
                <w:noProof/>
                <w:webHidden/>
              </w:rPr>
              <w:tab/>
            </w:r>
            <w:r>
              <w:rPr>
                <w:noProof/>
                <w:webHidden/>
              </w:rPr>
              <w:fldChar w:fldCharType="begin"/>
            </w:r>
            <w:r>
              <w:rPr>
                <w:noProof/>
                <w:webHidden/>
              </w:rPr>
              <w:instrText xml:space="preserve"> PAGEREF _Toc76652758 \h </w:instrText>
            </w:r>
            <w:r>
              <w:rPr>
                <w:noProof/>
                <w:webHidden/>
              </w:rPr>
            </w:r>
            <w:r>
              <w:rPr>
                <w:noProof/>
                <w:webHidden/>
              </w:rPr>
              <w:fldChar w:fldCharType="separate"/>
            </w:r>
            <w:r>
              <w:rPr>
                <w:noProof/>
                <w:webHidden/>
              </w:rPr>
              <w:t>9</w:t>
            </w:r>
            <w:r>
              <w:rPr>
                <w:noProof/>
                <w:webHidden/>
              </w:rPr>
              <w:fldChar w:fldCharType="end"/>
            </w:r>
          </w:hyperlink>
        </w:p>
        <w:p w14:paraId="2CC64F11" w14:textId="610A277F" w:rsidR="00F672AB" w:rsidRDefault="00F672AB">
          <w:pPr>
            <w:pStyle w:val="TOC1"/>
            <w:rPr>
              <w:rFonts w:asciiTheme="minorHAnsi" w:eastAsiaTheme="minorEastAsia" w:hAnsiTheme="minorHAnsi" w:cstheme="minorBidi"/>
              <w:b w:val="0"/>
              <w:noProof/>
              <w:sz w:val="22"/>
              <w:lang w:eastAsia="en-AU"/>
            </w:rPr>
          </w:pPr>
          <w:hyperlink w:anchor="_Toc76652759" w:history="1">
            <w:r w:rsidRPr="001B2FDE">
              <w:rPr>
                <w:rStyle w:val="Hyperlink"/>
                <w:noProof/>
              </w:rPr>
              <w:t>III. Submission overview and risk/benefit assessment</w:t>
            </w:r>
            <w:r>
              <w:rPr>
                <w:noProof/>
                <w:webHidden/>
              </w:rPr>
              <w:tab/>
            </w:r>
            <w:r>
              <w:rPr>
                <w:noProof/>
                <w:webHidden/>
              </w:rPr>
              <w:fldChar w:fldCharType="begin"/>
            </w:r>
            <w:r>
              <w:rPr>
                <w:noProof/>
                <w:webHidden/>
              </w:rPr>
              <w:instrText xml:space="preserve"> PAGEREF _Toc76652759 \h </w:instrText>
            </w:r>
            <w:r>
              <w:rPr>
                <w:noProof/>
                <w:webHidden/>
              </w:rPr>
            </w:r>
            <w:r>
              <w:rPr>
                <w:noProof/>
                <w:webHidden/>
              </w:rPr>
              <w:fldChar w:fldCharType="separate"/>
            </w:r>
            <w:r>
              <w:rPr>
                <w:noProof/>
                <w:webHidden/>
              </w:rPr>
              <w:t>10</w:t>
            </w:r>
            <w:r>
              <w:rPr>
                <w:noProof/>
                <w:webHidden/>
              </w:rPr>
              <w:fldChar w:fldCharType="end"/>
            </w:r>
          </w:hyperlink>
        </w:p>
        <w:p w14:paraId="4ED414BE" w14:textId="6DBE0B60" w:rsidR="00F672AB" w:rsidRDefault="00F672AB">
          <w:pPr>
            <w:pStyle w:val="TOC2"/>
            <w:rPr>
              <w:rFonts w:asciiTheme="minorHAnsi" w:eastAsiaTheme="minorEastAsia" w:hAnsiTheme="minorHAnsi" w:cstheme="minorBidi"/>
              <w:b w:val="0"/>
              <w:noProof/>
              <w:sz w:val="22"/>
              <w:lang w:eastAsia="en-AU"/>
            </w:rPr>
          </w:pPr>
          <w:hyperlink w:anchor="_Toc76652760" w:history="1">
            <w:r w:rsidRPr="001B2FDE">
              <w:rPr>
                <w:rStyle w:val="Hyperlink"/>
                <w:noProof/>
              </w:rPr>
              <w:t>Quality</w:t>
            </w:r>
            <w:r>
              <w:rPr>
                <w:noProof/>
                <w:webHidden/>
              </w:rPr>
              <w:tab/>
            </w:r>
            <w:r>
              <w:rPr>
                <w:noProof/>
                <w:webHidden/>
              </w:rPr>
              <w:fldChar w:fldCharType="begin"/>
            </w:r>
            <w:r>
              <w:rPr>
                <w:noProof/>
                <w:webHidden/>
              </w:rPr>
              <w:instrText xml:space="preserve"> PAGEREF _Toc76652760 \h </w:instrText>
            </w:r>
            <w:r>
              <w:rPr>
                <w:noProof/>
                <w:webHidden/>
              </w:rPr>
            </w:r>
            <w:r>
              <w:rPr>
                <w:noProof/>
                <w:webHidden/>
              </w:rPr>
              <w:fldChar w:fldCharType="separate"/>
            </w:r>
            <w:r>
              <w:rPr>
                <w:noProof/>
                <w:webHidden/>
              </w:rPr>
              <w:t>10</w:t>
            </w:r>
            <w:r>
              <w:rPr>
                <w:noProof/>
                <w:webHidden/>
              </w:rPr>
              <w:fldChar w:fldCharType="end"/>
            </w:r>
          </w:hyperlink>
        </w:p>
        <w:p w14:paraId="392CA77F" w14:textId="10B71A37" w:rsidR="00F672AB" w:rsidRDefault="00F672AB">
          <w:pPr>
            <w:pStyle w:val="TOC2"/>
            <w:rPr>
              <w:rFonts w:asciiTheme="minorHAnsi" w:eastAsiaTheme="minorEastAsia" w:hAnsiTheme="minorHAnsi" w:cstheme="minorBidi"/>
              <w:b w:val="0"/>
              <w:noProof/>
              <w:sz w:val="22"/>
              <w:lang w:eastAsia="en-AU"/>
            </w:rPr>
          </w:pPr>
          <w:hyperlink w:anchor="_Toc76652761" w:history="1">
            <w:r w:rsidRPr="001B2FDE">
              <w:rPr>
                <w:rStyle w:val="Hyperlink"/>
                <w:noProof/>
              </w:rPr>
              <w:t>Nonclinical</w:t>
            </w:r>
            <w:r>
              <w:rPr>
                <w:noProof/>
                <w:webHidden/>
              </w:rPr>
              <w:tab/>
            </w:r>
            <w:r>
              <w:rPr>
                <w:noProof/>
                <w:webHidden/>
              </w:rPr>
              <w:fldChar w:fldCharType="begin"/>
            </w:r>
            <w:r>
              <w:rPr>
                <w:noProof/>
                <w:webHidden/>
              </w:rPr>
              <w:instrText xml:space="preserve"> PAGEREF _Toc76652761 \h </w:instrText>
            </w:r>
            <w:r>
              <w:rPr>
                <w:noProof/>
                <w:webHidden/>
              </w:rPr>
            </w:r>
            <w:r>
              <w:rPr>
                <w:noProof/>
                <w:webHidden/>
              </w:rPr>
              <w:fldChar w:fldCharType="separate"/>
            </w:r>
            <w:r>
              <w:rPr>
                <w:noProof/>
                <w:webHidden/>
              </w:rPr>
              <w:t>11</w:t>
            </w:r>
            <w:r>
              <w:rPr>
                <w:noProof/>
                <w:webHidden/>
              </w:rPr>
              <w:fldChar w:fldCharType="end"/>
            </w:r>
          </w:hyperlink>
        </w:p>
        <w:p w14:paraId="01229140" w14:textId="232E8C3E" w:rsidR="00F672AB" w:rsidRDefault="00F672AB">
          <w:pPr>
            <w:pStyle w:val="TOC2"/>
            <w:rPr>
              <w:rFonts w:asciiTheme="minorHAnsi" w:eastAsiaTheme="minorEastAsia" w:hAnsiTheme="minorHAnsi" w:cstheme="minorBidi"/>
              <w:b w:val="0"/>
              <w:noProof/>
              <w:sz w:val="22"/>
              <w:lang w:eastAsia="en-AU"/>
            </w:rPr>
          </w:pPr>
          <w:hyperlink w:anchor="_Toc76652762" w:history="1">
            <w:r w:rsidRPr="001B2FDE">
              <w:rPr>
                <w:rStyle w:val="Hyperlink"/>
                <w:noProof/>
              </w:rPr>
              <w:t>Clinical</w:t>
            </w:r>
            <w:r>
              <w:rPr>
                <w:noProof/>
                <w:webHidden/>
              </w:rPr>
              <w:tab/>
            </w:r>
            <w:r>
              <w:rPr>
                <w:noProof/>
                <w:webHidden/>
              </w:rPr>
              <w:fldChar w:fldCharType="begin"/>
            </w:r>
            <w:r>
              <w:rPr>
                <w:noProof/>
                <w:webHidden/>
              </w:rPr>
              <w:instrText xml:space="preserve"> PAGEREF _Toc76652762 \h </w:instrText>
            </w:r>
            <w:r>
              <w:rPr>
                <w:noProof/>
                <w:webHidden/>
              </w:rPr>
            </w:r>
            <w:r>
              <w:rPr>
                <w:noProof/>
                <w:webHidden/>
              </w:rPr>
              <w:fldChar w:fldCharType="separate"/>
            </w:r>
            <w:r>
              <w:rPr>
                <w:noProof/>
                <w:webHidden/>
              </w:rPr>
              <w:t>11</w:t>
            </w:r>
            <w:r>
              <w:rPr>
                <w:noProof/>
                <w:webHidden/>
              </w:rPr>
              <w:fldChar w:fldCharType="end"/>
            </w:r>
          </w:hyperlink>
        </w:p>
        <w:p w14:paraId="262AFD1F" w14:textId="46E4B6DF" w:rsidR="00F672AB" w:rsidRDefault="00F672AB">
          <w:pPr>
            <w:pStyle w:val="TOC2"/>
            <w:rPr>
              <w:rFonts w:asciiTheme="minorHAnsi" w:eastAsiaTheme="minorEastAsia" w:hAnsiTheme="minorHAnsi" w:cstheme="minorBidi"/>
              <w:b w:val="0"/>
              <w:noProof/>
              <w:sz w:val="22"/>
              <w:lang w:eastAsia="en-AU"/>
            </w:rPr>
          </w:pPr>
          <w:hyperlink w:anchor="_Toc76652763" w:history="1">
            <w:r w:rsidRPr="001B2FDE">
              <w:rPr>
                <w:rStyle w:val="Hyperlink"/>
                <w:noProof/>
                <w:lang w:eastAsia="en-AU"/>
              </w:rPr>
              <w:t>Risk management plan</w:t>
            </w:r>
            <w:r>
              <w:rPr>
                <w:noProof/>
                <w:webHidden/>
              </w:rPr>
              <w:tab/>
            </w:r>
            <w:r>
              <w:rPr>
                <w:noProof/>
                <w:webHidden/>
              </w:rPr>
              <w:fldChar w:fldCharType="begin"/>
            </w:r>
            <w:r>
              <w:rPr>
                <w:noProof/>
                <w:webHidden/>
              </w:rPr>
              <w:instrText xml:space="preserve"> PAGEREF _Toc76652763 \h </w:instrText>
            </w:r>
            <w:r>
              <w:rPr>
                <w:noProof/>
                <w:webHidden/>
              </w:rPr>
            </w:r>
            <w:r>
              <w:rPr>
                <w:noProof/>
                <w:webHidden/>
              </w:rPr>
              <w:fldChar w:fldCharType="separate"/>
            </w:r>
            <w:r>
              <w:rPr>
                <w:noProof/>
                <w:webHidden/>
              </w:rPr>
              <w:t>20</w:t>
            </w:r>
            <w:r>
              <w:rPr>
                <w:noProof/>
                <w:webHidden/>
              </w:rPr>
              <w:fldChar w:fldCharType="end"/>
            </w:r>
          </w:hyperlink>
        </w:p>
        <w:p w14:paraId="5A3D62EE" w14:textId="011B3A4E" w:rsidR="00F672AB" w:rsidRDefault="00F672AB">
          <w:pPr>
            <w:pStyle w:val="TOC2"/>
            <w:rPr>
              <w:rFonts w:asciiTheme="minorHAnsi" w:eastAsiaTheme="minorEastAsia" w:hAnsiTheme="minorHAnsi" w:cstheme="minorBidi"/>
              <w:b w:val="0"/>
              <w:noProof/>
              <w:sz w:val="22"/>
              <w:lang w:eastAsia="en-AU"/>
            </w:rPr>
          </w:pPr>
          <w:hyperlink w:anchor="_Toc76652764" w:history="1">
            <w:r w:rsidRPr="001B2FDE">
              <w:rPr>
                <w:rStyle w:val="Hyperlink"/>
                <w:noProof/>
              </w:rPr>
              <w:t>Risk-benefit analysis</w:t>
            </w:r>
            <w:r>
              <w:rPr>
                <w:noProof/>
                <w:webHidden/>
              </w:rPr>
              <w:tab/>
            </w:r>
            <w:r>
              <w:rPr>
                <w:noProof/>
                <w:webHidden/>
              </w:rPr>
              <w:fldChar w:fldCharType="begin"/>
            </w:r>
            <w:r>
              <w:rPr>
                <w:noProof/>
                <w:webHidden/>
              </w:rPr>
              <w:instrText xml:space="preserve"> PAGEREF _Toc76652764 \h </w:instrText>
            </w:r>
            <w:r>
              <w:rPr>
                <w:noProof/>
                <w:webHidden/>
              </w:rPr>
            </w:r>
            <w:r>
              <w:rPr>
                <w:noProof/>
                <w:webHidden/>
              </w:rPr>
              <w:fldChar w:fldCharType="separate"/>
            </w:r>
            <w:r>
              <w:rPr>
                <w:noProof/>
                <w:webHidden/>
              </w:rPr>
              <w:t>21</w:t>
            </w:r>
            <w:r>
              <w:rPr>
                <w:noProof/>
                <w:webHidden/>
              </w:rPr>
              <w:fldChar w:fldCharType="end"/>
            </w:r>
          </w:hyperlink>
        </w:p>
        <w:p w14:paraId="0009338C" w14:textId="59F205F5" w:rsidR="00F672AB" w:rsidRDefault="00F672AB">
          <w:pPr>
            <w:pStyle w:val="TOC2"/>
            <w:rPr>
              <w:rFonts w:asciiTheme="minorHAnsi" w:eastAsiaTheme="minorEastAsia" w:hAnsiTheme="minorHAnsi" w:cstheme="minorBidi"/>
              <w:b w:val="0"/>
              <w:noProof/>
              <w:sz w:val="22"/>
              <w:lang w:eastAsia="en-AU"/>
            </w:rPr>
          </w:pPr>
          <w:hyperlink w:anchor="_Toc76652765" w:history="1">
            <w:r w:rsidRPr="001B2FDE">
              <w:rPr>
                <w:rStyle w:val="Hyperlink"/>
                <w:noProof/>
              </w:rPr>
              <w:t>Outcome</w:t>
            </w:r>
            <w:r>
              <w:rPr>
                <w:noProof/>
                <w:webHidden/>
              </w:rPr>
              <w:tab/>
            </w:r>
            <w:r>
              <w:rPr>
                <w:noProof/>
                <w:webHidden/>
              </w:rPr>
              <w:fldChar w:fldCharType="begin"/>
            </w:r>
            <w:r>
              <w:rPr>
                <w:noProof/>
                <w:webHidden/>
              </w:rPr>
              <w:instrText xml:space="preserve"> PAGEREF _Toc76652765 \h </w:instrText>
            </w:r>
            <w:r>
              <w:rPr>
                <w:noProof/>
                <w:webHidden/>
              </w:rPr>
            </w:r>
            <w:r>
              <w:rPr>
                <w:noProof/>
                <w:webHidden/>
              </w:rPr>
              <w:fldChar w:fldCharType="separate"/>
            </w:r>
            <w:r>
              <w:rPr>
                <w:noProof/>
                <w:webHidden/>
              </w:rPr>
              <w:t>22</w:t>
            </w:r>
            <w:r>
              <w:rPr>
                <w:noProof/>
                <w:webHidden/>
              </w:rPr>
              <w:fldChar w:fldCharType="end"/>
            </w:r>
          </w:hyperlink>
        </w:p>
        <w:p w14:paraId="7C0B2D04" w14:textId="1B26E4AE" w:rsidR="00F672AB" w:rsidRDefault="00F672AB">
          <w:pPr>
            <w:pStyle w:val="TOC1"/>
            <w:rPr>
              <w:rFonts w:asciiTheme="minorHAnsi" w:eastAsiaTheme="minorEastAsia" w:hAnsiTheme="minorHAnsi" w:cstheme="minorBidi"/>
              <w:b w:val="0"/>
              <w:noProof/>
              <w:sz w:val="22"/>
              <w:lang w:eastAsia="en-AU"/>
            </w:rPr>
          </w:pPr>
          <w:hyperlink w:anchor="_Toc76652766" w:history="1">
            <w:r w:rsidRPr="001B2FDE">
              <w:rPr>
                <w:rStyle w:val="Hyperlink"/>
                <w:noProof/>
              </w:rPr>
              <w:t>Attachment 1. Product Information</w:t>
            </w:r>
            <w:r>
              <w:rPr>
                <w:noProof/>
                <w:webHidden/>
              </w:rPr>
              <w:tab/>
            </w:r>
            <w:r>
              <w:rPr>
                <w:noProof/>
                <w:webHidden/>
              </w:rPr>
              <w:fldChar w:fldCharType="begin"/>
            </w:r>
            <w:r>
              <w:rPr>
                <w:noProof/>
                <w:webHidden/>
              </w:rPr>
              <w:instrText xml:space="preserve"> PAGEREF _Toc76652766 \h </w:instrText>
            </w:r>
            <w:r>
              <w:rPr>
                <w:noProof/>
                <w:webHidden/>
              </w:rPr>
            </w:r>
            <w:r>
              <w:rPr>
                <w:noProof/>
                <w:webHidden/>
              </w:rPr>
              <w:fldChar w:fldCharType="separate"/>
            </w:r>
            <w:r>
              <w:rPr>
                <w:noProof/>
                <w:webHidden/>
              </w:rPr>
              <w:t>23</w:t>
            </w:r>
            <w:r>
              <w:rPr>
                <w:noProof/>
                <w:webHidden/>
              </w:rPr>
              <w:fldChar w:fldCharType="end"/>
            </w:r>
          </w:hyperlink>
        </w:p>
        <w:p w14:paraId="3124E478" w14:textId="1BE81BDC" w:rsidR="003A7F6C" w:rsidRPr="00B811C6" w:rsidRDefault="00C525A2" w:rsidP="00B811C6">
          <w:pPr>
            <w:pStyle w:val="TOC2"/>
          </w:pPr>
          <w:r>
            <w:fldChar w:fldCharType="end"/>
          </w:r>
        </w:p>
      </w:sdtContent>
    </w:sdt>
    <w:bookmarkStart w:id="3" w:name="_Toc314842482" w:displacedByCustomXml="prev"/>
    <w:p w14:paraId="6F5DA1F0" w14:textId="77777777" w:rsidR="00FD119B" w:rsidRDefault="00FD119B">
      <w:pPr>
        <w:spacing w:before="0" w:after="200" w:line="0" w:lineRule="auto"/>
      </w:pPr>
      <w:r>
        <w:br w:type="page"/>
      </w:r>
    </w:p>
    <w:p w14:paraId="761A65ED" w14:textId="77777777" w:rsidR="00FD119B" w:rsidRDefault="00324E45" w:rsidP="004F0C4A">
      <w:pPr>
        <w:pStyle w:val="Heading2"/>
      </w:pPr>
      <w:bookmarkStart w:id="4" w:name="_Toc351716269"/>
      <w:bookmarkStart w:id="5" w:name="_Toc351718881"/>
      <w:bookmarkStart w:id="6" w:name="_Toc355338616"/>
      <w:bookmarkStart w:id="7" w:name="_Toc356306144"/>
      <w:bookmarkStart w:id="8" w:name="_Toc76652752"/>
      <w:r>
        <w:t>List of</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604"/>
      </w:tblGrid>
      <w:tr w:rsidR="00FD119B" w:rsidRPr="00FD119B" w14:paraId="4E12DE25" w14:textId="77777777" w:rsidTr="00735EA7">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6DC52B1B" w14:textId="77777777" w:rsidR="00FD119B" w:rsidRPr="008A78DD" w:rsidRDefault="00FD119B" w:rsidP="008A78DD">
            <w:r w:rsidRPr="008A78DD">
              <w:t>Abbreviation</w:t>
            </w:r>
          </w:p>
        </w:tc>
        <w:tc>
          <w:tcPr>
            <w:tcW w:w="6604" w:type="dxa"/>
            <w:tcBorders>
              <w:top w:val="single" w:sz="4" w:space="0" w:color="auto"/>
              <w:left w:val="single" w:sz="4" w:space="0" w:color="auto"/>
              <w:bottom w:val="single" w:sz="4" w:space="0" w:color="auto"/>
              <w:right w:val="single" w:sz="4" w:space="0" w:color="auto"/>
            </w:tcBorders>
          </w:tcPr>
          <w:p w14:paraId="4013AE4F" w14:textId="77777777" w:rsidR="00FD119B" w:rsidRPr="008A78DD" w:rsidRDefault="00FD119B" w:rsidP="008A78DD">
            <w:r w:rsidRPr="008A78DD">
              <w:t>Meaning</w:t>
            </w:r>
          </w:p>
        </w:tc>
      </w:tr>
      <w:tr w:rsidR="00460036" w:rsidRPr="00FD119B" w14:paraId="2B027596" w14:textId="77777777" w:rsidTr="00735EA7">
        <w:tc>
          <w:tcPr>
            <w:tcW w:w="1890" w:type="dxa"/>
            <w:tcBorders>
              <w:top w:val="single" w:sz="4" w:space="0" w:color="auto"/>
            </w:tcBorders>
          </w:tcPr>
          <w:p w14:paraId="44E11C4A" w14:textId="77777777" w:rsidR="00460036" w:rsidRPr="008A78DD" w:rsidRDefault="00460036" w:rsidP="008A78DD">
            <w:r w:rsidRPr="008A78DD">
              <w:t>ACM</w:t>
            </w:r>
          </w:p>
        </w:tc>
        <w:tc>
          <w:tcPr>
            <w:tcW w:w="6604" w:type="dxa"/>
            <w:tcBorders>
              <w:top w:val="single" w:sz="4" w:space="0" w:color="auto"/>
            </w:tcBorders>
          </w:tcPr>
          <w:p w14:paraId="0B071D7A" w14:textId="77777777" w:rsidR="00460036" w:rsidRPr="008A78DD" w:rsidRDefault="00460036" w:rsidP="008A78DD">
            <w:r w:rsidRPr="008A78DD">
              <w:t>Advisory Committee on Medicines</w:t>
            </w:r>
          </w:p>
        </w:tc>
      </w:tr>
      <w:tr w:rsidR="007179B0" w:rsidRPr="00FD119B" w14:paraId="1C7F4035" w14:textId="77777777" w:rsidTr="00735EA7">
        <w:tc>
          <w:tcPr>
            <w:tcW w:w="1890" w:type="dxa"/>
            <w:tcBorders>
              <w:top w:val="single" w:sz="4" w:space="0" w:color="auto"/>
            </w:tcBorders>
          </w:tcPr>
          <w:p w14:paraId="4D6B74E3" w14:textId="2D67F82E" w:rsidR="007179B0" w:rsidRPr="008A78DD" w:rsidRDefault="007179B0" w:rsidP="008A78DD">
            <w:r w:rsidRPr="008A78DD">
              <w:t>AE</w:t>
            </w:r>
          </w:p>
        </w:tc>
        <w:tc>
          <w:tcPr>
            <w:tcW w:w="6604" w:type="dxa"/>
            <w:tcBorders>
              <w:top w:val="single" w:sz="4" w:space="0" w:color="auto"/>
            </w:tcBorders>
          </w:tcPr>
          <w:p w14:paraId="2E70126A" w14:textId="222581D9" w:rsidR="007179B0" w:rsidRPr="008A78DD" w:rsidRDefault="007179B0" w:rsidP="008A78DD">
            <w:r w:rsidRPr="008A78DD">
              <w:t>Adverse event</w:t>
            </w:r>
          </w:p>
        </w:tc>
      </w:tr>
      <w:tr w:rsidR="00460036" w:rsidRPr="00FD119B" w14:paraId="0B999A6D" w14:textId="77777777" w:rsidTr="00735EA7">
        <w:tc>
          <w:tcPr>
            <w:tcW w:w="1890" w:type="dxa"/>
          </w:tcPr>
          <w:p w14:paraId="1865D209" w14:textId="77777777" w:rsidR="00460036" w:rsidRPr="008A78DD" w:rsidRDefault="00460036" w:rsidP="008A78DD">
            <w:r w:rsidRPr="008A78DD">
              <w:t>ARTG</w:t>
            </w:r>
          </w:p>
        </w:tc>
        <w:tc>
          <w:tcPr>
            <w:tcW w:w="6604" w:type="dxa"/>
          </w:tcPr>
          <w:p w14:paraId="1537753E" w14:textId="77777777" w:rsidR="00460036" w:rsidRPr="008A78DD" w:rsidRDefault="00460036" w:rsidP="008A78DD">
            <w:r w:rsidRPr="008A78DD">
              <w:t>Australian Register of Therapeutic Goods</w:t>
            </w:r>
          </w:p>
        </w:tc>
      </w:tr>
      <w:tr w:rsidR="007179B0" w:rsidRPr="00FD119B" w14:paraId="4FEB8C73" w14:textId="77777777" w:rsidTr="00735EA7">
        <w:tc>
          <w:tcPr>
            <w:tcW w:w="1890" w:type="dxa"/>
          </w:tcPr>
          <w:p w14:paraId="02CC4B70" w14:textId="67247BE6" w:rsidR="007179B0" w:rsidRPr="008A78DD" w:rsidRDefault="007179B0" w:rsidP="008A78DD">
            <w:r w:rsidRPr="008A78DD">
              <w:t>ASA</w:t>
            </w:r>
          </w:p>
        </w:tc>
        <w:tc>
          <w:tcPr>
            <w:tcW w:w="6604" w:type="dxa"/>
          </w:tcPr>
          <w:p w14:paraId="7276BADC" w14:textId="0FA80A71" w:rsidR="007179B0" w:rsidRPr="008A78DD" w:rsidRDefault="00724560" w:rsidP="008A78DD">
            <w:r w:rsidRPr="008A78DD">
              <w:t>Australia Specific annex</w:t>
            </w:r>
          </w:p>
        </w:tc>
      </w:tr>
      <w:tr w:rsidR="003A2CB8" w:rsidRPr="00FD119B" w14:paraId="5B64E326" w14:textId="77777777" w:rsidTr="00735EA7">
        <w:tc>
          <w:tcPr>
            <w:tcW w:w="1890" w:type="dxa"/>
          </w:tcPr>
          <w:p w14:paraId="3DDB991E" w14:textId="2BD53470" w:rsidR="003A2CB8" w:rsidRPr="008A78DD" w:rsidRDefault="003A2CB8" w:rsidP="008A78DD">
            <w:r>
              <w:t>AUC</w:t>
            </w:r>
            <w:r w:rsidRPr="003A2CB8">
              <w:rPr>
                <w:vertAlign w:val="subscript"/>
              </w:rPr>
              <w:t>IV</w:t>
            </w:r>
          </w:p>
        </w:tc>
        <w:tc>
          <w:tcPr>
            <w:tcW w:w="6604" w:type="dxa"/>
          </w:tcPr>
          <w:p w14:paraId="2C8DEA5E" w14:textId="14B666EE" w:rsidR="003A2CB8" w:rsidRPr="008A78DD" w:rsidRDefault="003A2CB8" w:rsidP="003A2CB8">
            <w:r>
              <w:t>A</w:t>
            </w:r>
            <w:r w:rsidRPr="003A2CB8">
              <w:t>rea under the concentration time curve following</w:t>
            </w:r>
            <w:r>
              <w:t xml:space="preserve"> IVIg to the switch to Octanorm</w:t>
            </w:r>
          </w:p>
        </w:tc>
      </w:tr>
      <w:tr w:rsidR="003A2CB8" w:rsidRPr="00FD119B" w14:paraId="273A0CFC" w14:textId="77777777" w:rsidTr="00735EA7">
        <w:tc>
          <w:tcPr>
            <w:tcW w:w="1890" w:type="dxa"/>
          </w:tcPr>
          <w:p w14:paraId="52C062BA" w14:textId="7F6A249B" w:rsidR="003A2CB8" w:rsidRPr="008A78DD" w:rsidRDefault="003A2CB8" w:rsidP="008A78DD">
            <w:r w:rsidRPr="003A2CB8">
              <w:t>AUC</w:t>
            </w:r>
            <w:r w:rsidRPr="003A2CB8">
              <w:rPr>
                <w:vertAlign w:val="subscript"/>
              </w:rPr>
              <w:t>SC2</w:t>
            </w:r>
          </w:p>
        </w:tc>
        <w:tc>
          <w:tcPr>
            <w:tcW w:w="6604" w:type="dxa"/>
          </w:tcPr>
          <w:p w14:paraId="39986A7D" w14:textId="67236EDD" w:rsidR="003A2CB8" w:rsidRPr="008A78DD" w:rsidRDefault="003A2CB8" w:rsidP="003A2CB8">
            <w:r>
              <w:t>A</w:t>
            </w:r>
            <w:r w:rsidRPr="003A2CB8">
              <w:t>rea under the concentration time curve after</w:t>
            </w:r>
            <w:r>
              <w:t xml:space="preserve"> the 28th infusion of Octanorm</w:t>
            </w:r>
          </w:p>
        </w:tc>
      </w:tr>
      <w:tr w:rsidR="00735EA7" w:rsidRPr="00FD119B" w14:paraId="28AE0582" w14:textId="77777777" w:rsidTr="00735EA7">
        <w:tc>
          <w:tcPr>
            <w:tcW w:w="1890" w:type="dxa"/>
          </w:tcPr>
          <w:p w14:paraId="09C88449" w14:textId="1C3BADAB" w:rsidR="00735EA7" w:rsidRPr="008A78DD" w:rsidRDefault="00735EA7" w:rsidP="008A78DD">
            <w:r w:rsidRPr="00735EA7">
              <w:t>AUC</w:t>
            </w:r>
            <w:r w:rsidRPr="004D371D">
              <w:rPr>
                <w:vertAlign w:val="subscript"/>
              </w:rPr>
              <w:t>τ</w:t>
            </w:r>
          </w:p>
        </w:tc>
        <w:tc>
          <w:tcPr>
            <w:tcW w:w="6604" w:type="dxa"/>
          </w:tcPr>
          <w:p w14:paraId="6C8796B8" w14:textId="74B6F455" w:rsidR="00735EA7" w:rsidRPr="008A78DD" w:rsidRDefault="00735EA7" w:rsidP="00735EA7">
            <w:r>
              <w:t>A</w:t>
            </w:r>
            <w:r w:rsidRPr="00735EA7">
              <w:t>rea under the concentration time curve (</w:t>
            </w:r>
            <w:r>
              <w:t>where τ is the dosing interval)</w:t>
            </w:r>
          </w:p>
        </w:tc>
      </w:tr>
      <w:tr w:rsidR="004D371D" w:rsidRPr="00FD119B" w14:paraId="5C5DD094" w14:textId="77777777" w:rsidTr="00735EA7">
        <w:tc>
          <w:tcPr>
            <w:tcW w:w="1890" w:type="dxa"/>
          </w:tcPr>
          <w:p w14:paraId="4C9199EA" w14:textId="0647BCF1" w:rsidR="004D371D" w:rsidRPr="00735EA7" w:rsidRDefault="004D371D" w:rsidP="008A78DD">
            <w:r w:rsidRPr="004D371D">
              <w:t>C</w:t>
            </w:r>
            <w:r w:rsidRPr="004D371D">
              <w:rPr>
                <w:vertAlign w:val="subscript"/>
              </w:rPr>
              <w:t>avg</w:t>
            </w:r>
          </w:p>
        </w:tc>
        <w:tc>
          <w:tcPr>
            <w:tcW w:w="6604" w:type="dxa"/>
          </w:tcPr>
          <w:p w14:paraId="08CA8505" w14:textId="6D89FA84" w:rsidR="004D371D" w:rsidRDefault="004D371D" w:rsidP="004D371D">
            <w:r>
              <w:t>M</w:t>
            </w:r>
            <w:r w:rsidRPr="004D371D">
              <w:t>ea</w:t>
            </w:r>
            <w:r>
              <w:t>n average plasma concentration</w:t>
            </w:r>
          </w:p>
        </w:tc>
      </w:tr>
      <w:tr w:rsidR="00184FBD" w:rsidRPr="00FD119B" w14:paraId="094A152A" w14:textId="77777777" w:rsidTr="00735EA7">
        <w:tc>
          <w:tcPr>
            <w:tcW w:w="1890" w:type="dxa"/>
          </w:tcPr>
          <w:p w14:paraId="6BF0C440" w14:textId="190474F6" w:rsidR="00184FBD" w:rsidRPr="008A78DD" w:rsidRDefault="00184FBD" w:rsidP="008A78DD">
            <w:r w:rsidRPr="008A78DD">
              <w:t>CHMP</w:t>
            </w:r>
          </w:p>
        </w:tc>
        <w:tc>
          <w:tcPr>
            <w:tcW w:w="6604" w:type="dxa"/>
          </w:tcPr>
          <w:p w14:paraId="0EA5CA2F" w14:textId="3B714292" w:rsidR="00184FBD" w:rsidRPr="008A78DD" w:rsidRDefault="00184FBD" w:rsidP="008A78DD">
            <w:r w:rsidRPr="008A78DD">
              <w:t>Committee for Medicinal Products for Human Use</w:t>
            </w:r>
            <w:r w:rsidR="000A0E97">
              <w:t xml:space="preserve"> (European Union)</w:t>
            </w:r>
          </w:p>
        </w:tc>
      </w:tr>
      <w:tr w:rsidR="008A78DD" w:rsidRPr="00FD119B" w14:paraId="6E39D53D" w14:textId="77777777" w:rsidTr="00735EA7">
        <w:tc>
          <w:tcPr>
            <w:tcW w:w="1890" w:type="dxa"/>
          </w:tcPr>
          <w:p w14:paraId="49E9C4A6" w14:textId="5AB928CE" w:rsidR="008A78DD" w:rsidRPr="008A78DD" w:rsidRDefault="008A78DD" w:rsidP="008A78DD">
            <w:r w:rsidRPr="008A78DD">
              <w:t>CHQ-PF50</w:t>
            </w:r>
          </w:p>
        </w:tc>
        <w:tc>
          <w:tcPr>
            <w:tcW w:w="6604" w:type="dxa"/>
          </w:tcPr>
          <w:p w14:paraId="2829FF74" w14:textId="029DC63D" w:rsidR="008A78DD" w:rsidRPr="008A78DD" w:rsidRDefault="008A78DD" w:rsidP="008A78DD">
            <w:r w:rsidRPr="008A78DD">
              <w:t>Child Health Questionnaire, Parent Form 50</w:t>
            </w:r>
          </w:p>
        </w:tc>
      </w:tr>
      <w:tr w:rsidR="008F0016" w:rsidRPr="00FD119B" w14:paraId="5C8C7050" w14:textId="77777777" w:rsidTr="00735EA7">
        <w:tc>
          <w:tcPr>
            <w:tcW w:w="1890" w:type="dxa"/>
          </w:tcPr>
          <w:p w14:paraId="0374A75E" w14:textId="2762A81C" w:rsidR="008F0016" w:rsidRPr="008A78DD" w:rsidRDefault="008F0016" w:rsidP="008A78DD">
            <w:r>
              <w:t>CI</w:t>
            </w:r>
          </w:p>
        </w:tc>
        <w:tc>
          <w:tcPr>
            <w:tcW w:w="6604" w:type="dxa"/>
          </w:tcPr>
          <w:p w14:paraId="2D457453" w14:textId="046C0486" w:rsidR="008F0016" w:rsidRPr="008A78DD" w:rsidRDefault="008F0016" w:rsidP="008A78DD">
            <w:r>
              <w:t>Confidence interval</w:t>
            </w:r>
          </w:p>
        </w:tc>
      </w:tr>
      <w:tr w:rsidR="00184FBD" w:rsidRPr="00FD119B" w14:paraId="39E23C26" w14:textId="77777777" w:rsidTr="00735EA7">
        <w:tc>
          <w:tcPr>
            <w:tcW w:w="1890" w:type="dxa"/>
          </w:tcPr>
          <w:p w14:paraId="56A8227F" w14:textId="3F51CC1E" w:rsidR="00184FBD" w:rsidRPr="008A78DD" w:rsidRDefault="00184FBD" w:rsidP="008A78DD">
            <w:r w:rsidRPr="008A78DD">
              <w:t>CLL</w:t>
            </w:r>
          </w:p>
        </w:tc>
        <w:tc>
          <w:tcPr>
            <w:tcW w:w="6604" w:type="dxa"/>
          </w:tcPr>
          <w:p w14:paraId="0B403948" w14:textId="0119452B" w:rsidR="00184FBD" w:rsidRPr="008A78DD" w:rsidRDefault="00184FBD" w:rsidP="008A78DD">
            <w:r w:rsidRPr="008A78DD">
              <w:t>Chronic lymphocytic leukaemia</w:t>
            </w:r>
          </w:p>
        </w:tc>
      </w:tr>
      <w:tr w:rsidR="00597769" w:rsidRPr="00FD119B" w14:paraId="63257B22" w14:textId="77777777" w:rsidTr="00735EA7">
        <w:tc>
          <w:tcPr>
            <w:tcW w:w="1890" w:type="dxa"/>
          </w:tcPr>
          <w:p w14:paraId="638A78E4" w14:textId="418032FA" w:rsidR="00597769" w:rsidRPr="008A78DD" w:rsidRDefault="00597769" w:rsidP="008A78DD">
            <w:r w:rsidRPr="008A78DD">
              <w:t>C</w:t>
            </w:r>
            <w:r w:rsidRPr="008A78DD">
              <w:rPr>
                <w:vertAlign w:val="subscript"/>
              </w:rPr>
              <w:t>max</w:t>
            </w:r>
          </w:p>
        </w:tc>
        <w:tc>
          <w:tcPr>
            <w:tcW w:w="6604" w:type="dxa"/>
          </w:tcPr>
          <w:p w14:paraId="524CB0BF" w14:textId="3BE905BC" w:rsidR="00597769" w:rsidRPr="008A78DD" w:rsidRDefault="00597769" w:rsidP="008A78DD">
            <w:r w:rsidRPr="008A78DD">
              <w:t>Maximum plasma concentration</w:t>
            </w:r>
          </w:p>
        </w:tc>
      </w:tr>
      <w:tr w:rsidR="00EE02D1" w:rsidRPr="00FD119B" w14:paraId="0E70D168" w14:textId="77777777" w:rsidTr="00735EA7">
        <w:tc>
          <w:tcPr>
            <w:tcW w:w="1890" w:type="dxa"/>
          </w:tcPr>
          <w:p w14:paraId="1CA123A4" w14:textId="6E97C263" w:rsidR="00EE02D1" w:rsidRPr="008A78DD" w:rsidRDefault="00EE02D1" w:rsidP="008A78DD">
            <w:r w:rsidRPr="008A78DD">
              <w:t>CMI</w:t>
            </w:r>
          </w:p>
        </w:tc>
        <w:tc>
          <w:tcPr>
            <w:tcW w:w="6604" w:type="dxa"/>
          </w:tcPr>
          <w:p w14:paraId="6CE0FDAD" w14:textId="7E43026C" w:rsidR="00EE02D1" w:rsidRPr="008A78DD" w:rsidRDefault="00EE02D1" w:rsidP="008A78DD">
            <w:r w:rsidRPr="008A78DD">
              <w:t>Consumer Medicines Information</w:t>
            </w:r>
          </w:p>
        </w:tc>
      </w:tr>
      <w:tr w:rsidR="00597769" w:rsidRPr="00FD119B" w14:paraId="67F4C0C9" w14:textId="77777777" w:rsidTr="00735EA7">
        <w:tc>
          <w:tcPr>
            <w:tcW w:w="1890" w:type="dxa"/>
          </w:tcPr>
          <w:p w14:paraId="27E73038" w14:textId="2FE33A54" w:rsidR="00597769" w:rsidRPr="008A78DD" w:rsidRDefault="00597769" w:rsidP="008A78DD">
            <w:r w:rsidRPr="008A78DD">
              <w:t>C</w:t>
            </w:r>
            <w:r w:rsidRPr="008A78DD">
              <w:rPr>
                <w:vertAlign w:val="subscript"/>
              </w:rPr>
              <w:t>min</w:t>
            </w:r>
          </w:p>
        </w:tc>
        <w:tc>
          <w:tcPr>
            <w:tcW w:w="6604" w:type="dxa"/>
          </w:tcPr>
          <w:p w14:paraId="6B319382" w14:textId="78353BBA" w:rsidR="00597769" w:rsidRPr="008A78DD" w:rsidRDefault="00597769" w:rsidP="008A78DD">
            <w:r w:rsidRPr="008A78DD">
              <w:t>Minimum plasma concentration</w:t>
            </w:r>
          </w:p>
        </w:tc>
      </w:tr>
      <w:tr w:rsidR="00EE02D1" w:rsidRPr="00FD119B" w14:paraId="1FC09243" w14:textId="77777777" w:rsidTr="00735EA7">
        <w:tc>
          <w:tcPr>
            <w:tcW w:w="1890" w:type="dxa"/>
          </w:tcPr>
          <w:p w14:paraId="105BD364" w14:textId="64D07E9C" w:rsidR="00EE02D1" w:rsidRPr="008A78DD" w:rsidRDefault="00EE02D1" w:rsidP="008A78DD">
            <w:r w:rsidRPr="008A78DD">
              <w:t>CPD</w:t>
            </w:r>
          </w:p>
        </w:tc>
        <w:tc>
          <w:tcPr>
            <w:tcW w:w="6604" w:type="dxa"/>
          </w:tcPr>
          <w:p w14:paraId="2DC954A2" w14:textId="5E69394B" w:rsidR="00EE02D1" w:rsidRPr="008A78DD" w:rsidRDefault="00EE02D1" w:rsidP="008A78DD">
            <w:r w:rsidRPr="008A78DD">
              <w:t>Certified Product Details</w:t>
            </w:r>
          </w:p>
        </w:tc>
      </w:tr>
      <w:tr w:rsidR="00184FBD" w:rsidRPr="00FD119B" w14:paraId="02C31CEF" w14:textId="77777777" w:rsidTr="00735EA7">
        <w:tc>
          <w:tcPr>
            <w:tcW w:w="1890" w:type="dxa"/>
          </w:tcPr>
          <w:p w14:paraId="32896B36" w14:textId="65B09E1E" w:rsidR="00184FBD" w:rsidRPr="008A78DD" w:rsidRDefault="00184FBD" w:rsidP="008A78DD">
            <w:r w:rsidRPr="008A78DD">
              <w:t>CVID</w:t>
            </w:r>
          </w:p>
        </w:tc>
        <w:tc>
          <w:tcPr>
            <w:tcW w:w="6604" w:type="dxa"/>
          </w:tcPr>
          <w:p w14:paraId="5CE2C597" w14:textId="2D48E4AC" w:rsidR="00184FBD" w:rsidRPr="008A78DD" w:rsidRDefault="00184FBD" w:rsidP="008A78DD">
            <w:r w:rsidRPr="008A78DD">
              <w:t>Common variable immunodeficiency</w:t>
            </w:r>
          </w:p>
        </w:tc>
      </w:tr>
      <w:tr w:rsidR="007179B0" w:rsidRPr="00FD119B" w14:paraId="067BD75D" w14:textId="77777777" w:rsidTr="00735EA7">
        <w:tc>
          <w:tcPr>
            <w:tcW w:w="1890" w:type="dxa"/>
          </w:tcPr>
          <w:p w14:paraId="6B8C8EB3" w14:textId="358951F3" w:rsidR="007179B0" w:rsidRPr="008A78DD" w:rsidRDefault="007179B0" w:rsidP="008A78DD">
            <w:r w:rsidRPr="008A78DD">
              <w:t>DLP</w:t>
            </w:r>
          </w:p>
        </w:tc>
        <w:tc>
          <w:tcPr>
            <w:tcW w:w="6604" w:type="dxa"/>
          </w:tcPr>
          <w:p w14:paraId="0A4B5155" w14:textId="07103ED1" w:rsidR="007179B0" w:rsidRPr="008A78DD" w:rsidRDefault="007179B0" w:rsidP="008A78DD">
            <w:r w:rsidRPr="008A78DD">
              <w:t>Data lock point</w:t>
            </w:r>
          </w:p>
        </w:tc>
      </w:tr>
      <w:tr w:rsidR="00184FBD" w:rsidRPr="00FD119B" w14:paraId="3F39A537" w14:textId="77777777" w:rsidTr="00735EA7">
        <w:tc>
          <w:tcPr>
            <w:tcW w:w="1890" w:type="dxa"/>
          </w:tcPr>
          <w:p w14:paraId="2BAA3EFD" w14:textId="13C21F8A" w:rsidR="00184FBD" w:rsidRPr="008A78DD" w:rsidRDefault="00184FBD" w:rsidP="008A78DD">
            <w:r w:rsidRPr="008A78DD">
              <w:t>EMA</w:t>
            </w:r>
          </w:p>
        </w:tc>
        <w:tc>
          <w:tcPr>
            <w:tcW w:w="6604" w:type="dxa"/>
          </w:tcPr>
          <w:p w14:paraId="3D3F44A8" w14:textId="7B4FC663" w:rsidR="00184FBD" w:rsidRPr="008A78DD" w:rsidRDefault="00184FBD" w:rsidP="008A78DD">
            <w:r w:rsidRPr="008A78DD">
              <w:t>European Medicines Agency</w:t>
            </w:r>
            <w:r w:rsidR="000A0E97">
              <w:t xml:space="preserve"> (European Union)</w:t>
            </w:r>
          </w:p>
        </w:tc>
      </w:tr>
      <w:tr w:rsidR="00184FBD" w:rsidRPr="00FD119B" w14:paraId="37A0EB8F" w14:textId="77777777" w:rsidTr="00735EA7">
        <w:tc>
          <w:tcPr>
            <w:tcW w:w="1890" w:type="dxa"/>
          </w:tcPr>
          <w:p w14:paraId="52C4EDE6" w14:textId="026526AD" w:rsidR="00184FBD" w:rsidRPr="008A78DD" w:rsidRDefault="00184FBD" w:rsidP="008A78DD">
            <w:r w:rsidRPr="008A78DD">
              <w:t>EU</w:t>
            </w:r>
          </w:p>
        </w:tc>
        <w:tc>
          <w:tcPr>
            <w:tcW w:w="6604" w:type="dxa"/>
          </w:tcPr>
          <w:p w14:paraId="67E78331" w14:textId="243FBA46" w:rsidR="00184FBD" w:rsidRPr="008A78DD" w:rsidRDefault="00184FBD" w:rsidP="008A78DD">
            <w:r w:rsidRPr="008A78DD">
              <w:t>European Union</w:t>
            </w:r>
          </w:p>
        </w:tc>
      </w:tr>
      <w:tr w:rsidR="00EE02D1" w:rsidRPr="00FD119B" w14:paraId="510F44D5" w14:textId="77777777" w:rsidTr="00735EA7">
        <w:tc>
          <w:tcPr>
            <w:tcW w:w="1890" w:type="dxa"/>
          </w:tcPr>
          <w:p w14:paraId="2CF1AD09" w14:textId="11690B99" w:rsidR="00EE02D1" w:rsidRPr="008A78DD" w:rsidRDefault="00EE02D1" w:rsidP="008A78DD">
            <w:r w:rsidRPr="008A78DD">
              <w:t>GVP</w:t>
            </w:r>
          </w:p>
        </w:tc>
        <w:tc>
          <w:tcPr>
            <w:tcW w:w="6604" w:type="dxa"/>
          </w:tcPr>
          <w:p w14:paraId="4E87F6AE" w14:textId="531C71A0" w:rsidR="00EE02D1" w:rsidRPr="008A78DD" w:rsidRDefault="00EE02D1" w:rsidP="008A78DD">
            <w:r w:rsidRPr="008A78DD">
              <w:t>Good Pharmacovigilance Practice(s)</w:t>
            </w:r>
          </w:p>
        </w:tc>
      </w:tr>
      <w:tr w:rsidR="007179B0" w:rsidRPr="00FD119B" w14:paraId="58342210" w14:textId="77777777" w:rsidTr="00735EA7">
        <w:tc>
          <w:tcPr>
            <w:tcW w:w="1890" w:type="dxa"/>
          </w:tcPr>
          <w:p w14:paraId="06A28ED8" w14:textId="1C1C9380" w:rsidR="007179B0" w:rsidRPr="008A78DD" w:rsidRDefault="007179B0" w:rsidP="008A78DD">
            <w:r w:rsidRPr="008A78DD">
              <w:t>HBsAg</w:t>
            </w:r>
          </w:p>
        </w:tc>
        <w:tc>
          <w:tcPr>
            <w:tcW w:w="6604" w:type="dxa"/>
          </w:tcPr>
          <w:p w14:paraId="254EB9A1" w14:textId="25020609" w:rsidR="007179B0" w:rsidRPr="008A78DD" w:rsidRDefault="007179B0" w:rsidP="008A78DD">
            <w:r w:rsidRPr="008A78DD">
              <w:t>Hepatitis B surface antigen</w:t>
            </w:r>
          </w:p>
        </w:tc>
      </w:tr>
      <w:tr w:rsidR="002C7956" w:rsidRPr="00FD119B" w14:paraId="349550F5" w14:textId="77777777" w:rsidTr="00735EA7">
        <w:tc>
          <w:tcPr>
            <w:tcW w:w="1890" w:type="dxa"/>
          </w:tcPr>
          <w:p w14:paraId="6A1F19DB" w14:textId="7B849D61" w:rsidR="002C7956" w:rsidRPr="008A78DD" w:rsidRDefault="002C7956" w:rsidP="008A78DD">
            <w:r>
              <w:t>HBV</w:t>
            </w:r>
          </w:p>
        </w:tc>
        <w:tc>
          <w:tcPr>
            <w:tcW w:w="6604" w:type="dxa"/>
          </w:tcPr>
          <w:p w14:paraId="462FD899" w14:textId="055AAB8E" w:rsidR="002C7956" w:rsidRPr="008A78DD" w:rsidRDefault="002C7956" w:rsidP="008A78DD">
            <w:r>
              <w:t>Hepatitis B virus</w:t>
            </w:r>
          </w:p>
        </w:tc>
      </w:tr>
      <w:tr w:rsidR="00184FBD" w:rsidRPr="00FD119B" w14:paraId="624AF49C" w14:textId="77777777" w:rsidTr="00735EA7">
        <w:tc>
          <w:tcPr>
            <w:tcW w:w="1890" w:type="dxa"/>
          </w:tcPr>
          <w:p w14:paraId="162F9168" w14:textId="64EC5CAD" w:rsidR="00184FBD" w:rsidRPr="008A78DD" w:rsidRDefault="00184FBD" w:rsidP="008A78DD">
            <w:r w:rsidRPr="008A78DD">
              <w:t>HSCT</w:t>
            </w:r>
          </w:p>
        </w:tc>
        <w:tc>
          <w:tcPr>
            <w:tcW w:w="6604" w:type="dxa"/>
          </w:tcPr>
          <w:p w14:paraId="39EA083E" w14:textId="34C05429" w:rsidR="00184FBD" w:rsidRPr="008A78DD" w:rsidRDefault="00184FBD" w:rsidP="008A78DD">
            <w:r w:rsidRPr="008A78DD">
              <w:t>Haematopoietic stem cell transplantation</w:t>
            </w:r>
          </w:p>
        </w:tc>
      </w:tr>
      <w:tr w:rsidR="00322598" w:rsidRPr="00FD119B" w14:paraId="65E5087A" w14:textId="77777777" w:rsidTr="00735EA7">
        <w:tc>
          <w:tcPr>
            <w:tcW w:w="1890" w:type="dxa"/>
          </w:tcPr>
          <w:p w14:paraId="34DF4B37" w14:textId="01BB89E2" w:rsidR="00322598" w:rsidRPr="008A78DD" w:rsidRDefault="00322598" w:rsidP="008A78DD">
            <w:r w:rsidRPr="008A78DD">
              <w:t>IgG</w:t>
            </w:r>
          </w:p>
        </w:tc>
        <w:tc>
          <w:tcPr>
            <w:tcW w:w="6604" w:type="dxa"/>
          </w:tcPr>
          <w:p w14:paraId="75555684" w14:textId="39500D64" w:rsidR="00322598" w:rsidRPr="008A78DD" w:rsidRDefault="00724560" w:rsidP="008A78DD">
            <w:r w:rsidRPr="008A78DD">
              <w:t>Immunoglobulin-</w:t>
            </w:r>
            <w:r w:rsidR="00322598" w:rsidRPr="008A78DD">
              <w:t>G</w:t>
            </w:r>
          </w:p>
        </w:tc>
      </w:tr>
      <w:tr w:rsidR="00184FBD" w:rsidRPr="00FD119B" w14:paraId="052064D8" w14:textId="77777777" w:rsidTr="00735EA7">
        <w:tc>
          <w:tcPr>
            <w:tcW w:w="1890" w:type="dxa"/>
          </w:tcPr>
          <w:p w14:paraId="5B5BD415" w14:textId="51902769" w:rsidR="00184FBD" w:rsidRPr="008A78DD" w:rsidRDefault="00184FBD" w:rsidP="008A78DD">
            <w:r w:rsidRPr="008A78DD">
              <w:t>IGSC</w:t>
            </w:r>
          </w:p>
        </w:tc>
        <w:tc>
          <w:tcPr>
            <w:tcW w:w="6604" w:type="dxa"/>
          </w:tcPr>
          <w:p w14:paraId="6CE415AC" w14:textId="3793BBEA" w:rsidR="00184FBD" w:rsidRPr="008A78DD" w:rsidRDefault="00184FBD" w:rsidP="008A78DD">
            <w:r w:rsidRPr="008A78DD">
              <w:t>Immune globulin solution for subcutaneous infusion</w:t>
            </w:r>
          </w:p>
        </w:tc>
      </w:tr>
      <w:tr w:rsidR="00184FBD" w:rsidRPr="00FD119B" w14:paraId="5802D080" w14:textId="77777777" w:rsidTr="00735EA7">
        <w:tc>
          <w:tcPr>
            <w:tcW w:w="1890" w:type="dxa"/>
          </w:tcPr>
          <w:p w14:paraId="78AE8FD0" w14:textId="6E41E1DF" w:rsidR="00184FBD" w:rsidRPr="008A78DD" w:rsidRDefault="00184FBD" w:rsidP="008A78DD">
            <w:r w:rsidRPr="008A78DD">
              <w:t>IVIg</w:t>
            </w:r>
          </w:p>
        </w:tc>
        <w:tc>
          <w:tcPr>
            <w:tcW w:w="6604" w:type="dxa"/>
          </w:tcPr>
          <w:p w14:paraId="5BD01001" w14:textId="769060DE" w:rsidR="00184FBD" w:rsidRPr="008A78DD" w:rsidRDefault="00184FBD" w:rsidP="008A78DD">
            <w:r w:rsidRPr="008A78DD">
              <w:t>Intravenous immunoglobulin</w:t>
            </w:r>
          </w:p>
        </w:tc>
      </w:tr>
      <w:tr w:rsidR="00184FBD" w:rsidRPr="00FD119B" w14:paraId="75E5167D" w14:textId="77777777" w:rsidTr="00735EA7">
        <w:tc>
          <w:tcPr>
            <w:tcW w:w="1890" w:type="dxa"/>
          </w:tcPr>
          <w:p w14:paraId="5D1E5C83" w14:textId="328617AC" w:rsidR="00184FBD" w:rsidRPr="008A78DD" w:rsidRDefault="00184FBD" w:rsidP="008A78DD">
            <w:r w:rsidRPr="008A78DD">
              <w:t>MM</w:t>
            </w:r>
          </w:p>
        </w:tc>
        <w:tc>
          <w:tcPr>
            <w:tcW w:w="6604" w:type="dxa"/>
          </w:tcPr>
          <w:p w14:paraId="70CFFB35" w14:textId="66257645" w:rsidR="00184FBD" w:rsidRPr="008A78DD" w:rsidRDefault="00184FBD" w:rsidP="008A78DD">
            <w:r w:rsidRPr="008A78DD">
              <w:t>Multiple myeloma</w:t>
            </w:r>
          </w:p>
        </w:tc>
      </w:tr>
      <w:tr w:rsidR="00184FBD" w:rsidRPr="00FD119B" w14:paraId="32CE2934" w14:textId="77777777" w:rsidTr="00735EA7">
        <w:tc>
          <w:tcPr>
            <w:tcW w:w="1890" w:type="dxa"/>
          </w:tcPr>
          <w:p w14:paraId="09D938C8" w14:textId="1CD8D1F9" w:rsidR="00184FBD" w:rsidRPr="008A78DD" w:rsidRDefault="00184FBD" w:rsidP="008A78DD">
            <w:r w:rsidRPr="008A78DD">
              <w:t>SCIg</w:t>
            </w:r>
          </w:p>
        </w:tc>
        <w:tc>
          <w:tcPr>
            <w:tcW w:w="6604" w:type="dxa"/>
          </w:tcPr>
          <w:p w14:paraId="6D641031" w14:textId="2A5921CB" w:rsidR="00184FBD" w:rsidRPr="008A78DD" w:rsidRDefault="00184FBD" w:rsidP="008A78DD">
            <w:r w:rsidRPr="008A78DD">
              <w:t>Subcutaneous immunoglobulin</w:t>
            </w:r>
          </w:p>
        </w:tc>
      </w:tr>
      <w:tr w:rsidR="005C2087" w:rsidRPr="00FD119B" w14:paraId="7161D739" w14:textId="77777777" w:rsidTr="00735EA7">
        <w:tc>
          <w:tcPr>
            <w:tcW w:w="1890" w:type="dxa"/>
          </w:tcPr>
          <w:p w14:paraId="6E76F37A" w14:textId="1CADB9AA" w:rsidR="005C2087" w:rsidRPr="008A78DD" w:rsidRDefault="005C2087" w:rsidP="008A78DD">
            <w:r w:rsidRPr="008A78DD">
              <w:t>PY</w:t>
            </w:r>
          </w:p>
        </w:tc>
        <w:tc>
          <w:tcPr>
            <w:tcW w:w="6604" w:type="dxa"/>
          </w:tcPr>
          <w:p w14:paraId="64677E36" w14:textId="5EA6C5AB" w:rsidR="005C2087" w:rsidRPr="008A78DD" w:rsidRDefault="005C2087" w:rsidP="008A78DD">
            <w:r w:rsidRPr="008A78DD">
              <w:t>Per person per year</w:t>
            </w:r>
          </w:p>
        </w:tc>
      </w:tr>
      <w:tr w:rsidR="00597769" w:rsidRPr="00FD119B" w14:paraId="7354E65D" w14:textId="77777777" w:rsidTr="00735EA7">
        <w:tc>
          <w:tcPr>
            <w:tcW w:w="1890" w:type="dxa"/>
          </w:tcPr>
          <w:p w14:paraId="2E2F7501" w14:textId="1048CD1C" w:rsidR="00597769" w:rsidRPr="008A78DD" w:rsidRDefault="00597769" w:rsidP="008A78DD">
            <w:r w:rsidRPr="008A78DD">
              <w:t>pH</w:t>
            </w:r>
          </w:p>
        </w:tc>
        <w:tc>
          <w:tcPr>
            <w:tcW w:w="6604" w:type="dxa"/>
          </w:tcPr>
          <w:p w14:paraId="6DA879C8" w14:textId="6BA45BF0" w:rsidR="00597769" w:rsidRPr="008A78DD" w:rsidRDefault="00597769" w:rsidP="008A78DD">
            <w:r w:rsidRPr="008A78DD">
              <w:t>Potential of hydrogen</w:t>
            </w:r>
          </w:p>
        </w:tc>
      </w:tr>
      <w:tr w:rsidR="00597769" w:rsidRPr="00FD119B" w14:paraId="1D3DD1C2" w14:textId="77777777" w:rsidTr="00735EA7">
        <w:tc>
          <w:tcPr>
            <w:tcW w:w="1890" w:type="dxa"/>
          </w:tcPr>
          <w:p w14:paraId="4D52CDB1" w14:textId="205A2073" w:rsidR="00597769" w:rsidRPr="008A78DD" w:rsidRDefault="00597769" w:rsidP="008A78DD">
            <w:r w:rsidRPr="008A78DD">
              <w:t>PK</w:t>
            </w:r>
          </w:p>
        </w:tc>
        <w:tc>
          <w:tcPr>
            <w:tcW w:w="6604" w:type="dxa"/>
          </w:tcPr>
          <w:p w14:paraId="7CA9E832" w14:textId="38256A09" w:rsidR="00597769" w:rsidRPr="008A78DD" w:rsidRDefault="00597769" w:rsidP="008A78DD">
            <w:r w:rsidRPr="008A78DD">
              <w:t>Pharmacokinetic(s)</w:t>
            </w:r>
          </w:p>
        </w:tc>
      </w:tr>
      <w:tr w:rsidR="00735EA7" w:rsidRPr="00FD119B" w14:paraId="76D05F81" w14:textId="77777777" w:rsidTr="00735EA7">
        <w:tc>
          <w:tcPr>
            <w:tcW w:w="1890" w:type="dxa"/>
          </w:tcPr>
          <w:p w14:paraId="34D25836" w14:textId="0319FF02" w:rsidR="00735EA7" w:rsidRPr="008A78DD" w:rsidRDefault="00735EA7" w:rsidP="008A78DD">
            <w:r>
              <w:t>PK</w:t>
            </w:r>
            <w:r w:rsidRPr="00735EA7">
              <w:rPr>
                <w:vertAlign w:val="subscript"/>
              </w:rPr>
              <w:t>IV</w:t>
            </w:r>
          </w:p>
        </w:tc>
        <w:tc>
          <w:tcPr>
            <w:tcW w:w="6604" w:type="dxa"/>
          </w:tcPr>
          <w:p w14:paraId="048ED6BA" w14:textId="43437A06" w:rsidR="00735EA7" w:rsidRPr="008A78DD" w:rsidRDefault="00735EA7" w:rsidP="00735EA7">
            <w:r w:rsidRPr="00735EA7">
              <w:t>PK following</w:t>
            </w:r>
            <w:r>
              <w:t xml:space="preserve"> IVIg to the switch to </w:t>
            </w:r>
            <w:r w:rsidR="007D49A3">
              <w:t>Octanorm</w:t>
            </w:r>
          </w:p>
        </w:tc>
      </w:tr>
      <w:tr w:rsidR="00735EA7" w:rsidRPr="00FD119B" w14:paraId="68F2AF83" w14:textId="77777777" w:rsidTr="00735EA7">
        <w:tc>
          <w:tcPr>
            <w:tcW w:w="1890" w:type="dxa"/>
          </w:tcPr>
          <w:p w14:paraId="5D479E19" w14:textId="428C13DD" w:rsidR="00735EA7" w:rsidRPr="008A78DD" w:rsidRDefault="00735EA7" w:rsidP="008A78DD">
            <w:r w:rsidRPr="00735EA7">
              <w:t>PK</w:t>
            </w:r>
            <w:r w:rsidRPr="00735EA7">
              <w:rPr>
                <w:vertAlign w:val="subscript"/>
              </w:rPr>
              <w:t>SC1</w:t>
            </w:r>
          </w:p>
        </w:tc>
        <w:tc>
          <w:tcPr>
            <w:tcW w:w="6604" w:type="dxa"/>
          </w:tcPr>
          <w:p w14:paraId="1F8914E1" w14:textId="140AD509" w:rsidR="00735EA7" w:rsidRPr="008A78DD" w:rsidRDefault="00735EA7" w:rsidP="00735EA7">
            <w:r w:rsidRPr="00735EA7">
              <w:t>PK afte</w:t>
            </w:r>
            <w:r>
              <w:t xml:space="preserve">r the </w:t>
            </w:r>
            <w:r w:rsidR="004046B1" w:rsidRPr="004046B1">
              <w:t>eleventh</w:t>
            </w:r>
            <w:r>
              <w:t xml:space="preserve"> infusion of </w:t>
            </w:r>
            <w:r w:rsidR="007D49A3">
              <w:t>Octanorm</w:t>
            </w:r>
          </w:p>
        </w:tc>
      </w:tr>
      <w:tr w:rsidR="00735EA7" w:rsidRPr="00FD119B" w14:paraId="7DA34FED" w14:textId="77777777" w:rsidTr="00735EA7">
        <w:tc>
          <w:tcPr>
            <w:tcW w:w="1890" w:type="dxa"/>
          </w:tcPr>
          <w:p w14:paraId="6FD9A9E0" w14:textId="7A4A41AE" w:rsidR="00735EA7" w:rsidRPr="008A78DD" w:rsidRDefault="00735EA7" w:rsidP="008A78DD">
            <w:r w:rsidRPr="00735EA7">
              <w:t>PK</w:t>
            </w:r>
            <w:r w:rsidRPr="00735EA7">
              <w:rPr>
                <w:vertAlign w:val="subscript"/>
              </w:rPr>
              <w:t>SC2</w:t>
            </w:r>
          </w:p>
        </w:tc>
        <w:tc>
          <w:tcPr>
            <w:tcW w:w="6604" w:type="dxa"/>
          </w:tcPr>
          <w:p w14:paraId="0C56EBDE" w14:textId="3A276F7C" w:rsidR="00735EA7" w:rsidRPr="00735EA7" w:rsidRDefault="00735EA7" w:rsidP="00FA4935">
            <w:r w:rsidRPr="00735EA7">
              <w:t xml:space="preserve">PK after the </w:t>
            </w:r>
            <w:r w:rsidR="004046B1" w:rsidRPr="004046B1">
              <w:t>twenty-eighth</w:t>
            </w:r>
            <w:r w:rsidRPr="00735EA7">
              <w:t xml:space="preserve"> infusion of </w:t>
            </w:r>
            <w:r w:rsidR="007D49A3">
              <w:t>Octanorm</w:t>
            </w:r>
          </w:p>
        </w:tc>
      </w:tr>
      <w:tr w:rsidR="00184FBD" w:rsidRPr="00FD119B" w14:paraId="40BF17C3" w14:textId="77777777" w:rsidTr="00735EA7">
        <w:tc>
          <w:tcPr>
            <w:tcW w:w="1890" w:type="dxa"/>
          </w:tcPr>
          <w:p w14:paraId="00652EA1" w14:textId="54E4BD47" w:rsidR="00184FBD" w:rsidRPr="008A78DD" w:rsidRDefault="00184FBD" w:rsidP="008A78DD">
            <w:r w:rsidRPr="008A78DD">
              <w:t>PI</w:t>
            </w:r>
          </w:p>
        </w:tc>
        <w:tc>
          <w:tcPr>
            <w:tcW w:w="6604" w:type="dxa"/>
          </w:tcPr>
          <w:p w14:paraId="44BA78F5" w14:textId="2DF86435" w:rsidR="00184FBD" w:rsidRPr="008A78DD" w:rsidRDefault="00184FBD" w:rsidP="008A78DD">
            <w:r w:rsidRPr="008A78DD">
              <w:t>Product Information</w:t>
            </w:r>
          </w:p>
        </w:tc>
      </w:tr>
      <w:tr w:rsidR="00FD119B" w:rsidRPr="00FD119B" w14:paraId="5F7F60D0" w14:textId="77777777" w:rsidTr="00735EA7">
        <w:tc>
          <w:tcPr>
            <w:tcW w:w="1890" w:type="dxa"/>
          </w:tcPr>
          <w:p w14:paraId="1EC60557" w14:textId="39295878" w:rsidR="00FD119B" w:rsidRPr="008A78DD" w:rsidRDefault="00322598" w:rsidP="008A78DD">
            <w:r w:rsidRPr="008A78DD">
              <w:t>PID</w:t>
            </w:r>
          </w:p>
        </w:tc>
        <w:tc>
          <w:tcPr>
            <w:tcW w:w="6604" w:type="dxa"/>
          </w:tcPr>
          <w:p w14:paraId="2DC7A7DC" w14:textId="1C106327" w:rsidR="00FD119B" w:rsidRPr="008A78DD" w:rsidRDefault="00322598" w:rsidP="008A78DD">
            <w:r w:rsidRPr="008A78DD">
              <w:t>Pri</w:t>
            </w:r>
            <w:r w:rsidR="00724560" w:rsidRPr="008A78DD">
              <w:t>mary immunodeficiency disease(s)</w:t>
            </w:r>
          </w:p>
        </w:tc>
      </w:tr>
      <w:tr w:rsidR="00EE02D1" w:rsidRPr="00FD119B" w14:paraId="10C89B72" w14:textId="77777777" w:rsidTr="00735EA7">
        <w:tc>
          <w:tcPr>
            <w:tcW w:w="1890" w:type="dxa"/>
          </w:tcPr>
          <w:p w14:paraId="25BB217E" w14:textId="20CCCB4B" w:rsidR="00EE02D1" w:rsidRPr="008A78DD" w:rsidRDefault="00EE02D1" w:rsidP="008A78DD">
            <w:r w:rsidRPr="008A78DD">
              <w:t>PSUR</w:t>
            </w:r>
          </w:p>
        </w:tc>
        <w:tc>
          <w:tcPr>
            <w:tcW w:w="6604" w:type="dxa"/>
          </w:tcPr>
          <w:p w14:paraId="1700B265" w14:textId="7EFC3AB0" w:rsidR="00EE02D1" w:rsidRPr="008A78DD" w:rsidRDefault="00EE02D1" w:rsidP="008A78DD">
            <w:r w:rsidRPr="008A78DD">
              <w:t>Periodic safety update report</w:t>
            </w:r>
          </w:p>
        </w:tc>
      </w:tr>
      <w:tr w:rsidR="007179B0" w:rsidRPr="00FD119B" w14:paraId="19D83F85" w14:textId="77777777" w:rsidTr="00735EA7">
        <w:tc>
          <w:tcPr>
            <w:tcW w:w="1890" w:type="dxa"/>
          </w:tcPr>
          <w:p w14:paraId="29B2CD9F" w14:textId="6AB184BF" w:rsidR="007179B0" w:rsidRPr="008A78DD" w:rsidRDefault="007179B0" w:rsidP="008A78DD">
            <w:r w:rsidRPr="008A78DD">
              <w:t>RMP</w:t>
            </w:r>
          </w:p>
        </w:tc>
        <w:tc>
          <w:tcPr>
            <w:tcW w:w="6604" w:type="dxa"/>
          </w:tcPr>
          <w:p w14:paraId="4B871FB5" w14:textId="2BCB80D2" w:rsidR="007179B0" w:rsidRPr="008A78DD" w:rsidRDefault="007179B0" w:rsidP="008A78DD">
            <w:r w:rsidRPr="008A78DD">
              <w:t>Risk management plan</w:t>
            </w:r>
          </w:p>
        </w:tc>
      </w:tr>
      <w:tr w:rsidR="00597769" w:rsidRPr="00FD119B" w14:paraId="373A23F8" w14:textId="77777777" w:rsidTr="00735EA7">
        <w:tc>
          <w:tcPr>
            <w:tcW w:w="1890" w:type="dxa"/>
          </w:tcPr>
          <w:p w14:paraId="7506713F" w14:textId="7BE5F546" w:rsidR="00597769" w:rsidRPr="008A78DD" w:rsidRDefault="00597769" w:rsidP="008A78DD">
            <w:r w:rsidRPr="008A78DD">
              <w:t>RSV</w:t>
            </w:r>
          </w:p>
        </w:tc>
        <w:tc>
          <w:tcPr>
            <w:tcW w:w="6604" w:type="dxa"/>
          </w:tcPr>
          <w:p w14:paraId="13336F1B" w14:textId="2CCD8B5B" w:rsidR="00597769" w:rsidRPr="008A78DD" w:rsidRDefault="00597769" w:rsidP="008A78DD">
            <w:r w:rsidRPr="008A78DD">
              <w:t>Respiratory syncytial virus</w:t>
            </w:r>
          </w:p>
        </w:tc>
      </w:tr>
      <w:tr w:rsidR="00597769" w:rsidRPr="00FD119B" w14:paraId="6E7F557D" w14:textId="77777777" w:rsidTr="00735EA7">
        <w:tc>
          <w:tcPr>
            <w:tcW w:w="1890" w:type="dxa"/>
          </w:tcPr>
          <w:p w14:paraId="69A874BB" w14:textId="417565B8" w:rsidR="00597769" w:rsidRPr="008A78DD" w:rsidRDefault="00597769" w:rsidP="008A78DD">
            <w:r w:rsidRPr="008A78DD">
              <w:t>SAE</w:t>
            </w:r>
          </w:p>
        </w:tc>
        <w:tc>
          <w:tcPr>
            <w:tcW w:w="6604" w:type="dxa"/>
          </w:tcPr>
          <w:p w14:paraId="7E932856" w14:textId="518AFEC9" w:rsidR="00597769" w:rsidRPr="008A78DD" w:rsidRDefault="00597769" w:rsidP="008A78DD">
            <w:r w:rsidRPr="008A78DD">
              <w:t>Serious adverse event</w:t>
            </w:r>
          </w:p>
        </w:tc>
      </w:tr>
      <w:tr w:rsidR="00597769" w:rsidRPr="00FD119B" w14:paraId="206F9AD4" w14:textId="77777777" w:rsidTr="00735EA7">
        <w:tc>
          <w:tcPr>
            <w:tcW w:w="1890" w:type="dxa"/>
          </w:tcPr>
          <w:p w14:paraId="0019D4F5" w14:textId="0613BA29" w:rsidR="00597769" w:rsidRPr="008A78DD" w:rsidRDefault="00597769" w:rsidP="008A78DD">
            <w:r w:rsidRPr="008A78DD">
              <w:t>SBI</w:t>
            </w:r>
          </w:p>
        </w:tc>
        <w:tc>
          <w:tcPr>
            <w:tcW w:w="6604" w:type="dxa"/>
          </w:tcPr>
          <w:p w14:paraId="7A0B5959" w14:textId="0546548F" w:rsidR="00597769" w:rsidRPr="008A78DD" w:rsidRDefault="00597769" w:rsidP="008A78DD">
            <w:r w:rsidRPr="008A78DD">
              <w:t>Serious bacterial infections</w:t>
            </w:r>
          </w:p>
        </w:tc>
      </w:tr>
      <w:tr w:rsidR="00184FBD" w:rsidRPr="00FD119B" w14:paraId="401BF1FB" w14:textId="77777777" w:rsidTr="00735EA7">
        <w:tc>
          <w:tcPr>
            <w:tcW w:w="1890" w:type="dxa"/>
          </w:tcPr>
          <w:p w14:paraId="2C5B8202" w14:textId="4656A403" w:rsidR="00184FBD" w:rsidRPr="008A78DD" w:rsidRDefault="00184FBD" w:rsidP="008A78DD">
            <w:r w:rsidRPr="008A78DD">
              <w:t>SID</w:t>
            </w:r>
          </w:p>
        </w:tc>
        <w:tc>
          <w:tcPr>
            <w:tcW w:w="6604" w:type="dxa"/>
          </w:tcPr>
          <w:p w14:paraId="4D974AC3" w14:textId="2EB805F6" w:rsidR="00184FBD" w:rsidRPr="008A78DD" w:rsidRDefault="00184FBD" w:rsidP="008A78DD">
            <w:r w:rsidRPr="008A78DD">
              <w:t>Secondary immune deficiency</w:t>
            </w:r>
          </w:p>
        </w:tc>
      </w:tr>
      <w:tr w:rsidR="00597769" w:rsidRPr="00FD119B" w14:paraId="3C98479B" w14:textId="77777777" w:rsidTr="00735EA7">
        <w:tc>
          <w:tcPr>
            <w:tcW w:w="1890" w:type="dxa"/>
          </w:tcPr>
          <w:p w14:paraId="5D091879" w14:textId="48CBD7FD" w:rsidR="00597769" w:rsidRPr="008A78DD" w:rsidRDefault="00597769" w:rsidP="008A78DD">
            <w:r w:rsidRPr="008A78DD">
              <w:t>TEAE</w:t>
            </w:r>
          </w:p>
        </w:tc>
        <w:tc>
          <w:tcPr>
            <w:tcW w:w="6604" w:type="dxa"/>
          </w:tcPr>
          <w:p w14:paraId="40FCC82D" w14:textId="633979D7" w:rsidR="00597769" w:rsidRPr="008A78DD" w:rsidRDefault="00597769" w:rsidP="008A78DD">
            <w:r w:rsidRPr="008A78DD">
              <w:t>Treatmen</w:t>
            </w:r>
            <w:r w:rsidR="00724560" w:rsidRPr="008A78DD">
              <w:t>t</w:t>
            </w:r>
            <w:r w:rsidR="00F278AF">
              <w:t>-</w:t>
            </w:r>
            <w:r w:rsidR="00724560" w:rsidRPr="008A78DD">
              <w:t>emergent adverse event</w:t>
            </w:r>
          </w:p>
        </w:tc>
      </w:tr>
      <w:tr w:rsidR="00FD119B" w:rsidRPr="00FD119B" w14:paraId="77AB27C6" w14:textId="77777777" w:rsidTr="00735EA7">
        <w:tc>
          <w:tcPr>
            <w:tcW w:w="1890" w:type="dxa"/>
          </w:tcPr>
          <w:p w14:paraId="34B1E6C0" w14:textId="06E23973" w:rsidR="00FD119B" w:rsidRPr="008A78DD" w:rsidRDefault="00322598" w:rsidP="008A78DD">
            <w:r w:rsidRPr="008A78DD">
              <w:t>TGA</w:t>
            </w:r>
          </w:p>
        </w:tc>
        <w:tc>
          <w:tcPr>
            <w:tcW w:w="6604" w:type="dxa"/>
          </w:tcPr>
          <w:p w14:paraId="27EE2FC4" w14:textId="06588C08" w:rsidR="00FD119B" w:rsidRPr="008A78DD" w:rsidRDefault="00322598" w:rsidP="008A78DD">
            <w:r w:rsidRPr="008A78DD">
              <w:t>Therapeutic Goods Administration</w:t>
            </w:r>
          </w:p>
        </w:tc>
      </w:tr>
      <w:tr w:rsidR="00597769" w:rsidRPr="00FD119B" w14:paraId="65D9E2CC" w14:textId="77777777" w:rsidTr="00735EA7">
        <w:tc>
          <w:tcPr>
            <w:tcW w:w="1890" w:type="dxa"/>
          </w:tcPr>
          <w:p w14:paraId="0C5BE161" w14:textId="794564EE" w:rsidR="00597769" w:rsidRPr="008A78DD" w:rsidRDefault="00597769" w:rsidP="008A78DD">
            <w:r w:rsidRPr="008A78DD">
              <w:t>T</w:t>
            </w:r>
            <w:r w:rsidRPr="008A78DD">
              <w:rPr>
                <w:vertAlign w:val="subscript"/>
              </w:rPr>
              <w:t>max</w:t>
            </w:r>
          </w:p>
        </w:tc>
        <w:tc>
          <w:tcPr>
            <w:tcW w:w="6604" w:type="dxa"/>
          </w:tcPr>
          <w:p w14:paraId="3BE1F0A6" w14:textId="5912F5B1" w:rsidR="00597769" w:rsidRPr="008A78DD" w:rsidRDefault="00597769" w:rsidP="008A78DD">
            <w:r w:rsidRPr="008A78DD">
              <w:t>Time at maximum concentration</w:t>
            </w:r>
          </w:p>
        </w:tc>
      </w:tr>
      <w:tr w:rsidR="00184FBD" w:rsidRPr="00FD119B" w14:paraId="1DE8985C" w14:textId="77777777" w:rsidTr="00735EA7">
        <w:tc>
          <w:tcPr>
            <w:tcW w:w="1890" w:type="dxa"/>
          </w:tcPr>
          <w:p w14:paraId="489A92A6" w14:textId="02551ADB" w:rsidR="00184FBD" w:rsidRPr="008A78DD" w:rsidRDefault="00184FBD" w:rsidP="008A78DD">
            <w:r w:rsidRPr="008A78DD">
              <w:t>TNBP</w:t>
            </w:r>
          </w:p>
        </w:tc>
        <w:tc>
          <w:tcPr>
            <w:tcW w:w="6604" w:type="dxa"/>
          </w:tcPr>
          <w:p w14:paraId="6CF8BFF2" w14:textId="7930ADE2" w:rsidR="00184FBD" w:rsidRPr="008A78DD" w:rsidRDefault="00724560" w:rsidP="008A78DD">
            <w:r w:rsidRPr="008A78DD">
              <w:t>T</w:t>
            </w:r>
            <w:r w:rsidR="00184FBD" w:rsidRPr="008A78DD">
              <w:t>ri(n-butyl)phosphate</w:t>
            </w:r>
          </w:p>
        </w:tc>
      </w:tr>
      <w:tr w:rsidR="00184FBD" w:rsidRPr="00FD119B" w14:paraId="289C86CF" w14:textId="77777777" w:rsidTr="00735EA7">
        <w:tc>
          <w:tcPr>
            <w:tcW w:w="1890" w:type="dxa"/>
          </w:tcPr>
          <w:p w14:paraId="00096422" w14:textId="38689D44" w:rsidR="00184FBD" w:rsidRPr="008A78DD" w:rsidRDefault="00184FBD" w:rsidP="008A78DD">
            <w:r w:rsidRPr="008A78DD">
              <w:t>USA</w:t>
            </w:r>
          </w:p>
        </w:tc>
        <w:tc>
          <w:tcPr>
            <w:tcW w:w="6604" w:type="dxa"/>
          </w:tcPr>
          <w:p w14:paraId="03532AC5" w14:textId="4F43021C" w:rsidR="00184FBD" w:rsidRPr="008A78DD" w:rsidRDefault="00184FBD" w:rsidP="008A78DD">
            <w:r w:rsidRPr="008A78DD">
              <w:t>United States of America</w:t>
            </w:r>
          </w:p>
        </w:tc>
      </w:tr>
    </w:tbl>
    <w:p w14:paraId="7C21D242" w14:textId="77777777" w:rsidR="00FD119B" w:rsidRDefault="00FD119B" w:rsidP="00FD119B"/>
    <w:p w14:paraId="388C2D95" w14:textId="77777777" w:rsidR="00FD119B" w:rsidRPr="00FD119B" w:rsidRDefault="00FD119B" w:rsidP="00FD119B">
      <w:pPr>
        <w:spacing w:before="0" w:after="200" w:line="0" w:lineRule="auto"/>
        <w:rPr>
          <w:b/>
          <w:i/>
          <w:sz w:val="24"/>
          <w:szCs w:val="24"/>
        </w:rPr>
      </w:pPr>
      <w:r w:rsidRPr="00FD119B">
        <w:rPr>
          <w:b/>
          <w:i/>
          <w:sz w:val="24"/>
          <w:szCs w:val="24"/>
        </w:rPr>
        <w:br w:type="page"/>
      </w:r>
    </w:p>
    <w:p w14:paraId="74BD6D7D" w14:textId="66F471BE" w:rsidR="008E7846" w:rsidRDefault="00F53C07" w:rsidP="008E7846">
      <w:pPr>
        <w:pStyle w:val="Heading2"/>
      </w:pPr>
      <w:bookmarkStart w:id="9" w:name="_Toc76652753"/>
      <w:r>
        <w:t>I.</w:t>
      </w:r>
      <w:r w:rsidR="008E7846">
        <w:t xml:space="preserve"> Introduction to product submission</w:t>
      </w:r>
      <w:bookmarkEnd w:id="0"/>
      <w:bookmarkEnd w:id="3"/>
      <w:bookmarkEnd w:id="9"/>
    </w:p>
    <w:p w14:paraId="221E55BD" w14:textId="77777777" w:rsidR="008E7846" w:rsidRDefault="008E7846" w:rsidP="008E7846">
      <w:pPr>
        <w:pStyle w:val="Heading3"/>
        <w:rPr>
          <w:lang w:eastAsia="en-AU"/>
        </w:rPr>
      </w:pPr>
      <w:bookmarkStart w:id="10" w:name="_Toc247691502"/>
      <w:bookmarkStart w:id="11" w:name="_Toc314842483"/>
      <w:bookmarkStart w:id="12" w:name="_Toc76652754"/>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5A4C117D" w14:textId="77777777" w:rsidTr="003735BC">
        <w:tc>
          <w:tcPr>
            <w:tcW w:w="2907" w:type="dxa"/>
          </w:tcPr>
          <w:p w14:paraId="00CBFAEC"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2C65D93F" w14:textId="77777777" w:rsidR="008E7846" w:rsidRPr="003D1E62" w:rsidRDefault="00DF17CD" w:rsidP="001B5C90">
            <w:r w:rsidRPr="00DF17CD">
              <w:t>New biological entity</w:t>
            </w:r>
          </w:p>
        </w:tc>
      </w:tr>
      <w:tr w:rsidR="00460036" w:rsidRPr="003D1E62" w14:paraId="1D54B1FE" w14:textId="77777777" w:rsidTr="003735BC">
        <w:tc>
          <w:tcPr>
            <w:tcW w:w="2907" w:type="dxa"/>
          </w:tcPr>
          <w:p w14:paraId="3347D851" w14:textId="77777777" w:rsidR="00460036" w:rsidRPr="003D1E62" w:rsidRDefault="00460036" w:rsidP="00DF17CD">
            <w:pPr>
              <w:rPr>
                <w:i/>
              </w:rPr>
            </w:pPr>
            <w:r w:rsidRPr="00460036">
              <w:rPr>
                <w:i/>
              </w:rPr>
              <w:t>Product name:</w:t>
            </w:r>
          </w:p>
        </w:tc>
        <w:tc>
          <w:tcPr>
            <w:tcW w:w="6307" w:type="dxa"/>
          </w:tcPr>
          <w:p w14:paraId="66426CCC" w14:textId="77777777" w:rsidR="00460036" w:rsidRPr="003D1E62" w:rsidRDefault="00DF17CD" w:rsidP="001B5C90">
            <w:r w:rsidRPr="00DF17CD">
              <w:t>Cutaquig</w:t>
            </w:r>
          </w:p>
        </w:tc>
      </w:tr>
      <w:tr w:rsidR="00460036" w:rsidRPr="003D1E62" w14:paraId="17455685" w14:textId="77777777" w:rsidTr="003735BC">
        <w:tc>
          <w:tcPr>
            <w:tcW w:w="2907" w:type="dxa"/>
          </w:tcPr>
          <w:p w14:paraId="553D159E" w14:textId="77777777" w:rsidR="00460036" w:rsidRPr="003D1E62" w:rsidRDefault="00460036" w:rsidP="00DF17CD">
            <w:pPr>
              <w:rPr>
                <w:i/>
              </w:rPr>
            </w:pPr>
            <w:r w:rsidRPr="00460036">
              <w:rPr>
                <w:i/>
              </w:rPr>
              <w:t>Active ingredient:</w:t>
            </w:r>
          </w:p>
        </w:tc>
        <w:tc>
          <w:tcPr>
            <w:tcW w:w="6307" w:type="dxa"/>
          </w:tcPr>
          <w:p w14:paraId="23733F05" w14:textId="77777777" w:rsidR="00460036" w:rsidRPr="003D1E62" w:rsidRDefault="00DF17CD" w:rsidP="001B5C90">
            <w:r w:rsidRPr="00DF17CD">
              <w:t>Human normal immunoglobulin (human immunoglobulin G)</w:t>
            </w:r>
          </w:p>
        </w:tc>
      </w:tr>
      <w:tr w:rsidR="008E7846" w:rsidRPr="003D1E62" w14:paraId="23A873AD" w14:textId="77777777" w:rsidTr="003735BC">
        <w:tc>
          <w:tcPr>
            <w:tcW w:w="2907" w:type="dxa"/>
          </w:tcPr>
          <w:p w14:paraId="5A14EC87" w14:textId="77777777" w:rsidR="008E7846" w:rsidRPr="003D1E62" w:rsidRDefault="008E7846" w:rsidP="003D1E62">
            <w:r w:rsidRPr="003D1E62">
              <w:rPr>
                <w:i/>
              </w:rPr>
              <w:t>Decision</w:t>
            </w:r>
            <w:r w:rsidRPr="003D1E62">
              <w:t>:</w:t>
            </w:r>
          </w:p>
        </w:tc>
        <w:tc>
          <w:tcPr>
            <w:tcW w:w="6307" w:type="dxa"/>
          </w:tcPr>
          <w:p w14:paraId="6FC2EA6E" w14:textId="77777777" w:rsidR="008E7846" w:rsidRPr="003D1E62" w:rsidRDefault="00DF17CD" w:rsidP="00DF17CD">
            <w:r>
              <w:t>Approved</w:t>
            </w:r>
          </w:p>
        </w:tc>
      </w:tr>
      <w:tr w:rsidR="008E7846" w:rsidRPr="003D1E62" w14:paraId="40310FED" w14:textId="77777777" w:rsidTr="003735BC">
        <w:tc>
          <w:tcPr>
            <w:tcW w:w="2907" w:type="dxa"/>
          </w:tcPr>
          <w:p w14:paraId="106A751D"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5F1B9507" w14:textId="77777777" w:rsidR="008E7846" w:rsidRPr="003D1E62" w:rsidRDefault="00DF17CD" w:rsidP="001B5C90">
            <w:r w:rsidRPr="00DF17CD">
              <w:t>21 April 2021</w:t>
            </w:r>
          </w:p>
        </w:tc>
      </w:tr>
      <w:tr w:rsidR="00ED2922" w:rsidRPr="003D1E62" w14:paraId="0AA8A7A2" w14:textId="77777777" w:rsidTr="003735BC">
        <w:tc>
          <w:tcPr>
            <w:tcW w:w="2907" w:type="dxa"/>
          </w:tcPr>
          <w:p w14:paraId="353CBD88" w14:textId="77777777" w:rsidR="00ED2922" w:rsidRPr="00441C3F" w:rsidRDefault="00ED2922" w:rsidP="001B5C90">
            <w:pPr>
              <w:rPr>
                <w:i/>
              </w:rPr>
            </w:pPr>
            <w:r w:rsidRPr="00441C3F">
              <w:rPr>
                <w:i/>
              </w:rPr>
              <w:t>Date of entry onto ARTG</w:t>
            </w:r>
            <w:r w:rsidR="00500337">
              <w:rPr>
                <w:i/>
              </w:rPr>
              <w:t>:</w:t>
            </w:r>
          </w:p>
        </w:tc>
        <w:tc>
          <w:tcPr>
            <w:tcW w:w="6307" w:type="dxa"/>
          </w:tcPr>
          <w:p w14:paraId="763FDA5A" w14:textId="77777777" w:rsidR="00ED2922" w:rsidRPr="00441C3F" w:rsidRDefault="00DF17CD" w:rsidP="00D153D8">
            <w:pPr>
              <w:rPr>
                <w:i/>
              </w:rPr>
            </w:pPr>
            <w:r w:rsidRPr="00DF17CD">
              <w:t>3 May 2021</w:t>
            </w:r>
          </w:p>
        </w:tc>
      </w:tr>
      <w:tr w:rsidR="00500337" w:rsidRPr="003D1E62" w14:paraId="6050C635" w14:textId="77777777" w:rsidTr="003735BC">
        <w:tc>
          <w:tcPr>
            <w:tcW w:w="2907" w:type="dxa"/>
          </w:tcPr>
          <w:p w14:paraId="0333ABED" w14:textId="77777777" w:rsidR="00500337" w:rsidRPr="00441C3F" w:rsidRDefault="00500337" w:rsidP="00DF17CD">
            <w:pPr>
              <w:rPr>
                <w:i/>
              </w:rPr>
            </w:pPr>
            <w:r>
              <w:rPr>
                <w:i/>
              </w:rPr>
              <w:t>ARTG numbers:</w:t>
            </w:r>
          </w:p>
        </w:tc>
        <w:tc>
          <w:tcPr>
            <w:tcW w:w="6307" w:type="dxa"/>
          </w:tcPr>
          <w:p w14:paraId="70574DCE" w14:textId="77777777" w:rsidR="00500337" w:rsidRPr="00441C3F" w:rsidRDefault="00DF17CD" w:rsidP="00EC463D">
            <w:r w:rsidRPr="00DF17CD">
              <w:t>333120, 333121, 333122, 333123, 333124, 333125</w:t>
            </w:r>
          </w:p>
        </w:tc>
      </w:tr>
      <w:tr w:rsidR="003735BC" w:rsidRPr="003D1E62" w14:paraId="0A7CA94B" w14:textId="77777777" w:rsidTr="003735BC">
        <w:tc>
          <w:tcPr>
            <w:tcW w:w="2907" w:type="dxa"/>
          </w:tcPr>
          <w:p w14:paraId="15D0BF17"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043F950C" w14:textId="77777777" w:rsidR="003735BC" w:rsidRDefault="00DF17CD" w:rsidP="003735BC">
            <w:r>
              <w:t>Yes</w:t>
            </w:r>
          </w:p>
          <w:p w14:paraId="1645AFF9" w14:textId="77777777" w:rsidR="003735BC" w:rsidRPr="00487162" w:rsidRDefault="003735BC" w:rsidP="00DF17CD">
            <w:r>
              <w:t xml:space="preserve">This product will remain in the scheme for 5 years, starting on the date the product is first supplied in </w:t>
            </w:r>
            <w:r w:rsidRPr="00D453FA">
              <w:t>Australia</w:t>
            </w:r>
          </w:p>
        </w:tc>
      </w:tr>
      <w:tr w:rsidR="008E7846" w:rsidRPr="00487162" w14:paraId="7D68101F" w14:textId="77777777" w:rsidTr="00BF1190">
        <w:tc>
          <w:tcPr>
            <w:tcW w:w="2907" w:type="dxa"/>
          </w:tcPr>
          <w:p w14:paraId="6B7760CF"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DC9D8BD" w14:textId="77777777" w:rsidR="008E7846" w:rsidRDefault="00DF17CD" w:rsidP="00E45619">
            <w:r w:rsidRPr="00DF17CD">
              <w:t>Octapharma Australia Pty Ltd</w:t>
            </w:r>
          </w:p>
          <w:p w14:paraId="238CA819" w14:textId="32D610A9" w:rsidR="00DF17CD" w:rsidRDefault="00DF17CD" w:rsidP="00E45619">
            <w:r w:rsidRPr="00DF17CD">
              <w:t>Jones Ba</w:t>
            </w:r>
            <w:r w:rsidR="007746E8">
              <w:t>y Wharf, 42/26-32 Pirrama Road,</w:t>
            </w:r>
          </w:p>
          <w:p w14:paraId="66198DF6" w14:textId="77777777" w:rsidR="00DF17CD" w:rsidRPr="00487162" w:rsidRDefault="00DF17CD" w:rsidP="00E45619">
            <w:r w:rsidRPr="00DF17CD">
              <w:t>Pyrmont NSW 2009</w:t>
            </w:r>
          </w:p>
        </w:tc>
      </w:tr>
      <w:tr w:rsidR="008E7846" w:rsidRPr="00487162" w14:paraId="718ACB03" w14:textId="77777777" w:rsidTr="00BF1190">
        <w:tc>
          <w:tcPr>
            <w:tcW w:w="2907" w:type="dxa"/>
          </w:tcPr>
          <w:p w14:paraId="1C3F7BD6" w14:textId="77777777" w:rsidR="008E7846" w:rsidRPr="00487162" w:rsidRDefault="001B5C90" w:rsidP="00DF17CD">
            <w:pPr>
              <w:rPr>
                <w:i/>
              </w:rPr>
            </w:pPr>
            <w:r>
              <w:rPr>
                <w:i/>
              </w:rPr>
              <w:t>Dose form:</w:t>
            </w:r>
          </w:p>
        </w:tc>
        <w:tc>
          <w:tcPr>
            <w:tcW w:w="6307" w:type="dxa"/>
          </w:tcPr>
          <w:p w14:paraId="4A7E7CE9" w14:textId="77777777" w:rsidR="008E7846" w:rsidRPr="00487162" w:rsidRDefault="00DF17CD" w:rsidP="00E45619">
            <w:r w:rsidRPr="00DF17CD">
              <w:t>Solution for subcutaneous injection</w:t>
            </w:r>
          </w:p>
        </w:tc>
      </w:tr>
      <w:tr w:rsidR="008E7846" w:rsidRPr="00487162" w14:paraId="36382F2B" w14:textId="77777777" w:rsidTr="00BF1190">
        <w:tc>
          <w:tcPr>
            <w:tcW w:w="2907" w:type="dxa"/>
          </w:tcPr>
          <w:p w14:paraId="749B2028" w14:textId="77777777" w:rsidR="008E7846" w:rsidRPr="00487162" w:rsidRDefault="00324E45" w:rsidP="00DF17CD">
            <w:pPr>
              <w:rPr>
                <w:i/>
              </w:rPr>
            </w:pPr>
            <w:r>
              <w:rPr>
                <w:i/>
              </w:rPr>
              <w:t>Strengths:</w:t>
            </w:r>
          </w:p>
        </w:tc>
        <w:tc>
          <w:tcPr>
            <w:tcW w:w="6307" w:type="dxa"/>
          </w:tcPr>
          <w:p w14:paraId="7E2D9849" w14:textId="32D83D17" w:rsidR="008E7846" w:rsidRPr="00487162" w:rsidRDefault="00DF17CD" w:rsidP="007746E8">
            <w:r w:rsidRPr="00DF17CD">
              <w:t>16.5% (165</w:t>
            </w:r>
            <w:r w:rsidR="007746E8">
              <w:t> </w:t>
            </w:r>
            <w:r w:rsidRPr="00DF17CD">
              <w:t>mg/mL) solution available as 8</w:t>
            </w:r>
            <w:r w:rsidR="007746E8">
              <w:t> </w:t>
            </w:r>
            <w:r w:rsidRPr="00DF17CD">
              <w:t>g/48</w:t>
            </w:r>
            <w:r w:rsidR="007746E8">
              <w:t> </w:t>
            </w:r>
            <w:r w:rsidRPr="00DF17CD">
              <w:t>mL, 3.3</w:t>
            </w:r>
            <w:r w:rsidR="007746E8">
              <w:t> </w:t>
            </w:r>
            <w:r w:rsidRPr="00DF17CD">
              <w:t>g/20</w:t>
            </w:r>
            <w:r w:rsidR="007746E8">
              <w:t> </w:t>
            </w:r>
            <w:r w:rsidRPr="00DF17CD">
              <w:t>mL, 4</w:t>
            </w:r>
            <w:r w:rsidR="007746E8">
              <w:t> </w:t>
            </w:r>
            <w:r w:rsidRPr="00DF17CD">
              <w:t>g/24</w:t>
            </w:r>
            <w:r w:rsidR="007746E8">
              <w:t> </w:t>
            </w:r>
            <w:r w:rsidRPr="00DF17CD">
              <w:t>mL, 1</w:t>
            </w:r>
            <w:r w:rsidR="007746E8">
              <w:t> </w:t>
            </w:r>
            <w:r w:rsidRPr="00DF17CD">
              <w:t>g/6</w:t>
            </w:r>
            <w:r w:rsidR="007746E8">
              <w:t> </w:t>
            </w:r>
            <w:r w:rsidRPr="00DF17CD">
              <w:t>mL, 2</w:t>
            </w:r>
            <w:r w:rsidR="007746E8">
              <w:t> </w:t>
            </w:r>
            <w:r w:rsidRPr="00DF17CD">
              <w:t>g/12</w:t>
            </w:r>
            <w:r w:rsidR="007746E8">
              <w:t> </w:t>
            </w:r>
            <w:r w:rsidRPr="00DF17CD">
              <w:t>mL or 1.65</w:t>
            </w:r>
            <w:r w:rsidR="007746E8">
              <w:t> </w:t>
            </w:r>
            <w:r w:rsidRPr="00DF17CD">
              <w:t>g/10</w:t>
            </w:r>
            <w:r w:rsidR="007746E8">
              <w:t> </w:t>
            </w:r>
            <w:r w:rsidRPr="00DF17CD">
              <w:t>mL</w:t>
            </w:r>
          </w:p>
        </w:tc>
      </w:tr>
      <w:tr w:rsidR="008E7846" w:rsidRPr="00487162" w14:paraId="0B7AEA8C" w14:textId="77777777" w:rsidTr="00BF1190">
        <w:tc>
          <w:tcPr>
            <w:tcW w:w="2907" w:type="dxa"/>
          </w:tcPr>
          <w:p w14:paraId="247647D5" w14:textId="77777777" w:rsidR="008E7846" w:rsidRPr="00487162" w:rsidRDefault="008E7846" w:rsidP="00DF17CD">
            <w:pPr>
              <w:rPr>
                <w:i/>
              </w:rPr>
            </w:pPr>
            <w:r w:rsidRPr="00487162">
              <w:rPr>
                <w:i/>
              </w:rPr>
              <w:t>Container:</w:t>
            </w:r>
          </w:p>
        </w:tc>
        <w:tc>
          <w:tcPr>
            <w:tcW w:w="6307" w:type="dxa"/>
          </w:tcPr>
          <w:p w14:paraId="68AE8D98" w14:textId="77777777" w:rsidR="008E7846" w:rsidRPr="00487162" w:rsidRDefault="00DF17CD" w:rsidP="00E45619">
            <w:r w:rsidRPr="00DF17CD">
              <w:t>Vial</w:t>
            </w:r>
          </w:p>
        </w:tc>
      </w:tr>
      <w:tr w:rsidR="008E7846" w:rsidRPr="00487162" w14:paraId="4DE12280" w14:textId="77777777" w:rsidTr="00BF1190">
        <w:tc>
          <w:tcPr>
            <w:tcW w:w="2907" w:type="dxa"/>
          </w:tcPr>
          <w:p w14:paraId="0584A6AC" w14:textId="77777777" w:rsidR="008E7846" w:rsidRPr="00487162" w:rsidRDefault="008E7846" w:rsidP="00DF17CD">
            <w:pPr>
              <w:rPr>
                <w:i/>
              </w:rPr>
            </w:pPr>
            <w:r w:rsidRPr="00487162">
              <w:rPr>
                <w:i/>
              </w:rPr>
              <w:t>Pack sizes:</w:t>
            </w:r>
          </w:p>
        </w:tc>
        <w:tc>
          <w:tcPr>
            <w:tcW w:w="6307" w:type="dxa"/>
          </w:tcPr>
          <w:p w14:paraId="4CFAD599" w14:textId="77777777" w:rsidR="008E7846" w:rsidRPr="00487162" w:rsidRDefault="00DF17CD" w:rsidP="00E45619">
            <w:r w:rsidRPr="00DF17CD">
              <w:t>1, 10 or 20</w:t>
            </w:r>
          </w:p>
        </w:tc>
      </w:tr>
      <w:tr w:rsidR="008E7846" w:rsidRPr="00487162" w14:paraId="5E59EB40" w14:textId="77777777" w:rsidTr="00BF1190">
        <w:tc>
          <w:tcPr>
            <w:tcW w:w="2907" w:type="dxa"/>
          </w:tcPr>
          <w:p w14:paraId="50F5731F"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34E584E" w14:textId="77777777" w:rsidR="00DF17CD" w:rsidRPr="00DF17CD" w:rsidRDefault="00DF17CD" w:rsidP="00DF17CD">
            <w:pPr>
              <w:rPr>
                <w:i/>
              </w:rPr>
            </w:pPr>
            <w:r w:rsidRPr="00DF17CD">
              <w:rPr>
                <w:i/>
              </w:rPr>
              <w:t>Replacement therapy in adults and children in:</w:t>
            </w:r>
          </w:p>
          <w:p w14:paraId="1F9EA5B1" w14:textId="77777777" w:rsidR="00DF17CD" w:rsidRPr="00DF17CD" w:rsidRDefault="00DF17CD" w:rsidP="00DF17CD">
            <w:pPr>
              <w:rPr>
                <w:i/>
              </w:rPr>
            </w:pPr>
            <w:r w:rsidRPr="00DF17CD">
              <w:rPr>
                <w:i/>
              </w:rPr>
              <w:t>•</w:t>
            </w:r>
            <w:r w:rsidRPr="00DF17CD">
              <w:rPr>
                <w:i/>
              </w:rPr>
              <w:tab/>
              <w:t>Primary immunodeficiency diseases (PID)</w:t>
            </w:r>
          </w:p>
          <w:p w14:paraId="24474CCC" w14:textId="77777777" w:rsidR="008E7846" w:rsidRPr="00487162" w:rsidRDefault="00DF17CD" w:rsidP="00DF17CD">
            <w:pPr>
              <w:rPr>
                <w:rFonts w:eastAsia="MS Mincho"/>
                <w:lang w:eastAsia="ja-JP"/>
              </w:rPr>
            </w:pPr>
            <w:r w:rsidRPr="00DF17CD">
              <w:rPr>
                <w:i/>
              </w:rPr>
              <w:t>•</w:t>
            </w:r>
            <w:r w:rsidRPr="00DF17CD">
              <w:rPr>
                <w:i/>
              </w:rPr>
              <w:tab/>
              <w:t>Symptomatic hypogammaglobulinaemia secondary to underlying disease or treatment</w:t>
            </w:r>
          </w:p>
        </w:tc>
      </w:tr>
      <w:tr w:rsidR="008E7846" w:rsidRPr="00487162" w14:paraId="06423DB1" w14:textId="77777777" w:rsidTr="00BF1190">
        <w:tc>
          <w:tcPr>
            <w:tcW w:w="2907" w:type="dxa"/>
          </w:tcPr>
          <w:p w14:paraId="3AA2D87B" w14:textId="77777777" w:rsidR="008E7846" w:rsidRPr="00487162" w:rsidRDefault="008E7846" w:rsidP="00DF17CD">
            <w:pPr>
              <w:rPr>
                <w:i/>
              </w:rPr>
            </w:pPr>
            <w:r w:rsidRPr="00487162">
              <w:rPr>
                <w:i/>
              </w:rPr>
              <w:t>Route of administration:</w:t>
            </w:r>
          </w:p>
        </w:tc>
        <w:tc>
          <w:tcPr>
            <w:tcW w:w="6307" w:type="dxa"/>
          </w:tcPr>
          <w:p w14:paraId="1457C58C" w14:textId="77777777" w:rsidR="008E7846" w:rsidRPr="00487162" w:rsidRDefault="00DF17CD" w:rsidP="00E45619">
            <w:r w:rsidRPr="00DF17CD">
              <w:t>Subcutaneous injection</w:t>
            </w:r>
          </w:p>
        </w:tc>
      </w:tr>
      <w:tr w:rsidR="008E7846" w:rsidRPr="00487162" w14:paraId="78DDFFAD" w14:textId="77777777" w:rsidTr="00BF1190">
        <w:tc>
          <w:tcPr>
            <w:tcW w:w="2907" w:type="dxa"/>
          </w:tcPr>
          <w:p w14:paraId="36455AC3" w14:textId="77777777" w:rsidR="008E7846" w:rsidRPr="00487162" w:rsidRDefault="008E7846" w:rsidP="00E45619">
            <w:pPr>
              <w:rPr>
                <w:i/>
              </w:rPr>
            </w:pPr>
            <w:r w:rsidRPr="00487162">
              <w:rPr>
                <w:i/>
              </w:rPr>
              <w:t>Dosage:</w:t>
            </w:r>
          </w:p>
        </w:tc>
        <w:tc>
          <w:tcPr>
            <w:tcW w:w="6307" w:type="dxa"/>
          </w:tcPr>
          <w:p w14:paraId="1DB7ABCE" w14:textId="77777777" w:rsidR="00DF17CD" w:rsidRDefault="00DF17CD" w:rsidP="00DF17CD">
            <w:r>
              <w:t>Replacement therapy should be initiated under the supervision of a healthcare professional experienced in the treatment of immunodeficiency.</w:t>
            </w:r>
          </w:p>
          <w:p w14:paraId="2A46C3D2" w14:textId="77777777" w:rsidR="00DF17CD" w:rsidRDefault="00DF17CD" w:rsidP="00DF17CD">
            <w:r>
              <w:t>In replacement therapy the dosage may need to be individualised for each patient dependent on the pharmacokinetic and clinical response.</w:t>
            </w:r>
          </w:p>
          <w:p w14:paraId="77D31BCA" w14:textId="77777777" w:rsidR="00460036" w:rsidRPr="00487162" w:rsidRDefault="00460036" w:rsidP="00DF17CD">
            <w:r w:rsidRPr="00460036">
              <w:t>For further information regarding dosage, refer to the Product Information.</w:t>
            </w:r>
          </w:p>
        </w:tc>
      </w:tr>
      <w:tr w:rsidR="00460036" w:rsidRPr="00487162" w14:paraId="4AAA08F8" w14:textId="77777777" w:rsidTr="00BF1190">
        <w:tc>
          <w:tcPr>
            <w:tcW w:w="2907" w:type="dxa"/>
          </w:tcPr>
          <w:p w14:paraId="77A6943E" w14:textId="77777777" w:rsidR="00460036" w:rsidRPr="00487162" w:rsidRDefault="00460036" w:rsidP="00E45619">
            <w:pPr>
              <w:rPr>
                <w:i/>
              </w:rPr>
            </w:pPr>
            <w:r w:rsidRPr="00460036">
              <w:rPr>
                <w:i/>
              </w:rPr>
              <w:t>Pregnancy category</w:t>
            </w:r>
            <w:r>
              <w:rPr>
                <w:i/>
              </w:rPr>
              <w:t>:</w:t>
            </w:r>
          </w:p>
        </w:tc>
        <w:tc>
          <w:tcPr>
            <w:tcW w:w="6307" w:type="dxa"/>
          </w:tcPr>
          <w:p w14:paraId="4C920D3A" w14:textId="77777777" w:rsidR="00460036" w:rsidRDefault="00460036" w:rsidP="00460036">
            <w:r>
              <w:t>This therapeutic good is exempted from pregnancy categorisation.</w:t>
            </w:r>
          </w:p>
          <w:p w14:paraId="1A1249E8" w14:textId="77777777" w:rsidR="00460036" w:rsidRPr="00487162" w:rsidRDefault="00460036" w:rsidP="00460036">
            <w:r>
              <w:t xml:space="preserve">The use of any medicine during pregnancy requires careful consideration of both risks and benefits by the treating health professional. This must not be used as the sole basis of decision making in the use of medicines during </w:t>
            </w:r>
            <w:r w:rsidRPr="00322598">
              <w:t>pregnancy. The TGA does</w:t>
            </w:r>
            <w:r>
              <w:t xml:space="preserve"> not provide advice on the use of medicines in pregnancy for specific cases. More information is available from obstetric drug information services in your State or Territory.</w:t>
            </w:r>
          </w:p>
        </w:tc>
      </w:tr>
    </w:tbl>
    <w:p w14:paraId="7826FB11" w14:textId="77777777" w:rsidR="008E7846" w:rsidRDefault="008E7846" w:rsidP="008E7846">
      <w:pPr>
        <w:pStyle w:val="Heading3"/>
      </w:pPr>
      <w:bookmarkStart w:id="13" w:name="_Toc247691503"/>
      <w:bookmarkStart w:id="14" w:name="_Toc314842484"/>
      <w:bookmarkStart w:id="15" w:name="_Toc76652755"/>
      <w:r>
        <w:t>Product background</w:t>
      </w:r>
      <w:bookmarkEnd w:id="13"/>
      <w:bookmarkEnd w:id="14"/>
      <w:bookmarkEnd w:id="15"/>
    </w:p>
    <w:p w14:paraId="0A7AA760" w14:textId="77777777" w:rsidR="008E7846" w:rsidRDefault="00250271" w:rsidP="00940A89">
      <w:r w:rsidRPr="00250271">
        <w:t>This AusPA</w:t>
      </w:r>
      <w:r w:rsidR="00292135">
        <w:t xml:space="preserve">R describes the application by </w:t>
      </w:r>
      <w:r w:rsidR="00292135" w:rsidRPr="00292135">
        <w:t>Octapharma Australia Pty Ltd</w:t>
      </w:r>
      <w:r w:rsidR="00DF17CD">
        <w:t xml:space="preserve"> (the sponsor) to register </w:t>
      </w:r>
      <w:r w:rsidR="00DF17CD" w:rsidRPr="00DF17CD">
        <w:t xml:space="preserve">Cutaquig </w:t>
      </w:r>
      <w:r w:rsidRPr="00250271">
        <w:t>(</w:t>
      </w:r>
      <w:r w:rsidR="00DF17CD" w:rsidRPr="00DF17CD">
        <w:t>human normal immunoglobulin</w:t>
      </w:r>
      <w:r w:rsidRPr="00250271">
        <w:t xml:space="preserve">) </w:t>
      </w:r>
      <w:r w:rsidR="00292135">
        <w:t>16.5% (165 </w:t>
      </w:r>
      <w:r w:rsidR="00DF17CD" w:rsidRPr="00DF17CD">
        <w:t>mg/mL)</w:t>
      </w:r>
      <w:r w:rsidRPr="00250271">
        <w:t xml:space="preserve">, </w:t>
      </w:r>
      <w:r w:rsidR="00DF17CD">
        <w:t>s</w:t>
      </w:r>
      <w:r w:rsidR="00DF17CD" w:rsidRPr="00DF17CD">
        <w:t>olution for subcutaneous injection</w:t>
      </w:r>
      <w:r w:rsidRPr="00250271">
        <w:t xml:space="preserve"> for the following proposed indication</w:t>
      </w:r>
      <w:r w:rsidR="00CF5DAD">
        <w:t>:</w:t>
      </w:r>
    </w:p>
    <w:p w14:paraId="1E73CC71" w14:textId="77777777" w:rsidR="008E05D5" w:rsidRPr="008E05D5" w:rsidRDefault="008E05D5" w:rsidP="008E05D5">
      <w:pPr>
        <w:ind w:left="720"/>
        <w:rPr>
          <w:i/>
        </w:rPr>
      </w:pPr>
      <w:r w:rsidRPr="008E05D5">
        <w:rPr>
          <w:i/>
        </w:rPr>
        <w:t>Replacement therapy in adults and children in:</w:t>
      </w:r>
    </w:p>
    <w:p w14:paraId="5B76D83A" w14:textId="77777777" w:rsidR="008E05D5" w:rsidRPr="008E05D5" w:rsidRDefault="008E05D5" w:rsidP="008E05D5">
      <w:pPr>
        <w:ind w:left="720"/>
        <w:rPr>
          <w:i/>
        </w:rPr>
      </w:pPr>
      <w:r w:rsidRPr="008E05D5">
        <w:rPr>
          <w:i/>
        </w:rPr>
        <w:t>•</w:t>
      </w:r>
      <w:r w:rsidRPr="008E05D5">
        <w:rPr>
          <w:i/>
        </w:rPr>
        <w:tab/>
        <w:t>Primary immunodeficiency diseases (PID)</w:t>
      </w:r>
    </w:p>
    <w:p w14:paraId="7952065A" w14:textId="77777777" w:rsidR="008E05D5" w:rsidRPr="008E05D5" w:rsidRDefault="008E05D5" w:rsidP="008E05D5">
      <w:pPr>
        <w:ind w:left="720"/>
        <w:rPr>
          <w:i/>
        </w:rPr>
      </w:pPr>
      <w:r w:rsidRPr="008E05D5">
        <w:rPr>
          <w:i/>
        </w:rPr>
        <w:t>•</w:t>
      </w:r>
      <w:r w:rsidRPr="008E05D5">
        <w:rPr>
          <w:i/>
        </w:rPr>
        <w:tab/>
        <w:t>Symptomatic hypogammaglobulinaemia secondary to underlying disease or treatment</w:t>
      </w:r>
    </w:p>
    <w:p w14:paraId="2CDCE1CA" w14:textId="7FBCA9E2" w:rsidR="00D447BA" w:rsidRDefault="00D447BA" w:rsidP="00D447BA">
      <w:r w:rsidRPr="00322598">
        <w:t xml:space="preserve">Primary </w:t>
      </w:r>
      <w:r w:rsidR="00292135" w:rsidRPr="00322598">
        <w:t xml:space="preserve">immunodeficiency diseases </w:t>
      </w:r>
      <w:r w:rsidRPr="00322598">
        <w:t>(PID)</w:t>
      </w:r>
      <w:r>
        <w:t xml:space="preserve"> are a heterogeneous group of disorders characterised by hypogammaglobulinemia usually due to a genetic defect.</w:t>
      </w:r>
      <w:r w:rsidR="007746E8">
        <w:t xml:space="preserve"> </w:t>
      </w:r>
      <w:r>
        <w:t>The clinical manifestations are related to increased susceptibility to infections starting early in life.</w:t>
      </w:r>
    </w:p>
    <w:p w14:paraId="05FB20E6" w14:textId="364C91C8" w:rsidR="00D447BA" w:rsidRDefault="00D447BA" w:rsidP="00D447BA">
      <w:r>
        <w:t xml:space="preserve">Replacement therapy with polyclonal, human normal </w:t>
      </w:r>
      <w:r w:rsidRPr="009F77EF">
        <w:t xml:space="preserve">immunoglobulin </w:t>
      </w:r>
      <w:r w:rsidR="007746E8" w:rsidRPr="009F77EF">
        <w:t>(</w:t>
      </w:r>
      <w:r w:rsidR="004869B6">
        <w:t>i</w:t>
      </w:r>
      <w:r w:rsidR="007746E8" w:rsidRPr="009F77EF">
        <w:t>m</w:t>
      </w:r>
      <w:r w:rsidR="004D371D">
        <w:t>munoglobulin</w:t>
      </w:r>
      <w:r w:rsidR="00897A53">
        <w:t> </w:t>
      </w:r>
      <w:r w:rsidR="007746E8" w:rsidRPr="00322598">
        <w:t>G (</w:t>
      </w:r>
      <w:r w:rsidRPr="00322598">
        <w:t>IgG</w:t>
      </w:r>
      <w:r w:rsidR="007746E8" w:rsidRPr="00322598">
        <w:t>))</w:t>
      </w:r>
      <w:r>
        <w:t xml:space="preserve"> given intravenously or subcutaneously are the mainstay of treatment in PID. </w:t>
      </w:r>
      <w:r w:rsidR="004869B6">
        <w:t>The i</w:t>
      </w:r>
      <w:r>
        <w:t xml:space="preserve">ntramuscular route is not </w:t>
      </w:r>
      <w:r w:rsidR="004869B6">
        <w:t>often</w:t>
      </w:r>
      <w:r>
        <w:t xml:space="preserve"> used.</w:t>
      </w:r>
      <w:r w:rsidR="007746E8">
        <w:t xml:space="preserve"> </w:t>
      </w:r>
      <w:r>
        <w:t>There are no viable alternative treatments in PID.</w:t>
      </w:r>
    </w:p>
    <w:p w14:paraId="0E29C869" w14:textId="4CA0DD6C" w:rsidR="00D447BA" w:rsidRDefault="00D447BA" w:rsidP="00D447BA">
      <w:r>
        <w:t>For most patients, replacement therapy is a lifelong requirement. The goal of repeated therapy is to maintain IgG levels within the normal physiological range. Replacement therapy aims to reduce frequency and severity of infections and thus improve life expectancy, although patients remain susceptible to breakthrough infections.</w:t>
      </w:r>
    </w:p>
    <w:p w14:paraId="73FA281A" w14:textId="77777777" w:rsidR="00D447BA" w:rsidRDefault="00D447BA" w:rsidP="00D447BA">
      <w:r>
        <w:t>The use of IgG therapy is variable in secondary forms of immune deficiencies.</w:t>
      </w:r>
    </w:p>
    <w:p w14:paraId="5EE163FB" w14:textId="4D8E050A" w:rsidR="00D447BA" w:rsidRDefault="00D447BA" w:rsidP="00D447BA">
      <w:r>
        <w:t xml:space="preserve">Human </w:t>
      </w:r>
      <w:r w:rsidR="00D127C4">
        <w:t xml:space="preserve">normal immunoglobulin </w:t>
      </w:r>
      <w:r>
        <w:t>products principally contain IgG obtained from pooled human donations. The distribution of IgG subclasses in the manufactured product is similar to that in the human plasma. IgG have a broad spectrum of activity against bacterial infections.</w:t>
      </w:r>
    </w:p>
    <w:p w14:paraId="07C57BD0" w14:textId="2DC9C8BB" w:rsidR="00D447BA" w:rsidRDefault="00F90092" w:rsidP="00D447BA">
      <w:r w:rsidRPr="00184FBD">
        <w:t>Subcutaneous immunoglobulin</w:t>
      </w:r>
      <w:r w:rsidR="00D447BA" w:rsidRPr="00184FBD">
        <w:t xml:space="preserve"> (SCI</w:t>
      </w:r>
      <w:r w:rsidRPr="00184FBD">
        <w:t>g</w:t>
      </w:r>
      <w:r w:rsidR="00D447BA" w:rsidRPr="00184FBD">
        <w:t xml:space="preserve">) and intravenous </w:t>
      </w:r>
      <w:r w:rsidRPr="00184FBD">
        <w:t xml:space="preserve">immunoglobulin </w:t>
      </w:r>
      <w:r w:rsidR="00D447BA" w:rsidRPr="00184FBD">
        <w:t>(IVI</w:t>
      </w:r>
      <w:r w:rsidRPr="00184FBD">
        <w:t>g</w:t>
      </w:r>
      <w:r w:rsidR="00D447BA" w:rsidRPr="00184FBD">
        <w:t>)</w:t>
      </w:r>
      <w:r w:rsidR="00D447BA">
        <w:t xml:space="preserve"> preparations are therapeutically equivalent. The main difference is prolonged absorption at a slower rate with the SCI</w:t>
      </w:r>
      <w:r>
        <w:t>g</w:t>
      </w:r>
      <w:r w:rsidR="00D447BA">
        <w:t xml:space="preserve"> as it requires transit from subcutaneous tissues to blood via lymphatics, with the blood IgG levels increasing gradually over 48</w:t>
      </w:r>
      <w:r>
        <w:t xml:space="preserve"> to </w:t>
      </w:r>
      <w:r w:rsidR="00D447BA">
        <w:t>72</w:t>
      </w:r>
      <w:r>
        <w:t> </w:t>
      </w:r>
      <w:r w:rsidR="00D447BA">
        <w:t>hours after administration. Some degradation of IgG occurs locally in subcutaneous tissues so that the absolute bioavailability of SCI</w:t>
      </w:r>
      <w:r>
        <w:t>g</w:t>
      </w:r>
      <w:r w:rsidR="00D447BA">
        <w:t xml:space="preserve"> is lower than IVI</w:t>
      </w:r>
      <w:r>
        <w:t>g</w:t>
      </w:r>
      <w:r w:rsidR="00D447BA">
        <w:t xml:space="preserve">. Other than </w:t>
      </w:r>
      <w:r w:rsidR="004869B6">
        <w:t>in the subcutaneous tissues,</w:t>
      </w:r>
      <w:r w:rsidR="00D447BA">
        <w:t xml:space="preserve"> the metabolism of IgG takes place in the reticuloendothelial system.</w:t>
      </w:r>
    </w:p>
    <w:p w14:paraId="3E2B960E" w14:textId="471F4193" w:rsidR="00D447BA" w:rsidRDefault="00D447BA" w:rsidP="00D447BA">
      <w:r w:rsidRPr="007F5989">
        <w:t>A fixed dosing</w:t>
      </w:r>
      <w:r w:rsidR="004869B6">
        <w:t xml:space="preserve"> regimen</w:t>
      </w:r>
      <w:r w:rsidRPr="007F5989">
        <w:t xml:space="preserve"> is not defined and clinical practice</w:t>
      </w:r>
      <w:r>
        <w:t xml:space="preserve"> is instead targeted towards maintaining serum IgG levels in </w:t>
      </w:r>
      <w:r w:rsidR="004869B6">
        <w:t xml:space="preserve">the </w:t>
      </w:r>
      <w:r>
        <w:t>normal range above 5</w:t>
      </w:r>
      <w:r w:rsidR="00F90092">
        <w:t xml:space="preserve"> to </w:t>
      </w:r>
      <w:r>
        <w:t>6</w:t>
      </w:r>
      <w:r w:rsidR="00F90092">
        <w:t> </w:t>
      </w:r>
      <w:r>
        <w:t>g/L.</w:t>
      </w:r>
    </w:p>
    <w:p w14:paraId="29287978" w14:textId="77777777" w:rsidR="00D447BA" w:rsidRDefault="00D447BA" w:rsidP="00D447BA">
      <w:r>
        <w:t>However, even adequate treatment may not fully prevent breakthrough infections, and progression of diseases and disease complication such as bronchiectasis remain prevalent risks in PID patients.</w:t>
      </w:r>
    </w:p>
    <w:p w14:paraId="10C8B708" w14:textId="77777777" w:rsidR="008E7846" w:rsidRPr="003F31A2" w:rsidRDefault="00386150" w:rsidP="008E7846">
      <w:pPr>
        <w:pStyle w:val="Heading3"/>
      </w:pPr>
      <w:bookmarkStart w:id="16" w:name="_Toc314842485"/>
      <w:bookmarkStart w:id="17" w:name="_Toc247691504"/>
      <w:bookmarkStart w:id="18" w:name="_Toc76652756"/>
      <w:r>
        <w:t>Regulatory s</w:t>
      </w:r>
      <w:r w:rsidR="008E7846">
        <w:t>tatus</w:t>
      </w:r>
      <w:bookmarkEnd w:id="16"/>
      <w:bookmarkEnd w:id="17"/>
      <w:bookmarkEnd w:id="18"/>
    </w:p>
    <w:p w14:paraId="7F22577D" w14:textId="77777777" w:rsidR="00940A89" w:rsidRDefault="00006FAB" w:rsidP="00940A89">
      <w:bookmarkStart w:id="19" w:name="_Toc247691505"/>
      <w:bookmarkStart w:id="20" w:name="_Toc314842486"/>
      <w:r w:rsidRPr="00006FAB">
        <w:t>This product is considered a new biological entity for Australian regulatory purposes.</w:t>
      </w:r>
    </w:p>
    <w:p w14:paraId="63834F58" w14:textId="5C200893" w:rsidR="00006FAB" w:rsidRDefault="00006FAB" w:rsidP="00006FAB">
      <w:r>
        <w:t>At the time the TGA considered this application, similar application</w:t>
      </w:r>
      <w:r w:rsidR="009B2A22">
        <w:t>s</w:t>
      </w:r>
      <w:r>
        <w:t xml:space="preserve"> had been approved in </w:t>
      </w:r>
      <w:r w:rsidR="00427FEA">
        <w:t xml:space="preserve">the </w:t>
      </w:r>
      <w:r w:rsidR="009B2A22" w:rsidRPr="00184FBD">
        <w:t xml:space="preserve">European Union </w:t>
      </w:r>
      <w:r w:rsidR="00427FEA" w:rsidRPr="00184FBD">
        <w:t xml:space="preserve">(EU) </w:t>
      </w:r>
      <w:r w:rsidRPr="00184FBD">
        <w:t>(</w:t>
      </w:r>
      <w:r w:rsidR="009B2A22" w:rsidRPr="00184FBD">
        <w:t>approved on 25 February 2019</w:t>
      </w:r>
      <w:r w:rsidRPr="00184FBD">
        <w:t>)</w:t>
      </w:r>
      <w:r w:rsidR="009B2A22" w:rsidRPr="00184FBD">
        <w:t xml:space="preserve">, United States of America </w:t>
      </w:r>
      <w:r w:rsidR="00427FEA" w:rsidRPr="00184FBD">
        <w:t>(USA)</w:t>
      </w:r>
      <w:r w:rsidR="00427FEA">
        <w:t xml:space="preserve"> </w:t>
      </w:r>
      <w:r w:rsidR="009B2A22">
        <w:t>(a</w:t>
      </w:r>
      <w:r w:rsidR="009B2A22" w:rsidRPr="009B2A22">
        <w:t>pproved on 12 December 2018</w:t>
      </w:r>
      <w:r w:rsidR="009B2A22">
        <w:t>) and Canada (a</w:t>
      </w:r>
      <w:r w:rsidR="009B2A22" w:rsidRPr="009B2A22">
        <w:t>pproved on 15 February 2018</w:t>
      </w:r>
      <w:r w:rsidR="009B2A22">
        <w:t>).</w:t>
      </w:r>
    </w:p>
    <w:p w14:paraId="53F5DB73" w14:textId="304D0B83" w:rsidR="00427FEA" w:rsidRPr="00427FEA" w:rsidRDefault="00427FEA" w:rsidP="00427FEA">
      <w:r w:rsidRPr="00427FEA">
        <w:fldChar w:fldCharType="begin"/>
      </w:r>
      <w:r w:rsidRPr="00427FEA">
        <w:instrText xml:space="preserve"> REF _Ref71196601 \h </w:instrText>
      </w:r>
      <w:r>
        <w:instrText xml:space="preserve"> \* MERGEFORMAT </w:instrText>
      </w:r>
      <w:r w:rsidRPr="00427FEA">
        <w:fldChar w:fldCharType="separate"/>
      </w:r>
      <w:r w:rsidR="0055078A">
        <w:t>Table 1</w:t>
      </w:r>
      <w:r w:rsidRPr="00427FEA">
        <w:fldChar w:fldCharType="end"/>
      </w:r>
      <w:r w:rsidRPr="00427FEA">
        <w:t>, shown below, summarises these applications and provides the indications where approved.</w:t>
      </w:r>
    </w:p>
    <w:p w14:paraId="3F87C367" w14:textId="667FF7D5" w:rsidR="00324E45" w:rsidRPr="00F0146F" w:rsidRDefault="00324E45" w:rsidP="00324E45">
      <w:pPr>
        <w:pStyle w:val="TableTitle"/>
      </w:pPr>
      <w:bookmarkStart w:id="21" w:name="_Ref71196601"/>
      <w:r>
        <w:t xml:space="preserve">Table </w:t>
      </w:r>
      <w:r w:rsidR="004F5F1D">
        <w:rPr>
          <w:noProof/>
        </w:rPr>
        <w:fldChar w:fldCharType="begin"/>
      </w:r>
      <w:r w:rsidR="004F5F1D">
        <w:rPr>
          <w:noProof/>
        </w:rPr>
        <w:instrText xml:space="preserve"> SEQ Table \* ARABIC </w:instrText>
      </w:r>
      <w:r w:rsidR="004F5F1D">
        <w:rPr>
          <w:noProof/>
        </w:rPr>
        <w:fldChar w:fldCharType="separate"/>
      </w:r>
      <w:r w:rsidR="0055078A">
        <w:rPr>
          <w:noProof/>
        </w:rPr>
        <w:t>1</w:t>
      </w:r>
      <w:r w:rsidR="004F5F1D">
        <w:rPr>
          <w:noProof/>
        </w:rPr>
        <w:fldChar w:fldCharType="end"/>
      </w:r>
      <w:bookmarkEnd w:id="21"/>
      <w:r>
        <w:t>: International regulatory status</w:t>
      </w:r>
    </w:p>
    <w:tbl>
      <w:tblPr>
        <w:tblStyle w:val="TableTGAblue"/>
        <w:tblW w:w="0" w:type="auto"/>
        <w:tblLayout w:type="fixed"/>
        <w:tblLook w:val="04A0" w:firstRow="1" w:lastRow="0" w:firstColumn="1" w:lastColumn="0" w:noHBand="0" w:noVBand="1"/>
      </w:tblPr>
      <w:tblGrid>
        <w:gridCol w:w="1555"/>
        <w:gridCol w:w="1842"/>
        <w:gridCol w:w="1560"/>
        <w:gridCol w:w="3537"/>
      </w:tblGrid>
      <w:tr w:rsidR="009B2A22" w14:paraId="2386C469" w14:textId="77777777" w:rsidTr="009B2A22">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14:paraId="5660177D" w14:textId="77777777" w:rsidR="00006FAB" w:rsidRPr="009B2A22" w:rsidRDefault="00006FAB" w:rsidP="009B2A22">
            <w:r w:rsidRPr="009B2A22">
              <w:t>Region</w:t>
            </w:r>
          </w:p>
        </w:tc>
        <w:tc>
          <w:tcPr>
            <w:tcW w:w="1842" w:type="dxa"/>
            <w:tcBorders>
              <w:top w:val="single" w:sz="4" w:space="0" w:color="auto"/>
              <w:left w:val="single" w:sz="4" w:space="0" w:color="auto"/>
              <w:bottom w:val="single" w:sz="4" w:space="0" w:color="auto"/>
              <w:right w:val="single" w:sz="4" w:space="0" w:color="auto"/>
            </w:tcBorders>
          </w:tcPr>
          <w:p w14:paraId="3F7204C8" w14:textId="77777777" w:rsidR="00006FAB" w:rsidRPr="009B2A22" w:rsidRDefault="00006FAB" w:rsidP="009B2A22">
            <w:r w:rsidRPr="009B2A22">
              <w:t>Submission date</w:t>
            </w:r>
          </w:p>
        </w:tc>
        <w:tc>
          <w:tcPr>
            <w:tcW w:w="1560" w:type="dxa"/>
            <w:tcBorders>
              <w:top w:val="single" w:sz="4" w:space="0" w:color="auto"/>
              <w:left w:val="single" w:sz="4" w:space="0" w:color="auto"/>
              <w:bottom w:val="single" w:sz="4" w:space="0" w:color="auto"/>
              <w:right w:val="single" w:sz="4" w:space="0" w:color="auto"/>
            </w:tcBorders>
          </w:tcPr>
          <w:p w14:paraId="142E357D" w14:textId="77777777" w:rsidR="00006FAB" w:rsidRPr="009B2A22" w:rsidRDefault="00006FAB" w:rsidP="009B2A22">
            <w:r w:rsidRPr="009B2A22">
              <w:t>Status</w:t>
            </w:r>
          </w:p>
        </w:tc>
        <w:tc>
          <w:tcPr>
            <w:tcW w:w="3537" w:type="dxa"/>
            <w:tcBorders>
              <w:top w:val="single" w:sz="4" w:space="0" w:color="auto"/>
              <w:left w:val="single" w:sz="4" w:space="0" w:color="auto"/>
              <w:bottom w:val="single" w:sz="4" w:space="0" w:color="auto"/>
              <w:right w:val="single" w:sz="4" w:space="0" w:color="auto"/>
            </w:tcBorders>
          </w:tcPr>
          <w:p w14:paraId="4BC6C52A" w14:textId="77777777" w:rsidR="00006FAB" w:rsidRPr="009B2A22" w:rsidRDefault="00006FAB" w:rsidP="009B2A22">
            <w:r w:rsidRPr="009B2A22">
              <w:t>Approved indications</w:t>
            </w:r>
          </w:p>
        </w:tc>
      </w:tr>
      <w:tr w:rsidR="009B2A22" w14:paraId="4B68645E" w14:textId="77777777" w:rsidTr="009B2A22">
        <w:tc>
          <w:tcPr>
            <w:tcW w:w="1555" w:type="dxa"/>
            <w:tcBorders>
              <w:top w:val="single" w:sz="4" w:space="0" w:color="auto"/>
            </w:tcBorders>
          </w:tcPr>
          <w:p w14:paraId="0429B60E" w14:textId="77777777" w:rsidR="00006FAB" w:rsidRPr="009B2A22" w:rsidRDefault="009B2A22" w:rsidP="009B2A22">
            <w:r>
              <w:t>European Union</w:t>
            </w:r>
          </w:p>
        </w:tc>
        <w:tc>
          <w:tcPr>
            <w:tcW w:w="1842" w:type="dxa"/>
            <w:tcBorders>
              <w:top w:val="single" w:sz="4" w:space="0" w:color="auto"/>
            </w:tcBorders>
          </w:tcPr>
          <w:p w14:paraId="4F39FC9E" w14:textId="77777777" w:rsidR="00006FAB" w:rsidRPr="009B2A22" w:rsidRDefault="008E05D5" w:rsidP="009B2A22">
            <w:r w:rsidRPr="009B2A22">
              <w:t>5 July 2017</w:t>
            </w:r>
          </w:p>
        </w:tc>
        <w:tc>
          <w:tcPr>
            <w:tcW w:w="1560" w:type="dxa"/>
            <w:tcBorders>
              <w:top w:val="single" w:sz="4" w:space="0" w:color="auto"/>
            </w:tcBorders>
          </w:tcPr>
          <w:p w14:paraId="7E9D28D0" w14:textId="77777777" w:rsidR="00006FAB" w:rsidRPr="009B2A22" w:rsidRDefault="008E05D5" w:rsidP="009B2A22">
            <w:r w:rsidRPr="009B2A22">
              <w:t>Approved on</w:t>
            </w:r>
            <w:r w:rsidR="009B2A22">
              <w:t xml:space="preserve"> </w:t>
            </w:r>
            <w:r w:rsidRPr="009B2A22">
              <w:t>25 February 2019</w:t>
            </w:r>
          </w:p>
        </w:tc>
        <w:tc>
          <w:tcPr>
            <w:tcW w:w="3537" w:type="dxa"/>
            <w:tcBorders>
              <w:top w:val="single" w:sz="4" w:space="0" w:color="auto"/>
            </w:tcBorders>
          </w:tcPr>
          <w:p w14:paraId="6E33B795" w14:textId="77777777" w:rsidR="008E05D5" w:rsidRPr="009B2A22" w:rsidRDefault="008E05D5" w:rsidP="009B2A22">
            <w:pPr>
              <w:rPr>
                <w:i/>
              </w:rPr>
            </w:pPr>
            <w:r w:rsidRPr="009B2A22">
              <w:rPr>
                <w:i/>
              </w:rPr>
              <w:t>Replacement therapy in adults, children and adolescents (0-18 years) in</w:t>
            </w:r>
          </w:p>
          <w:p w14:paraId="5116D16E" w14:textId="58293BCC" w:rsidR="008E05D5" w:rsidRPr="009B2A22" w:rsidRDefault="008E05D5" w:rsidP="009B2A22">
            <w:pPr>
              <w:pStyle w:val="ListBullet"/>
              <w:rPr>
                <w:i/>
              </w:rPr>
            </w:pPr>
            <w:r w:rsidRPr="009B2A22">
              <w:rPr>
                <w:i/>
              </w:rPr>
              <w:t>Primary immunodeficiency (PID) syndromes with imp</w:t>
            </w:r>
            <w:r w:rsidR="00427FEA">
              <w:rPr>
                <w:i/>
              </w:rPr>
              <w:t>aired antibody production (see S</w:t>
            </w:r>
            <w:r w:rsidRPr="009B2A22">
              <w:rPr>
                <w:i/>
              </w:rPr>
              <w:t>ection 4.4).</w:t>
            </w:r>
          </w:p>
          <w:p w14:paraId="736D3E00" w14:textId="77777777" w:rsidR="008E05D5" w:rsidRPr="009B2A22" w:rsidRDefault="008E05D5" w:rsidP="009B2A22">
            <w:pPr>
              <w:pStyle w:val="ListBullet"/>
              <w:rPr>
                <w:i/>
              </w:rPr>
            </w:pPr>
            <w:r w:rsidRPr="009B2A22">
              <w:rPr>
                <w:i/>
              </w:rPr>
              <w:t>Hypogammaglobulinaemia and recurrent bacterial infections in patients with chronic lymphocytic leukaemia (CLL), in whom prophylactic antibiotics have failed or are contra-indicated.</w:t>
            </w:r>
          </w:p>
          <w:p w14:paraId="40F08C6C" w14:textId="77777777" w:rsidR="008E05D5" w:rsidRPr="009B2A22" w:rsidRDefault="008E05D5" w:rsidP="009B2A22">
            <w:pPr>
              <w:pStyle w:val="ListBullet"/>
              <w:rPr>
                <w:i/>
              </w:rPr>
            </w:pPr>
            <w:r w:rsidRPr="009B2A22">
              <w:rPr>
                <w:i/>
              </w:rPr>
              <w:t>Hypogammaglobulinaemia and recurrent bacterial infections in multiple myeloma (MM) patients.</w:t>
            </w:r>
          </w:p>
          <w:p w14:paraId="6747DFFA" w14:textId="77777777" w:rsidR="00006FAB" w:rsidRPr="009B2A22" w:rsidRDefault="008E05D5" w:rsidP="009B2A22">
            <w:pPr>
              <w:pStyle w:val="ListBullet"/>
              <w:rPr>
                <w:i/>
              </w:rPr>
            </w:pPr>
            <w:r w:rsidRPr="009B2A22">
              <w:rPr>
                <w:i/>
              </w:rPr>
              <w:t>Hypogammaglobulinaemia in patients pre- and postallogeneic haematopoietic stem cell transplantation (HSCT).</w:t>
            </w:r>
          </w:p>
        </w:tc>
      </w:tr>
      <w:tr w:rsidR="009B2A22" w14:paraId="2153CC9A" w14:textId="77777777" w:rsidTr="0086026B">
        <w:trPr>
          <w:cantSplit/>
        </w:trPr>
        <w:tc>
          <w:tcPr>
            <w:tcW w:w="1555" w:type="dxa"/>
          </w:tcPr>
          <w:p w14:paraId="7EDF4F39" w14:textId="77777777" w:rsidR="00006FAB" w:rsidRPr="009B2A22" w:rsidRDefault="008E05D5" w:rsidP="009B2A22">
            <w:r w:rsidRPr="009B2A22">
              <w:t>United States of America</w:t>
            </w:r>
          </w:p>
        </w:tc>
        <w:tc>
          <w:tcPr>
            <w:tcW w:w="1842" w:type="dxa"/>
          </w:tcPr>
          <w:p w14:paraId="57EF3F2F" w14:textId="77777777" w:rsidR="00006FAB" w:rsidRPr="009B2A22" w:rsidRDefault="008E05D5" w:rsidP="009B2A22">
            <w:r w:rsidRPr="009B2A22">
              <w:t>29 Dec</w:t>
            </w:r>
            <w:r w:rsidR="009B2A22" w:rsidRPr="009B2A22">
              <w:t>ember</w:t>
            </w:r>
            <w:r w:rsidRPr="009B2A22">
              <w:t xml:space="preserve"> 2017</w:t>
            </w:r>
          </w:p>
        </w:tc>
        <w:tc>
          <w:tcPr>
            <w:tcW w:w="1560" w:type="dxa"/>
          </w:tcPr>
          <w:p w14:paraId="1057C31F" w14:textId="77777777" w:rsidR="00006FAB" w:rsidRPr="009B2A22" w:rsidRDefault="008E05D5" w:rsidP="009B2A22">
            <w:r w:rsidRPr="009B2A22">
              <w:t>Approved on 12 Dec</w:t>
            </w:r>
            <w:r w:rsidR="009B2A22" w:rsidRPr="009B2A22">
              <w:t>ember</w:t>
            </w:r>
            <w:r w:rsidRPr="009B2A22">
              <w:t xml:space="preserve"> 2018</w:t>
            </w:r>
          </w:p>
        </w:tc>
        <w:tc>
          <w:tcPr>
            <w:tcW w:w="3537" w:type="dxa"/>
          </w:tcPr>
          <w:p w14:paraId="11E535F6" w14:textId="44AD5D31" w:rsidR="00006FAB" w:rsidRPr="009B2A22" w:rsidRDefault="009B2A22" w:rsidP="00184FBD">
            <w:pPr>
              <w:rPr>
                <w:i/>
              </w:rPr>
            </w:pPr>
            <w:r w:rsidRPr="009B2A22">
              <w:rPr>
                <w:i/>
              </w:rPr>
              <w:t xml:space="preserve">Cutaquig </w:t>
            </w:r>
            <w:r w:rsidR="008E05D5" w:rsidRPr="009B2A22">
              <w:rPr>
                <w:i/>
              </w:rPr>
              <w:t>(</w:t>
            </w:r>
            <w:r w:rsidR="00427FEA" w:rsidRPr="009B2A22">
              <w:rPr>
                <w:i/>
              </w:rPr>
              <w:t xml:space="preserve">immune globulin subcutaneous (human) </w:t>
            </w:r>
            <w:r w:rsidR="008E05D5" w:rsidRPr="009B2A22">
              <w:rPr>
                <w:i/>
              </w:rPr>
              <w:t>- hipp) is a 16.5% immune globulin solution for subcutaneous infusion (I</w:t>
            </w:r>
            <w:r w:rsidR="00184FBD">
              <w:rPr>
                <w:i/>
              </w:rPr>
              <w:t>G</w:t>
            </w:r>
            <w:r w:rsidR="008E05D5" w:rsidRPr="009B2A22">
              <w:rPr>
                <w:i/>
              </w:rPr>
              <w:t>SC), indicated as replacement therapy for primary humoral immunodeficiency (PI)</w:t>
            </w:r>
            <w:r w:rsidR="00735EA7">
              <w:rPr>
                <w:i/>
              </w:rPr>
              <w:t>*</w:t>
            </w:r>
            <w:r w:rsidR="008E05D5" w:rsidRPr="009B2A22">
              <w:rPr>
                <w:i/>
              </w:rPr>
              <w:t xml:space="preserve"> in adults. This includes, but is not limited to, common variable immunodeficiency (CVID), X-linked agammaglobulinemia, congenital agammaglobulinemia, Wiskott-Aldrich syndrome, and severe combined immunodeficiencies.</w:t>
            </w:r>
          </w:p>
        </w:tc>
      </w:tr>
      <w:tr w:rsidR="008E05D5" w14:paraId="72E98E85" w14:textId="77777777" w:rsidTr="009B2A22">
        <w:tc>
          <w:tcPr>
            <w:tcW w:w="1555" w:type="dxa"/>
          </w:tcPr>
          <w:p w14:paraId="26DCE632" w14:textId="77777777" w:rsidR="008E05D5" w:rsidRPr="009B2A22" w:rsidRDefault="008E05D5" w:rsidP="009B2A22">
            <w:r w:rsidRPr="009B2A22">
              <w:t>Canada</w:t>
            </w:r>
          </w:p>
        </w:tc>
        <w:tc>
          <w:tcPr>
            <w:tcW w:w="1842" w:type="dxa"/>
          </w:tcPr>
          <w:p w14:paraId="0377D320" w14:textId="77777777" w:rsidR="008E05D5" w:rsidRPr="009B2A22" w:rsidRDefault="008E05D5" w:rsidP="009B2A22">
            <w:r w:rsidRPr="009B2A22">
              <w:t xml:space="preserve">28 </w:t>
            </w:r>
            <w:r w:rsidR="009B2A22" w:rsidRPr="009B2A22">
              <w:t>February</w:t>
            </w:r>
            <w:r w:rsidRPr="009B2A22">
              <w:t xml:space="preserve"> 2017</w:t>
            </w:r>
          </w:p>
        </w:tc>
        <w:tc>
          <w:tcPr>
            <w:tcW w:w="1560" w:type="dxa"/>
          </w:tcPr>
          <w:p w14:paraId="26EB26A1" w14:textId="77777777" w:rsidR="008E05D5" w:rsidRPr="009B2A22" w:rsidRDefault="008E05D5" w:rsidP="009B2A22">
            <w:r w:rsidRPr="009B2A22">
              <w:t>Approved</w:t>
            </w:r>
            <w:r w:rsidR="009B2A22" w:rsidRPr="009B2A22">
              <w:t xml:space="preserve"> on </w:t>
            </w:r>
            <w:r w:rsidRPr="009B2A22">
              <w:t>15 Feb</w:t>
            </w:r>
            <w:r w:rsidR="009B2A22" w:rsidRPr="009B2A22">
              <w:t>ruary</w:t>
            </w:r>
            <w:r w:rsidRPr="009B2A22">
              <w:t xml:space="preserve"> 2018</w:t>
            </w:r>
          </w:p>
        </w:tc>
        <w:tc>
          <w:tcPr>
            <w:tcW w:w="3537" w:type="dxa"/>
          </w:tcPr>
          <w:p w14:paraId="2635A437" w14:textId="77777777" w:rsidR="008E05D5" w:rsidRPr="009B2A22" w:rsidRDefault="008E05D5" w:rsidP="009B2A22">
            <w:pPr>
              <w:rPr>
                <w:i/>
              </w:rPr>
            </w:pPr>
            <w:r w:rsidRPr="009B2A22">
              <w:rPr>
                <w:i/>
              </w:rPr>
              <w:t>Cutaquig</w:t>
            </w:r>
            <w:r w:rsidR="009B2A22" w:rsidRPr="009B2A22">
              <w:rPr>
                <w:i/>
              </w:rPr>
              <w:t xml:space="preserve"> is indicated for the </w:t>
            </w:r>
            <w:r w:rsidRPr="009B2A22">
              <w:rPr>
                <w:i/>
              </w:rPr>
              <w:t>tre</w:t>
            </w:r>
            <w:r w:rsidR="009B2A22" w:rsidRPr="009B2A22">
              <w:rPr>
                <w:i/>
              </w:rPr>
              <w:t xml:space="preserve">atment of patients with primary </w:t>
            </w:r>
            <w:r w:rsidRPr="009B2A22">
              <w:rPr>
                <w:i/>
              </w:rPr>
              <w:t>immune deficiency (P</w:t>
            </w:r>
            <w:r w:rsidR="009B2A22" w:rsidRPr="009B2A22">
              <w:rPr>
                <w:i/>
              </w:rPr>
              <w:t xml:space="preserve">ID) and </w:t>
            </w:r>
            <w:r w:rsidRPr="009B2A22">
              <w:rPr>
                <w:i/>
              </w:rPr>
              <w:t>se</w:t>
            </w:r>
            <w:r w:rsidR="009B2A22" w:rsidRPr="009B2A22">
              <w:rPr>
                <w:i/>
              </w:rPr>
              <w:t xml:space="preserve">condary immune deficiency (SID) who require immune globulin </w:t>
            </w:r>
            <w:r w:rsidRPr="009B2A22">
              <w:rPr>
                <w:i/>
              </w:rPr>
              <w:t>replacement therapy.</w:t>
            </w:r>
          </w:p>
        </w:tc>
      </w:tr>
    </w:tbl>
    <w:p w14:paraId="593AB173" w14:textId="728BBDA3" w:rsidR="00735EA7" w:rsidRPr="00C747B2" w:rsidRDefault="00102D92" w:rsidP="00C747B2">
      <w:pPr>
        <w:pStyle w:val="TableDescription"/>
      </w:pPr>
      <w:r>
        <w:t>*</w:t>
      </w:r>
      <w:r w:rsidR="004869B6">
        <w:t>Note: The use of the abbreviation ‘</w:t>
      </w:r>
      <w:r w:rsidR="00735EA7" w:rsidRPr="00C747B2">
        <w:t>PI</w:t>
      </w:r>
      <w:r w:rsidR="004869B6">
        <w:t>’</w:t>
      </w:r>
      <w:r w:rsidR="00735EA7" w:rsidRPr="00C747B2">
        <w:t xml:space="preserve"> in this table stands for primary humoral immunodeficiency. </w:t>
      </w:r>
      <w:r w:rsidR="00C747B2" w:rsidRPr="00C747B2">
        <w:t xml:space="preserve">Except in </w:t>
      </w:r>
      <w:r w:rsidR="00C747B2" w:rsidRPr="00C747B2">
        <w:fldChar w:fldCharType="begin"/>
      </w:r>
      <w:r w:rsidR="00C747B2" w:rsidRPr="00C747B2">
        <w:instrText xml:space="preserve"> REF _Ref71196601 \h </w:instrText>
      </w:r>
      <w:r w:rsidR="00C747B2">
        <w:instrText xml:space="preserve"> \* MERGEFORMAT </w:instrText>
      </w:r>
      <w:r w:rsidR="00C747B2" w:rsidRPr="00C747B2">
        <w:fldChar w:fldCharType="separate"/>
      </w:r>
      <w:r w:rsidR="0055078A">
        <w:t>Table 1</w:t>
      </w:r>
      <w:r w:rsidR="00C747B2" w:rsidRPr="00C747B2">
        <w:fldChar w:fldCharType="end"/>
      </w:r>
      <w:r w:rsidR="00C747B2" w:rsidRPr="00C747B2">
        <w:t xml:space="preserve">and </w:t>
      </w:r>
      <w:r w:rsidR="00C747B2" w:rsidRPr="00C747B2">
        <w:fldChar w:fldCharType="begin"/>
      </w:r>
      <w:r w:rsidR="00C747B2" w:rsidRPr="00C747B2">
        <w:instrText xml:space="preserve"> REF _Ref71646840 \h </w:instrText>
      </w:r>
      <w:r w:rsidR="00C747B2">
        <w:instrText xml:space="preserve"> \* MERGEFORMAT </w:instrText>
      </w:r>
      <w:r w:rsidR="00C747B2" w:rsidRPr="00C747B2">
        <w:fldChar w:fldCharType="separate"/>
      </w:r>
      <w:r w:rsidR="0055078A">
        <w:t>Table 4</w:t>
      </w:r>
      <w:r w:rsidR="00C747B2" w:rsidRPr="00C747B2">
        <w:fldChar w:fldCharType="end"/>
      </w:r>
      <w:r w:rsidR="00C747B2" w:rsidRPr="00C747B2">
        <w:t xml:space="preserve">, </w:t>
      </w:r>
      <w:r w:rsidR="004869B6">
        <w:t>the use of the abbreviation ‘</w:t>
      </w:r>
      <w:r w:rsidR="00735EA7" w:rsidRPr="00C747B2">
        <w:t>PI</w:t>
      </w:r>
      <w:r w:rsidR="004869B6">
        <w:t>’</w:t>
      </w:r>
      <w:r w:rsidR="00735EA7" w:rsidRPr="00C747B2">
        <w:t xml:space="preserve"> in other sections of the AusPAR stands for Product Information.</w:t>
      </w:r>
    </w:p>
    <w:p w14:paraId="050D7B88" w14:textId="2DC38831" w:rsidR="008E7846" w:rsidRDefault="008E7846" w:rsidP="00940A89">
      <w:pPr>
        <w:pStyle w:val="Heading3"/>
      </w:pPr>
      <w:bookmarkStart w:id="22" w:name="_Toc76652757"/>
      <w:r>
        <w:t>Product Information</w:t>
      </w:r>
      <w:bookmarkEnd w:id="19"/>
      <w:bookmarkEnd w:id="20"/>
      <w:bookmarkEnd w:id="22"/>
    </w:p>
    <w:p w14:paraId="7148C394" w14:textId="75F6FE83" w:rsidR="00940A89" w:rsidRDefault="006136D7" w:rsidP="00940A89">
      <w:bookmarkStart w:id="23" w:name="_Toc247691506"/>
      <w:bookmarkStart w:id="24" w:name="_Toc314842487"/>
      <w:r w:rsidRPr="00940A89">
        <w:t xml:space="preserve">The </w:t>
      </w:r>
      <w:r w:rsidRPr="00184FBD">
        <w:t>Product Information (PI)</w:t>
      </w:r>
      <w:r w:rsidRPr="00940A89">
        <w:t xml:space="preserve">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0F84074B" w14:textId="77777777" w:rsidR="00500337" w:rsidRDefault="00500337" w:rsidP="00500337">
      <w:pPr>
        <w:pStyle w:val="Heading2"/>
      </w:pPr>
      <w:bookmarkStart w:id="25" w:name="_Toc504480011"/>
      <w:bookmarkStart w:id="26" w:name="_Toc76652758"/>
      <w:r>
        <w:t>II. Registration timeline</w:t>
      </w:r>
      <w:bookmarkEnd w:id="25"/>
      <w:bookmarkEnd w:id="26"/>
    </w:p>
    <w:p w14:paraId="57188BE8" w14:textId="77777777" w:rsidR="00500337" w:rsidRDefault="00500337" w:rsidP="00500337">
      <w:r>
        <w:t>The following table captures the key steps and dates for this application and which are detailed and discussed in this AusPAR.</w:t>
      </w:r>
    </w:p>
    <w:p w14:paraId="63BC1DF1" w14:textId="77777777" w:rsidR="006A58A8" w:rsidRPr="006A58A8" w:rsidRDefault="006A58A8" w:rsidP="006A58A8">
      <w:pPr>
        <w:pStyle w:val="TableTitle"/>
      </w:pPr>
      <w:r w:rsidRPr="006A58A8">
        <w:t xml:space="preserve">Table </w:t>
      </w:r>
      <w:r w:rsidR="00324E45">
        <w:t>2</w:t>
      </w:r>
      <w:r w:rsidR="00006FAB">
        <w:t>:</w:t>
      </w:r>
      <w:r w:rsidRPr="006A58A8">
        <w:t xml:space="preserve"> Timeline for Submission </w:t>
      </w:r>
      <w:r w:rsidR="008E05D5" w:rsidRPr="008E05D5">
        <w:t>PM-2020-00473-1-2</w:t>
      </w:r>
    </w:p>
    <w:tbl>
      <w:tblPr>
        <w:tblStyle w:val="TableTGAblue"/>
        <w:tblW w:w="0" w:type="auto"/>
        <w:tblLook w:val="04A0" w:firstRow="1" w:lastRow="0" w:firstColumn="1" w:lastColumn="0" w:noHBand="0" w:noVBand="1"/>
      </w:tblPr>
      <w:tblGrid>
        <w:gridCol w:w="5807"/>
        <w:gridCol w:w="2687"/>
      </w:tblGrid>
      <w:tr w:rsidR="00500337" w14:paraId="586E776F" w14:textId="77777777" w:rsidTr="00F672AB">
        <w:trPr>
          <w:cnfStyle w:val="100000000000" w:firstRow="1" w:lastRow="0" w:firstColumn="0" w:lastColumn="0" w:oddVBand="0" w:evenVBand="0" w:oddHBand="0" w:evenHBand="0" w:firstRowFirstColumn="0" w:firstRowLastColumn="0" w:lastRowFirstColumn="0" w:lastRowLastColumn="0"/>
          <w:cantSplit/>
        </w:trPr>
        <w:tc>
          <w:tcPr>
            <w:tcW w:w="5807" w:type="dxa"/>
            <w:tcBorders>
              <w:top w:val="single" w:sz="4" w:space="0" w:color="auto"/>
              <w:left w:val="single" w:sz="4" w:space="0" w:color="auto"/>
              <w:bottom w:val="single" w:sz="4" w:space="0" w:color="auto"/>
              <w:right w:val="single" w:sz="4" w:space="0" w:color="auto"/>
            </w:tcBorders>
          </w:tcPr>
          <w:p w14:paraId="42D59E83" w14:textId="77777777" w:rsidR="00500337" w:rsidRDefault="00500337" w:rsidP="00500337">
            <w:pPr>
              <w:ind w:left="0" w:right="0"/>
            </w:pPr>
            <w:r>
              <w:t>Description</w:t>
            </w:r>
          </w:p>
        </w:tc>
        <w:tc>
          <w:tcPr>
            <w:tcW w:w="2687" w:type="dxa"/>
            <w:tcBorders>
              <w:top w:val="single" w:sz="4" w:space="0" w:color="auto"/>
              <w:left w:val="single" w:sz="4" w:space="0" w:color="auto"/>
              <w:bottom w:val="single" w:sz="4" w:space="0" w:color="auto"/>
              <w:right w:val="single" w:sz="4" w:space="0" w:color="auto"/>
            </w:tcBorders>
          </w:tcPr>
          <w:p w14:paraId="182EDA04" w14:textId="77777777" w:rsidR="00500337" w:rsidRDefault="00500337" w:rsidP="00500337">
            <w:pPr>
              <w:ind w:left="0" w:right="0"/>
            </w:pPr>
            <w:r>
              <w:t>Date</w:t>
            </w:r>
          </w:p>
        </w:tc>
      </w:tr>
      <w:tr w:rsidR="00500337" w14:paraId="5FDA51F8" w14:textId="77777777" w:rsidTr="00F672AB">
        <w:tc>
          <w:tcPr>
            <w:tcW w:w="5807" w:type="dxa"/>
            <w:tcBorders>
              <w:top w:val="single" w:sz="4" w:space="0" w:color="auto"/>
            </w:tcBorders>
          </w:tcPr>
          <w:p w14:paraId="20E8CF11" w14:textId="77777777" w:rsidR="00500337" w:rsidRDefault="00500337" w:rsidP="00500337">
            <w:pPr>
              <w:ind w:left="0" w:right="0"/>
            </w:pPr>
            <w:r>
              <w:t>Submission dossier accepted and first round evaluation commenced</w:t>
            </w:r>
          </w:p>
        </w:tc>
        <w:tc>
          <w:tcPr>
            <w:tcW w:w="2687" w:type="dxa"/>
            <w:tcBorders>
              <w:top w:val="single" w:sz="4" w:space="0" w:color="auto"/>
            </w:tcBorders>
          </w:tcPr>
          <w:p w14:paraId="1E5C8EAD" w14:textId="77777777" w:rsidR="00500337" w:rsidRDefault="008E05D5" w:rsidP="00500337">
            <w:pPr>
              <w:ind w:left="0" w:right="0"/>
            </w:pPr>
            <w:r w:rsidRPr="003976CB">
              <w:rPr>
                <w:color w:val="auto"/>
              </w:rPr>
              <w:t>30 April 2020</w:t>
            </w:r>
          </w:p>
        </w:tc>
      </w:tr>
      <w:tr w:rsidR="00500337" w14:paraId="1B49BE0B" w14:textId="77777777" w:rsidTr="00F672AB">
        <w:tc>
          <w:tcPr>
            <w:tcW w:w="5807" w:type="dxa"/>
          </w:tcPr>
          <w:p w14:paraId="5587901A" w14:textId="77777777" w:rsidR="00500337" w:rsidRDefault="00500337" w:rsidP="00500337">
            <w:pPr>
              <w:ind w:left="0" w:right="0"/>
            </w:pPr>
            <w:r>
              <w:t>First round evaluation completed</w:t>
            </w:r>
          </w:p>
        </w:tc>
        <w:tc>
          <w:tcPr>
            <w:tcW w:w="2687" w:type="dxa"/>
          </w:tcPr>
          <w:p w14:paraId="4CB01CB2" w14:textId="77777777" w:rsidR="00500337" w:rsidRDefault="008E05D5" w:rsidP="00500337">
            <w:pPr>
              <w:ind w:left="0" w:right="0"/>
            </w:pPr>
            <w:r w:rsidRPr="003976CB">
              <w:rPr>
                <w:color w:val="auto"/>
              </w:rPr>
              <w:t>30 September 2020</w:t>
            </w:r>
          </w:p>
        </w:tc>
      </w:tr>
      <w:tr w:rsidR="00500337" w14:paraId="1A4DBF6C" w14:textId="77777777" w:rsidTr="00F672AB">
        <w:tc>
          <w:tcPr>
            <w:tcW w:w="5807" w:type="dxa"/>
          </w:tcPr>
          <w:p w14:paraId="770C7C9E" w14:textId="77777777" w:rsidR="00500337" w:rsidRDefault="00500337" w:rsidP="00500337">
            <w:pPr>
              <w:ind w:left="0" w:right="0"/>
            </w:pPr>
            <w:r>
              <w:t>Sponsor provides responses on questions raised in first round evaluation</w:t>
            </w:r>
          </w:p>
        </w:tc>
        <w:tc>
          <w:tcPr>
            <w:tcW w:w="2687" w:type="dxa"/>
          </w:tcPr>
          <w:p w14:paraId="3515A452" w14:textId="77777777" w:rsidR="00500337" w:rsidRDefault="008E05D5" w:rsidP="00500337">
            <w:pPr>
              <w:ind w:left="0" w:right="0"/>
            </w:pPr>
            <w:r w:rsidRPr="003976CB">
              <w:rPr>
                <w:color w:val="auto"/>
              </w:rPr>
              <w:t>30 November 2020</w:t>
            </w:r>
          </w:p>
        </w:tc>
      </w:tr>
      <w:tr w:rsidR="00500337" w14:paraId="4DDB2ED5" w14:textId="77777777" w:rsidTr="00F672AB">
        <w:tc>
          <w:tcPr>
            <w:tcW w:w="5807" w:type="dxa"/>
          </w:tcPr>
          <w:p w14:paraId="33B55FB6" w14:textId="77777777" w:rsidR="00500337" w:rsidRDefault="00500337" w:rsidP="00500337">
            <w:pPr>
              <w:ind w:left="0" w:right="0"/>
            </w:pPr>
            <w:r>
              <w:t>Second round evaluation completed</w:t>
            </w:r>
          </w:p>
        </w:tc>
        <w:tc>
          <w:tcPr>
            <w:tcW w:w="2687" w:type="dxa"/>
          </w:tcPr>
          <w:p w14:paraId="50259BEA" w14:textId="77777777" w:rsidR="00500337" w:rsidRDefault="008E05D5" w:rsidP="00500337">
            <w:pPr>
              <w:ind w:left="0" w:right="0"/>
            </w:pPr>
            <w:r w:rsidRPr="003976CB">
              <w:rPr>
                <w:color w:val="auto"/>
              </w:rPr>
              <w:t>12 January 2021</w:t>
            </w:r>
          </w:p>
        </w:tc>
      </w:tr>
      <w:tr w:rsidR="00500337" w14:paraId="15AFD72F" w14:textId="77777777" w:rsidTr="00F672AB">
        <w:tc>
          <w:tcPr>
            <w:tcW w:w="5807" w:type="dxa"/>
          </w:tcPr>
          <w:p w14:paraId="6CA07E83" w14:textId="241B7C49" w:rsidR="00500337" w:rsidRDefault="00324E45" w:rsidP="008E05D5">
            <w:pPr>
              <w:ind w:left="0" w:right="0"/>
            </w:pPr>
            <w:r>
              <w:t xml:space="preserve">Delegate’s </w:t>
            </w:r>
            <w:r w:rsidR="00427FEA">
              <w:t>Overall benefit-risk assessment</w:t>
            </w:r>
          </w:p>
        </w:tc>
        <w:tc>
          <w:tcPr>
            <w:tcW w:w="2687" w:type="dxa"/>
          </w:tcPr>
          <w:p w14:paraId="64225F53" w14:textId="77777777" w:rsidR="00500337" w:rsidRDefault="008E05D5" w:rsidP="00500337">
            <w:pPr>
              <w:ind w:left="0" w:right="0"/>
            </w:pPr>
            <w:r w:rsidRPr="003976CB">
              <w:rPr>
                <w:color w:val="auto"/>
              </w:rPr>
              <w:t>25 March 2021</w:t>
            </w:r>
          </w:p>
        </w:tc>
      </w:tr>
      <w:tr w:rsidR="00500337" w14:paraId="38A74823" w14:textId="77777777" w:rsidTr="00F672AB">
        <w:tc>
          <w:tcPr>
            <w:tcW w:w="5807" w:type="dxa"/>
          </w:tcPr>
          <w:p w14:paraId="15DEEC5C" w14:textId="77777777" w:rsidR="00500337" w:rsidRDefault="00500337" w:rsidP="00500337">
            <w:pPr>
              <w:ind w:left="0" w:right="0"/>
            </w:pPr>
            <w:r>
              <w:t>Sponsor’s pre-Advisory Committee response</w:t>
            </w:r>
          </w:p>
        </w:tc>
        <w:tc>
          <w:tcPr>
            <w:tcW w:w="2687" w:type="dxa"/>
          </w:tcPr>
          <w:p w14:paraId="241E4770" w14:textId="77777777" w:rsidR="00500337" w:rsidRDefault="008E05D5" w:rsidP="00500337">
            <w:pPr>
              <w:ind w:left="0" w:right="0"/>
            </w:pPr>
            <w:r w:rsidRPr="003976CB">
              <w:rPr>
                <w:color w:val="auto"/>
              </w:rPr>
              <w:t>Not applicable</w:t>
            </w:r>
          </w:p>
        </w:tc>
      </w:tr>
      <w:tr w:rsidR="00500337" w14:paraId="6B88820E" w14:textId="77777777" w:rsidTr="00F672AB">
        <w:tc>
          <w:tcPr>
            <w:tcW w:w="5807" w:type="dxa"/>
          </w:tcPr>
          <w:p w14:paraId="04874641" w14:textId="77777777" w:rsidR="00500337" w:rsidRDefault="00500337" w:rsidP="00500337">
            <w:pPr>
              <w:ind w:left="0" w:right="0"/>
            </w:pPr>
            <w:r>
              <w:t>Advisory Committee meeting</w:t>
            </w:r>
          </w:p>
        </w:tc>
        <w:tc>
          <w:tcPr>
            <w:tcW w:w="2687" w:type="dxa"/>
          </w:tcPr>
          <w:p w14:paraId="549ECF6E" w14:textId="77777777" w:rsidR="00500337" w:rsidRDefault="008E05D5" w:rsidP="00500337">
            <w:pPr>
              <w:ind w:left="0" w:right="0"/>
            </w:pPr>
            <w:r w:rsidRPr="003976CB">
              <w:rPr>
                <w:color w:val="auto"/>
              </w:rPr>
              <w:t>Not applicable</w:t>
            </w:r>
          </w:p>
        </w:tc>
      </w:tr>
      <w:tr w:rsidR="00500337" w14:paraId="4EDADD6E" w14:textId="77777777" w:rsidTr="00F672AB">
        <w:tc>
          <w:tcPr>
            <w:tcW w:w="5807" w:type="dxa"/>
          </w:tcPr>
          <w:p w14:paraId="6EF23DC8" w14:textId="77777777" w:rsidR="00500337" w:rsidRDefault="00500337" w:rsidP="00500337">
            <w:pPr>
              <w:ind w:left="0" w:right="0"/>
            </w:pPr>
            <w:r>
              <w:t>Registration decision (Outcome)</w:t>
            </w:r>
          </w:p>
        </w:tc>
        <w:tc>
          <w:tcPr>
            <w:tcW w:w="2687" w:type="dxa"/>
          </w:tcPr>
          <w:p w14:paraId="5E3914AB" w14:textId="77777777" w:rsidR="00500337" w:rsidRDefault="008E05D5" w:rsidP="00500337">
            <w:pPr>
              <w:ind w:left="0" w:right="0"/>
            </w:pPr>
            <w:r w:rsidRPr="003976CB">
              <w:rPr>
                <w:color w:val="auto"/>
              </w:rPr>
              <w:t>21 April 2021</w:t>
            </w:r>
          </w:p>
        </w:tc>
      </w:tr>
      <w:tr w:rsidR="00500337" w14:paraId="47D0B691" w14:textId="77777777" w:rsidTr="00F672AB">
        <w:tc>
          <w:tcPr>
            <w:tcW w:w="5807" w:type="dxa"/>
          </w:tcPr>
          <w:p w14:paraId="3D6DA1B9" w14:textId="77777777" w:rsidR="00500337" w:rsidRDefault="00500337" w:rsidP="00500337">
            <w:pPr>
              <w:ind w:left="0" w:right="0"/>
            </w:pPr>
            <w:r>
              <w:t xml:space="preserve">Completion of administrative activities and registration on </w:t>
            </w:r>
            <w:r w:rsidR="00006FAB">
              <w:t xml:space="preserve">the </w:t>
            </w:r>
            <w:r>
              <w:t>ARTG</w:t>
            </w:r>
          </w:p>
        </w:tc>
        <w:tc>
          <w:tcPr>
            <w:tcW w:w="2687" w:type="dxa"/>
          </w:tcPr>
          <w:p w14:paraId="31E20B1A" w14:textId="77777777" w:rsidR="00500337" w:rsidRDefault="008E05D5" w:rsidP="00500337">
            <w:pPr>
              <w:ind w:left="0" w:right="0"/>
            </w:pPr>
            <w:r w:rsidRPr="00F5562A">
              <w:rPr>
                <w:color w:val="auto"/>
              </w:rPr>
              <w:t>3 May 2021</w:t>
            </w:r>
          </w:p>
        </w:tc>
      </w:tr>
      <w:tr w:rsidR="00500337" w14:paraId="4060B624" w14:textId="77777777" w:rsidTr="00F672AB">
        <w:tc>
          <w:tcPr>
            <w:tcW w:w="5807" w:type="dxa"/>
          </w:tcPr>
          <w:p w14:paraId="2CF8B583" w14:textId="77777777" w:rsidR="00500337" w:rsidRDefault="00500337" w:rsidP="00500337">
            <w:pPr>
              <w:ind w:left="0" w:right="0"/>
            </w:pPr>
            <w:r>
              <w:t>Number of working days from submission dossier acceptance to registration decision*</w:t>
            </w:r>
          </w:p>
        </w:tc>
        <w:tc>
          <w:tcPr>
            <w:tcW w:w="2687" w:type="dxa"/>
          </w:tcPr>
          <w:p w14:paraId="5C583E73" w14:textId="77777777" w:rsidR="00500337" w:rsidRDefault="008E05D5" w:rsidP="00500337">
            <w:pPr>
              <w:ind w:left="0" w:right="0"/>
            </w:pPr>
            <w:r w:rsidRPr="003976CB">
              <w:rPr>
                <w:color w:val="auto"/>
              </w:rPr>
              <w:t>199</w:t>
            </w:r>
          </w:p>
        </w:tc>
      </w:tr>
    </w:tbl>
    <w:p w14:paraId="5938604A" w14:textId="77777777" w:rsidR="00500337" w:rsidRDefault="00500337" w:rsidP="00500337">
      <w:pPr>
        <w:pStyle w:val="TableDescription"/>
      </w:pPr>
      <w:r>
        <w:t>*</w:t>
      </w:r>
      <w:r w:rsidR="00BF3774" w:rsidRPr="00BF3774">
        <w:t xml:space="preserve">Statutory </w:t>
      </w:r>
      <w:r>
        <w:t>timeframe for standard applications is 2</w:t>
      </w:r>
      <w:r w:rsidR="00BF3774">
        <w:t>55</w:t>
      </w:r>
      <w:r w:rsidR="008E05D5">
        <w:t xml:space="preserve"> working days</w:t>
      </w:r>
    </w:p>
    <w:p w14:paraId="62D2CF39" w14:textId="77777777" w:rsidR="008E7846" w:rsidRPr="00792A32" w:rsidRDefault="00456765" w:rsidP="008E7846">
      <w:pPr>
        <w:pStyle w:val="Heading2"/>
      </w:pPr>
      <w:bookmarkStart w:id="27" w:name="_Toc196046504"/>
      <w:bookmarkStart w:id="28" w:name="_Toc247691527"/>
      <w:bookmarkStart w:id="29" w:name="_Toc314842510"/>
      <w:bookmarkStart w:id="30" w:name="_Toc163441390"/>
      <w:bookmarkStart w:id="31" w:name="_Toc76652759"/>
      <w:bookmarkEnd w:id="1"/>
      <w:bookmarkEnd w:id="23"/>
      <w:bookmarkEnd w:id="24"/>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7"/>
      <w:bookmarkEnd w:id="28"/>
      <w:bookmarkEnd w:id="29"/>
      <w:bookmarkEnd w:id="31"/>
    </w:p>
    <w:p w14:paraId="4C649D77" w14:textId="77777777" w:rsidR="00006FAB" w:rsidRDefault="00006FAB" w:rsidP="00006FAB">
      <w:bookmarkStart w:id="32" w:name="_Toc247691528"/>
      <w:r>
        <w:t>The submission was summarised in the following Delegate’s overview and recommendations.</w:t>
      </w:r>
    </w:p>
    <w:p w14:paraId="4AF9BD50" w14:textId="77777777" w:rsidR="00D447BA" w:rsidRDefault="00D447BA" w:rsidP="00006FAB">
      <w:r w:rsidRPr="00D447BA">
        <w:t xml:space="preserve">The following guidelines </w:t>
      </w:r>
      <w:r>
        <w:t xml:space="preserve">or </w:t>
      </w:r>
      <w:r w:rsidRPr="00D447BA">
        <w:t>guidance document</w:t>
      </w:r>
      <w:r>
        <w:t>s</w:t>
      </w:r>
      <w:r w:rsidRPr="00D447BA">
        <w:t xml:space="preserve"> </w:t>
      </w:r>
      <w:r>
        <w:t>are</w:t>
      </w:r>
      <w:r w:rsidRPr="00D447BA">
        <w:t xml:space="preserve"> of relevance to the submission:</w:t>
      </w:r>
    </w:p>
    <w:p w14:paraId="69E09328" w14:textId="189F8EC4" w:rsidR="0098337F" w:rsidRPr="00113998" w:rsidRDefault="0098337F" w:rsidP="00113998">
      <w:pPr>
        <w:pStyle w:val="ListBullet"/>
      </w:pPr>
      <w:r w:rsidRPr="00184FBD">
        <w:t>European Medicines Agency (EMA), Committee for Medicinal Products for Human Use (CHMP), Guideline</w:t>
      </w:r>
      <w:r w:rsidRPr="00113998">
        <w:t xml:space="preserve"> on The Clinical Investigation of Human Normal Immunoglobulin for Subcutaneous and/or Intramuscular Administration (SCIg/IMIg), </w:t>
      </w:r>
      <w:r w:rsidR="008A78DD">
        <w:t>E</w:t>
      </w:r>
      <w:r w:rsidRPr="00113998">
        <w:t>MA/CHMP/BPWP/410415/2011 rev 1, 23 July 2015.</w:t>
      </w:r>
    </w:p>
    <w:p w14:paraId="677A515A" w14:textId="51FAC551" w:rsidR="0098337F" w:rsidRPr="00113998" w:rsidRDefault="0098337F" w:rsidP="00113998">
      <w:pPr>
        <w:pStyle w:val="ListBullet"/>
      </w:pPr>
      <w:r w:rsidRPr="00113998">
        <w:t>U.S. Department of Health and Human Services</w:t>
      </w:r>
      <w:r w:rsidR="00113998" w:rsidRPr="00113998">
        <w:t xml:space="preserve">, </w:t>
      </w:r>
      <w:r w:rsidRPr="00113998">
        <w:t>Food and Drug Administration</w:t>
      </w:r>
      <w:r w:rsidR="00113998" w:rsidRPr="00113998">
        <w:t xml:space="preserve">, </w:t>
      </w:r>
      <w:r w:rsidRPr="00113998">
        <w:t>Center for Biologics Evaluation and Research</w:t>
      </w:r>
      <w:r w:rsidR="00113998" w:rsidRPr="00113998">
        <w:t xml:space="preserve">, </w:t>
      </w:r>
      <w:r w:rsidRPr="00113998">
        <w:t>Guidance for Industry: Safety, Efficacy, and Pharmacokinetic Studies to Support Marketing of Immune Globulin Intravenous (Human) as Replacement Therapy for Primary Humoral Immunodeficiency</w:t>
      </w:r>
      <w:r w:rsidR="00113998" w:rsidRPr="00113998">
        <w:t>, June 2008</w:t>
      </w:r>
      <w:r w:rsidR="00427FEA">
        <w:t>.</w:t>
      </w:r>
    </w:p>
    <w:p w14:paraId="5A8FD225" w14:textId="77777777" w:rsidR="008E7846" w:rsidRDefault="008E7846" w:rsidP="008E7846">
      <w:pPr>
        <w:pStyle w:val="Heading3"/>
      </w:pPr>
      <w:bookmarkStart w:id="33" w:name="_Toc314842511"/>
      <w:bookmarkStart w:id="34" w:name="_Toc76652760"/>
      <w:r>
        <w:t>Quality</w:t>
      </w:r>
      <w:bookmarkEnd w:id="32"/>
      <w:bookmarkEnd w:id="33"/>
      <w:bookmarkEnd w:id="34"/>
    </w:p>
    <w:p w14:paraId="5A7DB739" w14:textId="6D62146D" w:rsidR="00A17941" w:rsidRPr="00A17941" w:rsidRDefault="00A17941" w:rsidP="00A17941">
      <w:r w:rsidRPr="00A17941">
        <w:t>Cutaquig is a SCI</w:t>
      </w:r>
      <w:r w:rsidR="00F90092" w:rsidRPr="00A17941">
        <w:t>g</w:t>
      </w:r>
      <w:r w:rsidRPr="00A17941">
        <w:t xml:space="preserve"> product that was developed based on the manufacturing process of IVI</w:t>
      </w:r>
      <w:r w:rsidR="00F90092" w:rsidRPr="00A17941">
        <w:t>g</w:t>
      </w:r>
      <w:r w:rsidRPr="00A17941">
        <w:t xml:space="preserve"> Octagam.</w:t>
      </w:r>
      <w:r w:rsidR="00D96104">
        <w:rPr>
          <w:rStyle w:val="FootnoteReference"/>
        </w:rPr>
        <w:footnoteReference w:id="2"/>
      </w:r>
      <w:r w:rsidRPr="00A17941">
        <w:t xml:space="preserve"> The active component, </w:t>
      </w:r>
      <w:r w:rsidR="007746E8">
        <w:t>Ig</w:t>
      </w:r>
      <w:r w:rsidRPr="00A17941">
        <w:t>G, is purified from human plasma. In the product, &gt;</w:t>
      </w:r>
      <w:r w:rsidR="00835515">
        <w:t> </w:t>
      </w:r>
      <w:r w:rsidRPr="00A17941">
        <w:t>95% of total protein is IgG. The final product contains residues of other plasma proteins. The content of IgA is not more than 0.6</w:t>
      </w:r>
      <w:r w:rsidR="00835515">
        <w:t> </w:t>
      </w:r>
      <w:r w:rsidRPr="00A17941">
        <w:t>mg/m</w:t>
      </w:r>
      <w:r w:rsidR="00835515">
        <w:t>L</w:t>
      </w:r>
      <w:r w:rsidRPr="00A17941">
        <w:t>.</w:t>
      </w:r>
    </w:p>
    <w:p w14:paraId="23EAE11F" w14:textId="3B1C966D" w:rsidR="00A17941" w:rsidRPr="00A17941" w:rsidRDefault="00A17941" w:rsidP="00A17941">
      <w:r w:rsidRPr="00A17941">
        <w:t>The manufacturing process briefly involves plasma is thawed and pooled and may then be depleted of vitamin K</w:t>
      </w:r>
      <w:r w:rsidR="00B24E1A">
        <w:noBreakHyphen/>
      </w:r>
      <w:r w:rsidRPr="00A17941">
        <w:t>dependent coagulation factors. Heparin is removed</w:t>
      </w:r>
      <w:r w:rsidRPr="00597769">
        <w:t>. Precipitation followed by separation of fraction I</w:t>
      </w:r>
      <w:r w:rsidR="00835515" w:rsidRPr="00597769">
        <w:t> </w:t>
      </w:r>
      <w:r w:rsidRPr="00597769">
        <w:t>+</w:t>
      </w:r>
      <w:r w:rsidR="00835515" w:rsidRPr="00597769">
        <w:t> </w:t>
      </w:r>
      <w:r w:rsidRPr="00597769">
        <w:t>II</w:t>
      </w:r>
      <w:r w:rsidR="00835515" w:rsidRPr="00597769">
        <w:t> </w:t>
      </w:r>
      <w:r w:rsidRPr="00597769">
        <w:t>+</w:t>
      </w:r>
      <w:r w:rsidR="00835515" w:rsidRPr="00597769">
        <w:t> </w:t>
      </w:r>
      <w:r w:rsidRPr="00597769">
        <w:t>III then takes place. Fraction I</w:t>
      </w:r>
      <w:r w:rsidR="00835515" w:rsidRPr="00597769">
        <w:t> </w:t>
      </w:r>
      <w:r w:rsidRPr="00597769">
        <w:t>+</w:t>
      </w:r>
      <w:r w:rsidR="00835515" w:rsidRPr="00597769">
        <w:t> </w:t>
      </w:r>
      <w:r w:rsidRPr="00597769">
        <w:t>II</w:t>
      </w:r>
      <w:r w:rsidR="00835515" w:rsidRPr="00597769">
        <w:t> </w:t>
      </w:r>
      <w:r w:rsidRPr="00597769">
        <w:t>+</w:t>
      </w:r>
      <w:r w:rsidR="00835515" w:rsidRPr="00597769">
        <w:t> </w:t>
      </w:r>
      <w:r w:rsidRPr="00597769">
        <w:t>III is then reconstituted and fraction I</w:t>
      </w:r>
      <w:r w:rsidR="00835515" w:rsidRPr="00597769">
        <w:t> </w:t>
      </w:r>
      <w:r w:rsidRPr="00597769">
        <w:t>+</w:t>
      </w:r>
      <w:r w:rsidR="00835515" w:rsidRPr="00597769">
        <w:t> </w:t>
      </w:r>
      <w:r w:rsidRPr="00597769">
        <w:t xml:space="preserve">III is precipitated and separated, followed by precipitation and separation of fraction II. Fraction II paste is the starting material for the production IgG products. Fraction II is concentrated by ultrafiltration. Viruses are inactivated by the addition </w:t>
      </w:r>
      <w:r w:rsidR="00181555">
        <w:t xml:space="preserve">of </w:t>
      </w:r>
      <w:r w:rsidR="00835515" w:rsidRPr="00597769">
        <w:t xml:space="preserve">octoxynol </w:t>
      </w:r>
      <w:r w:rsidRPr="00597769">
        <w:t xml:space="preserve">and </w:t>
      </w:r>
      <w:r w:rsidR="00835515" w:rsidRPr="00597769">
        <w:t>tri(n-butyl)phosphate (</w:t>
      </w:r>
      <w:r w:rsidRPr="00597769">
        <w:t>TNBP</w:t>
      </w:r>
      <w:r w:rsidR="00835515" w:rsidRPr="00597769">
        <w:t>)</w:t>
      </w:r>
      <w:r w:rsidRPr="00597769">
        <w:t xml:space="preserve">. The virus inactivation reagents are then removed by the addition of castor oil and then filtration. </w:t>
      </w:r>
      <w:r w:rsidR="00181555">
        <w:t>T</w:t>
      </w:r>
      <w:r w:rsidRPr="00597769">
        <w:t>he solution is concentrated by ultrafiltration. The final solution is</w:t>
      </w:r>
      <w:r w:rsidR="00835515" w:rsidRPr="00597769">
        <w:t xml:space="preserve"> prepared by the addition of a p</w:t>
      </w:r>
      <w:r w:rsidRPr="00597769">
        <w:t>olysorbate 80/maltose so</w:t>
      </w:r>
      <w:r w:rsidR="00835515" w:rsidRPr="00597769">
        <w:t>lution, followed by filtration.</w:t>
      </w:r>
    </w:p>
    <w:p w14:paraId="04CB2CD2" w14:textId="77777777" w:rsidR="00A17941" w:rsidRPr="00A17941" w:rsidRDefault="00A17941" w:rsidP="00A17941">
      <w:r w:rsidRPr="00A17941">
        <w:t xml:space="preserve">There are no objections to registration of </w:t>
      </w:r>
      <w:r w:rsidR="00DE6F3C" w:rsidRPr="00A17941">
        <w:t>Cutaquig</w:t>
      </w:r>
      <w:r w:rsidRPr="00A17941">
        <w:t xml:space="preserve"> from a quality perspective.</w:t>
      </w:r>
    </w:p>
    <w:p w14:paraId="40B3D56E" w14:textId="77777777" w:rsidR="008E7846" w:rsidRDefault="008E7846" w:rsidP="008E7846">
      <w:pPr>
        <w:pStyle w:val="Heading3"/>
      </w:pPr>
      <w:bookmarkStart w:id="35" w:name="_Toc314842512"/>
      <w:bookmarkStart w:id="36" w:name="_Toc76652761"/>
      <w:r>
        <w:t>Nonclinical</w:t>
      </w:r>
      <w:bookmarkEnd w:id="35"/>
      <w:bookmarkEnd w:id="36"/>
    </w:p>
    <w:p w14:paraId="4E0FA14C" w14:textId="2732B4FE" w:rsidR="00A17941" w:rsidRPr="00A17941" w:rsidRDefault="00A17941" w:rsidP="00A17941">
      <w:r w:rsidRPr="00A17941">
        <w:t xml:space="preserve">The nonclinical dossier contained </w:t>
      </w:r>
      <w:r w:rsidRPr="00835515">
        <w:rPr>
          <w:i/>
        </w:rPr>
        <w:t>in vivo</w:t>
      </w:r>
      <w:r w:rsidRPr="00A17941">
        <w:t xml:space="preserve"> studies on primary pharmacology, safety pharmacology and local tolerance, as well as previously reviewed toxicity and pharamacokinetic studies of impurities, </w:t>
      </w:r>
      <w:r w:rsidR="00835515">
        <w:t>TNBP</w:t>
      </w:r>
      <w:r w:rsidR="00543B9A">
        <w:t xml:space="preserve"> and octoxinol-</w:t>
      </w:r>
      <w:r w:rsidRPr="00A17941">
        <w:t>9</w:t>
      </w:r>
      <w:r w:rsidR="00551860">
        <w:t xml:space="preserve"> </w:t>
      </w:r>
      <w:r w:rsidR="00551860" w:rsidRPr="00A17941">
        <w:t>(</w:t>
      </w:r>
      <w:r w:rsidR="00551860">
        <w:t xml:space="preserve">also known as </w:t>
      </w:r>
      <w:r w:rsidR="00551860" w:rsidRPr="00A17941">
        <w:t>Triton</w:t>
      </w:r>
      <w:r w:rsidR="00551860">
        <w:t> X</w:t>
      </w:r>
      <w:r w:rsidR="00551860">
        <w:noBreakHyphen/>
      </w:r>
      <w:r w:rsidR="00551860" w:rsidRPr="00A17941">
        <w:t>100)</w:t>
      </w:r>
      <w:r w:rsidRPr="00A17941">
        <w:t>.</w:t>
      </w:r>
    </w:p>
    <w:p w14:paraId="48ABAD43" w14:textId="6CFE5F8C" w:rsidR="00A17941" w:rsidRPr="00A17941" w:rsidRDefault="00A17941" w:rsidP="00A17941">
      <w:r w:rsidRPr="00A17941">
        <w:t xml:space="preserve">One pharmacodynamic study in a mouse sepsis model showed that </w:t>
      </w:r>
      <w:r w:rsidR="00543B9A">
        <w:t>s</w:t>
      </w:r>
      <w:r w:rsidR="00543B9A" w:rsidRPr="00543B9A">
        <w:t>ubcutaneous</w:t>
      </w:r>
      <w:r w:rsidRPr="00A17941">
        <w:t xml:space="preserve"> administration of </w:t>
      </w:r>
      <w:r w:rsidR="00DE6F3C" w:rsidRPr="00A17941">
        <w:t>Cutaquig</w:t>
      </w:r>
      <w:r w:rsidRPr="00A17941">
        <w:t xml:space="preserve"> prevented or reduced mortality against infection with </w:t>
      </w:r>
      <w:r w:rsidRPr="00543B9A">
        <w:rPr>
          <w:i/>
        </w:rPr>
        <w:t>Streptococcus</w:t>
      </w:r>
      <w:r w:rsidR="00543B9A" w:rsidRPr="00543B9A">
        <w:rPr>
          <w:i/>
        </w:rPr>
        <w:t xml:space="preserve"> </w:t>
      </w:r>
      <w:r w:rsidRPr="00543B9A">
        <w:rPr>
          <w:i/>
        </w:rPr>
        <w:t>pneumoniae</w:t>
      </w:r>
      <w:r w:rsidRPr="00A17941">
        <w:t>, in a dose</w:t>
      </w:r>
      <w:r w:rsidR="00543B9A">
        <w:t xml:space="preserve"> </w:t>
      </w:r>
      <w:r w:rsidRPr="00A17941">
        <w:t>dependent manner.</w:t>
      </w:r>
    </w:p>
    <w:p w14:paraId="7D22B635" w14:textId="6D85213B" w:rsidR="00A17941" w:rsidRPr="00A17941" w:rsidRDefault="00A17941" w:rsidP="00A17941">
      <w:r w:rsidRPr="00A17941">
        <w:t xml:space="preserve">A safety pharmacology study in dogs showed that </w:t>
      </w:r>
      <w:r w:rsidR="00543B9A">
        <w:t>s</w:t>
      </w:r>
      <w:r w:rsidR="00543B9A" w:rsidRPr="00543B9A">
        <w:t>ubcutaneous</w:t>
      </w:r>
      <w:r w:rsidR="00543B9A" w:rsidRPr="00A17941">
        <w:t xml:space="preserve"> </w:t>
      </w:r>
      <w:r w:rsidRPr="00A17941">
        <w:t>administration of 500</w:t>
      </w:r>
      <w:r w:rsidR="00543B9A">
        <w:t> </w:t>
      </w:r>
      <w:r w:rsidRPr="00A17941">
        <w:t xml:space="preserve">mg/kg </w:t>
      </w:r>
      <w:r w:rsidR="00DE6F3C" w:rsidRPr="00A17941">
        <w:t>Cutaquig</w:t>
      </w:r>
      <w:r w:rsidRPr="00A17941">
        <w:t xml:space="preserve"> had no effects on blood pressure or </w:t>
      </w:r>
      <w:r w:rsidR="00543B9A" w:rsidRPr="00543B9A">
        <w:t xml:space="preserve">electrocardiogram </w:t>
      </w:r>
      <w:r w:rsidRPr="00A17941">
        <w:t>parameters with no potential for QT interval</w:t>
      </w:r>
      <w:r w:rsidR="00551860">
        <w:t>;</w:t>
      </w:r>
      <w:r w:rsidR="004F168F">
        <w:rPr>
          <w:rStyle w:val="FootnoteReference"/>
        </w:rPr>
        <w:footnoteReference w:id="3"/>
      </w:r>
      <w:r w:rsidRPr="00A17941">
        <w:t xml:space="preserve"> prolongation. A study in rabbits with two batches of </w:t>
      </w:r>
      <w:r w:rsidR="00DE6F3C" w:rsidRPr="00A17941">
        <w:t>Cutaquig</w:t>
      </w:r>
      <w:r w:rsidRPr="00A17941">
        <w:t xml:space="preserve"> when </w:t>
      </w:r>
      <w:r w:rsidR="00543B9A">
        <w:t>i</w:t>
      </w:r>
      <w:r w:rsidR="00543B9A" w:rsidRPr="00543B9A">
        <w:t xml:space="preserve">ntravenous </w:t>
      </w:r>
      <w:r w:rsidRPr="00A17941">
        <w:t>administered via a single bolus injection showed no thrombogenic effects.</w:t>
      </w:r>
    </w:p>
    <w:p w14:paraId="37B50B69" w14:textId="1AD30B09" w:rsidR="00A17941" w:rsidRPr="00A17941" w:rsidRDefault="00A17941" w:rsidP="00A17941">
      <w:r w:rsidRPr="00A17941">
        <w:t>No significant treatment</w:t>
      </w:r>
      <w:r w:rsidR="00262AB3">
        <w:t>-</w:t>
      </w:r>
      <w:r w:rsidRPr="00A17941">
        <w:t xml:space="preserve">related local reactions were observed at the injection site following </w:t>
      </w:r>
      <w:r w:rsidR="00543B9A" w:rsidRPr="00543B9A">
        <w:t xml:space="preserve">subcutaneous </w:t>
      </w:r>
      <w:r w:rsidRPr="00A17941">
        <w:t xml:space="preserve">administration of </w:t>
      </w:r>
      <w:r w:rsidR="00DE6F3C" w:rsidRPr="00A17941">
        <w:t>Cutaquig</w:t>
      </w:r>
      <w:r w:rsidRPr="00A17941">
        <w:t xml:space="preserve"> in rabbits.</w:t>
      </w:r>
    </w:p>
    <w:p w14:paraId="3783943C" w14:textId="6DFED3A7" w:rsidR="00A17941" w:rsidRPr="00A17941" w:rsidRDefault="00A17941" w:rsidP="00A17941">
      <w:r w:rsidRPr="00A17941">
        <w:t>The proposed levels of residual impurities, TNBP and octoxinol</w:t>
      </w:r>
      <w:r w:rsidR="00543B9A">
        <w:t>-</w:t>
      </w:r>
      <w:r w:rsidRPr="00A17941">
        <w:t xml:space="preserve">9 in </w:t>
      </w:r>
      <w:r w:rsidR="00DE6F3C" w:rsidRPr="00A17941">
        <w:t>Cutaquig</w:t>
      </w:r>
      <w:r w:rsidRPr="00A17941">
        <w:t xml:space="preserve"> are comparable to levels in approved IgG products and are toxicologically acceptable.</w:t>
      </w:r>
    </w:p>
    <w:p w14:paraId="4DDA9A83" w14:textId="4B91F35A" w:rsidR="00A17941" w:rsidRPr="00A17941" w:rsidRDefault="00A17941" w:rsidP="00A17941">
      <w:r w:rsidRPr="00A17941">
        <w:t xml:space="preserve">There are no nonclinical objections to the registration of </w:t>
      </w:r>
      <w:r w:rsidR="00DE6F3C" w:rsidRPr="00A17941">
        <w:t>Cutaquig</w:t>
      </w:r>
      <w:r w:rsidR="00543B9A">
        <w:t>.</w:t>
      </w:r>
    </w:p>
    <w:p w14:paraId="56666FD3" w14:textId="371748A8" w:rsidR="00A17941" w:rsidRPr="00A17941" w:rsidRDefault="0065098D" w:rsidP="00A17941">
      <w:r>
        <w:t>The PI</w:t>
      </w:r>
      <w:r w:rsidR="004F168F">
        <w:t>;</w:t>
      </w:r>
      <w:r w:rsidR="004F168F">
        <w:rPr>
          <w:rStyle w:val="FootnoteReference"/>
        </w:rPr>
        <w:footnoteReference w:id="4"/>
      </w:r>
      <w:r w:rsidR="004F168F">
        <w:t xml:space="preserve"> </w:t>
      </w:r>
      <w:r w:rsidR="00A17941" w:rsidRPr="00A17941">
        <w:t xml:space="preserve"> should be amended under Use in pregnancy by addition</w:t>
      </w:r>
      <w:r w:rsidR="00DE6F3C">
        <w:t xml:space="preserve"> of a sentence</w:t>
      </w:r>
      <w:r w:rsidR="00A17941" w:rsidRPr="00A17941">
        <w:t xml:space="preserve">: </w:t>
      </w:r>
      <w:r w:rsidR="00B81855">
        <w:t>‘</w:t>
      </w:r>
      <w:r w:rsidR="00543B9A" w:rsidRPr="009E2D9D">
        <w:rPr>
          <w:i/>
        </w:rPr>
        <w:t>a</w:t>
      </w:r>
      <w:r w:rsidR="00A17941" w:rsidRPr="009E2D9D">
        <w:rPr>
          <w:i/>
        </w:rPr>
        <w:t>nimal reproductive studies have n</w:t>
      </w:r>
      <w:r w:rsidR="00B81855" w:rsidRPr="009E2D9D">
        <w:rPr>
          <w:i/>
        </w:rPr>
        <w:t>ot been conducted with Cutaquig</w:t>
      </w:r>
      <w:r w:rsidR="00B81855">
        <w:t>’</w:t>
      </w:r>
      <w:r w:rsidR="00A17941" w:rsidRPr="00A17941">
        <w:t>.</w:t>
      </w:r>
    </w:p>
    <w:p w14:paraId="32DCE27F" w14:textId="77777777" w:rsidR="008E7846" w:rsidRDefault="008E7846" w:rsidP="008E7846">
      <w:pPr>
        <w:pStyle w:val="Heading3"/>
      </w:pPr>
      <w:bookmarkStart w:id="37" w:name="_Toc247691530"/>
      <w:bookmarkStart w:id="38" w:name="_Toc314842513"/>
      <w:bookmarkStart w:id="39" w:name="_Toc76652762"/>
      <w:r>
        <w:t>Clinical</w:t>
      </w:r>
      <w:bookmarkEnd w:id="37"/>
      <w:bookmarkEnd w:id="38"/>
      <w:bookmarkEnd w:id="39"/>
    </w:p>
    <w:p w14:paraId="4EDF553D" w14:textId="704959D8" w:rsidR="00A17941" w:rsidRPr="00A17941" w:rsidRDefault="00A17941" w:rsidP="00A17941">
      <w:bookmarkStart w:id="40" w:name="_Toc314842514"/>
      <w:r w:rsidRPr="00A17941">
        <w:t xml:space="preserve">The clinical dossier is based on a single pivotal </w:t>
      </w:r>
      <w:r w:rsidR="00DD468D">
        <w:t xml:space="preserve">Phase III </w:t>
      </w:r>
      <w:r w:rsidRPr="00A17941">
        <w:t>study (</w:t>
      </w:r>
      <w:r w:rsidR="00543B9A">
        <w:t xml:space="preserve">Study </w:t>
      </w:r>
      <w:r w:rsidRPr="00A17941">
        <w:t xml:space="preserve">SCGAM-01), which included a </w:t>
      </w:r>
      <w:r w:rsidRPr="00597769">
        <w:t>pharmacokinetic</w:t>
      </w:r>
      <w:r w:rsidR="00543B9A" w:rsidRPr="00597769">
        <w:t xml:space="preserve"> (PK)</w:t>
      </w:r>
      <w:r w:rsidRPr="00A17941">
        <w:t xml:space="preserve"> substudy. The European dossier was submitted to </w:t>
      </w:r>
      <w:r w:rsidR="00543B9A">
        <w:t xml:space="preserve">the </w:t>
      </w:r>
      <w:r w:rsidRPr="00A17941">
        <w:t xml:space="preserve">TGA. The TGA has adopted </w:t>
      </w:r>
      <w:r w:rsidR="00543B9A">
        <w:t xml:space="preserve">the </w:t>
      </w:r>
      <w:r w:rsidRPr="00A17941">
        <w:t>EU guidance</w:t>
      </w:r>
      <w:r w:rsidR="00955C32">
        <w:t>;</w:t>
      </w:r>
      <w:bookmarkStart w:id="41" w:name="_Ref71635961"/>
      <w:r w:rsidR="00955C32">
        <w:rPr>
          <w:rStyle w:val="FootnoteReference"/>
        </w:rPr>
        <w:footnoteReference w:id="5"/>
      </w:r>
      <w:bookmarkEnd w:id="41"/>
      <w:r w:rsidRPr="00A17941">
        <w:t xml:space="preserve"> for SCI</w:t>
      </w:r>
      <w:r w:rsidR="00F90092" w:rsidRPr="00A17941">
        <w:t>g</w:t>
      </w:r>
      <w:r w:rsidR="00955C32">
        <w:t xml:space="preserve"> products</w:t>
      </w:r>
      <w:r w:rsidRPr="00A17941">
        <w:t xml:space="preserve"> which applies to </w:t>
      </w:r>
      <w:r w:rsidR="00DE6F3C" w:rsidRPr="00A17941">
        <w:t>Cutaquig</w:t>
      </w:r>
      <w:r w:rsidRPr="00A17941">
        <w:t>.</w:t>
      </w:r>
    </w:p>
    <w:p w14:paraId="68D5D34F" w14:textId="77777777" w:rsidR="00A17941" w:rsidRPr="00543B9A" w:rsidRDefault="00A17941" w:rsidP="00543B9A">
      <w:pPr>
        <w:pStyle w:val="Heading4"/>
      </w:pPr>
      <w:r w:rsidRPr="00543B9A">
        <w:t>Pharmacokinetics</w:t>
      </w:r>
    </w:p>
    <w:p w14:paraId="6E1868D8" w14:textId="477067AC" w:rsidR="00A17941" w:rsidRPr="00A17941" w:rsidRDefault="00A17941" w:rsidP="00A17941">
      <w:r w:rsidRPr="00A17941">
        <w:t>Study SCGAM-01 was an open label, uncontrolled (single arm) prospective treatment of 60</w:t>
      </w:r>
      <w:r w:rsidR="00543B9A">
        <w:t> </w:t>
      </w:r>
      <w:r w:rsidRPr="00A17941">
        <w:t>PID patients (overall study). It was a multinational, multicentre trial conducted between 2014 and 2018 with combined PK and clinical efficacy</w:t>
      </w:r>
      <w:r w:rsidR="00A650AD">
        <w:t xml:space="preserve"> or </w:t>
      </w:r>
      <w:r w:rsidRPr="00A17941">
        <w:t>safety objectives.</w:t>
      </w:r>
    </w:p>
    <w:p w14:paraId="397B1CEE" w14:textId="5AC91FE8" w:rsidR="00A17941" w:rsidRPr="00A17941" w:rsidRDefault="00A17941" w:rsidP="00A17941">
      <w:r w:rsidRPr="00A17941">
        <w:t>A total of 22</w:t>
      </w:r>
      <w:r w:rsidR="00A650AD">
        <w:t> </w:t>
      </w:r>
      <w:r w:rsidRPr="00A17941">
        <w:t>PID patients (</w:t>
      </w:r>
      <w:r w:rsidR="00A650AD">
        <w:t>two</w:t>
      </w:r>
      <w:r w:rsidRPr="00A17941">
        <w:t xml:space="preserve"> children in the 5 to &lt;</w:t>
      </w:r>
      <w:r w:rsidR="00A650AD">
        <w:t> </w:t>
      </w:r>
      <w:r w:rsidRPr="00A17941">
        <w:t xml:space="preserve">12 age range, </w:t>
      </w:r>
      <w:r w:rsidR="00A650AD">
        <w:t>one</w:t>
      </w:r>
      <w:r w:rsidRPr="00A17941">
        <w:t xml:space="preserve"> adolescent and 19</w:t>
      </w:r>
      <w:r w:rsidR="00A650AD">
        <w:t> </w:t>
      </w:r>
      <w:r w:rsidRPr="00A17941">
        <w:t>adults) had PK results reported. Two patients were excluded from the PK analysis as no blood sampling was done.</w:t>
      </w:r>
    </w:p>
    <w:p w14:paraId="4311B70B" w14:textId="1188CEC3" w:rsidR="00A17941" w:rsidRPr="00A17941" w:rsidRDefault="00A17941" w:rsidP="00A17941">
      <w:r w:rsidRPr="00A17941">
        <w:t>All patients had to be stable (steady state) on regular IVI</w:t>
      </w:r>
      <w:r w:rsidR="00F90092" w:rsidRPr="00A17941">
        <w:t>g</w:t>
      </w:r>
      <w:r w:rsidRPr="00A17941">
        <w:t xml:space="preserve"> with constant </w:t>
      </w:r>
      <w:r w:rsidR="00A650AD">
        <w:t>three to four</w:t>
      </w:r>
      <w:r w:rsidRPr="00A17941">
        <w:t xml:space="preserve"> weekly dosing between 200</w:t>
      </w:r>
      <w:r w:rsidR="00A650AD">
        <w:t xml:space="preserve"> to </w:t>
      </w:r>
      <w:r w:rsidRPr="00A17941">
        <w:t>800</w:t>
      </w:r>
      <w:r w:rsidR="00A650AD">
        <w:t> </w:t>
      </w:r>
      <w:r w:rsidRPr="00A17941">
        <w:t>mg/kg body weight (±</w:t>
      </w:r>
      <w:r w:rsidR="00A650AD">
        <w:t> </w:t>
      </w:r>
      <w:r w:rsidRPr="00A17941">
        <w:t xml:space="preserve">20% of the mean dose in last </w:t>
      </w:r>
      <w:r w:rsidR="00A650AD">
        <w:t>six</w:t>
      </w:r>
      <w:r w:rsidRPr="00A17941">
        <w:t xml:space="preserve"> infusions on the same product) with IgG trough levels ≥</w:t>
      </w:r>
      <w:r w:rsidR="00A650AD">
        <w:t> </w:t>
      </w:r>
      <w:r w:rsidRPr="00A17941">
        <w:t>5.0</w:t>
      </w:r>
      <w:r w:rsidR="00A650AD">
        <w:t> </w:t>
      </w:r>
      <w:r w:rsidRPr="00A17941">
        <w:t>g/L.</w:t>
      </w:r>
    </w:p>
    <w:p w14:paraId="19A80002" w14:textId="0C3C809D" w:rsidR="00A17941" w:rsidRPr="00A17941" w:rsidRDefault="00A17941" w:rsidP="00A17941">
      <w:r w:rsidRPr="00A17941">
        <w:t xml:space="preserve">The patients entered a 12 weeks wash in/out period in which </w:t>
      </w:r>
      <w:r w:rsidR="00A650AD" w:rsidRPr="00A650AD">
        <w:t xml:space="preserve">subcutaneous </w:t>
      </w:r>
      <w:r w:rsidR="00DE6F3C" w:rsidRPr="00A17941">
        <w:t>Cutaquig</w:t>
      </w:r>
      <w:r w:rsidRPr="00A17941">
        <w:t xml:space="preserve"> was administered at 1.5 times the previous IVI</w:t>
      </w:r>
      <w:r w:rsidR="00F90092" w:rsidRPr="00A17941">
        <w:t>g</w:t>
      </w:r>
      <w:r w:rsidRPr="00A17941">
        <w:t xml:space="preserve"> dose (adjusted for weekly SCI</w:t>
      </w:r>
      <w:r w:rsidR="00F90092" w:rsidRPr="00A17941">
        <w:t>g</w:t>
      </w:r>
      <w:r w:rsidRPr="00A17941">
        <w:t xml:space="preserve"> </w:t>
      </w:r>
      <w:r w:rsidR="00A650AD">
        <w:t xml:space="preserve">versus </w:t>
      </w:r>
      <w:r w:rsidRPr="00A17941">
        <w:t>monthly IVI</w:t>
      </w:r>
      <w:r w:rsidR="00F90092" w:rsidRPr="00A17941">
        <w:t>g</w:t>
      </w:r>
      <w:r w:rsidR="00A650AD">
        <w:t>).</w:t>
      </w:r>
    </w:p>
    <w:p w14:paraId="5D150C7D" w14:textId="3084459F" w:rsidR="00A17941" w:rsidRPr="00A17941" w:rsidRDefault="00537557" w:rsidP="00A17941">
      <w:r>
        <w:t>P</w:t>
      </w:r>
      <w:r w:rsidR="00A17941" w:rsidRPr="00A17941">
        <w:t xml:space="preserve">lasma PK profiles were obtained after 12 and 28 weeks of weekly dosing of </w:t>
      </w:r>
      <w:r w:rsidR="00A650AD" w:rsidRPr="00A650AD">
        <w:t xml:space="preserve">subcutaneous </w:t>
      </w:r>
      <w:r w:rsidR="00DE6F3C" w:rsidRPr="00A17941">
        <w:t>Cutaquig</w:t>
      </w:r>
      <w:r w:rsidR="00C747B2">
        <w:t>.</w:t>
      </w:r>
    </w:p>
    <w:p w14:paraId="0B8D075B" w14:textId="648DEB0C" w:rsidR="00A17941" w:rsidRDefault="00A17941" w:rsidP="00A17941">
      <w:r w:rsidRPr="00A17941">
        <w:t xml:space="preserve">Summary </w:t>
      </w:r>
      <w:r w:rsidR="00626C45">
        <w:t xml:space="preserve">of </w:t>
      </w:r>
      <w:r w:rsidR="00543B9A">
        <w:t>PK</w:t>
      </w:r>
      <w:r w:rsidRPr="00A17941">
        <w:t xml:space="preserve"> parameters are presented at the designated time</w:t>
      </w:r>
      <w:r w:rsidR="00626C45">
        <w:t xml:space="preserve"> </w:t>
      </w:r>
      <w:r w:rsidRPr="00A17941">
        <w:t xml:space="preserve">points in </w:t>
      </w:r>
      <w:r w:rsidR="00CE3812">
        <w:fldChar w:fldCharType="begin"/>
      </w:r>
      <w:r w:rsidR="00CE3812">
        <w:instrText xml:space="preserve"> REF _Ref71550300 \h </w:instrText>
      </w:r>
      <w:r w:rsidR="00CE3812">
        <w:fldChar w:fldCharType="separate"/>
      </w:r>
      <w:r w:rsidR="0055078A">
        <w:t xml:space="preserve">Table </w:t>
      </w:r>
      <w:r w:rsidR="0055078A">
        <w:rPr>
          <w:noProof/>
        </w:rPr>
        <w:t>2</w:t>
      </w:r>
      <w:r w:rsidR="00CE3812">
        <w:fldChar w:fldCharType="end"/>
      </w:r>
      <w:r w:rsidRPr="00A17941">
        <w:t xml:space="preserve">. The </w:t>
      </w:r>
      <w:r w:rsidR="00A650AD" w:rsidRPr="00A650AD">
        <w:t xml:space="preserve">subcutaneous </w:t>
      </w:r>
      <w:r w:rsidRPr="00A17941">
        <w:t xml:space="preserve">administration of </w:t>
      </w:r>
      <w:r w:rsidR="00DE6F3C" w:rsidRPr="00A17941">
        <w:t>Cutaquig</w:t>
      </w:r>
      <w:r w:rsidRPr="00A17941">
        <w:t xml:space="preserve"> resulted in flat PK profiles and lower fluctuations compared to IVI</w:t>
      </w:r>
      <w:r w:rsidR="00F90092" w:rsidRPr="00A17941">
        <w:t>g</w:t>
      </w:r>
      <w:r w:rsidRPr="00A17941">
        <w:t xml:space="preserve"> dosing. For both sets of PK parameters with </w:t>
      </w:r>
      <w:r w:rsidR="00A650AD" w:rsidRPr="00A650AD">
        <w:t xml:space="preserve">subcutaneous </w:t>
      </w:r>
      <w:r w:rsidR="00DE6F3C" w:rsidRPr="00A17941">
        <w:t>Cutaquig</w:t>
      </w:r>
      <w:r w:rsidRPr="00A17941">
        <w:t xml:space="preserve"> </w:t>
      </w:r>
      <w:r w:rsidRPr="00735EA7">
        <w:t>(</w:t>
      </w:r>
      <w:r w:rsidR="0033411B" w:rsidRPr="00735EA7">
        <w:t xml:space="preserve">PK after the </w:t>
      </w:r>
      <w:r w:rsidR="003B2ED6">
        <w:t>eleventh</w:t>
      </w:r>
      <w:r w:rsidR="0033411B" w:rsidRPr="00735EA7">
        <w:t xml:space="preserve"> infusion of </w:t>
      </w:r>
      <w:r w:rsidR="007D49A3" w:rsidRPr="00735EA7">
        <w:t>Octanorm</w:t>
      </w:r>
      <w:r w:rsidR="007D49A3">
        <w:t>;</w:t>
      </w:r>
      <w:r w:rsidR="007D49A3">
        <w:rPr>
          <w:rStyle w:val="FootnoteReference"/>
        </w:rPr>
        <w:footnoteReference w:id="6"/>
      </w:r>
      <w:r w:rsidR="0033411B" w:rsidRPr="00735EA7">
        <w:t xml:space="preserve"> (</w:t>
      </w:r>
      <w:r w:rsidRPr="00735EA7">
        <w:t>PK</w:t>
      </w:r>
      <w:r w:rsidRPr="00735EA7">
        <w:rPr>
          <w:vertAlign w:val="subscript"/>
        </w:rPr>
        <w:t>SC1</w:t>
      </w:r>
      <w:r w:rsidR="0033411B" w:rsidRPr="00735EA7">
        <w:t>)</w:t>
      </w:r>
      <w:r w:rsidRPr="00735EA7">
        <w:t xml:space="preserve"> and </w:t>
      </w:r>
      <w:r w:rsidR="0033411B" w:rsidRPr="00735EA7">
        <w:t xml:space="preserve">PK after the </w:t>
      </w:r>
      <w:r w:rsidR="003B2ED6" w:rsidRPr="003B2ED6">
        <w:t>twenty-eighth</w:t>
      </w:r>
      <w:r w:rsidR="0033411B" w:rsidRPr="00735EA7">
        <w:t xml:space="preserve"> infusion of </w:t>
      </w:r>
      <w:r w:rsidR="007D49A3" w:rsidRPr="00735EA7">
        <w:t>Octanorm</w:t>
      </w:r>
      <w:r w:rsidR="0033411B" w:rsidRPr="00735EA7">
        <w:t xml:space="preserve"> (</w:t>
      </w:r>
      <w:r w:rsidRPr="00735EA7">
        <w:t>PK</w:t>
      </w:r>
      <w:r w:rsidRPr="00735EA7">
        <w:rPr>
          <w:vertAlign w:val="subscript"/>
        </w:rPr>
        <w:t>SC2</w:t>
      </w:r>
      <w:r w:rsidRPr="00735EA7">
        <w:t>)</w:t>
      </w:r>
      <w:r w:rsidR="0033411B" w:rsidRPr="00735EA7">
        <w:t>)</w:t>
      </w:r>
      <w:r w:rsidRPr="00735EA7">
        <w:t>,</w:t>
      </w:r>
      <w:r w:rsidRPr="00A17941">
        <w:t xml:space="preserve"> PK profiles were flat with a wide range of </w:t>
      </w:r>
      <w:r w:rsidR="00551860" w:rsidRPr="00597769">
        <w:t>time at maximum concentration (</w:t>
      </w:r>
      <w:r w:rsidRPr="00597769">
        <w:t>T</w:t>
      </w:r>
      <w:r w:rsidRPr="00597769">
        <w:rPr>
          <w:vertAlign w:val="subscript"/>
        </w:rPr>
        <w:t>max</w:t>
      </w:r>
      <w:r w:rsidR="00551860" w:rsidRPr="00597769">
        <w:t>)</w:t>
      </w:r>
      <w:r w:rsidRPr="00597769">
        <w:t xml:space="preserve">. The mean </w:t>
      </w:r>
      <w:r w:rsidR="00551860" w:rsidRPr="00597769">
        <w:t>maximum plasma concentration (</w:t>
      </w:r>
      <w:r w:rsidRPr="00597769">
        <w:t>C</w:t>
      </w:r>
      <w:r w:rsidRPr="00597769">
        <w:rPr>
          <w:vertAlign w:val="subscript"/>
        </w:rPr>
        <w:t>max</w:t>
      </w:r>
      <w:r w:rsidR="00551860" w:rsidRPr="00597769">
        <w:t xml:space="preserve">) </w:t>
      </w:r>
      <w:r w:rsidRPr="00597769">
        <w:t xml:space="preserve">and </w:t>
      </w:r>
      <w:r w:rsidR="00551860" w:rsidRPr="00597769">
        <w:t>minimum plasma concentration (</w:t>
      </w:r>
      <w:r w:rsidRPr="00597769">
        <w:t>C</w:t>
      </w:r>
      <w:r w:rsidRPr="00597769">
        <w:rPr>
          <w:vertAlign w:val="subscript"/>
        </w:rPr>
        <w:t>min</w:t>
      </w:r>
      <w:r w:rsidR="00551860" w:rsidRPr="00597769">
        <w:t>)</w:t>
      </w:r>
      <w:r w:rsidRPr="00597769">
        <w:t xml:space="preserve"> </w:t>
      </w:r>
      <w:r w:rsidRPr="00A17941">
        <w:t xml:space="preserve">were similar for PKSC1 and PKSC2, whereas </w:t>
      </w:r>
      <w:r w:rsidRPr="001E799E">
        <w:t xml:space="preserve">mean </w:t>
      </w:r>
      <w:r w:rsidR="001E799E" w:rsidRPr="001E799E">
        <w:t xml:space="preserve">average plasma </w:t>
      </w:r>
      <w:r w:rsidR="001E799E" w:rsidRPr="00735EA7">
        <w:t>concentration (</w:t>
      </w:r>
      <w:r w:rsidRPr="00735EA7">
        <w:t>C</w:t>
      </w:r>
      <w:r w:rsidRPr="00735EA7">
        <w:rPr>
          <w:vertAlign w:val="subscript"/>
        </w:rPr>
        <w:t>avg</w:t>
      </w:r>
      <w:r w:rsidR="001E799E" w:rsidRPr="00735EA7">
        <w:t>)</w:t>
      </w:r>
      <w:r w:rsidRPr="00735EA7">
        <w:t xml:space="preserve"> was similar for IVI</w:t>
      </w:r>
      <w:r w:rsidR="00F90092" w:rsidRPr="00735EA7">
        <w:t>g</w:t>
      </w:r>
      <w:r w:rsidRPr="00735EA7">
        <w:t xml:space="preserve"> and SCI</w:t>
      </w:r>
      <w:r w:rsidR="00F90092" w:rsidRPr="00735EA7">
        <w:t>g</w:t>
      </w:r>
      <w:r w:rsidRPr="00735EA7">
        <w:t xml:space="preserve">. The systemic exposure with </w:t>
      </w:r>
      <w:r w:rsidR="00A650AD" w:rsidRPr="00735EA7">
        <w:t xml:space="preserve">subcutaneous </w:t>
      </w:r>
      <w:r w:rsidR="00DE6F3C" w:rsidRPr="00735EA7">
        <w:t>Cutaquig</w:t>
      </w:r>
      <w:r w:rsidRPr="00735EA7">
        <w:t xml:space="preserve"> (</w:t>
      </w:r>
      <w:r w:rsidR="00CE3812" w:rsidRPr="00735EA7">
        <w:t>area under the concentration time curve (where τ is the dosing interval)</w:t>
      </w:r>
      <w:r w:rsidR="00292C8E">
        <w:t>)</w:t>
      </w:r>
      <w:r w:rsidR="00CE3812" w:rsidRPr="00735EA7">
        <w:t xml:space="preserve"> AUC</w:t>
      </w:r>
      <w:r w:rsidR="00CE3812" w:rsidRPr="004D371D">
        <w:rPr>
          <w:vertAlign w:val="subscript"/>
        </w:rPr>
        <w:t>τ</w:t>
      </w:r>
      <w:r w:rsidRPr="00735EA7">
        <w:t xml:space="preserve"> was about one</w:t>
      </w:r>
      <w:r w:rsidR="00F406F0" w:rsidRPr="00735EA7">
        <w:t xml:space="preserve"> </w:t>
      </w:r>
      <w:r w:rsidRPr="00735EA7">
        <w:t>third of the AUC</w:t>
      </w:r>
      <w:r w:rsidRPr="004D371D">
        <w:rPr>
          <w:vertAlign w:val="subscript"/>
        </w:rPr>
        <w:t>τ</w:t>
      </w:r>
      <w:r w:rsidRPr="00735EA7">
        <w:t xml:space="preserve"> with IVI</w:t>
      </w:r>
      <w:r w:rsidR="00F90092" w:rsidRPr="00735EA7">
        <w:t>g</w:t>
      </w:r>
      <w:r w:rsidRPr="00735EA7">
        <w:t>.</w:t>
      </w:r>
    </w:p>
    <w:p w14:paraId="7BEA54E3" w14:textId="0FCCB43D" w:rsidR="00CE3812" w:rsidRDefault="00CE3812" w:rsidP="00CE3812">
      <w:pPr>
        <w:pStyle w:val="TableTitle"/>
      </w:pPr>
      <w:bookmarkStart w:id="42" w:name="_Ref71550300"/>
      <w:r>
        <w:t xml:space="preserve">Table </w:t>
      </w:r>
      <w:r w:rsidR="004F5F1D">
        <w:rPr>
          <w:noProof/>
        </w:rPr>
        <w:fldChar w:fldCharType="begin"/>
      </w:r>
      <w:r w:rsidR="004F5F1D">
        <w:rPr>
          <w:noProof/>
        </w:rPr>
        <w:instrText xml:space="preserve"> SEQ Table \* ARABIC </w:instrText>
      </w:r>
      <w:r w:rsidR="004F5F1D">
        <w:rPr>
          <w:noProof/>
        </w:rPr>
        <w:fldChar w:fldCharType="separate"/>
      </w:r>
      <w:r w:rsidR="0055078A">
        <w:rPr>
          <w:noProof/>
        </w:rPr>
        <w:t>2</w:t>
      </w:r>
      <w:r w:rsidR="004F5F1D">
        <w:rPr>
          <w:noProof/>
        </w:rPr>
        <w:fldChar w:fldCharType="end"/>
      </w:r>
      <w:bookmarkEnd w:id="42"/>
      <w:r>
        <w:t xml:space="preserve">: </w:t>
      </w:r>
      <w:r w:rsidR="004C0D5C">
        <w:t xml:space="preserve">Study </w:t>
      </w:r>
      <w:r w:rsidR="004C0D5C" w:rsidRPr="00A17941">
        <w:t>SCGAM-01</w:t>
      </w:r>
      <w:r w:rsidR="004C0D5C">
        <w:t xml:space="preserve"> </w:t>
      </w:r>
      <w:r>
        <w:t xml:space="preserve">Selected pharmacokinetic parameters for total </w:t>
      </w:r>
      <w:r w:rsidR="004D371D">
        <w:t>i</w:t>
      </w:r>
      <w:r w:rsidR="004D371D" w:rsidRPr="004D371D">
        <w:t>mmunoglobulin-G</w:t>
      </w:r>
      <w:r>
        <w:t xml:space="preserve"> (all age groups</w:t>
      </w:r>
      <w:r w:rsidR="004D371D">
        <w:t>) by pharmacokinetic assessment</w:t>
      </w:r>
      <w:r w:rsidR="00402741">
        <w:t xml:space="preserve"> (pharmacokinetic</w:t>
      </w:r>
      <w:r w:rsidR="00402741" w:rsidRPr="00402741">
        <w:t>s</w:t>
      </w:r>
      <w:r w:rsidR="00402741">
        <w:t xml:space="preserve"> </w:t>
      </w:r>
      <w:r w:rsidR="00402741" w:rsidRPr="00402741">
        <w:t>evaluable set 1</w:t>
      </w:r>
      <w:r w:rsidR="00402741">
        <w:t>)</w:t>
      </w:r>
    </w:p>
    <w:p w14:paraId="3947E770" w14:textId="2726D0E1" w:rsidR="007D49A3" w:rsidRDefault="00CE3812" w:rsidP="007D49A3">
      <w:r>
        <w:rPr>
          <w:noProof/>
          <w:lang w:eastAsia="en-AU"/>
        </w:rPr>
        <w:drawing>
          <wp:inline distT="0" distB="0" distL="0" distR="0" wp14:anchorId="7F17BB48" wp14:editId="4F909C16">
            <wp:extent cx="5400040" cy="5422900"/>
            <wp:effectExtent l="0" t="0" r="0" b="6350"/>
            <wp:docPr id="1" name="Picture 1" descr="Study SCGAM-01 Selected pharmacokinetic parameters for total immunoglobulin-G (all age groups) by pharmacokinetic assessment (pharmacokinetics evaluable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5422900"/>
                    </a:xfrm>
                    <a:prstGeom prst="rect">
                      <a:avLst/>
                    </a:prstGeom>
                  </pic:spPr>
                </pic:pic>
              </a:graphicData>
            </a:graphic>
          </wp:inline>
        </w:drawing>
      </w:r>
    </w:p>
    <w:p w14:paraId="41A0AC74" w14:textId="43A62273" w:rsidR="004D371D" w:rsidRDefault="004D371D" w:rsidP="00CE3812">
      <w:pPr>
        <w:pStyle w:val="TableDescription"/>
      </w:pPr>
      <w:r>
        <w:t>N = 22</w:t>
      </w:r>
    </w:p>
    <w:p w14:paraId="494AD94C" w14:textId="72C28133" w:rsidR="00CE3812" w:rsidRDefault="004D371D" w:rsidP="00CE3812">
      <w:pPr>
        <w:pStyle w:val="TableDescription"/>
      </w:pPr>
      <w:r>
        <w:t>PK = pharmacokinetic</w:t>
      </w:r>
      <w:r w:rsidRPr="00735EA7">
        <w:t>s</w:t>
      </w:r>
      <w:r>
        <w:t xml:space="preserve">; </w:t>
      </w:r>
      <w:r w:rsidR="00CE3812" w:rsidRPr="00BF1698">
        <w:t>PK</w:t>
      </w:r>
      <w:r w:rsidR="00CE3812" w:rsidRPr="00BF1698">
        <w:rPr>
          <w:vertAlign w:val="subscript"/>
        </w:rPr>
        <w:t>IV</w:t>
      </w:r>
      <w:r w:rsidR="00735EA7">
        <w:t xml:space="preserve"> = </w:t>
      </w:r>
      <w:r w:rsidR="00735EA7" w:rsidRPr="00735EA7">
        <w:t>PK following</w:t>
      </w:r>
      <w:r w:rsidR="00735EA7">
        <w:t xml:space="preserve"> IVIg to the switch to </w:t>
      </w:r>
      <w:r w:rsidR="007D49A3">
        <w:t>Octanorm</w:t>
      </w:r>
      <w:r w:rsidR="00735EA7">
        <w:t xml:space="preserve">, </w:t>
      </w:r>
      <w:r w:rsidR="00CE3812" w:rsidRPr="00BF1698">
        <w:t>PK</w:t>
      </w:r>
      <w:r w:rsidR="00CE3812" w:rsidRPr="00BF1698">
        <w:rPr>
          <w:vertAlign w:val="subscript"/>
        </w:rPr>
        <w:t>SC1</w:t>
      </w:r>
      <w:r w:rsidR="00CE3812" w:rsidRPr="00BF1698">
        <w:t xml:space="preserve"> </w:t>
      </w:r>
      <w:r w:rsidR="00735EA7">
        <w:t xml:space="preserve">= </w:t>
      </w:r>
      <w:r w:rsidR="00735EA7" w:rsidRPr="00735EA7">
        <w:t xml:space="preserve">PK after the </w:t>
      </w:r>
      <w:r w:rsidR="00605736">
        <w:t>eleventh</w:t>
      </w:r>
      <w:r w:rsidR="00735EA7" w:rsidRPr="00735EA7">
        <w:t xml:space="preserve"> infusion of </w:t>
      </w:r>
      <w:r w:rsidR="007D49A3" w:rsidRPr="00735EA7">
        <w:t>Octanorm</w:t>
      </w:r>
      <w:r w:rsidR="00735EA7">
        <w:t xml:space="preserve">; </w:t>
      </w:r>
      <w:r w:rsidR="00CE3812" w:rsidRPr="00BF1698">
        <w:t>PK</w:t>
      </w:r>
      <w:r w:rsidR="00CE3812" w:rsidRPr="00BF1698">
        <w:rPr>
          <w:vertAlign w:val="subscript"/>
        </w:rPr>
        <w:t>SC2</w:t>
      </w:r>
      <w:r w:rsidR="00735EA7">
        <w:t xml:space="preserve"> = </w:t>
      </w:r>
      <w:r w:rsidR="00735EA7" w:rsidRPr="00735EA7">
        <w:t xml:space="preserve">PK after the </w:t>
      </w:r>
      <w:r w:rsidR="00605736" w:rsidRPr="00605736">
        <w:t>twenty-eighth</w:t>
      </w:r>
      <w:r w:rsidR="00735EA7" w:rsidRPr="00735EA7">
        <w:t xml:space="preserve"> infusion of </w:t>
      </w:r>
      <w:r w:rsidR="007D49A3" w:rsidRPr="00735EA7">
        <w:t>Octanorm</w:t>
      </w:r>
      <w:r w:rsidR="00735EA7">
        <w:t>;</w:t>
      </w:r>
      <w:r>
        <w:t xml:space="preserve"> N = population size; SD = standard deviation; CV =</w:t>
      </w:r>
      <w:r w:rsidRPr="004D371D">
        <w:t xml:space="preserve"> coefficient of variation</w:t>
      </w:r>
      <w:r>
        <w:t>; C</w:t>
      </w:r>
      <w:r w:rsidRPr="004D371D">
        <w:rPr>
          <w:vertAlign w:val="subscript"/>
        </w:rPr>
        <w:t>max</w:t>
      </w:r>
      <w:r>
        <w:t xml:space="preserve"> = m</w:t>
      </w:r>
      <w:r w:rsidRPr="004D371D">
        <w:t>aximum plasma concentration</w:t>
      </w:r>
      <w:r>
        <w:t>; C</w:t>
      </w:r>
      <w:r w:rsidRPr="004D371D">
        <w:rPr>
          <w:vertAlign w:val="subscript"/>
        </w:rPr>
        <w:t>min</w:t>
      </w:r>
      <w:r w:rsidR="009377A9">
        <w:t> </w:t>
      </w:r>
      <w:r>
        <w:t>=</w:t>
      </w:r>
      <w:r w:rsidR="009377A9">
        <w:t> </w:t>
      </w:r>
      <w:r>
        <w:t>m</w:t>
      </w:r>
      <w:r w:rsidRPr="004D371D">
        <w:t>inimum plasma concentration</w:t>
      </w:r>
      <w:r>
        <w:t>; C</w:t>
      </w:r>
      <w:r w:rsidRPr="004D371D">
        <w:rPr>
          <w:vertAlign w:val="subscript"/>
        </w:rPr>
        <w:t>avg</w:t>
      </w:r>
      <w:r>
        <w:t xml:space="preserve"> = m</w:t>
      </w:r>
      <w:r w:rsidRPr="004D371D">
        <w:t>ean average plasma concentration</w:t>
      </w:r>
      <w:r>
        <w:t>; T</w:t>
      </w:r>
      <w:r w:rsidRPr="004D371D">
        <w:rPr>
          <w:vertAlign w:val="subscript"/>
        </w:rPr>
        <w:t>max</w:t>
      </w:r>
      <w:r>
        <w:t xml:space="preserve"> = t</w:t>
      </w:r>
      <w:r w:rsidRPr="004D371D">
        <w:t>ime at maximum concentration</w:t>
      </w:r>
      <w:r>
        <w:t>, AUC</w:t>
      </w:r>
      <w:r w:rsidRPr="004D371D">
        <w:rPr>
          <w:vertAlign w:val="subscript"/>
        </w:rPr>
        <w:t>τ</w:t>
      </w:r>
      <w:r>
        <w:t xml:space="preserve"> = a</w:t>
      </w:r>
      <w:r w:rsidRPr="004D371D">
        <w:t>rea under the concentration time curve (where τ is the dosing interval)</w:t>
      </w:r>
      <w:r w:rsidR="00605736">
        <w:t>.</w:t>
      </w:r>
    </w:p>
    <w:p w14:paraId="3C5FEFC5" w14:textId="71F15A01" w:rsidR="00A17941" w:rsidRDefault="00A17941" w:rsidP="00A17941">
      <w:r w:rsidRPr="00A17941">
        <w:t xml:space="preserve">The plasma IgG and IgG subclass trough levels were nearly constant during the study, with relatively higher levels after </w:t>
      </w:r>
      <w:r w:rsidR="00A650AD" w:rsidRPr="00A650AD">
        <w:t xml:space="preserve">subcutaneous </w:t>
      </w:r>
      <w:r w:rsidRPr="00A17941">
        <w:t>treatment compared with IVI</w:t>
      </w:r>
      <w:r w:rsidR="00F90092" w:rsidRPr="00A17941">
        <w:t>g</w:t>
      </w:r>
      <w:r w:rsidRPr="00A17941">
        <w:t>: median value of 8.70</w:t>
      </w:r>
      <w:r w:rsidR="00F406F0">
        <w:t> </w:t>
      </w:r>
      <w:r w:rsidRPr="00A17941">
        <w:t xml:space="preserve">g/L on the last day after </w:t>
      </w:r>
      <w:r w:rsidR="0033411B" w:rsidRPr="007569E3">
        <w:t>PK following IVI</w:t>
      </w:r>
      <w:r w:rsidR="00735EA7" w:rsidRPr="007569E3">
        <w:t>g</w:t>
      </w:r>
      <w:r w:rsidR="0033411B" w:rsidRPr="007569E3">
        <w:t xml:space="preserve"> to the switch to </w:t>
      </w:r>
      <w:r w:rsidR="007D49A3" w:rsidRPr="007569E3">
        <w:t>Octanorm</w:t>
      </w:r>
      <w:r w:rsidR="0033411B" w:rsidRPr="007569E3">
        <w:t xml:space="preserve"> (</w:t>
      </w:r>
      <w:r w:rsidRPr="007569E3">
        <w:t>PK</w:t>
      </w:r>
      <w:r w:rsidRPr="007569E3">
        <w:rPr>
          <w:vertAlign w:val="subscript"/>
        </w:rPr>
        <w:t>IV</w:t>
      </w:r>
      <w:r w:rsidR="0033411B" w:rsidRPr="007569E3">
        <w:t>)</w:t>
      </w:r>
      <w:r w:rsidRPr="007569E3">
        <w:t>,</w:t>
      </w:r>
      <w:r w:rsidRPr="00A17941">
        <w:t xml:space="preserve"> 10.30</w:t>
      </w:r>
      <w:r w:rsidR="00F406F0">
        <w:t> </w:t>
      </w:r>
      <w:r w:rsidRPr="00A17941">
        <w:t>g/L at PK</w:t>
      </w:r>
      <w:r w:rsidRPr="007D49A3">
        <w:rPr>
          <w:vertAlign w:val="subscript"/>
        </w:rPr>
        <w:t>SC1</w:t>
      </w:r>
      <w:r w:rsidRPr="00A17941">
        <w:t xml:space="preserve"> and 11.50</w:t>
      </w:r>
      <w:r w:rsidR="00F406F0">
        <w:t> </w:t>
      </w:r>
      <w:r w:rsidRPr="00A17941">
        <w:t>g/L at PK</w:t>
      </w:r>
      <w:r w:rsidRPr="003B5C43">
        <w:rPr>
          <w:vertAlign w:val="subscript"/>
        </w:rPr>
        <w:t>SC2</w:t>
      </w:r>
      <w:r w:rsidRPr="00A17941">
        <w:t>. Trough levels of total IgG of above 5</w:t>
      </w:r>
      <w:r w:rsidR="00F406F0">
        <w:t xml:space="preserve"> to </w:t>
      </w:r>
      <w:r w:rsidRPr="00A17941">
        <w:t>6</w:t>
      </w:r>
      <w:r w:rsidR="00F406F0">
        <w:t> </w:t>
      </w:r>
      <w:r w:rsidRPr="00A17941">
        <w:t>g/L were able to be maintained on switching from steady</w:t>
      </w:r>
      <w:r w:rsidR="00F406F0">
        <w:t xml:space="preserve"> </w:t>
      </w:r>
      <w:r w:rsidRPr="00A17941">
        <w:t>state monthly IVI</w:t>
      </w:r>
      <w:r w:rsidR="00F90092" w:rsidRPr="00A17941">
        <w:t>g</w:t>
      </w:r>
      <w:r w:rsidR="004C0D5C">
        <w:t xml:space="preserve"> (see </w:t>
      </w:r>
      <w:r w:rsidR="004C0D5C">
        <w:fldChar w:fldCharType="begin"/>
      </w:r>
      <w:r w:rsidR="004C0D5C">
        <w:instrText xml:space="preserve"> REF _Ref71648566 \h </w:instrText>
      </w:r>
      <w:r w:rsidR="004C0D5C">
        <w:fldChar w:fldCharType="separate"/>
      </w:r>
      <w:r w:rsidR="0055078A">
        <w:t xml:space="preserve">Table </w:t>
      </w:r>
      <w:r w:rsidR="0055078A">
        <w:rPr>
          <w:noProof/>
        </w:rPr>
        <w:t>3</w:t>
      </w:r>
      <w:r w:rsidR="004C0D5C">
        <w:fldChar w:fldCharType="end"/>
      </w:r>
      <w:r w:rsidR="004C0D5C">
        <w:t>)</w:t>
      </w:r>
      <w:r w:rsidR="00925757">
        <w:t>.</w:t>
      </w:r>
    </w:p>
    <w:p w14:paraId="19169D60" w14:textId="57E1A3F0" w:rsidR="003B5C43" w:rsidRDefault="003B5C43" w:rsidP="003B5C43">
      <w:pPr>
        <w:pStyle w:val="TableTitle"/>
      </w:pPr>
      <w:bookmarkStart w:id="43" w:name="_Ref71648566"/>
      <w:r>
        <w:t xml:space="preserve">Table </w:t>
      </w:r>
      <w:r w:rsidR="004F5F1D">
        <w:rPr>
          <w:noProof/>
        </w:rPr>
        <w:fldChar w:fldCharType="begin"/>
      </w:r>
      <w:r w:rsidR="004F5F1D">
        <w:rPr>
          <w:noProof/>
        </w:rPr>
        <w:instrText xml:space="preserve"> SEQ Table \* ARABIC </w:instrText>
      </w:r>
      <w:r w:rsidR="004F5F1D">
        <w:rPr>
          <w:noProof/>
        </w:rPr>
        <w:fldChar w:fldCharType="separate"/>
      </w:r>
      <w:r w:rsidR="0055078A">
        <w:rPr>
          <w:noProof/>
        </w:rPr>
        <w:t>3</w:t>
      </w:r>
      <w:r w:rsidR="004F5F1D">
        <w:rPr>
          <w:noProof/>
        </w:rPr>
        <w:fldChar w:fldCharType="end"/>
      </w:r>
      <w:bookmarkEnd w:id="43"/>
      <w:r>
        <w:t xml:space="preserve">: </w:t>
      </w:r>
      <w:r w:rsidR="004C0D5C">
        <w:t xml:space="preserve">Study </w:t>
      </w:r>
      <w:r w:rsidR="004C0D5C" w:rsidRPr="00A17941">
        <w:t>SCGAM-01</w:t>
      </w:r>
      <w:r w:rsidR="004C0D5C">
        <w:t xml:space="preserve"> </w:t>
      </w:r>
      <w:r>
        <w:t xml:space="preserve">Selected median IgG </w:t>
      </w:r>
      <w:r w:rsidR="007D49A3">
        <w:t>through concentrations</w:t>
      </w:r>
      <w:r w:rsidR="004C0D5C">
        <w:t xml:space="preserve"> (</w:t>
      </w:r>
      <w:r w:rsidR="00402741">
        <w:t>pharmacokinetic</w:t>
      </w:r>
      <w:r w:rsidR="00402741" w:rsidRPr="00402741">
        <w:t>s</w:t>
      </w:r>
      <w:r w:rsidR="004C0D5C">
        <w:t xml:space="preserve"> evaluable set 1)</w:t>
      </w:r>
    </w:p>
    <w:p w14:paraId="0CAA6E21" w14:textId="6EBC1BED" w:rsidR="003B5C43" w:rsidRPr="003B5C43" w:rsidRDefault="003B5C43" w:rsidP="003B5C43">
      <w:r>
        <w:rPr>
          <w:noProof/>
          <w:lang w:eastAsia="en-AU"/>
        </w:rPr>
        <w:drawing>
          <wp:inline distT="0" distB="0" distL="0" distR="0" wp14:anchorId="41883388" wp14:editId="625F01B7">
            <wp:extent cx="5400040" cy="3482340"/>
            <wp:effectExtent l="0" t="0" r="0" b="3810"/>
            <wp:docPr id="4" name="Picture 4" descr="Study SCGAM-01 Selected median IgG through concentrations (pharmacokinetics evaluable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482340"/>
                    </a:xfrm>
                    <a:prstGeom prst="rect">
                      <a:avLst/>
                    </a:prstGeom>
                  </pic:spPr>
                </pic:pic>
              </a:graphicData>
            </a:graphic>
          </wp:inline>
        </w:drawing>
      </w:r>
    </w:p>
    <w:p w14:paraId="5A0FF177" w14:textId="386C4331" w:rsidR="003B5C43" w:rsidRDefault="007D49A3" w:rsidP="007D49A3">
      <w:pPr>
        <w:pStyle w:val="TableDescription"/>
      </w:pPr>
      <w:r>
        <w:t>N = 22</w:t>
      </w:r>
    </w:p>
    <w:p w14:paraId="2E685EDC" w14:textId="7187CF3C" w:rsidR="007D49A3" w:rsidRPr="003B5C43" w:rsidRDefault="007D49A3" w:rsidP="007D49A3">
      <w:pPr>
        <w:pStyle w:val="TableDescription"/>
      </w:pPr>
      <w:r>
        <w:t>N = number of patients, IgG = immunoglobulin-G, IgG 1 to IgG4 = immunoglobulin</w:t>
      </w:r>
      <w:r w:rsidR="00605736">
        <w:t xml:space="preserve"> </w:t>
      </w:r>
      <w:r>
        <w:t xml:space="preserve">G subclass 1 to 4, </w:t>
      </w:r>
      <w:r w:rsidRPr="00BF1698">
        <w:t>PK</w:t>
      </w:r>
      <w:r w:rsidRPr="00BF1698">
        <w:rPr>
          <w:vertAlign w:val="subscript"/>
        </w:rPr>
        <w:t>IV</w:t>
      </w:r>
      <w:r w:rsidR="003A2CB8">
        <w:t> = </w:t>
      </w:r>
      <w:r w:rsidRPr="00735EA7">
        <w:t>PK following</w:t>
      </w:r>
      <w:r>
        <w:t xml:space="preserve"> IVIg to the switch to Octanorm, </w:t>
      </w:r>
      <w:r w:rsidRPr="00BF1698">
        <w:t>PK</w:t>
      </w:r>
      <w:r w:rsidRPr="00BF1698">
        <w:rPr>
          <w:vertAlign w:val="subscript"/>
        </w:rPr>
        <w:t>SC1</w:t>
      </w:r>
      <w:r w:rsidRPr="00BF1698">
        <w:t xml:space="preserve"> </w:t>
      </w:r>
      <w:r>
        <w:t xml:space="preserve">= </w:t>
      </w:r>
      <w:r w:rsidRPr="00735EA7">
        <w:t xml:space="preserve">PK after the </w:t>
      </w:r>
      <w:r w:rsidR="00605736" w:rsidRPr="00605736">
        <w:t>eleventh</w:t>
      </w:r>
      <w:r w:rsidRPr="00735EA7">
        <w:t xml:space="preserve"> infusion of Octanorm</w:t>
      </w:r>
      <w:r>
        <w:t xml:space="preserve">; </w:t>
      </w:r>
      <w:r w:rsidRPr="00BF1698">
        <w:t>PK</w:t>
      </w:r>
      <w:r w:rsidRPr="00BF1698">
        <w:rPr>
          <w:vertAlign w:val="subscript"/>
        </w:rPr>
        <w:t>SC2</w:t>
      </w:r>
      <w:r w:rsidR="003A2CB8">
        <w:t> = </w:t>
      </w:r>
      <w:r w:rsidRPr="00735EA7">
        <w:t xml:space="preserve">PK after the </w:t>
      </w:r>
      <w:r w:rsidR="00605736" w:rsidRPr="00605736">
        <w:t>twenty-eighth</w:t>
      </w:r>
      <w:r w:rsidRPr="00735EA7">
        <w:t xml:space="preserve"> infusion of Octanorm</w:t>
      </w:r>
      <w:r>
        <w:t>.</w:t>
      </w:r>
    </w:p>
    <w:p w14:paraId="477E3DDF" w14:textId="77777777" w:rsidR="00A17941" w:rsidRPr="00A17941" w:rsidRDefault="00A17941" w:rsidP="00A17941">
      <w:r w:rsidRPr="00A17941">
        <w:t>Patient numbers were too low to make meaningful comparisons by age groups.</w:t>
      </w:r>
    </w:p>
    <w:p w14:paraId="51185DAA" w14:textId="052BFE52" w:rsidR="00A17941" w:rsidRPr="00A17941" w:rsidRDefault="00A17941" w:rsidP="003A2CB8">
      <w:r w:rsidRPr="00A17941">
        <w:t xml:space="preserve">The geometric mean for bioequivalence, calculated as </w:t>
      </w:r>
      <w:r w:rsidR="003A2CB8">
        <w:t>a</w:t>
      </w:r>
      <w:r w:rsidR="003A2CB8" w:rsidRPr="003A2CB8">
        <w:t>rea und</w:t>
      </w:r>
      <w:r w:rsidR="003A2CB8">
        <w:t>er the concentration time curve</w:t>
      </w:r>
      <w:r w:rsidR="003A2CB8" w:rsidRPr="003A2CB8">
        <w:t xml:space="preserve"> after the </w:t>
      </w:r>
      <w:r w:rsidR="00605736" w:rsidRPr="00605736">
        <w:t>twenty-eighth</w:t>
      </w:r>
      <w:r w:rsidR="003A2CB8" w:rsidRPr="003A2CB8">
        <w:t xml:space="preserve"> infusion of Octanorm</w:t>
      </w:r>
      <w:r w:rsidR="003A2CB8">
        <w:t xml:space="preserve"> (</w:t>
      </w:r>
      <w:r w:rsidRPr="00A17941">
        <w:t>AUC</w:t>
      </w:r>
      <w:r w:rsidRPr="00925757">
        <w:rPr>
          <w:vertAlign w:val="subscript"/>
        </w:rPr>
        <w:t>SC2</w:t>
      </w:r>
      <w:r w:rsidR="003A2CB8">
        <w:t>)</w:t>
      </w:r>
      <w:r w:rsidRPr="00A17941">
        <w:t>/</w:t>
      </w:r>
      <w:r w:rsidR="003A2CB8" w:rsidRPr="003A2CB8">
        <w:t xml:space="preserve">area under the concentration time curve following IVIg to the switch to Octanorm </w:t>
      </w:r>
      <w:r w:rsidR="003A2CB8">
        <w:t>(</w:t>
      </w:r>
      <w:r w:rsidRPr="00A17941">
        <w:t>AUC</w:t>
      </w:r>
      <w:r w:rsidRPr="00925757">
        <w:rPr>
          <w:vertAlign w:val="subscript"/>
        </w:rPr>
        <w:t>IV</w:t>
      </w:r>
      <w:r w:rsidR="003A2CB8">
        <w:t>)</w:t>
      </w:r>
      <w:r w:rsidRPr="00A17941">
        <w:t xml:space="preserve">, was 1.0253, (90% </w:t>
      </w:r>
      <w:r w:rsidR="00CD4FC6">
        <w:t>confidence interval (</w:t>
      </w:r>
      <w:r w:rsidRPr="00A17941">
        <w:t>CI</w:t>
      </w:r>
      <w:r w:rsidR="00CD4FC6">
        <w:t>)</w:t>
      </w:r>
      <w:r w:rsidR="00F406F0">
        <w:t>:</w:t>
      </w:r>
      <w:r w:rsidRPr="00A17941">
        <w:t xml:space="preserve"> 0.9778, 1.0751) based on PK </w:t>
      </w:r>
      <w:r w:rsidR="0033411B" w:rsidRPr="00A17941">
        <w:t xml:space="preserve">evaluable set </w:t>
      </w:r>
      <w:r w:rsidRPr="00A17941">
        <w:t>2.</w:t>
      </w:r>
    </w:p>
    <w:p w14:paraId="2ECE31CE" w14:textId="2E3727BB" w:rsidR="00A17941" w:rsidRPr="00A17941" w:rsidRDefault="00A17941" w:rsidP="00A17941">
      <w:r w:rsidRPr="007F5989">
        <w:t>The study does not fulfil the TGA adopted guidance</w:t>
      </w:r>
      <w:r w:rsidR="00955C32" w:rsidRPr="007F5989">
        <w:t>;</w:t>
      </w:r>
      <w:r w:rsidR="00955C32" w:rsidRPr="007F5989">
        <w:rPr>
          <w:vertAlign w:val="superscript"/>
        </w:rPr>
        <w:fldChar w:fldCharType="begin"/>
      </w:r>
      <w:r w:rsidR="00955C32" w:rsidRPr="007F5989">
        <w:rPr>
          <w:vertAlign w:val="superscript"/>
        </w:rPr>
        <w:instrText xml:space="preserve"> NOTEREF _Ref71635961 \h  \* MERGEFORMAT </w:instrText>
      </w:r>
      <w:r w:rsidR="00955C32" w:rsidRPr="007F5989">
        <w:rPr>
          <w:vertAlign w:val="superscript"/>
        </w:rPr>
      </w:r>
      <w:r w:rsidR="00955C32" w:rsidRPr="007F5989">
        <w:rPr>
          <w:vertAlign w:val="superscript"/>
        </w:rPr>
        <w:fldChar w:fldCharType="separate"/>
      </w:r>
      <w:r w:rsidR="0055078A">
        <w:rPr>
          <w:vertAlign w:val="superscript"/>
        </w:rPr>
        <w:t>5</w:t>
      </w:r>
      <w:r w:rsidR="00955C32" w:rsidRPr="007F5989">
        <w:rPr>
          <w:vertAlign w:val="superscript"/>
        </w:rPr>
        <w:fldChar w:fldCharType="end"/>
      </w:r>
      <w:r w:rsidRPr="007F5989">
        <w:t xml:space="preserve"> with respect to the number of paediatric patients needed for </w:t>
      </w:r>
      <w:r w:rsidR="00543B9A" w:rsidRPr="007F5989">
        <w:t>PK</w:t>
      </w:r>
      <w:r w:rsidRPr="007F5989">
        <w:t xml:space="preserve"> profiling.</w:t>
      </w:r>
    </w:p>
    <w:p w14:paraId="375966A8" w14:textId="77777777" w:rsidR="00A17941" w:rsidRPr="00A17941" w:rsidRDefault="00A17941" w:rsidP="00A17941">
      <w:pPr>
        <w:pStyle w:val="Heading4"/>
      </w:pPr>
      <w:r w:rsidRPr="00A17941">
        <w:t>Efficacy</w:t>
      </w:r>
    </w:p>
    <w:p w14:paraId="7BC4050F" w14:textId="25246003" w:rsidR="00A17941" w:rsidRPr="00A17941" w:rsidRDefault="00A17941" w:rsidP="00A17941">
      <w:r w:rsidRPr="00A17941">
        <w:t xml:space="preserve">Study SCGAM-01 evaluated efficacy of </w:t>
      </w:r>
      <w:r w:rsidR="00A650AD" w:rsidRPr="00A650AD">
        <w:t xml:space="preserve">subcutaneous </w:t>
      </w:r>
      <w:r w:rsidR="00DE6F3C" w:rsidRPr="00A17941">
        <w:t>Cutaquig</w:t>
      </w:r>
      <w:r w:rsidRPr="00A17941">
        <w:t xml:space="preserve"> in 60</w:t>
      </w:r>
      <w:r w:rsidR="00F406F0">
        <w:t> </w:t>
      </w:r>
      <w:r w:rsidRPr="00A17941">
        <w:t>PID patients for a duration of 12</w:t>
      </w:r>
      <w:r w:rsidR="00F406F0">
        <w:t> </w:t>
      </w:r>
      <w:r w:rsidRPr="00A17941">
        <w:t>months. A total of 60</w:t>
      </w:r>
      <w:r w:rsidR="00F406F0">
        <w:t> </w:t>
      </w:r>
      <w:r w:rsidRPr="00A17941">
        <w:t>PID patients (</w:t>
      </w:r>
      <w:r w:rsidR="00F406F0">
        <w:t>four</w:t>
      </w:r>
      <w:r w:rsidRPr="00A17941">
        <w:t xml:space="preserve"> young children, 11 older children, </w:t>
      </w:r>
      <w:r w:rsidR="00F406F0">
        <w:t>seven</w:t>
      </w:r>
      <w:r w:rsidRPr="00A17941">
        <w:t xml:space="preserve"> adolescents and 38 adults) were enrolled in the study, including 24 patients who were part of the PK substudy. Subsequent to 24 patients in Group A, a further 36</w:t>
      </w:r>
      <w:r w:rsidR="00F406F0">
        <w:t> </w:t>
      </w:r>
      <w:r w:rsidRPr="00A17941">
        <w:t>patients started the study whilst patients were still in the wash</w:t>
      </w:r>
      <w:r w:rsidR="00F406F0">
        <w:t xml:space="preserve"> </w:t>
      </w:r>
      <w:r w:rsidRPr="00A17941">
        <w:t>in/out phase of the</w:t>
      </w:r>
      <w:r w:rsidR="00955C32">
        <w:t xml:space="preserve"> PK substudy.</w:t>
      </w:r>
    </w:p>
    <w:p w14:paraId="2A02FBF9" w14:textId="257C40EC" w:rsidR="00A17941" w:rsidRPr="00A17941" w:rsidRDefault="00A17941" w:rsidP="00A17941">
      <w:r w:rsidRPr="00A17941">
        <w:t>All patients were to be stable on an existing IVI</w:t>
      </w:r>
      <w:r w:rsidR="00F90092" w:rsidRPr="00A17941">
        <w:t>g</w:t>
      </w:r>
      <w:r w:rsidRPr="00A17941">
        <w:t xml:space="preserve"> prior to starting </w:t>
      </w:r>
      <w:r w:rsidR="00DE6F3C" w:rsidRPr="00A17941">
        <w:t>Cutaquig</w:t>
      </w:r>
      <w:r w:rsidRPr="00A17941">
        <w:t xml:space="preserve"> in the study. Each patient was to be treated with </w:t>
      </w:r>
      <w:r w:rsidR="00DE6F3C" w:rsidRPr="00A17941">
        <w:t>Cutaquig</w:t>
      </w:r>
      <w:r w:rsidRPr="00A17941">
        <w:t xml:space="preserve"> for 15</w:t>
      </w:r>
      <w:r w:rsidR="00F406F0">
        <w:t> </w:t>
      </w:r>
      <w:r w:rsidRPr="00A17941">
        <w:t>months</w:t>
      </w:r>
      <w:r w:rsidR="00F406F0">
        <w:t xml:space="preserve">. That is, </w:t>
      </w:r>
      <w:r w:rsidRPr="00A17941">
        <w:t>12</w:t>
      </w:r>
      <w:r w:rsidR="00F406F0">
        <w:t> </w:t>
      </w:r>
      <w:r w:rsidRPr="00A17941">
        <w:t>weeks wash in/out phase followed by 12</w:t>
      </w:r>
      <w:r w:rsidR="00F406F0">
        <w:t> </w:t>
      </w:r>
      <w:r w:rsidRPr="00A17941">
        <w:t>months of treatment phase (primary observation period) for the assessment of efficacy.</w:t>
      </w:r>
    </w:p>
    <w:p w14:paraId="4F894C1C" w14:textId="54655707" w:rsidR="00A17941" w:rsidRPr="00A17941" w:rsidRDefault="00A17941" w:rsidP="00A17941">
      <w:r w:rsidRPr="00A17941">
        <w:t>In the 12</w:t>
      </w:r>
      <w:r w:rsidR="00F406F0">
        <w:t xml:space="preserve"> </w:t>
      </w:r>
      <w:r w:rsidRPr="00A17941">
        <w:t>week wash in/out phase, weekly (±</w:t>
      </w:r>
      <w:r w:rsidR="00F406F0">
        <w:t> </w:t>
      </w:r>
      <w:r w:rsidRPr="00A17941">
        <w:t xml:space="preserve">2 days) </w:t>
      </w:r>
      <w:r w:rsidR="00A650AD" w:rsidRPr="00A650AD">
        <w:t xml:space="preserve">subcutaneous </w:t>
      </w:r>
      <w:r w:rsidR="00DE6F3C" w:rsidRPr="00A17941">
        <w:t>Cutaquig</w:t>
      </w:r>
      <w:r w:rsidRPr="00A17941">
        <w:t xml:space="preserve"> was given at 1.5 times the previous IVI</w:t>
      </w:r>
      <w:r w:rsidR="00F90092" w:rsidRPr="00A17941">
        <w:t>g</w:t>
      </w:r>
      <w:r w:rsidRPr="00A17941">
        <w:t xml:space="preserve"> do</w:t>
      </w:r>
      <w:r w:rsidR="00B81855">
        <w:t>se adjusted for weekly dosing.</w:t>
      </w:r>
    </w:p>
    <w:p w14:paraId="6139A10A" w14:textId="77777777" w:rsidR="00A17941" w:rsidRPr="00A17941" w:rsidRDefault="00A17941" w:rsidP="00A17941">
      <w:r w:rsidRPr="00A17941">
        <w:t xml:space="preserve">During the Efficacy phase of the study, a patient’s </w:t>
      </w:r>
      <w:r w:rsidR="00DE6F3C" w:rsidRPr="00A17941">
        <w:t>Cutaquig</w:t>
      </w:r>
      <w:r w:rsidRPr="00A17941">
        <w:t xml:space="preserve"> dose was to be individualised (and took precedence over dose conversion factor) by titrating upward based on the serum total IgG trough measured value and the target value.</w:t>
      </w:r>
    </w:p>
    <w:p w14:paraId="7AE3F8C9" w14:textId="570EBCF2" w:rsidR="00A17941" w:rsidRPr="00A17941" w:rsidRDefault="00A17941" w:rsidP="00A17941">
      <w:r w:rsidRPr="00A17941">
        <w:t xml:space="preserve">The </w:t>
      </w:r>
      <w:r w:rsidR="00F406F0" w:rsidRPr="00A17941">
        <w:t xml:space="preserve">primary efficacy </w:t>
      </w:r>
      <w:r w:rsidRPr="00A17941">
        <w:t xml:space="preserve">objective was to determine the efficacy of </w:t>
      </w:r>
      <w:r w:rsidR="00DE6F3C" w:rsidRPr="00A17941">
        <w:t>Cutaquig</w:t>
      </w:r>
      <w:r w:rsidRPr="00A17941">
        <w:t xml:space="preserve"> in preventing </w:t>
      </w:r>
      <w:r w:rsidRPr="00597769">
        <w:t>serious bacterial infections (SBI)</w:t>
      </w:r>
      <w:r w:rsidRPr="00A17941">
        <w:t xml:space="preserve"> with SBI rate calculated as SBI episodes per person per year.</w:t>
      </w:r>
    </w:p>
    <w:p w14:paraId="16CC3667" w14:textId="19FBE178" w:rsidR="00A17941" w:rsidRPr="00A17941" w:rsidRDefault="00A17941" w:rsidP="00A17941">
      <w:r w:rsidRPr="00A17941">
        <w:t>SBI were defined as bacterial pneumonia, bacteraemia/sepsis, bacterial meningitis, osteomyelitis/septic arthritis,</w:t>
      </w:r>
      <w:r w:rsidR="003D35C8">
        <w:t xml:space="preserve"> and</w:t>
      </w:r>
      <w:r w:rsidRPr="00A17941">
        <w:t xml:space="preserve"> visceral abscess.</w:t>
      </w:r>
    </w:p>
    <w:p w14:paraId="334FB8CD" w14:textId="2B3914FC" w:rsidR="00A17941" w:rsidRPr="00A17941" w:rsidRDefault="00A17941" w:rsidP="00A17941">
      <w:r w:rsidRPr="00A17941">
        <w:t>The FDA Guidance for Industry on IVI</w:t>
      </w:r>
      <w:r w:rsidR="00F90092" w:rsidRPr="00A17941">
        <w:t>g</w:t>
      </w:r>
      <w:r w:rsidR="00282D24">
        <w:t>;</w:t>
      </w:r>
      <w:r w:rsidR="00630653">
        <w:rPr>
          <w:rStyle w:val="FootnoteReference"/>
        </w:rPr>
        <w:footnoteReference w:id="7"/>
      </w:r>
      <w:r w:rsidRPr="00A17941">
        <w:t xml:space="preserve"> suggests that statistical demonstration of </w:t>
      </w:r>
      <w:r w:rsidR="00F406F0">
        <w:t xml:space="preserve">SBI </w:t>
      </w:r>
      <w:r w:rsidRPr="00A17941">
        <w:t>rate per person</w:t>
      </w:r>
      <w:r w:rsidR="00F406F0">
        <w:t xml:space="preserve"> </w:t>
      </w:r>
      <w:r w:rsidRPr="00A17941">
        <w:t>year of less than 1.0 is a satisfactory evidence of efficacy. The null hypothesis in this study was that the serious infection rate was ≥</w:t>
      </w:r>
      <w:r w:rsidR="00F406F0">
        <w:t> </w:t>
      </w:r>
      <w:r w:rsidRPr="00A17941">
        <w:t xml:space="preserve">1.0 </w:t>
      </w:r>
      <w:r w:rsidRPr="005C2087">
        <w:t xml:space="preserve">per </w:t>
      </w:r>
      <w:r w:rsidR="005C2087" w:rsidRPr="005C2087">
        <w:t>person per year</w:t>
      </w:r>
      <w:r w:rsidR="00F406F0" w:rsidRPr="005C2087">
        <w:t xml:space="preserve"> (</w:t>
      </w:r>
      <w:r w:rsidRPr="005C2087">
        <w:t>PY</w:t>
      </w:r>
      <w:r w:rsidR="00F406F0" w:rsidRPr="005C2087">
        <w:t>)</w:t>
      </w:r>
      <w:r w:rsidRPr="00A17941">
        <w:t xml:space="preserve"> at 1% level of significance. The null hypothesis was to be rejected if the </w:t>
      </w:r>
      <w:r w:rsidR="005E7C89">
        <w:t xml:space="preserve">two </w:t>
      </w:r>
      <w:r w:rsidRPr="00A17941">
        <w:t>sided 98% confidence interval (</w:t>
      </w:r>
      <w:r w:rsidR="005E7C89">
        <w:t xml:space="preserve">that is, </w:t>
      </w:r>
      <w:r w:rsidRPr="00A17941">
        <w:t xml:space="preserve">upper limit of </w:t>
      </w:r>
      <w:r w:rsidR="005E7C89">
        <w:t xml:space="preserve">one </w:t>
      </w:r>
      <w:r w:rsidRPr="00A17941">
        <w:t xml:space="preserve">sided 99% confidence interval) was </w:t>
      </w:r>
      <w:r w:rsidR="003D35C8">
        <w:t xml:space="preserve">a serious infection rate of </w:t>
      </w:r>
      <w:r w:rsidRPr="00A17941">
        <w:t>&lt;</w:t>
      </w:r>
      <w:r w:rsidR="005E7C89">
        <w:t> </w:t>
      </w:r>
      <w:r w:rsidRPr="00A17941">
        <w:t>1.0</w:t>
      </w:r>
      <w:r w:rsidR="003D35C8">
        <w:t xml:space="preserve"> per person PY</w:t>
      </w:r>
      <w:r w:rsidRPr="00A17941">
        <w:t>.</w:t>
      </w:r>
    </w:p>
    <w:p w14:paraId="147170D5" w14:textId="70043659" w:rsidR="00A17941" w:rsidRPr="00A17941" w:rsidRDefault="00A17941" w:rsidP="00A17941">
      <w:r w:rsidRPr="00A17941">
        <w:t>Infections occurring during the 12</w:t>
      </w:r>
      <w:r w:rsidR="005E7C89">
        <w:t xml:space="preserve"> </w:t>
      </w:r>
      <w:r w:rsidRPr="00A17941">
        <w:t>week wash in/out were not used for efficacy assessment.</w:t>
      </w:r>
    </w:p>
    <w:p w14:paraId="04EA4A5C" w14:textId="77777777" w:rsidR="00B81855" w:rsidRDefault="00A17941" w:rsidP="00A17941">
      <w:r w:rsidRPr="00A17941">
        <w:t>The secondary efficacy variables were a</w:t>
      </w:r>
      <w:r w:rsidR="00B81855">
        <w:t>s follows:</w:t>
      </w:r>
    </w:p>
    <w:p w14:paraId="138834AF" w14:textId="22B5DDEC" w:rsidR="00B81855" w:rsidRDefault="005E7C89" w:rsidP="00B81855">
      <w:pPr>
        <w:pStyle w:val="ListBullet"/>
      </w:pPr>
      <w:r>
        <w:t>n</w:t>
      </w:r>
      <w:r w:rsidR="00A17941" w:rsidRPr="00A17941">
        <w:t>umber of episodes of any other infections,</w:t>
      </w:r>
    </w:p>
    <w:p w14:paraId="1CCC5911" w14:textId="3371A0A2" w:rsidR="00B81855" w:rsidRDefault="005E7C89" w:rsidP="00B81855">
      <w:pPr>
        <w:pStyle w:val="ListBullet"/>
      </w:pPr>
      <w:r>
        <w:t>n</w:t>
      </w:r>
      <w:r w:rsidR="00A17941" w:rsidRPr="00A17941">
        <w:t>umber of days of use and annual rate of antibiotics, along with type and dosage of antibiotics</w:t>
      </w:r>
      <w:r>
        <w:t>,</w:t>
      </w:r>
    </w:p>
    <w:p w14:paraId="71072B4D" w14:textId="327C16D6" w:rsidR="00B81855" w:rsidRDefault="005E7C89" w:rsidP="00B81855">
      <w:pPr>
        <w:pStyle w:val="ListBullet"/>
      </w:pPr>
      <w:r>
        <w:t>n</w:t>
      </w:r>
      <w:r w:rsidR="00A17941" w:rsidRPr="00A17941">
        <w:t>umber of days of absence from work</w:t>
      </w:r>
      <w:r>
        <w:t xml:space="preserve">, </w:t>
      </w:r>
      <w:r w:rsidR="00A17941" w:rsidRPr="00A17941">
        <w:t>school</w:t>
      </w:r>
      <w:r>
        <w:t xml:space="preserve">, </w:t>
      </w:r>
      <w:r w:rsidR="00A17941" w:rsidRPr="00A17941">
        <w:t>kindergarten</w:t>
      </w:r>
      <w:r>
        <w:t xml:space="preserve"> or </w:t>
      </w:r>
      <w:r w:rsidR="00A17941" w:rsidRPr="00A17941">
        <w:t>day care,</w:t>
      </w:r>
    </w:p>
    <w:p w14:paraId="14ECDEAB" w14:textId="3C2EF349" w:rsidR="00B81855" w:rsidRDefault="005E7C89" w:rsidP="00B81855">
      <w:pPr>
        <w:pStyle w:val="ListBullet"/>
      </w:pPr>
      <w:r>
        <w:t>h</w:t>
      </w:r>
      <w:r w:rsidR="00A17941" w:rsidRPr="00A17941">
        <w:t>ospitalisations due to infections and number of days and annual rate of hospitalisation, along with reason,</w:t>
      </w:r>
    </w:p>
    <w:p w14:paraId="6CBF59AB" w14:textId="26C22722" w:rsidR="00B81855" w:rsidRDefault="005E7C89" w:rsidP="00B81855">
      <w:pPr>
        <w:pStyle w:val="ListBullet"/>
      </w:pPr>
      <w:r>
        <w:t>n</w:t>
      </w:r>
      <w:r w:rsidR="00A17941" w:rsidRPr="00A17941">
        <w:t>umber of episodes of fever,</w:t>
      </w:r>
    </w:p>
    <w:p w14:paraId="5F02657B" w14:textId="41329665" w:rsidR="00A17941" w:rsidRPr="00A17941" w:rsidRDefault="005E7C89" w:rsidP="00B81855">
      <w:pPr>
        <w:pStyle w:val="ListBullet"/>
      </w:pPr>
      <w:r>
        <w:t>q</w:t>
      </w:r>
      <w:r w:rsidR="00A17941" w:rsidRPr="00A17941">
        <w:t>uality of life assessments</w:t>
      </w:r>
      <w:r>
        <w:t>.</w:t>
      </w:r>
    </w:p>
    <w:p w14:paraId="79FC122C" w14:textId="22088DB4" w:rsidR="00A17941" w:rsidRPr="00A17941" w:rsidRDefault="00A17941" w:rsidP="00A17941">
      <w:r w:rsidRPr="00A17941">
        <w:t>All patients (N</w:t>
      </w:r>
      <w:r w:rsidR="005E7C89">
        <w:t> </w:t>
      </w:r>
      <w:r w:rsidRPr="00A17941">
        <w:t>=</w:t>
      </w:r>
      <w:r w:rsidR="005E7C89">
        <w:t> </w:t>
      </w:r>
      <w:r w:rsidRPr="00A17941">
        <w:t>60) received at least one dose of the study drug, and 54/60 (90%) completed the study.</w:t>
      </w:r>
    </w:p>
    <w:p w14:paraId="565210CD" w14:textId="5AC92D67" w:rsidR="00A17941" w:rsidRDefault="00A17941" w:rsidP="00A17941">
      <w:r w:rsidRPr="00A17941">
        <w:t xml:space="preserve">Baseline demographics and disease characteristics by age groups are shown in </w:t>
      </w:r>
      <w:r w:rsidR="009C1292">
        <w:fldChar w:fldCharType="begin"/>
      </w:r>
      <w:r w:rsidR="009C1292">
        <w:instrText xml:space="preserve"> REF _Ref71646840 \h </w:instrText>
      </w:r>
      <w:r w:rsidR="009C1292">
        <w:fldChar w:fldCharType="separate"/>
      </w:r>
      <w:r w:rsidR="0055078A">
        <w:t xml:space="preserve">Table </w:t>
      </w:r>
      <w:r w:rsidR="0055078A">
        <w:rPr>
          <w:noProof/>
        </w:rPr>
        <w:t>4</w:t>
      </w:r>
      <w:r w:rsidR="009C1292">
        <w:fldChar w:fldCharType="end"/>
      </w:r>
      <w:r w:rsidRPr="00A17941">
        <w:t xml:space="preserve">. </w:t>
      </w:r>
      <w:r w:rsidR="005E7C89">
        <w:t xml:space="preserve">Four </w:t>
      </w:r>
      <w:r w:rsidRPr="00A17941">
        <w:t>young children (2 to &lt;</w:t>
      </w:r>
      <w:r w:rsidR="005E7C89">
        <w:t> </w:t>
      </w:r>
      <w:r w:rsidRPr="00A17941">
        <w:t>5 y</w:t>
      </w:r>
      <w:r w:rsidR="005E7C89">
        <w:t>ears</w:t>
      </w:r>
      <w:r w:rsidRPr="00A17941">
        <w:t>), 11 older children (5</w:t>
      </w:r>
      <w:r w:rsidR="005E7C89">
        <w:t xml:space="preserve"> </w:t>
      </w:r>
      <w:r w:rsidRPr="00A17941">
        <w:t>to &lt;</w:t>
      </w:r>
      <w:r w:rsidR="005E7C89">
        <w:t> </w:t>
      </w:r>
      <w:r w:rsidRPr="00A17941">
        <w:t>12 y</w:t>
      </w:r>
      <w:r w:rsidR="005E7C89">
        <w:t>ears</w:t>
      </w:r>
      <w:r w:rsidRPr="00A17941">
        <w:t xml:space="preserve">), </w:t>
      </w:r>
      <w:r w:rsidR="005E7C89">
        <w:t>seven</w:t>
      </w:r>
      <w:r w:rsidRPr="00A17941">
        <w:t xml:space="preserve"> adolescents (12 to &lt;</w:t>
      </w:r>
      <w:r w:rsidR="005E7C89">
        <w:t> </w:t>
      </w:r>
      <w:r w:rsidRPr="00A17941">
        <w:t>16 years) and 38 adults (</w:t>
      </w:r>
      <w:r w:rsidR="00DD468D">
        <w:t>1</w:t>
      </w:r>
      <w:r w:rsidRPr="00A17941">
        <w:t>6 to 75 y</w:t>
      </w:r>
      <w:r w:rsidR="005E7C89">
        <w:t>ears</w:t>
      </w:r>
      <w:r w:rsidRPr="00A17941">
        <w:t>) were enrolled.</w:t>
      </w:r>
    </w:p>
    <w:p w14:paraId="2E1CFFE5" w14:textId="4D079549" w:rsidR="009C1292" w:rsidRDefault="009C1292" w:rsidP="009C1292">
      <w:pPr>
        <w:pStyle w:val="TableTitle"/>
      </w:pPr>
      <w:bookmarkStart w:id="44" w:name="_Ref71646840"/>
      <w:r>
        <w:t xml:space="preserve">Table </w:t>
      </w:r>
      <w:r w:rsidR="004F5F1D">
        <w:rPr>
          <w:noProof/>
        </w:rPr>
        <w:fldChar w:fldCharType="begin"/>
      </w:r>
      <w:r w:rsidR="004F5F1D">
        <w:rPr>
          <w:noProof/>
        </w:rPr>
        <w:instrText xml:space="preserve"> SEQ Table \* ARABIC </w:instrText>
      </w:r>
      <w:r w:rsidR="004F5F1D">
        <w:rPr>
          <w:noProof/>
        </w:rPr>
        <w:fldChar w:fldCharType="separate"/>
      </w:r>
      <w:r w:rsidR="0055078A">
        <w:rPr>
          <w:noProof/>
        </w:rPr>
        <w:t>4</w:t>
      </w:r>
      <w:r w:rsidR="004F5F1D">
        <w:rPr>
          <w:noProof/>
        </w:rPr>
        <w:fldChar w:fldCharType="end"/>
      </w:r>
      <w:bookmarkEnd w:id="44"/>
      <w:r>
        <w:t xml:space="preserve">: </w:t>
      </w:r>
      <w:r w:rsidR="004C0D5C">
        <w:t xml:space="preserve">Study </w:t>
      </w:r>
      <w:r w:rsidR="004C0D5C" w:rsidRPr="00A17941">
        <w:t>SCGAM-01</w:t>
      </w:r>
      <w:r w:rsidR="004C0D5C">
        <w:t xml:space="preserve"> </w:t>
      </w:r>
      <w:r>
        <w:t>B</w:t>
      </w:r>
      <w:r w:rsidRPr="009C1292">
        <w:t>aseline demographic</w:t>
      </w:r>
      <w:r>
        <w:t xml:space="preserve"> and</w:t>
      </w:r>
      <w:r w:rsidRPr="009C1292">
        <w:t xml:space="preserve"> disease features of the study participants</w:t>
      </w:r>
    </w:p>
    <w:p w14:paraId="511403F2" w14:textId="05FEFF07" w:rsidR="009C1292" w:rsidRDefault="009C1292" w:rsidP="00A17941">
      <w:r>
        <w:rPr>
          <w:noProof/>
          <w:lang w:eastAsia="en-AU"/>
        </w:rPr>
        <w:drawing>
          <wp:inline distT="0" distB="0" distL="0" distR="0" wp14:anchorId="32DCE42A" wp14:editId="18E60B1A">
            <wp:extent cx="5315803" cy="5568315"/>
            <wp:effectExtent l="0" t="0" r="0" b="0"/>
            <wp:docPr id="3" name="Picture 3" descr="Study SCGAM-01 Baseline demographic and disease features of the study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8640" cy="5571287"/>
                    </a:xfrm>
                    <a:prstGeom prst="rect">
                      <a:avLst/>
                    </a:prstGeom>
                  </pic:spPr>
                </pic:pic>
              </a:graphicData>
            </a:graphic>
          </wp:inline>
        </w:drawing>
      </w:r>
    </w:p>
    <w:p w14:paraId="228A711B" w14:textId="3AA7D678" w:rsidR="009C1292" w:rsidRPr="00C747B2" w:rsidRDefault="009C1292" w:rsidP="00C747B2">
      <w:pPr>
        <w:pStyle w:val="TableDescription"/>
      </w:pPr>
      <w:r w:rsidRPr="00C747B2">
        <w:t>N = population size; SD = standard deviation; BMI = body mass index; PI =</w:t>
      </w:r>
      <w:r w:rsidR="00C747B2" w:rsidRPr="00C747B2">
        <w:t xml:space="preserve"> primary</w:t>
      </w:r>
      <w:r w:rsidRPr="00C747B2">
        <w:t xml:space="preserve"> immunodeficiency; CVID = common variable immunodeficiency</w:t>
      </w:r>
      <w:r w:rsidR="003B5C43" w:rsidRPr="00C747B2">
        <w:t>; XLA = X- linked agammaglobulinaemia; NCS = non-clinically significant; CS = clinically significant.</w:t>
      </w:r>
    </w:p>
    <w:p w14:paraId="53DB9CDF" w14:textId="73A4110F" w:rsidR="00C747B2" w:rsidRPr="00C747B2" w:rsidRDefault="00C747B2" w:rsidP="00C747B2">
      <w:pPr>
        <w:pStyle w:val="TableDescription"/>
      </w:pPr>
      <w:r w:rsidRPr="00C747B2">
        <w:t xml:space="preserve">Except in </w:t>
      </w:r>
      <w:r w:rsidR="00364F31">
        <w:fldChar w:fldCharType="begin"/>
      </w:r>
      <w:r w:rsidR="00364F31">
        <w:instrText xml:space="preserve"> REF _Ref71196601 \h </w:instrText>
      </w:r>
      <w:r w:rsidR="00364F31">
        <w:fldChar w:fldCharType="separate"/>
      </w:r>
      <w:r w:rsidR="0055078A">
        <w:t xml:space="preserve">Table </w:t>
      </w:r>
      <w:r w:rsidR="0055078A">
        <w:rPr>
          <w:noProof/>
        </w:rPr>
        <w:t>1</w:t>
      </w:r>
      <w:r w:rsidR="00364F31">
        <w:fldChar w:fldCharType="end"/>
      </w:r>
      <w:r w:rsidR="003D35C8">
        <w:t xml:space="preserve"> </w:t>
      </w:r>
      <w:r w:rsidRPr="00C747B2">
        <w:t xml:space="preserve">and </w:t>
      </w:r>
      <w:r w:rsidR="00364F31">
        <w:fldChar w:fldCharType="begin"/>
      </w:r>
      <w:r w:rsidR="00364F31">
        <w:instrText xml:space="preserve"> REF _Ref71646840 \h </w:instrText>
      </w:r>
      <w:r w:rsidR="00364F31">
        <w:fldChar w:fldCharType="separate"/>
      </w:r>
      <w:r w:rsidR="0055078A">
        <w:t xml:space="preserve">Table </w:t>
      </w:r>
      <w:r w:rsidR="0055078A">
        <w:rPr>
          <w:noProof/>
        </w:rPr>
        <w:t>4</w:t>
      </w:r>
      <w:r w:rsidR="00364F31">
        <w:fldChar w:fldCharType="end"/>
      </w:r>
      <w:r w:rsidRPr="00C747B2">
        <w:t xml:space="preserve">, </w:t>
      </w:r>
      <w:r w:rsidR="003D35C8">
        <w:t>the abbreviation ‘</w:t>
      </w:r>
      <w:r w:rsidRPr="00C747B2">
        <w:t>PI</w:t>
      </w:r>
      <w:r w:rsidR="003D35C8">
        <w:t>’</w:t>
      </w:r>
      <w:r w:rsidRPr="00C747B2">
        <w:t xml:space="preserve"> in other sections of the AusPAR stands for Product Information.</w:t>
      </w:r>
    </w:p>
    <w:p w14:paraId="255B7B31" w14:textId="77777777" w:rsidR="00A17941" w:rsidRPr="00B42A17" w:rsidRDefault="00A17941" w:rsidP="00B42A17">
      <w:r w:rsidRPr="00B42A17">
        <w:t>No SBIs were reported in the study. Therefore, no further statistical analyses were performed. Due to low numbers of patients in the non-adult age groups and relatively low PY of exposure in these groups meaningful comparison between age groups was not possible.</w:t>
      </w:r>
    </w:p>
    <w:p w14:paraId="4191BDCC" w14:textId="670FCF2A" w:rsidR="00A17941" w:rsidRPr="00A17941" w:rsidRDefault="00A17941" w:rsidP="00A17941">
      <w:r w:rsidRPr="00A17941">
        <w:t xml:space="preserve">One severe infection was reported in an adolescent patient </w:t>
      </w:r>
      <w:r w:rsidRPr="00597769">
        <w:t>(</w:t>
      </w:r>
      <w:r w:rsidR="005E7C89" w:rsidRPr="00597769">
        <w:t>respiratory syncytial virus (</w:t>
      </w:r>
      <w:r w:rsidRPr="00597769">
        <w:t>RSV</w:t>
      </w:r>
      <w:r w:rsidR="005E7C89" w:rsidRPr="00597769">
        <w:t>)</w:t>
      </w:r>
      <w:r w:rsidRPr="00A17941">
        <w:t xml:space="preserve"> bronchiolitis).</w:t>
      </w:r>
    </w:p>
    <w:p w14:paraId="0F2B2164" w14:textId="2A046669" w:rsidR="00A17941" w:rsidRPr="00A17941" w:rsidRDefault="00A17941" w:rsidP="00A17941">
      <w:r w:rsidRPr="00A17941">
        <w:t>A total of 192 other infections were observed in 51</w:t>
      </w:r>
      <w:r w:rsidR="005E7C89">
        <w:t> </w:t>
      </w:r>
      <w:r w:rsidRPr="00A17941">
        <w:t>patients in the primary observation period and a total of 245</w:t>
      </w:r>
      <w:r w:rsidR="005E7C89">
        <w:t> </w:t>
      </w:r>
      <w:r w:rsidRPr="00A17941">
        <w:t>infections in 53</w:t>
      </w:r>
      <w:r w:rsidR="005E7C89">
        <w:t> </w:t>
      </w:r>
      <w:r w:rsidRPr="00A17941">
        <w:t>patients over the whole treatment period.</w:t>
      </w:r>
      <w:r w:rsidR="005E7C89">
        <w:t xml:space="preserve"> The overall incidence rate of </w:t>
      </w:r>
      <w:r w:rsidRPr="00A17941">
        <w:t>other infections in the primary observation period per patient per year was 3.434 (upper limit 95% CI</w:t>
      </w:r>
      <w:r w:rsidR="005E7C89">
        <w:t>:</w:t>
      </w:r>
      <w:r w:rsidRPr="00A17941">
        <w:t xml:space="preserve"> 4.580) based on 55.92 PY of exposure to the study medication.</w:t>
      </w:r>
    </w:p>
    <w:p w14:paraId="04ACAA7C" w14:textId="542D0C84" w:rsidR="00A17941" w:rsidRDefault="00A17941" w:rsidP="00A17941">
      <w:r w:rsidRPr="00A17941">
        <w:t xml:space="preserve">A summary of other infections by age group in the primary observation period is shown </w:t>
      </w:r>
      <w:r w:rsidR="006807CF">
        <w:t xml:space="preserve">in </w:t>
      </w:r>
      <w:r w:rsidR="006807CF">
        <w:fldChar w:fldCharType="begin"/>
      </w:r>
      <w:r w:rsidR="006807CF">
        <w:instrText xml:space="preserve"> REF _Ref71642707 \h </w:instrText>
      </w:r>
      <w:r w:rsidR="006807CF">
        <w:fldChar w:fldCharType="separate"/>
      </w:r>
      <w:r w:rsidR="0055078A" w:rsidRPr="006807CF">
        <w:t xml:space="preserve">Table </w:t>
      </w:r>
      <w:r w:rsidR="0055078A">
        <w:rPr>
          <w:noProof/>
        </w:rPr>
        <w:t>5</w:t>
      </w:r>
      <w:r w:rsidR="006807CF">
        <w:fldChar w:fldCharType="end"/>
      </w:r>
      <w:r w:rsidRPr="00A17941">
        <w:t>. Three</w:t>
      </w:r>
      <w:r w:rsidR="005E7C89">
        <w:t xml:space="preserve"> </w:t>
      </w:r>
      <w:r w:rsidRPr="00A17941">
        <w:t>quarters of the infections in the primary period were mild and one</w:t>
      </w:r>
      <w:r w:rsidR="005E7C89">
        <w:t xml:space="preserve"> </w:t>
      </w:r>
      <w:r w:rsidRPr="00A17941">
        <w:t>quarter were moderate intensity. One severe infection was reported in an adolescent patient (RSV bronchiolitis).</w:t>
      </w:r>
    </w:p>
    <w:p w14:paraId="4346C91B" w14:textId="43C76B37" w:rsidR="006807CF" w:rsidRPr="006807CF" w:rsidRDefault="006807CF" w:rsidP="006807CF">
      <w:pPr>
        <w:pStyle w:val="TableTitle"/>
      </w:pPr>
      <w:bookmarkStart w:id="45" w:name="_Ref71642707"/>
      <w:r w:rsidRPr="006807CF">
        <w:t xml:space="preserve">Table </w:t>
      </w:r>
      <w:r w:rsidR="004F5F1D">
        <w:rPr>
          <w:noProof/>
        </w:rPr>
        <w:fldChar w:fldCharType="begin"/>
      </w:r>
      <w:r w:rsidR="004F5F1D">
        <w:rPr>
          <w:noProof/>
        </w:rPr>
        <w:instrText xml:space="preserve"> SEQ Table \* ARABIC </w:instrText>
      </w:r>
      <w:r w:rsidR="004F5F1D">
        <w:rPr>
          <w:noProof/>
        </w:rPr>
        <w:fldChar w:fldCharType="separate"/>
      </w:r>
      <w:r w:rsidR="0055078A">
        <w:rPr>
          <w:noProof/>
        </w:rPr>
        <w:t>5</w:t>
      </w:r>
      <w:r w:rsidR="004F5F1D">
        <w:rPr>
          <w:noProof/>
        </w:rPr>
        <w:fldChar w:fldCharType="end"/>
      </w:r>
      <w:bookmarkEnd w:id="45"/>
      <w:r w:rsidRPr="006807CF">
        <w:t xml:space="preserve">: </w:t>
      </w:r>
      <w:r w:rsidR="004C0D5C">
        <w:t xml:space="preserve">Study </w:t>
      </w:r>
      <w:r w:rsidR="004C0D5C" w:rsidRPr="00A17941">
        <w:t>SCGAM-01</w:t>
      </w:r>
      <w:r w:rsidR="004C0D5C">
        <w:t xml:space="preserve"> </w:t>
      </w:r>
      <w:r w:rsidRPr="006807CF">
        <w:t>Summary of other infections by age group in the primary observation period</w:t>
      </w:r>
      <w:r>
        <w:t xml:space="preserve"> (full analysis set)</w:t>
      </w:r>
    </w:p>
    <w:p w14:paraId="4AE05AD3" w14:textId="0AF621E6" w:rsidR="006807CF" w:rsidRDefault="006807CF" w:rsidP="00A17941">
      <w:r>
        <w:rPr>
          <w:noProof/>
          <w:lang w:eastAsia="en-AU"/>
        </w:rPr>
        <w:drawing>
          <wp:inline distT="0" distB="0" distL="0" distR="0" wp14:anchorId="67ECAB5D" wp14:editId="71AB36CE">
            <wp:extent cx="5400040" cy="5019675"/>
            <wp:effectExtent l="0" t="0" r="0" b="9525"/>
            <wp:docPr id="6" name="Picture 6" descr="Study SCGAM-01 Summary of other infections by age group in the primary observation perio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5019675"/>
                    </a:xfrm>
                    <a:prstGeom prst="rect">
                      <a:avLst/>
                    </a:prstGeom>
                  </pic:spPr>
                </pic:pic>
              </a:graphicData>
            </a:graphic>
          </wp:inline>
        </w:drawing>
      </w:r>
    </w:p>
    <w:p w14:paraId="1F7F2B68" w14:textId="0F8AB8EA" w:rsidR="006807CF" w:rsidRDefault="006807CF" w:rsidP="006807CF">
      <w:pPr>
        <w:pStyle w:val="TableDescription"/>
      </w:pPr>
      <w:r>
        <w:t>N = population size; n = sample size.</w:t>
      </w:r>
    </w:p>
    <w:p w14:paraId="57E4AD6B" w14:textId="588E4A9D" w:rsidR="006807CF" w:rsidRPr="00A17941" w:rsidRDefault="006807CF" w:rsidP="006807CF">
      <w:pPr>
        <w:pStyle w:val="TableDescription"/>
      </w:pPr>
      <w:r>
        <w:t>N = 60</w:t>
      </w:r>
    </w:p>
    <w:p w14:paraId="6F151084" w14:textId="75ADF71C" w:rsidR="00A17941" w:rsidRPr="00A17941" w:rsidRDefault="00A17941" w:rsidP="00A17941">
      <w:r w:rsidRPr="00A17941">
        <w:t>In the primary observation period, the overall median time to resolution of other infections was 10</w:t>
      </w:r>
      <w:r w:rsidR="005E7C89">
        <w:t> </w:t>
      </w:r>
      <w:r w:rsidRPr="00A17941">
        <w:t>days (range 1</w:t>
      </w:r>
      <w:r w:rsidR="005E7C89">
        <w:t xml:space="preserve"> to 316 </w:t>
      </w:r>
      <w:r w:rsidRPr="00A17941">
        <w:t>days), with longer times for moderate infections (16</w:t>
      </w:r>
      <w:r w:rsidR="005E7C89">
        <w:t> </w:t>
      </w:r>
      <w:r w:rsidRPr="00A17941">
        <w:t>days) than mild infections (8</w:t>
      </w:r>
      <w:r w:rsidR="005E7C89">
        <w:t> </w:t>
      </w:r>
      <w:r w:rsidRPr="00A17941">
        <w:t>days).</w:t>
      </w:r>
    </w:p>
    <w:p w14:paraId="16277E02" w14:textId="060F9664" w:rsidR="00A17941" w:rsidRPr="00A17941" w:rsidRDefault="00A17941" w:rsidP="00A17941">
      <w:r w:rsidRPr="00A17941">
        <w:t xml:space="preserve">There were </w:t>
      </w:r>
      <w:r w:rsidR="005E7C89">
        <w:t>two</w:t>
      </w:r>
      <w:r w:rsidRPr="00A17941">
        <w:t xml:space="preserve"> episodes hospitalisation due to infection (severe asthma and RSV bronchiolitis) during the study in one adolescent who spent a total of </w:t>
      </w:r>
      <w:r w:rsidR="005E7C89">
        <w:t>five</w:t>
      </w:r>
      <w:r w:rsidRPr="00A17941">
        <w:t xml:space="preserve"> days in hospital in the primary period. Overall, the number of days in hospital per person</w:t>
      </w:r>
      <w:r w:rsidR="005E7C89">
        <w:t xml:space="preserve"> </w:t>
      </w:r>
      <w:r w:rsidRPr="00A17941">
        <w:t>year in the primary period was 0.089</w:t>
      </w:r>
      <w:r w:rsidR="005E7C89">
        <w:t> </w:t>
      </w:r>
      <w:r w:rsidRPr="00A17941">
        <w:t>days.</w:t>
      </w:r>
    </w:p>
    <w:p w14:paraId="0419D57E" w14:textId="77777777" w:rsidR="00A17941" w:rsidRPr="00A17941" w:rsidRDefault="00A17941" w:rsidP="00A17941">
      <w:r w:rsidRPr="00A17941">
        <w:t>In the primary observation period, the number of treatment days on systemic antibiotic was 30, 58, 100 and 31 days per PY in young children, older children, adolescents and adults respectively.</w:t>
      </w:r>
    </w:p>
    <w:p w14:paraId="6E1FF02D" w14:textId="22369855" w:rsidR="00A17941" w:rsidRPr="00A17941" w:rsidRDefault="00A17941" w:rsidP="00A17941">
      <w:r w:rsidRPr="00A17941">
        <w:t xml:space="preserve">During the primary observation period </w:t>
      </w:r>
      <w:r w:rsidR="00647505">
        <w:t>four</w:t>
      </w:r>
      <w:r w:rsidRPr="00A17941">
        <w:t xml:space="preserve"> patients each had </w:t>
      </w:r>
      <w:r w:rsidR="00647505">
        <w:t>one</w:t>
      </w:r>
      <w:r w:rsidRPr="00A17941">
        <w:t xml:space="preserve"> episode of fever and </w:t>
      </w:r>
      <w:r w:rsidR="00647505">
        <w:t>one</w:t>
      </w:r>
      <w:r w:rsidRPr="00A17941">
        <w:t xml:space="preserve"> patient had </w:t>
      </w:r>
      <w:r w:rsidR="00647505">
        <w:t>two</w:t>
      </w:r>
      <w:r w:rsidRPr="00A17941">
        <w:t xml:space="preserve"> episodes resulting in 0.107</w:t>
      </w:r>
      <w:r w:rsidR="00647505">
        <w:t> </w:t>
      </w:r>
      <w:r w:rsidRPr="00A17941">
        <w:t xml:space="preserve">episodes of fever per PY. Three of these patients were adults, </w:t>
      </w:r>
      <w:r w:rsidR="00647505">
        <w:t>one</w:t>
      </w:r>
      <w:r w:rsidRPr="00A17941">
        <w:t xml:space="preserve"> was older child and </w:t>
      </w:r>
      <w:r w:rsidR="00647505">
        <w:t>one</w:t>
      </w:r>
      <w:r w:rsidRPr="00A17941">
        <w:t xml:space="preserve"> was adolescent.</w:t>
      </w:r>
    </w:p>
    <w:p w14:paraId="5A4DF165" w14:textId="3B36A76C" w:rsidR="00A17941" w:rsidRPr="00A17941" w:rsidRDefault="00A17941" w:rsidP="00A17941">
      <w:r w:rsidRPr="00A17941">
        <w:t>During the primary observation period 16</w:t>
      </w:r>
      <w:r w:rsidR="00647505">
        <w:t> </w:t>
      </w:r>
      <w:r w:rsidRPr="00A17941">
        <w:t>patients had 34 absences from work or school due to infections with a total of 164 days of absence.</w:t>
      </w:r>
    </w:p>
    <w:p w14:paraId="7B32A40D" w14:textId="0C3ACA88" w:rsidR="00A17941" w:rsidRPr="00A17941" w:rsidRDefault="00A17941" w:rsidP="00A17941">
      <w:r w:rsidRPr="00A17941">
        <w:t xml:space="preserve">Quality of life was assessed by a </w:t>
      </w:r>
      <w:r w:rsidR="007E32DC" w:rsidRPr="008A78DD">
        <w:t>Child Health Questionnaire, Parent Form 50 (</w:t>
      </w:r>
      <w:r w:rsidRPr="008A78DD">
        <w:t>CHQ-PF50</w:t>
      </w:r>
      <w:r w:rsidR="007E32DC" w:rsidRPr="008A78DD">
        <w:t>)</w:t>
      </w:r>
      <w:r w:rsidR="007E32DC" w:rsidRPr="008A78DD">
        <w:rPr>
          <w:rStyle w:val="CommentReference"/>
        </w:rPr>
        <w:t>.</w:t>
      </w:r>
      <w:r w:rsidRPr="00A17941">
        <w:t xml:space="preserve"> Overall, there were no major changes in the mean and median CHQ-PF50 </w:t>
      </w:r>
      <w:r w:rsidR="007E32DC">
        <w:t>s</w:t>
      </w:r>
      <w:r w:rsidR="007E32DC" w:rsidRPr="00A17941">
        <w:t xml:space="preserve">cores </w:t>
      </w:r>
      <w:r w:rsidRPr="00A17941">
        <w:t>over time, although the number of patients (or parents) completing the questionnaire was low.</w:t>
      </w:r>
    </w:p>
    <w:p w14:paraId="60CC8A4C" w14:textId="48D97677" w:rsidR="00A17941" w:rsidRPr="00780D24" w:rsidRDefault="00647505" w:rsidP="00A17941">
      <w:pPr>
        <w:pStyle w:val="Heading5"/>
      </w:pPr>
      <w:r>
        <w:t>Efficacy c</w:t>
      </w:r>
      <w:r w:rsidR="00A17941" w:rsidRPr="00780D24">
        <w:t>onclusion</w:t>
      </w:r>
    </w:p>
    <w:p w14:paraId="21E25DF4" w14:textId="09306DCD" w:rsidR="00A17941" w:rsidRPr="00A17941" w:rsidRDefault="00A17941" w:rsidP="00A17941">
      <w:r w:rsidRPr="00A17941">
        <w:t xml:space="preserve">The efficacy of </w:t>
      </w:r>
      <w:r w:rsidR="00DE6F3C" w:rsidRPr="00A17941">
        <w:t>Cutaquig</w:t>
      </w:r>
      <w:r w:rsidRPr="00A17941">
        <w:t xml:space="preserve"> in preventing the occurrence of SBIs in patients with PID was confirmed as no SBI, as defined, was reported in the study. The report from the German regulatory authority</w:t>
      </w:r>
      <w:r w:rsidR="0033411B">
        <w:t>;</w:t>
      </w:r>
      <w:r w:rsidR="0033411B">
        <w:rPr>
          <w:rStyle w:val="FootnoteReference"/>
        </w:rPr>
        <w:footnoteReference w:id="8"/>
      </w:r>
      <w:r w:rsidRPr="00A17941">
        <w:t xml:space="preserve"> indicates that the </w:t>
      </w:r>
      <w:r w:rsidR="00647505">
        <w:t>s</w:t>
      </w:r>
      <w:r w:rsidRPr="00A17941">
        <w:t>ponsor was asked and provided calculation of upper 99% confidence limit of 0.082 for the SBI incidence rate.</w:t>
      </w:r>
    </w:p>
    <w:p w14:paraId="043B130A" w14:textId="660FF95E" w:rsidR="00A17941" w:rsidRPr="00A17941" w:rsidRDefault="00A17941" w:rsidP="00A17941">
      <w:r w:rsidRPr="00A17941">
        <w:t>There were no substantive differences between the primary observation period (excluding the 12</w:t>
      </w:r>
      <w:r w:rsidR="00647505">
        <w:t xml:space="preserve"> </w:t>
      </w:r>
      <w:r w:rsidRPr="00A17941">
        <w:t>week wash in/out period) and whole study period.</w:t>
      </w:r>
    </w:p>
    <w:p w14:paraId="69561F5A" w14:textId="77777777" w:rsidR="00A17941" w:rsidRPr="00A17941" w:rsidRDefault="00A17941" w:rsidP="00A17941">
      <w:pPr>
        <w:pStyle w:val="Heading4"/>
      </w:pPr>
      <w:r w:rsidRPr="00A17941">
        <w:t>Safety</w:t>
      </w:r>
    </w:p>
    <w:p w14:paraId="643381D3" w14:textId="5E50774D" w:rsidR="00B81855" w:rsidRDefault="00A17941" w:rsidP="00A17941">
      <w:r w:rsidRPr="00A17941">
        <w:t xml:space="preserve">Safety dataset was limited to the foregoing single pivotal study </w:t>
      </w:r>
      <w:r w:rsidR="00AA1DD3">
        <w:t xml:space="preserve">(Study </w:t>
      </w:r>
      <w:r w:rsidRPr="00A17941">
        <w:t>SCGAM-01</w:t>
      </w:r>
      <w:r w:rsidR="00AA1DD3">
        <w:t>)</w:t>
      </w:r>
      <w:r w:rsidRPr="00A17941">
        <w:t>.</w:t>
      </w:r>
    </w:p>
    <w:p w14:paraId="27FDACCB" w14:textId="430F3FAB" w:rsidR="00A17941" w:rsidRPr="00A17941" w:rsidRDefault="00A17941" w:rsidP="00A17941">
      <w:r w:rsidRPr="00A17941">
        <w:t xml:space="preserve">Overall, 60 patients in the </w:t>
      </w:r>
      <w:r w:rsidR="007E32DC" w:rsidRPr="00A17941">
        <w:t xml:space="preserve">safety analysis set </w:t>
      </w:r>
      <w:r w:rsidRPr="00A17941">
        <w:t xml:space="preserve">received 3534 infusions of </w:t>
      </w:r>
      <w:r w:rsidR="00A650AD" w:rsidRPr="00A650AD">
        <w:t xml:space="preserve">subcutaneous </w:t>
      </w:r>
      <w:r w:rsidR="00DE6F3C" w:rsidRPr="00A17941">
        <w:t>Cutaquig</w:t>
      </w:r>
      <w:r w:rsidR="00FB5C04">
        <w:t xml:space="preserve"> in the study.</w:t>
      </w:r>
    </w:p>
    <w:p w14:paraId="49DAAD34" w14:textId="2ADB959D" w:rsidR="00A17941" w:rsidRPr="00A17941" w:rsidRDefault="00A17941" w:rsidP="00A17941">
      <w:r w:rsidRPr="00A17941">
        <w:t xml:space="preserve">The average dose of </w:t>
      </w:r>
      <w:r w:rsidR="00DE6F3C" w:rsidRPr="00A17941">
        <w:t>Cutaquig</w:t>
      </w:r>
      <w:r w:rsidR="00FB5C04">
        <w:t xml:space="preserve"> used per patient was 0.185 </w:t>
      </w:r>
      <w:r w:rsidRPr="00A17941">
        <w:t>g/kg in adult</w:t>
      </w:r>
      <w:r w:rsidR="00FB5C04">
        <w:t xml:space="preserve"> patients, 0.134 g/kg in young children, 0.161 </w:t>
      </w:r>
      <w:r w:rsidRPr="00A17941">
        <w:t>g</w:t>
      </w:r>
      <w:r w:rsidR="00FB5C04">
        <w:t>/kg in older children and 0.176 </w:t>
      </w:r>
      <w:r w:rsidRPr="00A17941">
        <w:t xml:space="preserve">g/kg in adolescents. The overall mean duration of </w:t>
      </w:r>
      <w:r w:rsidR="00A650AD" w:rsidRPr="00A650AD">
        <w:t xml:space="preserve">subcutaneous </w:t>
      </w:r>
      <w:r w:rsidR="00FB5C04">
        <w:t xml:space="preserve">infusions was </w:t>
      </w:r>
      <w:r w:rsidR="00FB5C04" w:rsidRPr="00DB1A82">
        <w:t>101 ± 52 </w:t>
      </w:r>
      <w:r w:rsidRPr="00DB1A82">
        <w:t>minutes.</w:t>
      </w:r>
    </w:p>
    <w:p w14:paraId="65338C57" w14:textId="425DBD86" w:rsidR="00A17941" w:rsidRPr="00A17941" w:rsidRDefault="00A17941" w:rsidP="00A17941">
      <w:r w:rsidRPr="00A17941">
        <w:t xml:space="preserve">The </w:t>
      </w:r>
      <w:r w:rsidR="00B46FDB">
        <w:t xml:space="preserve">mean </w:t>
      </w:r>
      <w:r w:rsidRPr="00A17941">
        <w:t>maximum volume administered per pati</w:t>
      </w:r>
      <w:r w:rsidR="00FB5C04">
        <w:t>ent was about 1</w:t>
      </w:r>
      <w:r w:rsidR="00851307">
        <w:t>6</w:t>
      </w:r>
      <w:r w:rsidR="00FB5C04">
        <w:t>, 31, 6</w:t>
      </w:r>
      <w:r w:rsidR="00851307">
        <w:t>3</w:t>
      </w:r>
      <w:r w:rsidR="00FB5C04">
        <w:t xml:space="preserve"> and 7</w:t>
      </w:r>
      <w:r w:rsidR="00851307">
        <w:t>8</w:t>
      </w:r>
      <w:r w:rsidR="00FB5C04">
        <w:t> </w:t>
      </w:r>
      <w:r w:rsidRPr="00A17941">
        <w:t xml:space="preserve">mL in young children, older children, adolescents and adults respectively. </w:t>
      </w:r>
      <w:r w:rsidR="00F7361E" w:rsidRPr="00A17941">
        <w:t>The maxi</w:t>
      </w:r>
      <w:r w:rsidR="0049498A">
        <w:t>mum</w:t>
      </w:r>
      <w:r w:rsidR="00F7361E" w:rsidRPr="00A17941">
        <w:t xml:space="preserve"> volume administered per pati</w:t>
      </w:r>
      <w:r w:rsidR="00F7361E">
        <w:t>ent was about 22, 62, 90 and 159 </w:t>
      </w:r>
      <w:r w:rsidR="00F7361E" w:rsidRPr="00A17941">
        <w:t>m</w:t>
      </w:r>
      <w:r w:rsidR="00BE41FD">
        <w:t>L</w:t>
      </w:r>
      <w:r w:rsidR="00F7361E">
        <w:t xml:space="preserve">. </w:t>
      </w:r>
      <w:r w:rsidRPr="00A17941">
        <w:t>The maximum volume per inject</w:t>
      </w:r>
      <w:r w:rsidR="00FB5C04">
        <w:t>ion site was 10, 14, 16, and 24 </w:t>
      </w:r>
      <w:r w:rsidRPr="00A17941">
        <w:t xml:space="preserve">mL in the </w:t>
      </w:r>
      <w:r w:rsidR="00FB5C04">
        <w:t>four</w:t>
      </w:r>
      <w:r w:rsidRPr="00A17941">
        <w:t xml:space="preserve"> age groups respectiv</w:t>
      </w:r>
      <w:r w:rsidR="00FB5C04">
        <w:t xml:space="preserve">ely. The maximum infusion rate </w:t>
      </w:r>
      <w:r w:rsidRPr="00A17941">
        <w:t>pe</w:t>
      </w:r>
      <w:r w:rsidR="00FB5C04">
        <w:t>r patient was 25</w:t>
      </w:r>
      <w:r w:rsidR="00FB5C04" w:rsidRPr="00CC69C2">
        <w:t xml:space="preserve">, </w:t>
      </w:r>
      <w:r w:rsidR="00806177" w:rsidRPr="00465036">
        <w:t>3</w:t>
      </w:r>
      <w:r w:rsidR="00806177">
        <w:t>4</w:t>
      </w:r>
      <w:r w:rsidR="00FB5C04" w:rsidRPr="00465036">
        <w:t>, 39</w:t>
      </w:r>
      <w:r w:rsidR="00FB5C04">
        <w:t xml:space="preserve"> and 60 </w:t>
      </w:r>
      <w:r w:rsidR="00FB5C04" w:rsidRPr="00A17941">
        <w:t>mL/h</w:t>
      </w:r>
      <w:r w:rsidR="00AA1DD3">
        <w:t>our</w:t>
      </w:r>
      <w:r w:rsidR="00FB5C04" w:rsidRPr="00A17941">
        <w:t xml:space="preserve"> </w:t>
      </w:r>
      <w:r w:rsidRPr="00A17941">
        <w:t xml:space="preserve">in the </w:t>
      </w:r>
      <w:r w:rsidR="00FB5C04">
        <w:t>four</w:t>
      </w:r>
      <w:r w:rsidRPr="00A17941">
        <w:t xml:space="preserve"> age groups respectively. The maximum infusion rate per injec</w:t>
      </w:r>
      <w:r w:rsidR="00FB5C04">
        <w:t xml:space="preserve">tion site was 16, </w:t>
      </w:r>
      <w:r w:rsidR="00806177">
        <w:t>17</w:t>
      </w:r>
      <w:r w:rsidR="00FB5C04">
        <w:t xml:space="preserve">, </w:t>
      </w:r>
      <w:r w:rsidR="00806177">
        <w:t xml:space="preserve">15 </w:t>
      </w:r>
      <w:r w:rsidR="00FB5C04">
        <w:t xml:space="preserve">and </w:t>
      </w:r>
      <w:r w:rsidR="00806177">
        <w:t>23 </w:t>
      </w:r>
      <w:r w:rsidRPr="00A17941">
        <w:t>mL/h</w:t>
      </w:r>
      <w:r w:rsidR="00AA1DD3">
        <w:t>our</w:t>
      </w:r>
      <w:r w:rsidRPr="00A17941">
        <w:t xml:space="preserve"> in the </w:t>
      </w:r>
      <w:r w:rsidR="00FB5C04">
        <w:t>four</w:t>
      </w:r>
      <w:r w:rsidRPr="00A17941">
        <w:t xml:space="preserve"> age groups respectively.</w:t>
      </w:r>
    </w:p>
    <w:p w14:paraId="059BC764" w14:textId="02888DC1" w:rsidR="00A17941" w:rsidRPr="00A17941" w:rsidRDefault="00A17941" w:rsidP="00A17941">
      <w:r w:rsidRPr="00A17941">
        <w:t xml:space="preserve">Overall 48/60 (80%) patients experiencing a </w:t>
      </w:r>
      <w:r w:rsidRPr="00597769">
        <w:t>treatment</w:t>
      </w:r>
      <w:r w:rsidR="00AA1DD3">
        <w:t>-</w:t>
      </w:r>
      <w:r w:rsidRPr="00597769">
        <w:t>emergent adverse event (TEAE) and 4/60 (6.7%) experiencing a serious adverse event (SAE).</w:t>
      </w:r>
      <w:r w:rsidRPr="00A17941">
        <w:t xml:space="preserve"> Four SAEs were considered unrelated to study </w:t>
      </w:r>
      <w:r w:rsidR="00E90DFA" w:rsidRPr="00A17941">
        <w:t xml:space="preserve">medication. </w:t>
      </w:r>
      <w:r w:rsidRPr="00A17941">
        <w:t>One case of grand mal convulsion in an older child was considered unlikely to be related to study drug. There were no TEAEs leading to death or withdrawal.</w:t>
      </w:r>
    </w:p>
    <w:p w14:paraId="443CFC61" w14:textId="2CFDD2A6" w:rsidR="00A17941" w:rsidRPr="00A17941" w:rsidRDefault="00A17941" w:rsidP="00A17941">
      <w:r w:rsidRPr="00A17941">
        <w:t>Overall, 136 temporally associated TEAE (TEAE occurring within 72 hours of administration) were reported in 42/60 (70%) patients comprising 2/4 young children (</w:t>
      </w:r>
      <w:r w:rsidR="00E90DFA">
        <w:t>two</w:t>
      </w:r>
      <w:r w:rsidRPr="00A17941">
        <w:t xml:space="preserve"> events), 9/11 </w:t>
      </w:r>
      <w:r w:rsidR="00E90DFA">
        <w:t>older children (39 </w:t>
      </w:r>
      <w:r w:rsidRPr="00A17941">
        <w:t xml:space="preserve">events), 3/7 </w:t>
      </w:r>
      <w:r w:rsidR="00E90DFA">
        <w:t>adolescents (12 </w:t>
      </w:r>
      <w:r w:rsidRPr="00A17941">
        <w:t>events) and 28/38</w:t>
      </w:r>
      <w:r w:rsidR="00E90DFA">
        <w:t> adults (8</w:t>
      </w:r>
      <w:r w:rsidR="0043392B">
        <w:t>3</w:t>
      </w:r>
      <w:r w:rsidR="00E90DFA">
        <w:t> </w:t>
      </w:r>
      <w:r w:rsidRPr="00A17941">
        <w:t>events).</w:t>
      </w:r>
    </w:p>
    <w:p w14:paraId="72AADFCA" w14:textId="1D914CD6" w:rsidR="00A17941" w:rsidRPr="00A17941" w:rsidRDefault="00A17941" w:rsidP="00A17941">
      <w:r w:rsidRPr="00A17941">
        <w:t>TEAE</w:t>
      </w:r>
      <w:r w:rsidR="003D35C8">
        <w:t>s</w:t>
      </w:r>
      <w:r w:rsidRPr="00A17941">
        <w:t xml:space="preserve"> of infection were reported in 53/60 (88%) patients. The rate of infection TEAE</w:t>
      </w:r>
      <w:r w:rsidR="003D35C8">
        <w:t>s</w:t>
      </w:r>
      <w:r w:rsidRPr="00A17941">
        <w:t xml:space="preserve"> per patient was 6.25, 5.27, 1.57 and 3.</w:t>
      </w:r>
      <w:r w:rsidR="0043392B" w:rsidRPr="00A17941">
        <w:t>9</w:t>
      </w:r>
      <w:r w:rsidR="0043392B">
        <w:t>7</w:t>
      </w:r>
      <w:r w:rsidRPr="00A17941">
        <w:t>in the young children, older children, adolescents and adults respectively.</w:t>
      </w:r>
    </w:p>
    <w:p w14:paraId="20583E52" w14:textId="35EA1F6F" w:rsidR="00A17941" w:rsidRPr="00A17941" w:rsidRDefault="00A17941" w:rsidP="00A17941">
      <w:r w:rsidRPr="00A17941">
        <w:t>Excluding infections, 27 patients experi</w:t>
      </w:r>
      <w:r w:rsidR="00E90DFA">
        <w:t>enced TEAE</w:t>
      </w:r>
      <w:r w:rsidR="003D35C8">
        <w:t>s</w:t>
      </w:r>
      <w:r w:rsidR="00E90DFA">
        <w:t xml:space="preserve"> of mild severity, 18 </w:t>
      </w:r>
      <w:r w:rsidRPr="00A17941">
        <w:t>patients experienced T</w:t>
      </w:r>
      <w:r w:rsidR="00E90DFA">
        <w:t>EAE</w:t>
      </w:r>
      <w:r w:rsidR="003D35C8">
        <w:t>s</w:t>
      </w:r>
      <w:r w:rsidR="00E90DFA">
        <w:t xml:space="preserve"> of moderate severity, and </w:t>
      </w:r>
      <w:r w:rsidR="00AA1DD3">
        <w:t>three</w:t>
      </w:r>
      <w:r w:rsidR="00E90DFA">
        <w:t> </w:t>
      </w:r>
      <w:r w:rsidRPr="00A17941">
        <w:t>patients experienced TEAE</w:t>
      </w:r>
      <w:r w:rsidR="003D35C8">
        <w:t>s</w:t>
      </w:r>
      <w:r w:rsidRPr="00A17941">
        <w:t xml:space="preserve"> of severe intensity. Based on the </w:t>
      </w:r>
      <w:r w:rsidR="007E32DC" w:rsidRPr="00A17941">
        <w:t>safety analysis set</w:t>
      </w:r>
      <w:r w:rsidRPr="00A17941">
        <w:t xml:space="preserve">, 236 TEAEs were reported of which 184 were mild, 49 were moderate and </w:t>
      </w:r>
      <w:r w:rsidR="00E90DFA">
        <w:t>three</w:t>
      </w:r>
      <w:r w:rsidRPr="00A17941">
        <w:t xml:space="preserve"> were severe. The severe </w:t>
      </w:r>
      <w:r w:rsidR="00E90DFA" w:rsidRPr="00597769">
        <w:t>adverse events (</w:t>
      </w:r>
      <w:r w:rsidRPr="00597769">
        <w:t>AE</w:t>
      </w:r>
      <w:r w:rsidR="00590D74">
        <w:t>s</w:t>
      </w:r>
      <w:r w:rsidR="00E90DFA" w:rsidRPr="00597769">
        <w:t>)</w:t>
      </w:r>
      <w:r w:rsidRPr="00A17941">
        <w:t xml:space="preserve"> were appendicitis, nephrolithiasis and severe asthma (each </w:t>
      </w:r>
      <w:r w:rsidR="00E90DFA">
        <w:t>one case).</w:t>
      </w:r>
    </w:p>
    <w:p w14:paraId="745BA607" w14:textId="15AB9A33" w:rsidR="00A17941" w:rsidRPr="00A17941" w:rsidRDefault="00A17941" w:rsidP="00A17941">
      <w:r w:rsidRPr="00A17941">
        <w:t>The rate of TEAE, excluding infections and infusion site reaction, was 2.5 events</w:t>
      </w:r>
      <w:r w:rsidR="00E90DFA">
        <w:t xml:space="preserve"> per </w:t>
      </w:r>
      <w:r w:rsidRPr="00A17941">
        <w:t>patient in young children, 6.18 events</w:t>
      </w:r>
      <w:r w:rsidR="00E90DFA">
        <w:t xml:space="preserve"> per </w:t>
      </w:r>
      <w:r w:rsidRPr="00A17941">
        <w:t>patient in older children, 3.43 events</w:t>
      </w:r>
      <w:r w:rsidR="00E90DFA">
        <w:t xml:space="preserve"> per </w:t>
      </w:r>
      <w:r w:rsidRPr="00A17941">
        <w:t>patient in adolescents and 3.53 events</w:t>
      </w:r>
      <w:r w:rsidR="00E90DFA">
        <w:t xml:space="preserve"> per </w:t>
      </w:r>
      <w:r w:rsidRPr="00A17941">
        <w:t>patient in adults.</w:t>
      </w:r>
    </w:p>
    <w:p w14:paraId="7AFD5D5D" w14:textId="5D4F5354" w:rsidR="00A17941" w:rsidRPr="00A17941" w:rsidRDefault="00A17941" w:rsidP="00A17941">
      <w:r w:rsidRPr="00A17941">
        <w:t xml:space="preserve">The rates of TEAE per infusion (excluding infection and injection site reactions) were </w:t>
      </w:r>
      <w:r w:rsidR="00E90DFA">
        <w:t>zero</w:t>
      </w:r>
      <w:r w:rsidRPr="00A17941">
        <w:t xml:space="preserve">, </w:t>
      </w:r>
      <w:r w:rsidR="00E90DFA">
        <w:t>three</w:t>
      </w:r>
      <w:r w:rsidRPr="00A17941">
        <w:t xml:space="preserve">, </w:t>
      </w:r>
      <w:r w:rsidR="00E90DFA">
        <w:t>one</w:t>
      </w:r>
      <w:r w:rsidRPr="00A17941">
        <w:t xml:space="preserve"> and </w:t>
      </w:r>
      <w:r w:rsidR="00E90DFA">
        <w:t>ten</w:t>
      </w:r>
      <w:r w:rsidRPr="00A17941">
        <w:t xml:space="preserve"> in young children, older children, adolescents and adults respectively.</w:t>
      </w:r>
    </w:p>
    <w:p w14:paraId="64F3BEAE" w14:textId="7EEFFA75" w:rsidR="00A17941" w:rsidRPr="00A17941" w:rsidRDefault="00A17941" w:rsidP="00A17941">
      <w:r w:rsidRPr="00A17941">
        <w:t>The highest incidence of temporally associated TEAEs (excluding infections) was reported in Month 1, with</w:t>
      </w:r>
      <w:r w:rsidR="00E90DFA">
        <w:t xml:space="preserve"> 12 patients (20%) reporting 24 </w:t>
      </w:r>
      <w:r w:rsidRPr="00A17941">
        <w:t>events. In subsequent months, the number of patients reporting temporally associated TEAE</w:t>
      </w:r>
      <w:r w:rsidR="00770C17" w:rsidRPr="00A17941">
        <w:t>s</w:t>
      </w:r>
      <w:r w:rsidRPr="00A17941">
        <w:t xml:space="preserve"> varied between </w:t>
      </w:r>
      <w:r w:rsidR="00E90DFA">
        <w:t>four</w:t>
      </w:r>
      <w:r w:rsidRPr="00A17941">
        <w:t xml:space="preserve"> and </w:t>
      </w:r>
      <w:r w:rsidR="00E90DFA">
        <w:t>nine</w:t>
      </w:r>
      <w:r w:rsidRPr="00A17941">
        <w:t xml:space="preserve"> patients with between </w:t>
      </w:r>
      <w:r w:rsidR="00E90DFA">
        <w:t>four</w:t>
      </w:r>
      <w:r w:rsidRPr="00A17941">
        <w:t xml:space="preserve"> and 12 events reported.</w:t>
      </w:r>
    </w:p>
    <w:p w14:paraId="75E709D3" w14:textId="583636E2" w:rsidR="00A17941" w:rsidRPr="00A17941" w:rsidRDefault="00A17941" w:rsidP="00A17941">
      <w:r w:rsidRPr="00A17941">
        <w:t>Overall 75% patients experienced infusion site reactions</w:t>
      </w:r>
      <w:r w:rsidRPr="00937E6A">
        <w:t>. Fourteen patients (</w:t>
      </w:r>
      <w:r w:rsidR="00E90DFA" w:rsidRPr="00937E6A">
        <w:t>one</w:t>
      </w:r>
      <w:r w:rsidRPr="00937E6A">
        <w:t xml:space="preserve"> older child, </w:t>
      </w:r>
      <w:r w:rsidR="00E90DFA" w:rsidRPr="00937E6A">
        <w:t>one</w:t>
      </w:r>
      <w:r w:rsidRPr="00937E6A">
        <w:t xml:space="preserve"> adolescent patient and 12 adults) experienced an infusion site reaction of moderate intensity and </w:t>
      </w:r>
      <w:r w:rsidR="00E90DFA" w:rsidRPr="00937E6A">
        <w:t>two</w:t>
      </w:r>
      <w:r w:rsidRPr="00937E6A">
        <w:t xml:space="preserve"> adult patients experienced an infusion site reaction of severe intensity. The severe reactions were bruising at the abdo</w:t>
      </w:r>
      <w:r w:rsidRPr="00A17941">
        <w:t>minal injection site at Week 30 in one patient and a severe allergic reaction at the lower back injection sites at Week 5 in another patient.</w:t>
      </w:r>
    </w:p>
    <w:p w14:paraId="3B70E414" w14:textId="3A626732" w:rsidR="00A17941" w:rsidRPr="00A17941" w:rsidRDefault="00A17941" w:rsidP="00A17941">
      <w:r w:rsidRPr="00A17941">
        <w:t xml:space="preserve">The most common types of infusion site reactions were erythema, swelling, redness and pruritus. Other types of reaction reported in </w:t>
      </w:r>
      <w:r w:rsidR="00E90DFA">
        <w:t>three</w:t>
      </w:r>
      <w:r w:rsidRPr="00A17941">
        <w:t xml:space="preserve"> patients each were extravasation, nodule, rash and tenderness.</w:t>
      </w:r>
    </w:p>
    <w:p w14:paraId="74EAB9FD" w14:textId="18F3B443" w:rsidR="00A17941" w:rsidRPr="00A17941" w:rsidRDefault="00A17941" w:rsidP="00A17941">
      <w:r w:rsidRPr="00A17941">
        <w:t>When summarised by infusion, infusion site reactions occurred during 824 of the 3534</w:t>
      </w:r>
      <w:r w:rsidR="003D35C8">
        <w:t> </w:t>
      </w:r>
      <w:r w:rsidRPr="00A17941">
        <w:t>infusions (23%), with swelling in 10% of infusions, erythema in 7%, redness in 5.4% and pruritus in 4% of infusions.</w:t>
      </w:r>
    </w:p>
    <w:p w14:paraId="051F33A3" w14:textId="3F959373" w:rsidR="00B81855" w:rsidRDefault="00A17941" w:rsidP="00A17941">
      <w:r w:rsidRPr="00A17941">
        <w:t>Laboratory results did not indicate any specific pattern. None off the patients who had a confirmed positive Coomb’s test al</w:t>
      </w:r>
      <w:r w:rsidR="00E90DFA">
        <w:t>so had a drop of haemoglobin of &gt; </w:t>
      </w:r>
      <w:r w:rsidRPr="00A17941">
        <w:t>2</w:t>
      </w:r>
      <w:r w:rsidR="003D35C8">
        <w:t> </w:t>
      </w:r>
      <w:r w:rsidRPr="00A17941">
        <w:t>g/dL.</w:t>
      </w:r>
    </w:p>
    <w:p w14:paraId="6BEE203C" w14:textId="3CAD9CD2" w:rsidR="00A17941" w:rsidRPr="007E32DC" w:rsidRDefault="00A17941" w:rsidP="007E32DC">
      <w:r w:rsidRPr="007E32DC">
        <w:t xml:space="preserve">All positive virology tests were graded as non-clinically significant except for a positive test for </w:t>
      </w:r>
      <w:r w:rsidR="003D35C8">
        <w:t>h</w:t>
      </w:r>
      <w:r w:rsidR="007E32DC" w:rsidRPr="007179B0">
        <w:t>epatitis B surface antigen (</w:t>
      </w:r>
      <w:r w:rsidRPr="007179B0">
        <w:t>HBsAg</w:t>
      </w:r>
      <w:r w:rsidR="007E32DC" w:rsidRPr="007179B0">
        <w:t>)</w:t>
      </w:r>
      <w:r w:rsidRPr="007E32DC">
        <w:t xml:space="preserve"> at </w:t>
      </w:r>
      <w:r w:rsidR="007E32DC" w:rsidRPr="007E32DC">
        <w:t xml:space="preserve">end of study visit in </w:t>
      </w:r>
      <w:r w:rsidRPr="007E32DC">
        <w:t xml:space="preserve">one patient. The </w:t>
      </w:r>
      <w:r w:rsidR="003D35C8">
        <w:t>hepatitis B virus (</w:t>
      </w:r>
      <w:r w:rsidRPr="007E32DC">
        <w:t>HBV</w:t>
      </w:r>
      <w:r w:rsidR="003D35C8">
        <w:t>)</w:t>
      </w:r>
      <w:r w:rsidRPr="007E32DC">
        <w:t xml:space="preserve"> viral load was negative at this </w:t>
      </w:r>
      <w:r w:rsidR="00E90DFA" w:rsidRPr="007E32DC">
        <w:t>time point</w:t>
      </w:r>
      <w:r w:rsidRPr="007E32DC">
        <w:t>. The patient was retested approximately one month later and both HBsAg and HBV viral load were negative.</w:t>
      </w:r>
    </w:p>
    <w:p w14:paraId="29578B6B" w14:textId="77777777" w:rsidR="00A17941" w:rsidRPr="00A17941" w:rsidRDefault="00A17941" w:rsidP="00A17941">
      <w:r w:rsidRPr="00A17941">
        <w:t>No AEs of regulatory interest were reported in the limited dataset.</w:t>
      </w:r>
    </w:p>
    <w:p w14:paraId="1E8C57D2" w14:textId="3F6E9779" w:rsidR="00A17941" w:rsidRDefault="00A17941" w:rsidP="00A17941">
      <w:pPr>
        <w:pStyle w:val="Heading5"/>
      </w:pPr>
      <w:r w:rsidRPr="00AD0C04">
        <w:t xml:space="preserve">Safety </w:t>
      </w:r>
      <w:r w:rsidR="009D4629" w:rsidRPr="00AD0C04">
        <w:t>conclusion</w:t>
      </w:r>
    </w:p>
    <w:p w14:paraId="0911E5DD" w14:textId="4219D2DB" w:rsidR="00A17941" w:rsidRPr="00A17941" w:rsidRDefault="00A17941" w:rsidP="00A17941">
      <w:r w:rsidRPr="00A17941">
        <w:t>The adverse effects profile during the 12</w:t>
      </w:r>
      <w:r w:rsidR="009D4629">
        <w:t xml:space="preserve"> to </w:t>
      </w:r>
      <w:r w:rsidRPr="00A17941">
        <w:t xml:space="preserve">15 months of uncontrolled, prospective treatment with weekly </w:t>
      </w:r>
      <w:r w:rsidR="00A650AD" w:rsidRPr="00A650AD">
        <w:t xml:space="preserve">subcutaneous </w:t>
      </w:r>
      <w:r w:rsidR="00DE6F3C" w:rsidRPr="00A17941">
        <w:t>Cutaquig</w:t>
      </w:r>
      <w:r w:rsidRPr="00A17941">
        <w:t xml:space="preserve"> in 22 children/adolescents and 38 adults, was consistent with known profile of SCI</w:t>
      </w:r>
      <w:r w:rsidR="00F90092" w:rsidRPr="00A17941">
        <w:t>g</w:t>
      </w:r>
      <w:r w:rsidRPr="00A17941">
        <w:t xml:space="preserve"> class of drugs.</w:t>
      </w:r>
    </w:p>
    <w:p w14:paraId="0EAC0935" w14:textId="72C61043" w:rsidR="00A17941" w:rsidRPr="00A17941" w:rsidRDefault="00A17941" w:rsidP="00A17941">
      <w:r w:rsidRPr="00A17941">
        <w:t>No unexpected findings were reported. No rare events of regulatory interest were reported. No post</w:t>
      </w:r>
      <w:r w:rsidR="009D4629">
        <w:t xml:space="preserve"> </w:t>
      </w:r>
      <w:r w:rsidRPr="00A17941">
        <w:t>market experience is currently available.</w:t>
      </w:r>
    </w:p>
    <w:p w14:paraId="78E9F963" w14:textId="1835995E" w:rsidR="00A17941" w:rsidRPr="00136AEB" w:rsidRDefault="009D4629" w:rsidP="00A17941">
      <w:pPr>
        <w:pStyle w:val="Heading5"/>
      </w:pPr>
      <w:r>
        <w:t>Benefit</w:t>
      </w:r>
      <w:r w:rsidR="00E8380E">
        <w:t>-</w:t>
      </w:r>
      <w:r w:rsidRPr="00136AEB">
        <w:t>risk assessment</w:t>
      </w:r>
    </w:p>
    <w:p w14:paraId="43114194" w14:textId="759C85A0" w:rsidR="00A17941" w:rsidRPr="00A17941" w:rsidRDefault="00543B9A" w:rsidP="00A17941">
      <w:r>
        <w:t>PK</w:t>
      </w:r>
      <w:r w:rsidR="00A17941" w:rsidRPr="00A17941">
        <w:t xml:space="preserve"> performance was consistent with that expected for SCI</w:t>
      </w:r>
      <w:r w:rsidR="00F90092" w:rsidRPr="00A17941">
        <w:t>g</w:t>
      </w:r>
      <w:r w:rsidR="00A17941" w:rsidRPr="00A17941">
        <w:t>. Total IgG serum levels at stead</w:t>
      </w:r>
      <w:r w:rsidR="009D4629">
        <w:t>y state were maintained above 6 </w:t>
      </w:r>
      <w:r w:rsidR="00A17941" w:rsidRPr="00A17941">
        <w:t xml:space="preserve">g/L with weekly </w:t>
      </w:r>
      <w:r w:rsidR="00A650AD" w:rsidRPr="00A650AD">
        <w:t xml:space="preserve">subcutaneous </w:t>
      </w:r>
      <w:r w:rsidR="00DE6F3C" w:rsidRPr="00A17941">
        <w:t>Cutaquig</w:t>
      </w:r>
      <w:r w:rsidR="00A17941" w:rsidRPr="00A17941">
        <w:t xml:space="preserve"> throughout the study. PK profile is essentially limited to adults with paediatric PK data not meaningful.</w:t>
      </w:r>
    </w:p>
    <w:p w14:paraId="080D92ED" w14:textId="1245EBCA" w:rsidR="00A17941" w:rsidRPr="00A17941" w:rsidRDefault="00A17941" w:rsidP="00A17941">
      <w:r w:rsidRPr="00A17941">
        <w:t>Efficacy was consistent with that expected with SCI</w:t>
      </w:r>
      <w:r w:rsidR="00F90092" w:rsidRPr="00A17941">
        <w:t>g</w:t>
      </w:r>
      <w:r w:rsidRPr="00A17941">
        <w:t xml:space="preserve"> and met the regulatory target. Efficacy with</w:t>
      </w:r>
      <w:r w:rsidR="00E8380E">
        <w:t xml:space="preserve"> less than one</w:t>
      </w:r>
      <w:r w:rsidR="00BC3ECE">
        <w:t xml:space="preserve"> </w:t>
      </w:r>
      <w:r w:rsidRPr="00A17941">
        <w:t>SBI per patient per year was demonstrated. No SBI was reported in the study. The total dataset for efficacy is essentially limited to 22</w:t>
      </w:r>
      <w:r w:rsidR="009D4629">
        <w:t> </w:t>
      </w:r>
      <w:r w:rsidRPr="00A17941">
        <w:t>children and 38</w:t>
      </w:r>
      <w:r w:rsidR="009D4629">
        <w:t> </w:t>
      </w:r>
      <w:r w:rsidRPr="00A17941">
        <w:t>adults.</w:t>
      </w:r>
    </w:p>
    <w:p w14:paraId="0BCA3E81" w14:textId="5EE27576" w:rsidR="00A17941" w:rsidRPr="00A17941" w:rsidRDefault="00A17941" w:rsidP="00A17941">
      <w:r w:rsidRPr="00A17941">
        <w:t>Safety profile was consistent with the known adverse effects profile for the SCI</w:t>
      </w:r>
      <w:r w:rsidR="00F90092" w:rsidRPr="00A17941">
        <w:t>g</w:t>
      </w:r>
      <w:r w:rsidRPr="00A17941">
        <w:t xml:space="preserve"> class of drugs.</w:t>
      </w:r>
    </w:p>
    <w:p w14:paraId="68CC9B60" w14:textId="2DAC7720" w:rsidR="00A17941" w:rsidRDefault="00A17941" w:rsidP="00A17941">
      <w:r w:rsidRPr="00A17941">
        <w:t>The dataset is limited with very low exposures in children and adolescents.</w:t>
      </w:r>
    </w:p>
    <w:p w14:paraId="45E427D7" w14:textId="77777777" w:rsidR="00FD78A2" w:rsidRDefault="00FD78A2" w:rsidP="00FD78A2">
      <w:pPr>
        <w:pStyle w:val="Heading4"/>
      </w:pPr>
      <w:r w:rsidRPr="007B6132">
        <w:t>Clinical evaluator’s recommendation</w:t>
      </w:r>
    </w:p>
    <w:p w14:paraId="53F6B984" w14:textId="74FC8785" w:rsidR="00FD78A2" w:rsidRPr="00A17941" w:rsidRDefault="00A17941" w:rsidP="00A17941">
      <w:r w:rsidRPr="00A17941">
        <w:t xml:space="preserve">The </w:t>
      </w:r>
      <w:r w:rsidR="00FD78A2">
        <w:t>c</w:t>
      </w:r>
      <w:r w:rsidR="00FD78A2" w:rsidRPr="00FD78A2">
        <w:t>linical evaluator</w:t>
      </w:r>
      <w:r w:rsidRPr="00A17941">
        <w:t xml:space="preserve"> considers the net risk</w:t>
      </w:r>
      <w:r w:rsidR="009D4629">
        <w:t xml:space="preserve"> </w:t>
      </w:r>
      <w:r w:rsidRPr="00A17941">
        <w:t>balance is acceptable as PID are rare disorders, and the inherent deficiencies in the dataset can only be reasonably expected to be addressed through post market surveillance and accumulating post market data.</w:t>
      </w:r>
    </w:p>
    <w:p w14:paraId="7D4B8328" w14:textId="77777777" w:rsidR="008E7846" w:rsidRDefault="00386150" w:rsidP="007B6132">
      <w:pPr>
        <w:pStyle w:val="Heading3"/>
        <w:rPr>
          <w:lang w:eastAsia="en-AU"/>
        </w:rPr>
      </w:pPr>
      <w:bookmarkStart w:id="46" w:name="_Toc76652763"/>
      <w:r>
        <w:rPr>
          <w:lang w:eastAsia="en-AU"/>
        </w:rPr>
        <w:t>Risk m</w:t>
      </w:r>
      <w:r w:rsidR="008E7846">
        <w:rPr>
          <w:lang w:eastAsia="en-AU"/>
        </w:rPr>
        <w:t xml:space="preserve">anagement </w:t>
      </w:r>
      <w:r>
        <w:rPr>
          <w:lang w:eastAsia="en-AU"/>
        </w:rPr>
        <w:t>p</w:t>
      </w:r>
      <w:r w:rsidR="008E7846">
        <w:rPr>
          <w:lang w:eastAsia="en-AU"/>
        </w:rPr>
        <w:t>lan</w:t>
      </w:r>
      <w:bookmarkEnd w:id="40"/>
      <w:bookmarkEnd w:id="46"/>
    </w:p>
    <w:p w14:paraId="54F37E94" w14:textId="68ECD56E" w:rsidR="00BB1FA4" w:rsidRPr="00BB1FA4" w:rsidRDefault="009D4629" w:rsidP="00BB1FA4">
      <w:r>
        <w:t xml:space="preserve">The sponsor </w:t>
      </w:r>
      <w:r w:rsidR="00BB1FA4" w:rsidRPr="00BB1FA4">
        <w:t>has submitted EU</w:t>
      </w:r>
      <w:r w:rsidR="00BB1FA4" w:rsidRPr="007179B0">
        <w:t>-</w:t>
      </w:r>
      <w:r w:rsidR="00716DFD" w:rsidRPr="007179B0">
        <w:t>risk management plan (</w:t>
      </w:r>
      <w:r w:rsidR="00BB1FA4" w:rsidRPr="007179B0">
        <w:t>RMP</w:t>
      </w:r>
      <w:r w:rsidR="00716DFD" w:rsidRPr="007179B0">
        <w:t>)</w:t>
      </w:r>
      <w:r w:rsidR="00BB1FA4" w:rsidRPr="007179B0">
        <w:t xml:space="preserve"> version 01.3 (date</w:t>
      </w:r>
      <w:r w:rsidR="00716DFD" w:rsidRPr="007179B0">
        <w:t>d</w:t>
      </w:r>
      <w:r w:rsidR="00BB1FA4" w:rsidRPr="007179B0">
        <w:t xml:space="preserve"> 12</w:t>
      </w:r>
      <w:r w:rsidR="003D35C8">
        <w:t> </w:t>
      </w:r>
      <w:r w:rsidR="00BB1FA4" w:rsidRPr="007179B0">
        <w:t xml:space="preserve">December 2018; </w:t>
      </w:r>
      <w:r w:rsidR="00716DFD" w:rsidRPr="007179B0">
        <w:t>data lock point (</w:t>
      </w:r>
      <w:r w:rsidR="00BB1FA4" w:rsidRPr="007179B0">
        <w:t>DLP</w:t>
      </w:r>
      <w:r w:rsidR="00716DFD" w:rsidRPr="007179B0">
        <w:t>)</w:t>
      </w:r>
      <w:r w:rsidR="00BB1FA4" w:rsidRPr="007179B0">
        <w:t xml:space="preserve"> 31 October 2018) and </w:t>
      </w:r>
      <w:r w:rsidR="00716DFD" w:rsidRPr="007179B0">
        <w:t>Australia Specific annex (</w:t>
      </w:r>
      <w:r w:rsidR="00BB1FA4" w:rsidRPr="007179B0">
        <w:t>ASA</w:t>
      </w:r>
      <w:r w:rsidR="00716DFD" w:rsidRPr="007179B0">
        <w:t>)</w:t>
      </w:r>
      <w:r w:rsidR="00BB1FA4" w:rsidRPr="00BB1FA4">
        <w:t xml:space="preserve"> version 01 (</w:t>
      </w:r>
      <w:r w:rsidR="00551860">
        <w:t xml:space="preserve">dated </w:t>
      </w:r>
      <w:r w:rsidR="00BB1FA4" w:rsidRPr="00BB1FA4">
        <w:t>1 April 2020) in support of this application.</w:t>
      </w:r>
    </w:p>
    <w:p w14:paraId="26ECD903" w14:textId="088DB4DE" w:rsidR="007D53B6" w:rsidRDefault="007D53B6" w:rsidP="007D53B6">
      <w:r>
        <w:t xml:space="preserve">The summary of safety concerns and their associated risk monitoring and mitigation strategies are summarised in </w:t>
      </w:r>
      <w:r w:rsidR="00716DFD">
        <w:fldChar w:fldCharType="begin"/>
      </w:r>
      <w:r w:rsidR="00716DFD">
        <w:instrText xml:space="preserve"> REF _Ref71207050 \h </w:instrText>
      </w:r>
      <w:r w:rsidR="00716DFD">
        <w:fldChar w:fldCharType="separate"/>
      </w:r>
      <w:r w:rsidR="0055078A">
        <w:t xml:space="preserve">Table </w:t>
      </w:r>
      <w:r w:rsidR="0055078A">
        <w:rPr>
          <w:noProof/>
        </w:rPr>
        <w:t>6</w:t>
      </w:r>
      <w:r w:rsidR="00716DFD">
        <w:fldChar w:fldCharType="end"/>
      </w:r>
      <w:r>
        <w:t>.</w:t>
      </w:r>
      <w:r>
        <w:rPr>
          <w:rStyle w:val="FootnoteReference"/>
        </w:rPr>
        <w:footnoteReference w:id="9"/>
      </w:r>
    </w:p>
    <w:p w14:paraId="674E0D65" w14:textId="62BC94A7" w:rsidR="00BB1FA4" w:rsidRDefault="00BB1FA4" w:rsidP="00BB1FA4">
      <w:pPr>
        <w:pStyle w:val="TableTitle"/>
      </w:pPr>
      <w:bookmarkStart w:id="47" w:name="_Ref71207050"/>
      <w:r>
        <w:t xml:space="preserve">Table </w:t>
      </w:r>
      <w:r w:rsidR="004F5F1D">
        <w:rPr>
          <w:noProof/>
        </w:rPr>
        <w:fldChar w:fldCharType="begin"/>
      </w:r>
      <w:r w:rsidR="004F5F1D">
        <w:rPr>
          <w:noProof/>
        </w:rPr>
        <w:instrText xml:space="preserve"> SEQ Table \* ARABIC </w:instrText>
      </w:r>
      <w:r w:rsidR="004F5F1D">
        <w:rPr>
          <w:noProof/>
        </w:rPr>
        <w:fldChar w:fldCharType="separate"/>
      </w:r>
      <w:r w:rsidR="0055078A">
        <w:rPr>
          <w:noProof/>
        </w:rPr>
        <w:t>6</w:t>
      </w:r>
      <w:r w:rsidR="004F5F1D">
        <w:rPr>
          <w:noProof/>
        </w:rPr>
        <w:fldChar w:fldCharType="end"/>
      </w:r>
      <w:bookmarkEnd w:id="47"/>
      <w:r>
        <w:t>: Summary of safety concerns</w:t>
      </w:r>
    </w:p>
    <w:tbl>
      <w:tblPr>
        <w:tblStyle w:val="TableTGAblue"/>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3"/>
        <w:gridCol w:w="2268"/>
        <w:gridCol w:w="992"/>
        <w:gridCol w:w="1276"/>
        <w:gridCol w:w="992"/>
        <w:gridCol w:w="1134"/>
      </w:tblGrid>
      <w:tr w:rsidR="00BB1FA4" w:rsidRPr="00BF52F4" w14:paraId="535E40E6" w14:textId="77777777" w:rsidTr="00BB1FA4">
        <w:trPr>
          <w:cnfStyle w:val="100000000000" w:firstRow="1" w:lastRow="0" w:firstColumn="0" w:lastColumn="0" w:oddVBand="0" w:evenVBand="0" w:oddHBand="0" w:evenHBand="0" w:firstRowFirstColumn="0" w:firstRowLastColumn="0" w:lastRowFirstColumn="0" w:lastRowLastColumn="0"/>
          <w:trHeight w:val="131"/>
        </w:trPr>
        <w:tc>
          <w:tcPr>
            <w:tcW w:w="4101" w:type="dxa"/>
            <w:gridSpan w:val="2"/>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64DC92" w14:textId="77777777" w:rsidR="00BB1FA4" w:rsidRPr="00BB1FA4" w:rsidRDefault="00BB1FA4" w:rsidP="00BB1FA4">
            <w:pPr>
              <w:rPr>
                <w:sz w:val="19"/>
                <w:szCs w:val="19"/>
              </w:rPr>
            </w:pPr>
            <w:r w:rsidRPr="00BB1FA4">
              <w:rPr>
                <w:sz w:val="19"/>
                <w:szCs w:val="19"/>
              </w:rPr>
              <w:t>Summary of safety concerns</w:t>
            </w:r>
          </w:p>
        </w:tc>
        <w:tc>
          <w:tcPr>
            <w:tcW w:w="226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6E90B4" w14:textId="77777777" w:rsidR="00BB1FA4" w:rsidRPr="00BB1FA4" w:rsidRDefault="00BB1FA4" w:rsidP="00BB1FA4">
            <w:pPr>
              <w:rPr>
                <w:sz w:val="19"/>
                <w:szCs w:val="19"/>
              </w:rPr>
            </w:pPr>
            <w:r w:rsidRPr="00BB1FA4">
              <w:rPr>
                <w:sz w:val="19"/>
                <w:szCs w:val="19"/>
              </w:rPr>
              <w:t>Pharmacovigilance</w:t>
            </w:r>
          </w:p>
        </w:tc>
        <w:tc>
          <w:tcPr>
            <w:tcW w:w="212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B1FDB0" w14:textId="77777777" w:rsidR="00BB1FA4" w:rsidRPr="00BB1FA4" w:rsidRDefault="00BB1FA4" w:rsidP="00BB1FA4">
            <w:pPr>
              <w:rPr>
                <w:sz w:val="19"/>
                <w:szCs w:val="19"/>
              </w:rPr>
            </w:pPr>
            <w:r w:rsidRPr="00BB1FA4">
              <w:rPr>
                <w:sz w:val="19"/>
                <w:szCs w:val="19"/>
              </w:rPr>
              <w:t>Risk Minimisation</w:t>
            </w:r>
          </w:p>
        </w:tc>
      </w:tr>
      <w:tr w:rsidR="00BB1FA4" w:rsidRPr="00BF52F4" w14:paraId="00A51EAE" w14:textId="77777777" w:rsidTr="005A4FC2">
        <w:trPr>
          <w:trHeight w:val="150"/>
        </w:trPr>
        <w:tc>
          <w:tcPr>
            <w:tcW w:w="4101" w:type="dxa"/>
            <w:gridSpan w:val="2"/>
            <w:vMerge/>
          </w:tcPr>
          <w:p w14:paraId="61EC8A0D" w14:textId="77777777" w:rsidR="00BB1FA4" w:rsidRPr="00BB1FA4" w:rsidRDefault="00BB1FA4" w:rsidP="00BB1FA4">
            <w:pPr>
              <w:rPr>
                <w:sz w:val="19"/>
                <w:szCs w:val="19"/>
              </w:rPr>
            </w:pPr>
          </w:p>
        </w:tc>
        <w:tc>
          <w:tcPr>
            <w:tcW w:w="992" w:type="dxa"/>
            <w:shd w:val="clear" w:color="auto" w:fill="006DA7"/>
          </w:tcPr>
          <w:p w14:paraId="4A78EE09" w14:textId="77777777" w:rsidR="00BB1FA4" w:rsidRPr="005A4FC2" w:rsidRDefault="00BB1FA4" w:rsidP="00BB1FA4">
            <w:pPr>
              <w:rPr>
                <w:b/>
                <w:color w:val="FFFFFF" w:themeColor="background1"/>
                <w:sz w:val="19"/>
                <w:szCs w:val="19"/>
              </w:rPr>
            </w:pPr>
            <w:r w:rsidRPr="005A4FC2">
              <w:rPr>
                <w:b/>
                <w:color w:val="FFFFFF" w:themeColor="background1"/>
                <w:sz w:val="19"/>
                <w:szCs w:val="19"/>
              </w:rPr>
              <w:t>Routine</w:t>
            </w:r>
          </w:p>
        </w:tc>
        <w:tc>
          <w:tcPr>
            <w:tcW w:w="1276" w:type="dxa"/>
            <w:shd w:val="clear" w:color="auto" w:fill="006DA7"/>
          </w:tcPr>
          <w:p w14:paraId="1C50BCE4" w14:textId="77777777" w:rsidR="00BB1FA4" w:rsidRPr="005A4FC2" w:rsidRDefault="00BB1FA4" w:rsidP="00BB1FA4">
            <w:pPr>
              <w:rPr>
                <w:b/>
                <w:color w:val="FFFFFF" w:themeColor="background1"/>
                <w:sz w:val="19"/>
                <w:szCs w:val="19"/>
              </w:rPr>
            </w:pPr>
            <w:r w:rsidRPr="005A4FC2">
              <w:rPr>
                <w:b/>
                <w:color w:val="FFFFFF" w:themeColor="background1"/>
                <w:sz w:val="19"/>
                <w:szCs w:val="19"/>
              </w:rPr>
              <w:t>Additional</w:t>
            </w:r>
          </w:p>
        </w:tc>
        <w:tc>
          <w:tcPr>
            <w:tcW w:w="992" w:type="dxa"/>
            <w:shd w:val="clear" w:color="auto" w:fill="006DA7"/>
          </w:tcPr>
          <w:p w14:paraId="606B46B3" w14:textId="77777777" w:rsidR="00BB1FA4" w:rsidRPr="005A4FC2" w:rsidRDefault="00BB1FA4" w:rsidP="00BB1FA4">
            <w:pPr>
              <w:rPr>
                <w:b/>
                <w:color w:val="FFFFFF" w:themeColor="background1"/>
                <w:sz w:val="19"/>
                <w:szCs w:val="19"/>
              </w:rPr>
            </w:pPr>
            <w:r w:rsidRPr="005A4FC2">
              <w:rPr>
                <w:b/>
                <w:color w:val="FFFFFF" w:themeColor="background1"/>
                <w:sz w:val="19"/>
                <w:szCs w:val="19"/>
              </w:rPr>
              <w:t>Routine</w:t>
            </w:r>
          </w:p>
        </w:tc>
        <w:tc>
          <w:tcPr>
            <w:tcW w:w="1134" w:type="dxa"/>
            <w:shd w:val="clear" w:color="auto" w:fill="006DA7"/>
          </w:tcPr>
          <w:p w14:paraId="0E8432FF" w14:textId="77777777" w:rsidR="00BB1FA4" w:rsidRPr="005A4FC2" w:rsidRDefault="00BB1FA4" w:rsidP="00BB1FA4">
            <w:pPr>
              <w:rPr>
                <w:b/>
                <w:color w:val="FFFFFF" w:themeColor="background1"/>
                <w:sz w:val="19"/>
                <w:szCs w:val="19"/>
              </w:rPr>
            </w:pPr>
            <w:r w:rsidRPr="005A4FC2">
              <w:rPr>
                <w:b/>
                <w:color w:val="FFFFFF" w:themeColor="background1"/>
                <w:sz w:val="19"/>
                <w:szCs w:val="19"/>
              </w:rPr>
              <w:t>Additional</w:t>
            </w:r>
          </w:p>
        </w:tc>
      </w:tr>
      <w:tr w:rsidR="00BB1FA4" w:rsidRPr="00BF52F4" w14:paraId="59F2BC66" w14:textId="77777777" w:rsidTr="00BB1FA4">
        <w:trPr>
          <w:trHeight w:val="137"/>
        </w:trPr>
        <w:tc>
          <w:tcPr>
            <w:tcW w:w="1833" w:type="dxa"/>
            <w:vMerge w:val="restart"/>
          </w:tcPr>
          <w:p w14:paraId="5996BBF9" w14:textId="77777777" w:rsidR="00BB1FA4" w:rsidRPr="00BB1FA4" w:rsidRDefault="00BB1FA4" w:rsidP="00BB1FA4">
            <w:pPr>
              <w:rPr>
                <w:sz w:val="19"/>
                <w:szCs w:val="19"/>
              </w:rPr>
            </w:pPr>
            <w:r w:rsidRPr="00BB1FA4">
              <w:rPr>
                <w:sz w:val="19"/>
                <w:szCs w:val="19"/>
              </w:rPr>
              <w:t>Important identified risks</w:t>
            </w:r>
          </w:p>
        </w:tc>
        <w:tc>
          <w:tcPr>
            <w:tcW w:w="2268" w:type="dxa"/>
          </w:tcPr>
          <w:p w14:paraId="06B6133B" w14:textId="77777777" w:rsidR="00BB1FA4" w:rsidRPr="00BB1FA4" w:rsidRDefault="00BB1FA4" w:rsidP="00BB1FA4">
            <w:pPr>
              <w:rPr>
                <w:sz w:val="19"/>
                <w:szCs w:val="19"/>
              </w:rPr>
            </w:pPr>
            <w:r w:rsidRPr="00BB1FA4">
              <w:rPr>
                <w:sz w:val="19"/>
                <w:szCs w:val="19"/>
              </w:rPr>
              <w:t>Hypersensitivity reactions, including anaphylactic reactions</w:t>
            </w:r>
          </w:p>
        </w:tc>
        <w:tc>
          <w:tcPr>
            <w:tcW w:w="992" w:type="dxa"/>
          </w:tcPr>
          <w:p w14:paraId="120C8039" w14:textId="77777777" w:rsidR="00BB1FA4" w:rsidRPr="00BB1FA4" w:rsidRDefault="00BB1FA4" w:rsidP="00BB1FA4">
            <w:pPr>
              <w:rPr>
                <w:sz w:val="19"/>
                <w:szCs w:val="19"/>
              </w:rPr>
            </w:pPr>
            <w:r w:rsidRPr="00BB1FA4">
              <w:rPr>
                <w:sz w:val="19"/>
                <w:szCs w:val="19"/>
              </w:rPr>
              <w:sym w:font="Wingdings" w:char="F0FC"/>
            </w:r>
          </w:p>
        </w:tc>
        <w:tc>
          <w:tcPr>
            <w:tcW w:w="1276" w:type="dxa"/>
          </w:tcPr>
          <w:p w14:paraId="049FD09E" w14:textId="77777777" w:rsidR="00BB1FA4" w:rsidRPr="00BB1FA4" w:rsidRDefault="00BB1FA4" w:rsidP="00BB1FA4">
            <w:pPr>
              <w:rPr>
                <w:sz w:val="19"/>
                <w:szCs w:val="19"/>
              </w:rPr>
            </w:pPr>
            <w:r w:rsidRPr="00BB1FA4">
              <w:rPr>
                <w:sz w:val="19"/>
                <w:szCs w:val="19"/>
              </w:rPr>
              <w:t>–</w:t>
            </w:r>
          </w:p>
        </w:tc>
        <w:tc>
          <w:tcPr>
            <w:tcW w:w="992" w:type="dxa"/>
          </w:tcPr>
          <w:p w14:paraId="021302F0" w14:textId="77777777" w:rsidR="00BB1FA4" w:rsidRPr="00BB1FA4" w:rsidRDefault="00BB1FA4" w:rsidP="00BB1FA4">
            <w:pPr>
              <w:rPr>
                <w:sz w:val="19"/>
                <w:szCs w:val="19"/>
              </w:rPr>
            </w:pPr>
            <w:r w:rsidRPr="00BB1FA4">
              <w:rPr>
                <w:sz w:val="19"/>
                <w:szCs w:val="19"/>
              </w:rPr>
              <w:sym w:font="Wingdings" w:char="F0FC"/>
            </w:r>
          </w:p>
        </w:tc>
        <w:tc>
          <w:tcPr>
            <w:tcW w:w="1134" w:type="dxa"/>
          </w:tcPr>
          <w:p w14:paraId="2E6453E1" w14:textId="77777777" w:rsidR="00BB1FA4" w:rsidRPr="00BB1FA4" w:rsidRDefault="00BB1FA4" w:rsidP="00BB1FA4">
            <w:pPr>
              <w:rPr>
                <w:sz w:val="19"/>
                <w:szCs w:val="19"/>
              </w:rPr>
            </w:pPr>
            <w:r w:rsidRPr="00BB1FA4">
              <w:rPr>
                <w:sz w:val="19"/>
                <w:szCs w:val="19"/>
              </w:rPr>
              <w:t>–</w:t>
            </w:r>
          </w:p>
        </w:tc>
      </w:tr>
      <w:tr w:rsidR="00BB1FA4" w:rsidRPr="00BF52F4" w14:paraId="2DD0E00B" w14:textId="77777777" w:rsidTr="00BB1FA4">
        <w:trPr>
          <w:trHeight w:val="94"/>
        </w:trPr>
        <w:tc>
          <w:tcPr>
            <w:tcW w:w="1833" w:type="dxa"/>
            <w:vMerge/>
          </w:tcPr>
          <w:p w14:paraId="503287D8" w14:textId="77777777" w:rsidR="00BB1FA4" w:rsidRPr="00BB1FA4" w:rsidRDefault="00BB1FA4" w:rsidP="00BB1FA4">
            <w:pPr>
              <w:rPr>
                <w:sz w:val="19"/>
                <w:szCs w:val="19"/>
              </w:rPr>
            </w:pPr>
          </w:p>
        </w:tc>
        <w:tc>
          <w:tcPr>
            <w:tcW w:w="2268" w:type="dxa"/>
          </w:tcPr>
          <w:p w14:paraId="3D924DCC" w14:textId="77777777" w:rsidR="00BB1FA4" w:rsidRPr="00BB1FA4" w:rsidRDefault="00BB1FA4" w:rsidP="00BB1FA4">
            <w:pPr>
              <w:rPr>
                <w:sz w:val="19"/>
                <w:szCs w:val="19"/>
              </w:rPr>
            </w:pPr>
            <w:r w:rsidRPr="00BB1FA4">
              <w:rPr>
                <w:sz w:val="19"/>
                <w:szCs w:val="19"/>
              </w:rPr>
              <w:t>Thromboembolic events</w:t>
            </w:r>
          </w:p>
        </w:tc>
        <w:tc>
          <w:tcPr>
            <w:tcW w:w="992" w:type="dxa"/>
          </w:tcPr>
          <w:p w14:paraId="30BF6D44" w14:textId="77777777" w:rsidR="00BB1FA4" w:rsidRPr="00BB1FA4" w:rsidRDefault="00BB1FA4" w:rsidP="00BB1FA4">
            <w:pPr>
              <w:rPr>
                <w:sz w:val="19"/>
                <w:szCs w:val="19"/>
              </w:rPr>
            </w:pPr>
            <w:r w:rsidRPr="00BB1FA4">
              <w:rPr>
                <w:sz w:val="19"/>
                <w:szCs w:val="19"/>
              </w:rPr>
              <w:sym w:font="Wingdings" w:char="F0FC"/>
            </w:r>
          </w:p>
        </w:tc>
        <w:tc>
          <w:tcPr>
            <w:tcW w:w="1276" w:type="dxa"/>
          </w:tcPr>
          <w:p w14:paraId="3ACFA198" w14:textId="77777777" w:rsidR="00BB1FA4" w:rsidRPr="00BB1FA4" w:rsidRDefault="00BB1FA4" w:rsidP="00BB1FA4">
            <w:pPr>
              <w:rPr>
                <w:sz w:val="19"/>
                <w:szCs w:val="19"/>
              </w:rPr>
            </w:pPr>
            <w:r w:rsidRPr="00BB1FA4">
              <w:rPr>
                <w:sz w:val="19"/>
                <w:szCs w:val="19"/>
              </w:rPr>
              <w:t>–</w:t>
            </w:r>
          </w:p>
        </w:tc>
        <w:tc>
          <w:tcPr>
            <w:tcW w:w="992" w:type="dxa"/>
          </w:tcPr>
          <w:p w14:paraId="4A772088" w14:textId="77777777" w:rsidR="00BB1FA4" w:rsidRPr="00BB1FA4" w:rsidRDefault="00BB1FA4" w:rsidP="00BB1FA4">
            <w:pPr>
              <w:rPr>
                <w:sz w:val="19"/>
                <w:szCs w:val="19"/>
              </w:rPr>
            </w:pPr>
            <w:r w:rsidRPr="00BB1FA4">
              <w:rPr>
                <w:sz w:val="19"/>
                <w:szCs w:val="19"/>
              </w:rPr>
              <w:sym w:font="Wingdings" w:char="F0FC"/>
            </w:r>
          </w:p>
        </w:tc>
        <w:tc>
          <w:tcPr>
            <w:tcW w:w="1134" w:type="dxa"/>
          </w:tcPr>
          <w:p w14:paraId="5727D2DA" w14:textId="77777777" w:rsidR="00BB1FA4" w:rsidRPr="00BB1FA4" w:rsidRDefault="00BB1FA4" w:rsidP="00BB1FA4">
            <w:pPr>
              <w:rPr>
                <w:sz w:val="19"/>
                <w:szCs w:val="19"/>
              </w:rPr>
            </w:pPr>
            <w:r w:rsidRPr="00BB1FA4">
              <w:rPr>
                <w:sz w:val="19"/>
                <w:szCs w:val="19"/>
              </w:rPr>
              <w:t>–</w:t>
            </w:r>
          </w:p>
        </w:tc>
      </w:tr>
      <w:tr w:rsidR="00BB1FA4" w:rsidRPr="00BF52F4" w14:paraId="105B45B1" w14:textId="77777777" w:rsidTr="00BB1FA4">
        <w:trPr>
          <w:trHeight w:val="94"/>
        </w:trPr>
        <w:tc>
          <w:tcPr>
            <w:tcW w:w="1833" w:type="dxa"/>
            <w:vMerge/>
          </w:tcPr>
          <w:p w14:paraId="412FE096" w14:textId="77777777" w:rsidR="00BB1FA4" w:rsidRPr="00BB1FA4" w:rsidRDefault="00BB1FA4" w:rsidP="00BB1FA4">
            <w:pPr>
              <w:rPr>
                <w:sz w:val="19"/>
                <w:szCs w:val="19"/>
              </w:rPr>
            </w:pPr>
          </w:p>
        </w:tc>
        <w:tc>
          <w:tcPr>
            <w:tcW w:w="2268" w:type="dxa"/>
          </w:tcPr>
          <w:p w14:paraId="64C7A51E" w14:textId="77777777" w:rsidR="00BB1FA4" w:rsidRPr="00BB1FA4" w:rsidRDefault="00BB1FA4" w:rsidP="00BB1FA4">
            <w:pPr>
              <w:rPr>
                <w:sz w:val="19"/>
                <w:szCs w:val="19"/>
              </w:rPr>
            </w:pPr>
            <w:r w:rsidRPr="00BB1FA4">
              <w:rPr>
                <w:sz w:val="19"/>
                <w:szCs w:val="19"/>
              </w:rPr>
              <w:t>Aseptic meningitis</w:t>
            </w:r>
          </w:p>
        </w:tc>
        <w:tc>
          <w:tcPr>
            <w:tcW w:w="992" w:type="dxa"/>
          </w:tcPr>
          <w:p w14:paraId="5A166CCD" w14:textId="77777777" w:rsidR="00BB1FA4" w:rsidRPr="00BB1FA4" w:rsidRDefault="00BB1FA4" w:rsidP="00BB1FA4">
            <w:pPr>
              <w:rPr>
                <w:sz w:val="19"/>
                <w:szCs w:val="19"/>
              </w:rPr>
            </w:pPr>
            <w:r w:rsidRPr="00BB1FA4">
              <w:rPr>
                <w:sz w:val="19"/>
                <w:szCs w:val="19"/>
              </w:rPr>
              <w:sym w:font="Wingdings" w:char="F0FC"/>
            </w:r>
          </w:p>
        </w:tc>
        <w:tc>
          <w:tcPr>
            <w:tcW w:w="1276" w:type="dxa"/>
          </w:tcPr>
          <w:p w14:paraId="2958ECCF" w14:textId="77777777" w:rsidR="00BB1FA4" w:rsidRPr="00BB1FA4" w:rsidRDefault="00BB1FA4" w:rsidP="00BB1FA4">
            <w:pPr>
              <w:rPr>
                <w:sz w:val="19"/>
                <w:szCs w:val="19"/>
              </w:rPr>
            </w:pPr>
            <w:r w:rsidRPr="00BB1FA4">
              <w:rPr>
                <w:sz w:val="19"/>
                <w:szCs w:val="19"/>
              </w:rPr>
              <w:t>–</w:t>
            </w:r>
          </w:p>
        </w:tc>
        <w:tc>
          <w:tcPr>
            <w:tcW w:w="992" w:type="dxa"/>
          </w:tcPr>
          <w:p w14:paraId="53819019" w14:textId="77777777" w:rsidR="00BB1FA4" w:rsidRPr="00BB1FA4" w:rsidRDefault="00BB1FA4" w:rsidP="00BB1FA4">
            <w:pPr>
              <w:rPr>
                <w:sz w:val="19"/>
                <w:szCs w:val="19"/>
              </w:rPr>
            </w:pPr>
            <w:r w:rsidRPr="00BB1FA4">
              <w:rPr>
                <w:sz w:val="19"/>
                <w:szCs w:val="19"/>
              </w:rPr>
              <w:sym w:font="Wingdings" w:char="F0FC"/>
            </w:r>
          </w:p>
        </w:tc>
        <w:tc>
          <w:tcPr>
            <w:tcW w:w="1134" w:type="dxa"/>
          </w:tcPr>
          <w:p w14:paraId="2C81F330" w14:textId="77777777" w:rsidR="00BB1FA4" w:rsidRPr="00BB1FA4" w:rsidRDefault="00BB1FA4" w:rsidP="00BB1FA4">
            <w:pPr>
              <w:rPr>
                <w:sz w:val="19"/>
                <w:szCs w:val="19"/>
              </w:rPr>
            </w:pPr>
            <w:r w:rsidRPr="00BB1FA4">
              <w:rPr>
                <w:sz w:val="19"/>
                <w:szCs w:val="19"/>
              </w:rPr>
              <w:t>–</w:t>
            </w:r>
          </w:p>
        </w:tc>
      </w:tr>
      <w:tr w:rsidR="00BB1FA4" w:rsidRPr="00BF52F4" w14:paraId="64AD5813" w14:textId="77777777" w:rsidTr="00BB1FA4">
        <w:trPr>
          <w:trHeight w:val="187"/>
        </w:trPr>
        <w:tc>
          <w:tcPr>
            <w:tcW w:w="1833" w:type="dxa"/>
            <w:vMerge/>
          </w:tcPr>
          <w:p w14:paraId="188D5532" w14:textId="77777777" w:rsidR="00BB1FA4" w:rsidRPr="00BB1FA4" w:rsidRDefault="00BB1FA4" w:rsidP="00BB1FA4">
            <w:pPr>
              <w:rPr>
                <w:sz w:val="19"/>
                <w:szCs w:val="19"/>
              </w:rPr>
            </w:pPr>
          </w:p>
        </w:tc>
        <w:tc>
          <w:tcPr>
            <w:tcW w:w="2268" w:type="dxa"/>
          </w:tcPr>
          <w:p w14:paraId="010A13FE" w14:textId="63EA0118" w:rsidR="00BB1FA4" w:rsidRPr="00BB1FA4" w:rsidRDefault="00BB1FA4" w:rsidP="00716DFD">
            <w:pPr>
              <w:rPr>
                <w:sz w:val="19"/>
                <w:szCs w:val="19"/>
              </w:rPr>
            </w:pPr>
            <w:r w:rsidRPr="00BB1FA4">
              <w:rPr>
                <w:sz w:val="19"/>
                <w:szCs w:val="19"/>
              </w:rPr>
              <w:t>Renal dysfunction/failure</w:t>
            </w:r>
          </w:p>
        </w:tc>
        <w:tc>
          <w:tcPr>
            <w:tcW w:w="992" w:type="dxa"/>
          </w:tcPr>
          <w:p w14:paraId="7AADACEB" w14:textId="77777777" w:rsidR="00BB1FA4" w:rsidRPr="00BB1FA4" w:rsidRDefault="00BB1FA4" w:rsidP="00BB1FA4">
            <w:pPr>
              <w:rPr>
                <w:sz w:val="19"/>
                <w:szCs w:val="19"/>
              </w:rPr>
            </w:pPr>
            <w:r w:rsidRPr="00BB1FA4">
              <w:rPr>
                <w:sz w:val="19"/>
                <w:szCs w:val="19"/>
              </w:rPr>
              <w:sym w:font="Wingdings" w:char="F0FC"/>
            </w:r>
          </w:p>
        </w:tc>
        <w:tc>
          <w:tcPr>
            <w:tcW w:w="1276" w:type="dxa"/>
          </w:tcPr>
          <w:p w14:paraId="73CFB5AB" w14:textId="77777777" w:rsidR="00BB1FA4" w:rsidRPr="00BB1FA4" w:rsidRDefault="00BB1FA4" w:rsidP="00BB1FA4">
            <w:pPr>
              <w:rPr>
                <w:sz w:val="19"/>
                <w:szCs w:val="19"/>
              </w:rPr>
            </w:pPr>
            <w:r w:rsidRPr="00BB1FA4">
              <w:rPr>
                <w:sz w:val="19"/>
                <w:szCs w:val="19"/>
              </w:rPr>
              <w:t>–</w:t>
            </w:r>
          </w:p>
        </w:tc>
        <w:tc>
          <w:tcPr>
            <w:tcW w:w="992" w:type="dxa"/>
          </w:tcPr>
          <w:p w14:paraId="02796812" w14:textId="77777777" w:rsidR="00BB1FA4" w:rsidRPr="00BB1FA4" w:rsidRDefault="00BB1FA4" w:rsidP="00BB1FA4">
            <w:pPr>
              <w:rPr>
                <w:sz w:val="19"/>
                <w:szCs w:val="19"/>
              </w:rPr>
            </w:pPr>
            <w:r w:rsidRPr="00BB1FA4">
              <w:rPr>
                <w:sz w:val="19"/>
                <w:szCs w:val="19"/>
              </w:rPr>
              <w:sym w:font="Wingdings" w:char="F0FC"/>
            </w:r>
          </w:p>
        </w:tc>
        <w:tc>
          <w:tcPr>
            <w:tcW w:w="1134" w:type="dxa"/>
          </w:tcPr>
          <w:p w14:paraId="069A3343" w14:textId="77777777" w:rsidR="00BB1FA4" w:rsidRPr="00BB1FA4" w:rsidRDefault="00BB1FA4" w:rsidP="00BB1FA4">
            <w:pPr>
              <w:rPr>
                <w:sz w:val="19"/>
                <w:szCs w:val="19"/>
              </w:rPr>
            </w:pPr>
            <w:r w:rsidRPr="00BB1FA4">
              <w:rPr>
                <w:sz w:val="19"/>
                <w:szCs w:val="19"/>
              </w:rPr>
              <w:t>–</w:t>
            </w:r>
          </w:p>
        </w:tc>
      </w:tr>
      <w:tr w:rsidR="00BB1FA4" w:rsidRPr="00BF52F4" w14:paraId="1FF9692D" w14:textId="77777777" w:rsidTr="00BB1FA4">
        <w:trPr>
          <w:trHeight w:val="159"/>
        </w:trPr>
        <w:tc>
          <w:tcPr>
            <w:tcW w:w="1833" w:type="dxa"/>
            <w:vMerge w:val="restart"/>
          </w:tcPr>
          <w:p w14:paraId="6918AD5A" w14:textId="77777777" w:rsidR="00BB1FA4" w:rsidRPr="00BB1FA4" w:rsidRDefault="00BB1FA4" w:rsidP="00BB1FA4">
            <w:pPr>
              <w:rPr>
                <w:sz w:val="19"/>
                <w:szCs w:val="19"/>
              </w:rPr>
            </w:pPr>
            <w:r w:rsidRPr="00BB1FA4">
              <w:rPr>
                <w:sz w:val="19"/>
                <w:szCs w:val="19"/>
              </w:rPr>
              <w:t>Important potential risks</w:t>
            </w:r>
          </w:p>
        </w:tc>
        <w:tc>
          <w:tcPr>
            <w:tcW w:w="2268" w:type="dxa"/>
            <w:tcBorders>
              <w:bottom w:val="single" w:sz="4" w:space="0" w:color="auto"/>
            </w:tcBorders>
          </w:tcPr>
          <w:p w14:paraId="72BF4C27" w14:textId="77777777" w:rsidR="00BB1FA4" w:rsidRPr="00BB1FA4" w:rsidRDefault="00BB1FA4" w:rsidP="00BB1FA4">
            <w:pPr>
              <w:rPr>
                <w:sz w:val="19"/>
                <w:szCs w:val="19"/>
              </w:rPr>
            </w:pPr>
            <w:r w:rsidRPr="00BB1FA4">
              <w:rPr>
                <w:sz w:val="19"/>
                <w:szCs w:val="19"/>
              </w:rPr>
              <w:t>Interference with certain blood glucose tests</w:t>
            </w:r>
          </w:p>
        </w:tc>
        <w:tc>
          <w:tcPr>
            <w:tcW w:w="992" w:type="dxa"/>
            <w:tcBorders>
              <w:bottom w:val="single" w:sz="4" w:space="0" w:color="auto"/>
            </w:tcBorders>
          </w:tcPr>
          <w:p w14:paraId="2FD97B0A" w14:textId="77777777" w:rsidR="00BB1FA4" w:rsidRPr="00BB1FA4" w:rsidRDefault="00BB1FA4" w:rsidP="00BB1FA4">
            <w:pPr>
              <w:rPr>
                <w:sz w:val="19"/>
                <w:szCs w:val="19"/>
              </w:rPr>
            </w:pPr>
            <w:r w:rsidRPr="00BB1FA4">
              <w:rPr>
                <w:sz w:val="19"/>
                <w:szCs w:val="19"/>
              </w:rPr>
              <w:sym w:font="Wingdings" w:char="F0FC"/>
            </w:r>
          </w:p>
        </w:tc>
        <w:tc>
          <w:tcPr>
            <w:tcW w:w="1276" w:type="dxa"/>
            <w:tcBorders>
              <w:bottom w:val="single" w:sz="4" w:space="0" w:color="auto"/>
            </w:tcBorders>
          </w:tcPr>
          <w:p w14:paraId="455206AC" w14:textId="77777777" w:rsidR="00BB1FA4" w:rsidRPr="00BB1FA4" w:rsidRDefault="00BB1FA4" w:rsidP="00BB1FA4">
            <w:pPr>
              <w:rPr>
                <w:sz w:val="19"/>
                <w:szCs w:val="19"/>
              </w:rPr>
            </w:pPr>
            <w:r w:rsidRPr="00BB1FA4">
              <w:rPr>
                <w:sz w:val="19"/>
                <w:szCs w:val="19"/>
              </w:rPr>
              <w:t>–</w:t>
            </w:r>
          </w:p>
        </w:tc>
        <w:tc>
          <w:tcPr>
            <w:tcW w:w="992" w:type="dxa"/>
            <w:tcBorders>
              <w:bottom w:val="single" w:sz="4" w:space="0" w:color="auto"/>
            </w:tcBorders>
          </w:tcPr>
          <w:p w14:paraId="76D6DEBB" w14:textId="77777777" w:rsidR="00BB1FA4" w:rsidRPr="00BB1FA4" w:rsidRDefault="00BB1FA4" w:rsidP="00BB1FA4">
            <w:pPr>
              <w:rPr>
                <w:sz w:val="19"/>
                <w:szCs w:val="19"/>
              </w:rPr>
            </w:pPr>
            <w:r w:rsidRPr="00BB1FA4">
              <w:rPr>
                <w:sz w:val="19"/>
                <w:szCs w:val="19"/>
              </w:rPr>
              <w:sym w:font="Wingdings" w:char="F0FC"/>
            </w:r>
          </w:p>
        </w:tc>
        <w:tc>
          <w:tcPr>
            <w:tcW w:w="1134" w:type="dxa"/>
            <w:tcBorders>
              <w:bottom w:val="single" w:sz="4" w:space="0" w:color="auto"/>
            </w:tcBorders>
          </w:tcPr>
          <w:p w14:paraId="2C2B9B81" w14:textId="77777777" w:rsidR="00BB1FA4" w:rsidRPr="00BB1FA4" w:rsidRDefault="00BB1FA4" w:rsidP="00BB1FA4">
            <w:pPr>
              <w:rPr>
                <w:sz w:val="19"/>
                <w:szCs w:val="19"/>
              </w:rPr>
            </w:pPr>
            <w:r w:rsidRPr="00BB1FA4">
              <w:rPr>
                <w:sz w:val="19"/>
                <w:szCs w:val="19"/>
              </w:rPr>
              <w:t>–</w:t>
            </w:r>
          </w:p>
        </w:tc>
      </w:tr>
      <w:tr w:rsidR="00BB1FA4" w:rsidRPr="00BF52F4" w14:paraId="4E6AF43E" w14:textId="77777777" w:rsidTr="00BB1FA4">
        <w:trPr>
          <w:trHeight w:val="122"/>
        </w:trPr>
        <w:tc>
          <w:tcPr>
            <w:tcW w:w="1833" w:type="dxa"/>
            <w:vMerge/>
            <w:tcBorders>
              <w:right w:val="single" w:sz="4" w:space="0" w:color="auto"/>
            </w:tcBorders>
          </w:tcPr>
          <w:p w14:paraId="3E449780" w14:textId="77777777" w:rsidR="00BB1FA4" w:rsidRPr="00BB1FA4" w:rsidRDefault="00BB1FA4" w:rsidP="00BB1FA4">
            <w:pPr>
              <w:rPr>
                <w:sz w:val="19"/>
                <w:szCs w:val="19"/>
              </w:rPr>
            </w:pPr>
          </w:p>
        </w:tc>
        <w:tc>
          <w:tcPr>
            <w:tcW w:w="2268" w:type="dxa"/>
            <w:tcBorders>
              <w:top w:val="single" w:sz="4" w:space="0" w:color="auto"/>
              <w:left w:val="single" w:sz="4" w:space="0" w:color="auto"/>
              <w:bottom w:val="single" w:sz="4" w:space="0" w:color="auto"/>
              <w:right w:val="single" w:sz="4" w:space="0" w:color="auto"/>
            </w:tcBorders>
          </w:tcPr>
          <w:p w14:paraId="6874CD28" w14:textId="77777777" w:rsidR="00BB1FA4" w:rsidRPr="00BB1FA4" w:rsidRDefault="00BB1FA4" w:rsidP="00BB1FA4">
            <w:pPr>
              <w:rPr>
                <w:sz w:val="19"/>
                <w:szCs w:val="19"/>
              </w:rPr>
            </w:pPr>
            <w:r w:rsidRPr="00BB1FA4">
              <w:rPr>
                <w:sz w:val="19"/>
                <w:szCs w:val="19"/>
              </w:rPr>
              <w:t>Potential for transmission of infectious agents</w:t>
            </w:r>
          </w:p>
        </w:tc>
        <w:tc>
          <w:tcPr>
            <w:tcW w:w="992" w:type="dxa"/>
            <w:tcBorders>
              <w:top w:val="single" w:sz="4" w:space="0" w:color="auto"/>
              <w:left w:val="single" w:sz="4" w:space="0" w:color="auto"/>
              <w:bottom w:val="single" w:sz="4" w:space="0" w:color="auto"/>
              <w:right w:val="single" w:sz="4" w:space="0" w:color="auto"/>
            </w:tcBorders>
          </w:tcPr>
          <w:p w14:paraId="63EF788E" w14:textId="77777777" w:rsidR="00BB1FA4" w:rsidRPr="00BB1FA4" w:rsidRDefault="00BB1FA4" w:rsidP="00BB1FA4">
            <w:pPr>
              <w:rPr>
                <w:sz w:val="19"/>
                <w:szCs w:val="19"/>
              </w:rPr>
            </w:pPr>
            <w:r w:rsidRPr="00BB1FA4">
              <w:rPr>
                <w:sz w:val="19"/>
                <w:szCs w:val="19"/>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74F0D78B" w14:textId="77777777" w:rsidR="00BB1FA4" w:rsidRPr="00BB1FA4" w:rsidRDefault="00BB1FA4" w:rsidP="00BB1FA4">
            <w:pPr>
              <w:rPr>
                <w:sz w:val="19"/>
                <w:szCs w:val="19"/>
              </w:rPr>
            </w:pPr>
            <w:r w:rsidRPr="00BB1FA4">
              <w:rPr>
                <w:sz w:val="19"/>
                <w:szCs w:val="19"/>
              </w:rPr>
              <w:t>–</w:t>
            </w:r>
          </w:p>
        </w:tc>
        <w:tc>
          <w:tcPr>
            <w:tcW w:w="992" w:type="dxa"/>
            <w:tcBorders>
              <w:top w:val="single" w:sz="4" w:space="0" w:color="auto"/>
              <w:left w:val="single" w:sz="4" w:space="0" w:color="auto"/>
              <w:bottom w:val="single" w:sz="4" w:space="0" w:color="auto"/>
              <w:right w:val="single" w:sz="4" w:space="0" w:color="auto"/>
            </w:tcBorders>
          </w:tcPr>
          <w:p w14:paraId="5689E848" w14:textId="77777777" w:rsidR="00BB1FA4" w:rsidRPr="00BB1FA4" w:rsidRDefault="00BB1FA4" w:rsidP="00BB1FA4">
            <w:pPr>
              <w:rPr>
                <w:sz w:val="19"/>
                <w:szCs w:val="19"/>
              </w:rPr>
            </w:pPr>
            <w:r w:rsidRPr="00BB1FA4">
              <w:rPr>
                <w:sz w:val="19"/>
                <w:szCs w:val="19"/>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03A0E482" w14:textId="77777777" w:rsidR="00BB1FA4" w:rsidRPr="00BB1FA4" w:rsidRDefault="00BB1FA4" w:rsidP="00BB1FA4">
            <w:pPr>
              <w:rPr>
                <w:sz w:val="19"/>
                <w:szCs w:val="19"/>
              </w:rPr>
            </w:pPr>
            <w:r w:rsidRPr="00BB1FA4">
              <w:rPr>
                <w:sz w:val="19"/>
                <w:szCs w:val="19"/>
              </w:rPr>
              <w:t>–</w:t>
            </w:r>
          </w:p>
        </w:tc>
      </w:tr>
      <w:tr w:rsidR="00BB1FA4" w:rsidRPr="00BF52F4" w14:paraId="65BB9403" w14:textId="77777777" w:rsidTr="00BB1FA4">
        <w:trPr>
          <w:trHeight w:val="178"/>
        </w:trPr>
        <w:tc>
          <w:tcPr>
            <w:tcW w:w="1833" w:type="dxa"/>
          </w:tcPr>
          <w:p w14:paraId="7828BE05" w14:textId="77777777" w:rsidR="00BB1FA4" w:rsidRPr="00BB1FA4" w:rsidRDefault="00BB1FA4" w:rsidP="00BB1FA4">
            <w:pPr>
              <w:rPr>
                <w:sz w:val="19"/>
                <w:szCs w:val="19"/>
              </w:rPr>
            </w:pPr>
            <w:r w:rsidRPr="00BB1FA4">
              <w:rPr>
                <w:sz w:val="19"/>
                <w:szCs w:val="19"/>
              </w:rPr>
              <w:t>Missing information</w:t>
            </w:r>
          </w:p>
        </w:tc>
        <w:tc>
          <w:tcPr>
            <w:tcW w:w="2268" w:type="dxa"/>
            <w:tcBorders>
              <w:top w:val="single" w:sz="4" w:space="0" w:color="auto"/>
            </w:tcBorders>
          </w:tcPr>
          <w:p w14:paraId="4E0EBB4E" w14:textId="77777777" w:rsidR="00BB1FA4" w:rsidRPr="00BB1FA4" w:rsidRDefault="00BB1FA4" w:rsidP="00BB1FA4">
            <w:pPr>
              <w:rPr>
                <w:sz w:val="19"/>
                <w:szCs w:val="19"/>
              </w:rPr>
            </w:pPr>
            <w:r w:rsidRPr="00BB1FA4">
              <w:rPr>
                <w:sz w:val="19"/>
                <w:szCs w:val="19"/>
              </w:rPr>
              <w:t>Safety in pregnant or breastfeeding women</w:t>
            </w:r>
          </w:p>
        </w:tc>
        <w:tc>
          <w:tcPr>
            <w:tcW w:w="992" w:type="dxa"/>
            <w:tcBorders>
              <w:top w:val="single" w:sz="4" w:space="0" w:color="auto"/>
            </w:tcBorders>
          </w:tcPr>
          <w:p w14:paraId="263471FC" w14:textId="77777777" w:rsidR="00BB1FA4" w:rsidRPr="00BB1FA4" w:rsidRDefault="00BB1FA4" w:rsidP="00BB1FA4">
            <w:pPr>
              <w:rPr>
                <w:sz w:val="19"/>
                <w:szCs w:val="19"/>
              </w:rPr>
            </w:pPr>
            <w:r w:rsidRPr="00BB1FA4">
              <w:rPr>
                <w:sz w:val="19"/>
                <w:szCs w:val="19"/>
              </w:rPr>
              <w:sym w:font="Wingdings" w:char="F0FC"/>
            </w:r>
          </w:p>
        </w:tc>
        <w:tc>
          <w:tcPr>
            <w:tcW w:w="1276" w:type="dxa"/>
            <w:tcBorders>
              <w:top w:val="single" w:sz="4" w:space="0" w:color="auto"/>
            </w:tcBorders>
          </w:tcPr>
          <w:p w14:paraId="4505916F" w14:textId="77777777" w:rsidR="00BB1FA4" w:rsidRPr="00BB1FA4" w:rsidRDefault="00BB1FA4" w:rsidP="00BB1FA4">
            <w:pPr>
              <w:rPr>
                <w:sz w:val="19"/>
                <w:szCs w:val="19"/>
              </w:rPr>
            </w:pPr>
            <w:r w:rsidRPr="00BB1FA4">
              <w:rPr>
                <w:sz w:val="19"/>
                <w:szCs w:val="19"/>
              </w:rPr>
              <w:t>–</w:t>
            </w:r>
          </w:p>
        </w:tc>
        <w:tc>
          <w:tcPr>
            <w:tcW w:w="992" w:type="dxa"/>
            <w:tcBorders>
              <w:top w:val="single" w:sz="4" w:space="0" w:color="auto"/>
            </w:tcBorders>
          </w:tcPr>
          <w:p w14:paraId="01A934B5" w14:textId="77777777" w:rsidR="00BB1FA4" w:rsidRPr="00BB1FA4" w:rsidRDefault="00BB1FA4" w:rsidP="00BB1FA4">
            <w:pPr>
              <w:rPr>
                <w:sz w:val="19"/>
                <w:szCs w:val="19"/>
              </w:rPr>
            </w:pPr>
            <w:r w:rsidRPr="00BB1FA4">
              <w:rPr>
                <w:sz w:val="19"/>
                <w:szCs w:val="19"/>
              </w:rPr>
              <w:sym w:font="Wingdings" w:char="F0FC"/>
            </w:r>
          </w:p>
        </w:tc>
        <w:tc>
          <w:tcPr>
            <w:tcW w:w="1134" w:type="dxa"/>
            <w:tcBorders>
              <w:top w:val="single" w:sz="4" w:space="0" w:color="auto"/>
            </w:tcBorders>
          </w:tcPr>
          <w:p w14:paraId="5357AE03" w14:textId="77777777" w:rsidR="00BB1FA4" w:rsidRPr="00BB1FA4" w:rsidRDefault="00BB1FA4" w:rsidP="00BB1FA4">
            <w:pPr>
              <w:rPr>
                <w:sz w:val="19"/>
                <w:szCs w:val="19"/>
              </w:rPr>
            </w:pPr>
            <w:r w:rsidRPr="00BB1FA4">
              <w:rPr>
                <w:sz w:val="19"/>
                <w:szCs w:val="19"/>
              </w:rPr>
              <w:t>–</w:t>
            </w:r>
          </w:p>
        </w:tc>
      </w:tr>
    </w:tbl>
    <w:p w14:paraId="682A241C" w14:textId="77777777" w:rsidR="00BB1FA4" w:rsidRPr="00BB1FA4" w:rsidRDefault="00BB1FA4" w:rsidP="00BB1FA4">
      <w:pPr>
        <w:pStyle w:val="ListBullet"/>
      </w:pPr>
      <w:r w:rsidRPr="00BB1FA4">
        <w:t>The summary of safety concerns is acceptable from an RMP perspective.</w:t>
      </w:r>
    </w:p>
    <w:p w14:paraId="33B82B07" w14:textId="77777777" w:rsidR="00BB1FA4" w:rsidRPr="00BB1FA4" w:rsidRDefault="00BB1FA4" w:rsidP="00BB1FA4">
      <w:pPr>
        <w:pStyle w:val="ListBullet"/>
      </w:pPr>
      <w:r w:rsidRPr="00BB1FA4">
        <w:t>Only routine pharmacovigilance activities have been proposed. This is acceptable.</w:t>
      </w:r>
    </w:p>
    <w:p w14:paraId="3B5771C0" w14:textId="35CA915B" w:rsidR="00BB1FA4" w:rsidRDefault="00BB1FA4" w:rsidP="0065098D">
      <w:pPr>
        <w:pStyle w:val="ListBullet"/>
      </w:pPr>
      <w:r w:rsidRPr="00BB1FA4">
        <w:t xml:space="preserve">Only routine risk minimisation activities have been proposed. Routine risk minimisation activities </w:t>
      </w:r>
      <w:r w:rsidRPr="00EE02D1">
        <w:t xml:space="preserve">are acceptable to mitigate the risks of this product. The adequacy of the PI and the </w:t>
      </w:r>
      <w:r w:rsidR="0065098D" w:rsidRPr="00EE02D1">
        <w:t>Consumer Medicines Information (</w:t>
      </w:r>
      <w:r w:rsidRPr="00EE02D1">
        <w:t>CMI</w:t>
      </w:r>
      <w:r w:rsidR="0065098D" w:rsidRPr="00EE02D1">
        <w:t>)</w:t>
      </w:r>
      <w:r w:rsidR="00EF37AB">
        <w:t>;</w:t>
      </w:r>
      <w:r w:rsidR="004F168F" w:rsidRPr="00EE02D1">
        <w:rPr>
          <w:rStyle w:val="FootnoteReference"/>
        </w:rPr>
        <w:footnoteReference w:id="10"/>
      </w:r>
      <w:r w:rsidRPr="00EE02D1">
        <w:t xml:space="preserve"> will</w:t>
      </w:r>
      <w:r w:rsidRPr="00BB1FA4">
        <w:t xml:space="preserve"> be reassessed at</w:t>
      </w:r>
      <w:r w:rsidR="0065098D">
        <w:t xml:space="preserve"> the second round of evaluation</w:t>
      </w:r>
      <w:r w:rsidRPr="00BB1FA4">
        <w:t xml:space="preserve"> (see recommendations below). At </w:t>
      </w:r>
      <w:r w:rsidR="0065098D">
        <w:t>the second round</w:t>
      </w:r>
      <w:r w:rsidRPr="00BB1FA4">
        <w:t>, the CMI has been updated to the new format, and the PI and CMI have been revised to include a warning about possible interference with certain blood glucose testing systems. The risk minimisation plan is generally acceptable, however some minor changes to the CMI have been requested prior to marketing. An updated CMI was provided by the sponsor and the CMI is now acceptable.</w:t>
      </w:r>
    </w:p>
    <w:p w14:paraId="24B3B429" w14:textId="77777777" w:rsidR="008E7846" w:rsidRDefault="00AA0ED0" w:rsidP="008E7846">
      <w:pPr>
        <w:pStyle w:val="Heading3"/>
      </w:pPr>
      <w:bookmarkStart w:id="48" w:name="_Toc247691531"/>
      <w:bookmarkStart w:id="49" w:name="_Toc314842515"/>
      <w:bookmarkStart w:id="50" w:name="_Toc196046505"/>
      <w:bookmarkStart w:id="51" w:name="_Toc196046949"/>
      <w:bookmarkStart w:id="52" w:name="_Toc76652764"/>
      <w:r w:rsidRPr="00806177">
        <w:t>Risk-benefit a</w:t>
      </w:r>
      <w:r w:rsidR="008E7846" w:rsidRPr="00806177">
        <w:t>nalysis</w:t>
      </w:r>
      <w:bookmarkEnd w:id="48"/>
      <w:bookmarkEnd w:id="49"/>
      <w:bookmarkEnd w:id="52"/>
    </w:p>
    <w:p w14:paraId="1D134178" w14:textId="77777777" w:rsidR="00D23139" w:rsidRDefault="007D53B6" w:rsidP="00D23139">
      <w:pPr>
        <w:pStyle w:val="Heading4"/>
      </w:pPr>
      <w:r>
        <w:t>Delegate’s considerations</w:t>
      </w:r>
    </w:p>
    <w:p w14:paraId="06C35165" w14:textId="77777777" w:rsidR="00A17941" w:rsidRPr="00A17941" w:rsidRDefault="00A17941" w:rsidP="00A17941">
      <w:r w:rsidRPr="00A17941">
        <w:t xml:space="preserve">There are no objections to the registration of </w:t>
      </w:r>
      <w:r w:rsidR="00DE6F3C" w:rsidRPr="00A17941">
        <w:t>Cutaquig</w:t>
      </w:r>
      <w:r w:rsidRPr="00A17941">
        <w:t xml:space="preserve"> from a quality perspective.</w:t>
      </w:r>
    </w:p>
    <w:p w14:paraId="0E163708" w14:textId="19B20DC9" w:rsidR="00A17941" w:rsidRPr="00A17941" w:rsidRDefault="00A17941" w:rsidP="00A17941">
      <w:r w:rsidRPr="00A17941">
        <w:t xml:space="preserve">There are no nonclinical objections to the registration of </w:t>
      </w:r>
      <w:r w:rsidR="00DE6F3C" w:rsidRPr="00A17941">
        <w:t>Cutaquig</w:t>
      </w:r>
      <w:r w:rsidR="0065098D">
        <w:t>.</w:t>
      </w:r>
    </w:p>
    <w:p w14:paraId="6668B177" w14:textId="6FDA7C5D" w:rsidR="003D35C8" w:rsidRDefault="00A17941" w:rsidP="00CD3AC3">
      <w:r w:rsidRPr="00A17941">
        <w:t xml:space="preserve">The </w:t>
      </w:r>
      <w:r w:rsidR="00195486">
        <w:t xml:space="preserve">clinical evaluation report </w:t>
      </w:r>
      <w:r w:rsidRPr="00A17941">
        <w:t xml:space="preserve">has identified </w:t>
      </w:r>
      <w:r w:rsidR="00B031EE">
        <w:t xml:space="preserve">the </w:t>
      </w:r>
      <w:r w:rsidR="00955C32">
        <w:t>TGA adopted</w:t>
      </w:r>
      <w:r w:rsidRPr="00A17941">
        <w:t xml:space="preserve"> guidance</w:t>
      </w:r>
      <w:r w:rsidR="00955C32">
        <w:t>;</w:t>
      </w:r>
      <w:r w:rsidR="00955C32" w:rsidRPr="00955C32">
        <w:rPr>
          <w:vertAlign w:val="superscript"/>
        </w:rPr>
        <w:fldChar w:fldCharType="begin"/>
      </w:r>
      <w:r w:rsidR="00955C32" w:rsidRPr="00955C32">
        <w:rPr>
          <w:vertAlign w:val="superscript"/>
        </w:rPr>
        <w:instrText xml:space="preserve"> NOTEREF _Ref71635961 \h </w:instrText>
      </w:r>
      <w:r w:rsidR="00955C32">
        <w:rPr>
          <w:vertAlign w:val="superscript"/>
        </w:rPr>
        <w:instrText xml:space="preserve"> \* MERGEFORMAT </w:instrText>
      </w:r>
      <w:r w:rsidR="00955C32" w:rsidRPr="00955C32">
        <w:rPr>
          <w:vertAlign w:val="superscript"/>
        </w:rPr>
      </w:r>
      <w:r w:rsidR="00955C32" w:rsidRPr="00955C32">
        <w:rPr>
          <w:vertAlign w:val="superscript"/>
        </w:rPr>
        <w:fldChar w:fldCharType="separate"/>
      </w:r>
      <w:r w:rsidR="0055078A">
        <w:rPr>
          <w:vertAlign w:val="superscript"/>
        </w:rPr>
        <w:t>5</w:t>
      </w:r>
      <w:r w:rsidR="00955C32" w:rsidRPr="00955C32">
        <w:rPr>
          <w:vertAlign w:val="superscript"/>
        </w:rPr>
        <w:fldChar w:fldCharType="end"/>
      </w:r>
      <w:r w:rsidRPr="00A17941">
        <w:t xml:space="preserve"> to include at least 20</w:t>
      </w:r>
      <w:r w:rsidR="0065098D">
        <w:t> </w:t>
      </w:r>
      <w:r w:rsidRPr="00A17941">
        <w:t xml:space="preserve">paediatric patients in the PK dataset was not met, there are no data in children under </w:t>
      </w:r>
      <w:r w:rsidR="00CD3AC3">
        <w:t>two</w:t>
      </w:r>
      <w:r w:rsidRPr="00A17941">
        <w:t xml:space="preserve"> years of age, and data in children and adolescents ≥</w:t>
      </w:r>
      <w:r w:rsidR="00CD3AC3">
        <w:t> </w:t>
      </w:r>
      <w:r w:rsidRPr="00A17941">
        <w:t>2</w:t>
      </w:r>
      <w:r w:rsidR="00CD3AC3">
        <w:t> </w:t>
      </w:r>
      <w:r w:rsidRPr="00A17941">
        <w:t>years of age involves only 22</w:t>
      </w:r>
      <w:r w:rsidR="00955C32">
        <w:t> </w:t>
      </w:r>
      <w:r w:rsidRPr="00A17941">
        <w:t xml:space="preserve">children. The draft </w:t>
      </w:r>
      <w:r w:rsidR="0065098D">
        <w:t>PI</w:t>
      </w:r>
      <w:r w:rsidRPr="00A17941">
        <w:t xml:space="preserve"> has included statements recommended </w:t>
      </w:r>
      <w:r w:rsidR="00CD3AC3">
        <w:t>by the clinical evaluation report</w:t>
      </w:r>
      <w:r w:rsidR="00B031EE">
        <w:t>:</w:t>
      </w:r>
      <w:r w:rsidRPr="00A17941">
        <w:t xml:space="preserve"> </w:t>
      </w:r>
      <w:r w:rsidR="00B81855">
        <w:t>‘</w:t>
      </w:r>
      <w:r w:rsidRPr="00195486">
        <w:rPr>
          <w:i/>
        </w:rPr>
        <w:t xml:space="preserve">The PI under paediatric use should include a statement that </w:t>
      </w:r>
      <w:r w:rsidR="00DE6F3C" w:rsidRPr="00195486">
        <w:rPr>
          <w:i/>
        </w:rPr>
        <w:t>Cutaquig</w:t>
      </w:r>
      <w:r w:rsidRPr="00195486">
        <w:rPr>
          <w:i/>
        </w:rPr>
        <w:t xml:space="preserve"> has not been studied in children under 2 years of age/no data are available in children under 2 years of age</w:t>
      </w:r>
      <w:r w:rsidR="00B81855">
        <w:t>’</w:t>
      </w:r>
      <w:r w:rsidRPr="00A17941">
        <w:t>. The text on 22 patients in the PK substudy should include a description of the age distribution of participants in substudy.</w:t>
      </w:r>
      <w:r w:rsidR="00CD3AC3">
        <w:t xml:space="preserve"> </w:t>
      </w:r>
      <w:r w:rsidR="00CD3AC3" w:rsidRPr="00CD3AC3">
        <w:t>The Delegate accepts proposed i</w:t>
      </w:r>
      <w:r w:rsidRPr="00CD3AC3">
        <w:t xml:space="preserve">ndications for </w:t>
      </w:r>
      <w:r w:rsidR="00DE6F3C" w:rsidRPr="00CD3AC3">
        <w:t>Cutaquig</w:t>
      </w:r>
    </w:p>
    <w:p w14:paraId="198E584B" w14:textId="1573A949" w:rsidR="00B81855" w:rsidRPr="00CD3AC3" w:rsidRDefault="00B81855" w:rsidP="0086026B">
      <w:pPr>
        <w:ind w:firstLine="360"/>
        <w:rPr>
          <w:i/>
        </w:rPr>
      </w:pPr>
      <w:r w:rsidRPr="00CD3AC3">
        <w:t>‘</w:t>
      </w:r>
      <w:r w:rsidR="00A17941" w:rsidRPr="00CD3AC3">
        <w:rPr>
          <w:i/>
        </w:rPr>
        <w:t xml:space="preserve">Replacement </w:t>
      </w:r>
      <w:r w:rsidRPr="00CD3AC3">
        <w:rPr>
          <w:i/>
        </w:rPr>
        <w:t xml:space="preserve">therapy in adults and children </w:t>
      </w:r>
      <w:r w:rsidR="00A17941" w:rsidRPr="00CD3AC3">
        <w:rPr>
          <w:i/>
        </w:rPr>
        <w:t>for:</w:t>
      </w:r>
    </w:p>
    <w:p w14:paraId="0549EF3F" w14:textId="3B19AA31" w:rsidR="00A17941" w:rsidRPr="0086026B" w:rsidRDefault="00CD3AC3" w:rsidP="006827A0">
      <w:pPr>
        <w:pStyle w:val="ListBullet2"/>
        <w:rPr>
          <w:i/>
        </w:rPr>
      </w:pPr>
      <w:r w:rsidRPr="0086026B">
        <w:rPr>
          <w:i/>
        </w:rPr>
        <w:t>primary immunodeficiency disease (PID)’.</w:t>
      </w:r>
    </w:p>
    <w:p w14:paraId="006C065A" w14:textId="13375C94" w:rsidR="00A17941" w:rsidRPr="00A17941" w:rsidRDefault="00B81855" w:rsidP="00A17941">
      <w:r>
        <w:t>The proposed indication ‘</w:t>
      </w:r>
      <w:r w:rsidR="00CD3AC3" w:rsidRPr="00CD3AC3">
        <w:rPr>
          <w:i/>
        </w:rPr>
        <w:t xml:space="preserve">secondary immunodeficiency </w:t>
      </w:r>
      <w:r w:rsidR="00A17941" w:rsidRPr="00CD3AC3">
        <w:rPr>
          <w:i/>
        </w:rPr>
        <w:t>(SID) due to underlying disease or treatment</w:t>
      </w:r>
      <w:r>
        <w:t>’</w:t>
      </w:r>
      <w:r w:rsidR="00A17941" w:rsidRPr="00A17941">
        <w:t xml:space="preserve"> does not specify hypogammaglobulinaemia but a more general term secondary immunodeficiency. The submission has not included data in secondary hypogammaglobuliaemia but this is included in the </w:t>
      </w:r>
      <w:r w:rsidR="00B031EE">
        <w:t xml:space="preserve">TGA adopted </w:t>
      </w:r>
      <w:r w:rsidR="00A17941" w:rsidRPr="00A17941">
        <w:t>guidance</w:t>
      </w:r>
      <w:r w:rsidR="00B031EE">
        <w:t>;</w:t>
      </w:r>
      <w:r w:rsidR="00B031EE" w:rsidRPr="00B031EE">
        <w:rPr>
          <w:vertAlign w:val="superscript"/>
        </w:rPr>
        <w:fldChar w:fldCharType="begin"/>
      </w:r>
      <w:r w:rsidR="00B031EE" w:rsidRPr="00B031EE">
        <w:rPr>
          <w:vertAlign w:val="superscript"/>
        </w:rPr>
        <w:instrText xml:space="preserve"> NOTEREF _Ref71635961 \h </w:instrText>
      </w:r>
      <w:r w:rsidR="00B031EE">
        <w:rPr>
          <w:vertAlign w:val="superscript"/>
        </w:rPr>
        <w:instrText xml:space="preserve"> \* MERGEFORMAT </w:instrText>
      </w:r>
      <w:r w:rsidR="00B031EE" w:rsidRPr="00B031EE">
        <w:rPr>
          <w:vertAlign w:val="superscript"/>
        </w:rPr>
      </w:r>
      <w:r w:rsidR="00B031EE" w:rsidRPr="00B031EE">
        <w:rPr>
          <w:vertAlign w:val="superscript"/>
        </w:rPr>
        <w:fldChar w:fldCharType="separate"/>
      </w:r>
      <w:r w:rsidR="0055078A">
        <w:rPr>
          <w:vertAlign w:val="superscript"/>
        </w:rPr>
        <w:t>5</w:t>
      </w:r>
      <w:r w:rsidR="00B031EE" w:rsidRPr="00B031EE">
        <w:rPr>
          <w:vertAlign w:val="superscript"/>
        </w:rPr>
        <w:fldChar w:fldCharType="end"/>
      </w:r>
      <w:r w:rsidR="00A17941" w:rsidRPr="00A17941">
        <w:t xml:space="preserve"> and overseas product approvals for </w:t>
      </w:r>
      <w:r w:rsidR="00DE6F3C" w:rsidRPr="00A17941">
        <w:t>Cutaquig</w:t>
      </w:r>
      <w:r w:rsidR="00A17941" w:rsidRPr="00A17941">
        <w:t>.</w:t>
      </w:r>
    </w:p>
    <w:p w14:paraId="30D5D16A" w14:textId="07583ECF" w:rsidR="003D35C8" w:rsidRDefault="00CD3AC3" w:rsidP="00A17941">
      <w:r>
        <w:t xml:space="preserve">The Delegate </w:t>
      </w:r>
      <w:r w:rsidR="00A17941" w:rsidRPr="00A17941">
        <w:t>consider</w:t>
      </w:r>
      <w:r>
        <w:t>s</w:t>
      </w:r>
      <w:r w:rsidR="00A17941" w:rsidRPr="00A17941">
        <w:t xml:space="preserve"> the wording of this indication requires amendment to</w:t>
      </w:r>
      <w:r w:rsidR="003D35C8">
        <w:t>:</w:t>
      </w:r>
    </w:p>
    <w:p w14:paraId="4B3C6297" w14:textId="0A6DC972" w:rsidR="00A17941" w:rsidRPr="00A17941" w:rsidRDefault="00B81855" w:rsidP="0086026B">
      <w:pPr>
        <w:ind w:left="720"/>
      </w:pPr>
      <w:r>
        <w:t>‘</w:t>
      </w:r>
      <w:r w:rsidR="00A17941" w:rsidRPr="00CD3AC3">
        <w:rPr>
          <w:i/>
        </w:rPr>
        <w:t>symptomatic hypogammaglobulinaemia secondary to underlying disease or treatment</w:t>
      </w:r>
      <w:r>
        <w:t>’</w:t>
      </w:r>
      <w:r w:rsidR="00A17941" w:rsidRPr="00A17941">
        <w:t>.</w:t>
      </w:r>
    </w:p>
    <w:p w14:paraId="476A7139" w14:textId="77777777" w:rsidR="00B81855" w:rsidRDefault="00A17941" w:rsidP="00A17941">
      <w:r w:rsidRPr="00A17941">
        <w:t>This amended wording is consistent with:</w:t>
      </w:r>
    </w:p>
    <w:p w14:paraId="7CECD57C" w14:textId="41314B2A" w:rsidR="00B81855" w:rsidRDefault="00B031EE" w:rsidP="00B81855">
      <w:pPr>
        <w:pStyle w:val="ListBullet"/>
      </w:pPr>
      <w:r>
        <w:t>i</w:t>
      </w:r>
      <w:r w:rsidR="00A17941" w:rsidRPr="00A17941">
        <w:t>ndications in the EU guideline EMA/CHMP/BPWP/410415/2011 rev 1;</w:t>
      </w:r>
      <w:r w:rsidRPr="00B031EE">
        <w:rPr>
          <w:vertAlign w:val="superscript"/>
        </w:rPr>
        <w:fldChar w:fldCharType="begin"/>
      </w:r>
      <w:r w:rsidRPr="00B031EE">
        <w:rPr>
          <w:vertAlign w:val="superscript"/>
        </w:rPr>
        <w:instrText xml:space="preserve"> NOTEREF _Ref71635961 \h </w:instrText>
      </w:r>
      <w:r>
        <w:rPr>
          <w:vertAlign w:val="superscript"/>
        </w:rPr>
        <w:instrText xml:space="preserve"> \* MERGEFORMAT </w:instrText>
      </w:r>
      <w:r w:rsidRPr="00B031EE">
        <w:rPr>
          <w:vertAlign w:val="superscript"/>
        </w:rPr>
      </w:r>
      <w:r w:rsidRPr="00B031EE">
        <w:rPr>
          <w:vertAlign w:val="superscript"/>
        </w:rPr>
        <w:fldChar w:fldCharType="separate"/>
      </w:r>
      <w:r w:rsidR="0055078A">
        <w:rPr>
          <w:vertAlign w:val="superscript"/>
        </w:rPr>
        <w:t>5</w:t>
      </w:r>
      <w:r w:rsidRPr="00B031EE">
        <w:rPr>
          <w:vertAlign w:val="superscript"/>
        </w:rPr>
        <w:fldChar w:fldCharType="end"/>
      </w:r>
    </w:p>
    <w:p w14:paraId="2B396D56" w14:textId="379FFFDB" w:rsidR="00B81855" w:rsidRDefault="00B031EE" w:rsidP="00B81855">
      <w:pPr>
        <w:pStyle w:val="ListBullet"/>
      </w:pPr>
      <w:r>
        <w:t>i</w:t>
      </w:r>
      <w:r w:rsidR="00A17941" w:rsidRPr="00A17941">
        <w:t xml:space="preserve">ndications for </w:t>
      </w:r>
      <w:r w:rsidR="00DE6F3C" w:rsidRPr="00A17941">
        <w:t>Cutaquig</w:t>
      </w:r>
      <w:r>
        <w:t xml:space="preserve"> approved in Europe</w:t>
      </w:r>
      <w:r w:rsidR="00A17941" w:rsidRPr="00A17941">
        <w:t>;</w:t>
      </w:r>
      <w:r w:rsidR="00B90C12">
        <w:t xml:space="preserve"> </w:t>
      </w:r>
      <w:r w:rsidR="00A17941" w:rsidRPr="00A17941">
        <w:t>and</w:t>
      </w:r>
    </w:p>
    <w:p w14:paraId="669F2806" w14:textId="557FC366" w:rsidR="00A17941" w:rsidRPr="00A17941" w:rsidRDefault="00B031EE" w:rsidP="00B81855">
      <w:pPr>
        <w:pStyle w:val="ListBullet"/>
      </w:pPr>
      <w:r>
        <w:t>registered i</w:t>
      </w:r>
      <w:r w:rsidR="00A17941" w:rsidRPr="00A17941">
        <w:t xml:space="preserve">ndications in Australia the SCIg products </w:t>
      </w:r>
      <w:r>
        <w:t>Cuvitru;</w:t>
      </w:r>
      <w:r>
        <w:rPr>
          <w:rStyle w:val="FootnoteReference"/>
        </w:rPr>
        <w:footnoteReference w:id="11"/>
      </w:r>
      <w:r>
        <w:t>/Hizentra,</w:t>
      </w:r>
      <w:r>
        <w:rPr>
          <w:rStyle w:val="FootnoteReference"/>
        </w:rPr>
        <w:footnoteReference w:id="12"/>
      </w:r>
      <w:r>
        <w:t xml:space="preserve"> Evogam;</w:t>
      </w:r>
      <w:r>
        <w:rPr>
          <w:rStyle w:val="FootnoteReference"/>
        </w:rPr>
        <w:footnoteReference w:id="13"/>
      </w:r>
      <w:r>
        <w:t>/</w:t>
      </w:r>
      <w:r w:rsidRPr="00A17941">
        <w:t>Gammanorm</w:t>
      </w:r>
      <w:r w:rsidR="00A17941" w:rsidRPr="00A17941">
        <w:t>.</w:t>
      </w:r>
      <w:r w:rsidR="00B90C12">
        <w:rPr>
          <w:rStyle w:val="FootnoteReference"/>
        </w:rPr>
        <w:footnoteReference w:id="14"/>
      </w:r>
    </w:p>
    <w:p w14:paraId="4127D0AA" w14:textId="77777777" w:rsidR="00D23139" w:rsidRDefault="00D23139" w:rsidP="00D23139">
      <w:pPr>
        <w:pStyle w:val="Heading4"/>
      </w:pPr>
      <w:r w:rsidRPr="00D23139">
        <w:t>Proposed action</w:t>
      </w:r>
    </w:p>
    <w:p w14:paraId="2F7CE53F" w14:textId="25BF4AF8" w:rsidR="00BB1FA4" w:rsidRPr="00BB1FA4" w:rsidRDefault="00CD3AC3" w:rsidP="00BB1FA4">
      <w:r>
        <w:t xml:space="preserve">The Delegate </w:t>
      </w:r>
      <w:r w:rsidR="00BB1FA4" w:rsidRPr="00BB1FA4">
        <w:t>propose</w:t>
      </w:r>
      <w:r>
        <w:t>s</w:t>
      </w:r>
      <w:r w:rsidR="00BB1FA4" w:rsidRPr="00BB1FA4">
        <w:t xml:space="preserve"> to approve the registration of the product </w:t>
      </w:r>
      <w:r w:rsidR="00DE6F3C" w:rsidRPr="00BB1FA4">
        <w:t>Cutaquig</w:t>
      </w:r>
      <w:r>
        <w:t xml:space="preserve"> for the Indications:</w:t>
      </w:r>
    </w:p>
    <w:p w14:paraId="65737368" w14:textId="77777777" w:rsidR="00BB1FA4" w:rsidRPr="00CD3AC3" w:rsidRDefault="00BB1FA4" w:rsidP="00CD3AC3">
      <w:pPr>
        <w:ind w:left="360"/>
        <w:rPr>
          <w:i/>
        </w:rPr>
      </w:pPr>
      <w:r w:rsidRPr="00CD3AC3">
        <w:rPr>
          <w:i/>
        </w:rPr>
        <w:t>Replacement therapy in adults and children in:</w:t>
      </w:r>
    </w:p>
    <w:p w14:paraId="12379593" w14:textId="1917A815" w:rsidR="00CD3AC3" w:rsidRPr="00CD3AC3" w:rsidRDefault="00CD3AC3" w:rsidP="00CD3AC3">
      <w:pPr>
        <w:pStyle w:val="ListBullet"/>
        <w:ind w:left="720"/>
        <w:rPr>
          <w:i/>
        </w:rPr>
      </w:pPr>
      <w:r w:rsidRPr="00CD3AC3">
        <w:rPr>
          <w:i/>
        </w:rPr>
        <w:t>primary immunodeficiency diseases (PID)</w:t>
      </w:r>
    </w:p>
    <w:p w14:paraId="61171A0C" w14:textId="060DCC53" w:rsidR="00BB1FA4" w:rsidRPr="00CD3AC3" w:rsidRDefault="00CD3AC3" w:rsidP="00CD3AC3">
      <w:pPr>
        <w:pStyle w:val="ListBullet"/>
        <w:ind w:left="720"/>
        <w:rPr>
          <w:i/>
        </w:rPr>
      </w:pPr>
      <w:r>
        <w:rPr>
          <w:i/>
        </w:rPr>
        <w:t>s</w:t>
      </w:r>
      <w:r w:rsidRPr="00CD3AC3">
        <w:rPr>
          <w:i/>
        </w:rPr>
        <w:t>y</w:t>
      </w:r>
      <w:r w:rsidR="00BB1FA4" w:rsidRPr="00CD3AC3">
        <w:rPr>
          <w:i/>
        </w:rPr>
        <w:t xml:space="preserve">mptomatic hypogammaglobulinaemia secondary to </w:t>
      </w:r>
      <w:r>
        <w:rPr>
          <w:i/>
        </w:rPr>
        <w:t>underlying disease or treatment</w:t>
      </w:r>
    </w:p>
    <w:p w14:paraId="4E4F2FBA" w14:textId="0D5A84D3" w:rsidR="00BB1FA4" w:rsidRPr="00BB1FA4" w:rsidRDefault="00CD3AC3" w:rsidP="00BB1FA4">
      <w:r>
        <w:t>The Delegate</w:t>
      </w:r>
      <w:r w:rsidR="00BB1FA4" w:rsidRPr="00BB1FA4">
        <w:t xml:space="preserve"> propose to impose the conditions of registration recommended in the quality and RMP evaluation reports.</w:t>
      </w:r>
    </w:p>
    <w:p w14:paraId="4EE6C597"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15"/>
      </w:r>
    </w:p>
    <w:p w14:paraId="06371597" w14:textId="77777777" w:rsidR="00744121" w:rsidRPr="007D53B6" w:rsidRDefault="00744121" w:rsidP="00744121">
      <w:bookmarkStart w:id="53" w:name="_Toc247691532"/>
      <w:bookmarkStart w:id="54" w:name="_Toc314842516"/>
      <w:bookmarkEnd w:id="30"/>
      <w:bookmarkEnd w:id="50"/>
      <w:bookmarkEnd w:id="51"/>
      <w:r w:rsidRPr="007D53B6">
        <w:t xml:space="preserve">The Delegate did not refer this application to the </w:t>
      </w:r>
      <w:r w:rsidRPr="00EE02D1">
        <w:t>Advisory Committee on Medicines (ACM)</w:t>
      </w:r>
      <w:r w:rsidRPr="007D53B6">
        <w:t xml:space="preserve"> for advice.</w:t>
      </w:r>
    </w:p>
    <w:p w14:paraId="0A43EC45" w14:textId="41F5457F" w:rsidR="008E7846" w:rsidRPr="002E238E" w:rsidRDefault="008E7846" w:rsidP="008E7846">
      <w:pPr>
        <w:pStyle w:val="Heading3"/>
      </w:pPr>
      <w:bookmarkStart w:id="55" w:name="_Toc76652765"/>
      <w:r>
        <w:t>Outcome</w:t>
      </w:r>
      <w:bookmarkEnd w:id="53"/>
      <w:bookmarkEnd w:id="54"/>
      <w:bookmarkEnd w:id="55"/>
    </w:p>
    <w:p w14:paraId="6ACBBF32" w14:textId="25E16143" w:rsidR="00744121" w:rsidRDefault="00744121" w:rsidP="00744121">
      <w:bookmarkStart w:id="56" w:name="_Toc247691533"/>
      <w:bookmarkStart w:id="57" w:name="_Toc314842517"/>
      <w:r>
        <w:t xml:space="preserve">Based on a review of quality, safety and efficacy, the TGA approved the registration of </w:t>
      </w:r>
      <w:r w:rsidR="00DF17CD" w:rsidRPr="00DF17CD">
        <w:t xml:space="preserve">Cutaquig </w:t>
      </w:r>
      <w:r w:rsidRPr="00250271">
        <w:t>(</w:t>
      </w:r>
      <w:r w:rsidR="00DF17CD" w:rsidRPr="00DF17CD">
        <w:t>human normal immunoglobulin</w:t>
      </w:r>
      <w:r w:rsidRPr="00250271">
        <w:t xml:space="preserve">) </w:t>
      </w:r>
      <w:r w:rsidR="00DA67EF">
        <w:t>16.5% (165 mg/mL)</w:t>
      </w:r>
      <w:r w:rsidRPr="00250271">
        <w:t xml:space="preserve">, </w:t>
      </w:r>
      <w:r w:rsidR="00DF17CD">
        <w:t>s</w:t>
      </w:r>
      <w:r w:rsidR="00DF17CD" w:rsidRPr="00DF17CD">
        <w:t>olution for subcutaneous injection</w:t>
      </w:r>
      <w:r>
        <w:t xml:space="preserve">, </w:t>
      </w:r>
      <w:r w:rsidR="00DF17CD">
        <w:t>v</w:t>
      </w:r>
      <w:r w:rsidR="00DF17CD" w:rsidRPr="00DF17CD">
        <w:t>ial</w:t>
      </w:r>
      <w:r>
        <w:t>, indicated for:</w:t>
      </w:r>
    </w:p>
    <w:p w14:paraId="2572E0D8" w14:textId="77777777" w:rsidR="00E725A7" w:rsidRPr="00E725A7" w:rsidRDefault="00E725A7" w:rsidP="00E725A7">
      <w:pPr>
        <w:ind w:left="360"/>
        <w:rPr>
          <w:i/>
        </w:rPr>
      </w:pPr>
      <w:r w:rsidRPr="00E725A7">
        <w:rPr>
          <w:i/>
        </w:rPr>
        <w:t>Replacement therapy in adults and children in:</w:t>
      </w:r>
    </w:p>
    <w:p w14:paraId="432885BA" w14:textId="77777777" w:rsidR="00E725A7" w:rsidRPr="00E725A7" w:rsidRDefault="00E725A7" w:rsidP="00E725A7">
      <w:pPr>
        <w:pStyle w:val="ListBullet"/>
        <w:ind w:left="720"/>
        <w:rPr>
          <w:i/>
        </w:rPr>
      </w:pPr>
      <w:r w:rsidRPr="00E725A7">
        <w:rPr>
          <w:i/>
        </w:rPr>
        <w:t>Primary immunodeficiency diseases (PID)</w:t>
      </w:r>
    </w:p>
    <w:p w14:paraId="049F0073" w14:textId="77777777" w:rsidR="00744121" w:rsidRPr="00E725A7" w:rsidRDefault="00E725A7" w:rsidP="00E725A7">
      <w:pPr>
        <w:pStyle w:val="ListBullet"/>
        <w:ind w:left="720"/>
        <w:rPr>
          <w:i/>
        </w:rPr>
      </w:pPr>
      <w:r w:rsidRPr="00E725A7">
        <w:rPr>
          <w:i/>
        </w:rPr>
        <w:t>Symptomatic hypogammaglobulinaemia secondary to underlying disease or treatment</w:t>
      </w:r>
    </w:p>
    <w:p w14:paraId="62E0E104" w14:textId="77777777" w:rsidR="00D23139" w:rsidRPr="00D23139" w:rsidRDefault="00D23139" w:rsidP="00D23139">
      <w:pPr>
        <w:pStyle w:val="Heading4"/>
      </w:pPr>
      <w:r w:rsidRPr="00D23139">
        <w:t>Specific conditions of registration applying to these goods</w:t>
      </w:r>
    </w:p>
    <w:p w14:paraId="545923C3" w14:textId="0E032611" w:rsidR="00CD5DA2" w:rsidRDefault="00CD5DA2" w:rsidP="00CD5DA2">
      <w:pPr>
        <w:pStyle w:val="ListBullet"/>
      </w:pPr>
      <w:r>
        <w:t>Cutaquig (human normal immunoglobulin) is to be included in the Black Triangle Scheme. The PI and CMI for Cutaquig must include the black triangle symbol and mandatory accompanying text for five years, which starts from the date that the sponsor notifies the TGA of supply of the product.</w:t>
      </w:r>
    </w:p>
    <w:p w14:paraId="7ABDD464" w14:textId="3E50EDBF" w:rsidR="00CD5DA2" w:rsidRDefault="00CD5DA2" w:rsidP="00CD5DA2">
      <w:pPr>
        <w:pStyle w:val="ListBullet"/>
      </w:pPr>
      <w:r>
        <w:t xml:space="preserve">The Cutaquig EU-RMP (version 01.3, dated 12 December 2018, </w:t>
      </w:r>
      <w:r w:rsidR="00DA67EF">
        <w:t>DLP</w:t>
      </w:r>
      <w:r>
        <w:t xml:space="preserve"> 31 October 2018), with </w:t>
      </w:r>
      <w:r w:rsidR="00DA67EF">
        <w:t>ASA</w:t>
      </w:r>
      <w:r>
        <w:t xml:space="preserve"> (version 01, dated 1 April 2020), included with submission PM</w:t>
      </w:r>
      <w:r w:rsidR="00DA67EF">
        <w:noBreakHyphen/>
      </w:r>
      <w:r>
        <w:t>2020</w:t>
      </w:r>
      <w:r w:rsidR="00DA67EF">
        <w:noBreakHyphen/>
      </w:r>
      <w:r>
        <w:t>00473</w:t>
      </w:r>
      <w:r w:rsidR="00DA67EF">
        <w:noBreakHyphen/>
      </w:r>
      <w:r>
        <w:t>1</w:t>
      </w:r>
      <w:r w:rsidR="00DA67EF">
        <w:noBreakHyphen/>
      </w:r>
      <w:r>
        <w:t>2, and any subsequent revisions, as agreed with the TGA will be implemented in Australia.</w:t>
      </w:r>
    </w:p>
    <w:p w14:paraId="5F89F763" w14:textId="1A26C5A9" w:rsidR="00CD5DA2" w:rsidRDefault="00CD5DA2" w:rsidP="00CD5DA2">
      <w:pPr>
        <w:pStyle w:val="ListBullet"/>
        <w:numPr>
          <w:ilvl w:val="0"/>
          <w:numId w:val="0"/>
        </w:numPr>
        <w:ind w:left="360"/>
      </w:pPr>
      <w:r>
        <w:t xml:space="preserve">An obligatory component of </w:t>
      </w:r>
      <w:r w:rsidR="00DA67EF">
        <w:t>RMP</w:t>
      </w:r>
      <w:r>
        <w:t xml:space="preserve"> is routine pharmacovigilance. Routine pharmacovigilance includes the submission of </w:t>
      </w:r>
      <w:r w:rsidRPr="00EE02D1">
        <w:t>periodic safety update reports (PSURs).</w:t>
      </w:r>
    </w:p>
    <w:p w14:paraId="4AE482EE" w14:textId="77777777" w:rsidR="00CD5DA2" w:rsidRDefault="00CD5DA2" w:rsidP="00CD5DA2">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the approval letter.</w:t>
      </w:r>
    </w:p>
    <w:p w14:paraId="3B7FC8DE" w14:textId="6FC2762B" w:rsidR="00CD5DA2" w:rsidRDefault="00CD5DA2" w:rsidP="00CD5DA2">
      <w:pPr>
        <w:pStyle w:val="ListBullet"/>
        <w:numPr>
          <w:ilvl w:val="0"/>
          <w:numId w:val="0"/>
        </w:numPr>
        <w:ind w:left="360"/>
      </w:pPr>
      <w:r>
        <w:t xml:space="preserve">The reports are to at least meet the requirements for PSURs as described in the </w:t>
      </w:r>
      <w:r w:rsidR="00427FEA">
        <w:t>EMA</w:t>
      </w:r>
      <w:r>
        <w:t xml:space="preserve">’s Guideline on </w:t>
      </w:r>
      <w:r w:rsidRPr="00EE02D1">
        <w:t>Good Pharmacovigilance Practices (GVP)</w:t>
      </w:r>
      <w:r>
        <w:t xml:space="preserve"> Module VII-periodic safety update report (Rev 1), Part VII.B Structures and processes. Note that submission of a PSUR does not constitute an application to vary the registration.</w:t>
      </w:r>
    </w:p>
    <w:p w14:paraId="3049AF69" w14:textId="77777777" w:rsidR="00CD5DA2" w:rsidRDefault="00CD5DA2" w:rsidP="00CD5DA2">
      <w:pPr>
        <w:pStyle w:val="ListBullet"/>
      </w:pPr>
      <w:r>
        <w:t xml:space="preserve">It is a condition of registration that all batches of Cutaquig imported into/manufactured in Australia must comply with the product details and specifications approved during evaluation and detailed in the </w:t>
      </w:r>
      <w:r w:rsidRPr="00EE02D1">
        <w:t>Certified Product Details (CPD).</w:t>
      </w:r>
    </w:p>
    <w:p w14:paraId="15DB22EB" w14:textId="63066FD0" w:rsidR="00CD5DA2" w:rsidRDefault="00CD5DA2" w:rsidP="00CD5DA2">
      <w:pPr>
        <w:pStyle w:val="ListBullet"/>
      </w:pPr>
      <w:r w:rsidRPr="0007799A">
        <w:t xml:space="preserve">It is a condition of registration that up to </w:t>
      </w:r>
      <w:r w:rsidR="00DA67EF" w:rsidRPr="0007799A">
        <w:t>five</w:t>
      </w:r>
      <w:r w:rsidRPr="0007799A">
        <w:t xml:space="preserve"> initial batches of Cutaquig imported into/manufactured in Australia</w:t>
      </w:r>
      <w:r>
        <w:t xml:space="preserve"> is not released for sale until samples and/or the manufacturer’s release data have been assessed and endorsed for release by the TGA Laboratories Branch. Outcomes of laboratory testing are published biannually in the TGA Database of Laboratory Testing Results.</w:t>
      </w:r>
    </w:p>
    <w:p w14:paraId="12D747B2" w14:textId="77777777" w:rsidR="00CD5DA2" w:rsidRDefault="00CD5DA2" w:rsidP="00CD5DA2">
      <w:pPr>
        <w:pStyle w:val="ListBullet"/>
      </w:pPr>
      <w:r>
        <w:t>The sponsor should be prepared to provide product samples, reference materials and documentary evidence as defined by the TGA Laboratories branch. The sponsor must contact Biochemistry Testing for specific material requirements related to batch release testing/assessment of the product.</w:t>
      </w:r>
    </w:p>
    <w:p w14:paraId="734CCE63" w14:textId="3EC82D3E" w:rsidR="00CD5DA2" w:rsidRPr="00CD5DA2" w:rsidRDefault="00CD5DA2" w:rsidP="00CD5DA2">
      <w:pPr>
        <w:pStyle w:val="ListBullet"/>
        <w:rPr>
          <w:rFonts w:cs="Cambria"/>
          <w:lang w:eastAsia="en-AU"/>
        </w:rPr>
      </w:pPr>
      <w:r>
        <w:rPr>
          <w:rFonts w:cs="Cambria"/>
          <w:lang w:eastAsia="en-AU"/>
        </w:rPr>
        <w:t xml:space="preserve">For all injectable products the </w:t>
      </w:r>
      <w:r w:rsidR="0065098D">
        <w:rPr>
          <w:rFonts w:cs="Cambria"/>
          <w:lang w:eastAsia="en-AU"/>
        </w:rPr>
        <w:t>PI</w:t>
      </w:r>
      <w:r>
        <w:rPr>
          <w:rFonts w:cs="Cambria"/>
          <w:lang w:eastAsia="en-AU"/>
        </w:rPr>
        <w:t xml:space="preserve"> must be included with the product as a package insert.</w:t>
      </w:r>
    </w:p>
    <w:p w14:paraId="774FCCAE" w14:textId="43E71247" w:rsidR="008E7846" w:rsidRDefault="00A80B5B" w:rsidP="00D23139">
      <w:pPr>
        <w:pStyle w:val="Heading2"/>
      </w:pPr>
      <w:bookmarkStart w:id="58" w:name="_Toc76652766"/>
      <w:r>
        <w:t xml:space="preserve">Attachment 1. </w:t>
      </w:r>
      <w:r w:rsidR="008E7846">
        <w:t xml:space="preserve">Product </w:t>
      </w:r>
      <w:r w:rsidR="00AA0ED0">
        <w:t>I</w:t>
      </w:r>
      <w:r w:rsidR="008E7846">
        <w:t>nformation</w:t>
      </w:r>
      <w:bookmarkEnd w:id="56"/>
      <w:bookmarkEnd w:id="57"/>
      <w:bookmarkEnd w:id="58"/>
    </w:p>
    <w:p w14:paraId="0EA19B0C" w14:textId="1CC34B21" w:rsidR="00744121" w:rsidRDefault="006136D7" w:rsidP="00744121">
      <w:pPr>
        <w:rPr>
          <w:lang w:eastAsia="ja-JP"/>
        </w:rPr>
      </w:pPr>
      <w:r w:rsidRPr="002B3624">
        <w:t xml:space="preserve">The </w:t>
      </w:r>
      <w:r>
        <w:t>PI</w:t>
      </w:r>
      <w:r w:rsidRPr="002B3624">
        <w:t xml:space="preserve"> for </w:t>
      </w:r>
      <w:r w:rsidR="00DF17CD" w:rsidRPr="00DF17CD">
        <w:t>Cutaquig</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1" w:history="1">
        <w:r w:rsidR="007C6B9B" w:rsidRPr="007C6B9B">
          <w:rPr>
            <w:rStyle w:val="Hyperlink"/>
          </w:rPr>
          <w:t>https://www.tga.gov.au/product-information-pi</w:t>
        </w:r>
      </w:hyperlink>
      <w:r w:rsidR="007C6B9B" w:rsidRPr="007C6B9B">
        <w:t>&gt;.</w:t>
      </w:r>
    </w:p>
    <w:p w14:paraId="68C5D6B3" w14:textId="77777777" w:rsidR="00C80137" w:rsidRPr="001D043B" w:rsidRDefault="00C80137" w:rsidP="003A7F6C">
      <w:pPr>
        <w:pStyle w:val="TableTitle"/>
        <w:sectPr w:rsidR="00C80137" w:rsidRPr="001D043B" w:rsidSect="00B452CE">
          <w:headerReference w:type="even" r:id="rId22"/>
          <w:headerReference w:type="default" r:id="rId23"/>
          <w:headerReference w:type="first" r:id="rId24"/>
          <w:footerReference w:type="first" r:id="rId2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D635F6A" w14:textId="77777777" w:rsidTr="00A05FA4">
        <w:trPr>
          <w:trHeight w:hRule="exact" w:val="704"/>
        </w:trPr>
        <w:tc>
          <w:tcPr>
            <w:tcW w:w="9175" w:type="dxa"/>
          </w:tcPr>
          <w:p w14:paraId="08CA8BD7" w14:textId="77777777" w:rsidR="001C32CD" w:rsidRPr="00487162" w:rsidRDefault="001C32CD" w:rsidP="00A05FA4">
            <w:pPr>
              <w:pStyle w:val="TGASignoff"/>
            </w:pPr>
            <w:r w:rsidRPr="00487162">
              <w:t>Therapeutic Goods Administration</w:t>
            </w:r>
          </w:p>
        </w:tc>
      </w:tr>
      <w:tr w:rsidR="001C32CD" w:rsidRPr="002217B5" w14:paraId="17E2EB5D" w14:textId="77777777" w:rsidTr="00A05FA4">
        <w:trPr>
          <w:trHeight w:val="1221"/>
        </w:trPr>
        <w:tc>
          <w:tcPr>
            <w:tcW w:w="9175" w:type="dxa"/>
            <w:tcMar>
              <w:top w:w="28" w:type="dxa"/>
            </w:tcMar>
          </w:tcPr>
          <w:p w14:paraId="48505B12" w14:textId="77777777" w:rsidR="001C32CD" w:rsidRPr="00487162" w:rsidRDefault="001C32CD" w:rsidP="00A05FA4">
            <w:pPr>
              <w:pStyle w:val="Address"/>
            </w:pPr>
            <w:r w:rsidRPr="00487162">
              <w:t>PO Box 100 Woden ACT 2606 Australia</w:t>
            </w:r>
          </w:p>
          <w:p w14:paraId="4DC29B27" w14:textId="0B260270" w:rsidR="001C32CD" w:rsidRPr="00217C47" w:rsidRDefault="001C32CD" w:rsidP="00A05FA4">
            <w:pPr>
              <w:pStyle w:val="Address"/>
            </w:pPr>
            <w:r w:rsidRPr="00217C47">
              <w:t xml:space="preserve">Email: </w:t>
            </w:r>
            <w:hyperlink r:id="rId26" w:history="1">
              <w:r w:rsidRPr="00217C47">
                <w:rPr>
                  <w:rStyle w:val="Hyperlink"/>
                </w:rPr>
                <w:t>info@tga.gov.au</w:t>
              </w:r>
            </w:hyperlink>
            <w:r w:rsidRPr="00217C47">
              <w:t xml:space="preserve">  Phone: 1800 020 653  Fax: 02 6232 8605</w:t>
            </w:r>
          </w:p>
          <w:p w14:paraId="3DC70A4C" w14:textId="4C38472C" w:rsidR="001C32CD" w:rsidRPr="00217C47" w:rsidRDefault="00F672AB" w:rsidP="00A05FA4">
            <w:pPr>
              <w:pStyle w:val="Address"/>
              <w:spacing w:line="260" w:lineRule="atLeast"/>
              <w:rPr>
                <w:b/>
                <w:color w:val="0000FF"/>
                <w:u w:val="single"/>
              </w:rPr>
            </w:pPr>
            <w:hyperlink r:id="rId27" w:history="1">
              <w:r w:rsidR="007C6B9B" w:rsidRPr="00217C47">
                <w:rPr>
                  <w:rStyle w:val="Hyperlink"/>
                  <w:b/>
                </w:rPr>
                <w:t>https://www.tga.gov.au</w:t>
              </w:r>
            </w:hyperlink>
          </w:p>
        </w:tc>
      </w:tr>
    </w:tbl>
    <w:p w14:paraId="776C1BE2" w14:textId="77777777" w:rsidR="00774E1D" w:rsidRPr="00E87641" w:rsidRDefault="00774E1D" w:rsidP="004C239D"/>
    <w:sectPr w:rsidR="00774E1D" w:rsidRPr="00E87641" w:rsidSect="001C32CD">
      <w:headerReference w:type="even" r:id="rId28"/>
      <w:headerReference w:type="default" r:id="rId29"/>
      <w:footerReference w:type="default" r:id="rId30"/>
      <w:headerReference w:type="first" r:id="rId31"/>
      <w:footerReference w:type="first" r:id="rId32"/>
      <w:pgSz w:w="11906" w:h="16838" w:code="9"/>
      <w:pgMar w:top="13467" w:right="1701" w:bottom="426" w:left="1701" w:header="907"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8E0E7" w16cex:dateUtc="2021-05-14T09:43:00Z"/>
  <w16cex:commentExtensible w16cex:durableId="244CCEB2" w16cex:dateUtc="2021-05-17T09:14:00Z"/>
  <w16cex:commentExtensible w16cex:durableId="244CCBBE" w16cex:dateUtc="2021-05-17T09:02:00Z"/>
  <w16cex:commentExtensible w16cex:durableId="244CCF28" w16cex:dateUtc="2021-05-17T09:16:00Z"/>
  <w16cex:commentExtensible w16cex:durableId="244CCF58" w16cex:dateUtc="2021-05-17T0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B4D2449" w16cid:durableId="2448E0E7"/>
  <w16cid:commentId w16cid:paraId="3057A0BA" w16cid:durableId="244CCEB2"/>
  <w16cid:commentId w16cid:paraId="5F2F13E7" w16cid:durableId="244CCBBE"/>
  <w16cid:commentId w16cid:paraId="60CB6895" w16cid:durableId="244CCF28"/>
  <w16cid:commentId w16cid:paraId="2CE96E3B" w16cid:durableId="244CCF5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A434B" w14:textId="77777777" w:rsidR="00F21428" w:rsidRDefault="00F21428" w:rsidP="00C40A36">
      <w:pPr>
        <w:spacing w:after="0"/>
      </w:pPr>
      <w:r>
        <w:separator/>
      </w:r>
    </w:p>
  </w:endnote>
  <w:endnote w:type="continuationSeparator" w:id="0">
    <w:p w14:paraId="24565823" w14:textId="77777777" w:rsidR="00F21428" w:rsidRDefault="00F2142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4F8A0" w14:textId="77777777" w:rsidR="00F672AB" w:rsidRDefault="00F6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21428" w:rsidRPr="00487162" w14:paraId="362AB518" w14:textId="77777777" w:rsidTr="00DB750B">
      <w:trPr>
        <w:trHeight w:val="269"/>
      </w:trPr>
      <w:tc>
        <w:tcPr>
          <w:tcW w:w="7371" w:type="dxa"/>
          <w:tcMar>
            <w:top w:w="142" w:type="dxa"/>
            <w:bottom w:w="0" w:type="dxa"/>
          </w:tcMar>
        </w:tcPr>
        <w:p w14:paraId="1860A445" w14:textId="29A3AC67" w:rsidR="00F21428" w:rsidRPr="00487162" w:rsidRDefault="00F21428" w:rsidP="00590D74">
          <w:pPr>
            <w:pStyle w:val="Footer"/>
          </w:pPr>
          <w:r w:rsidRPr="00487162">
            <w:t>AusPA</w:t>
          </w:r>
          <w:r>
            <w:t xml:space="preserve">R - </w:t>
          </w:r>
          <w:r w:rsidRPr="00DF17CD">
            <w:t xml:space="preserve">Cutaquig </w:t>
          </w:r>
          <w:r w:rsidRPr="00460036">
            <w:t xml:space="preserve">– </w:t>
          </w:r>
          <w:r w:rsidRPr="00DF17CD">
            <w:t>human normal immunoglobulin</w:t>
          </w:r>
          <w:r w:rsidRPr="00460036">
            <w:t xml:space="preserve"> </w:t>
          </w:r>
          <w:r>
            <w:t xml:space="preserve">- </w:t>
          </w:r>
          <w:r w:rsidRPr="00DF17CD">
            <w:t>Octapharma Australia Pty Ltd</w:t>
          </w:r>
          <w:r>
            <w:t xml:space="preserve"> -</w:t>
          </w:r>
          <w:r w:rsidRPr="00DF17CD">
            <w:t xml:space="preserve"> PM-2020-00473-1-2</w:t>
          </w:r>
          <w:r>
            <w:br/>
            <w:t>F</w:t>
          </w:r>
          <w:r w:rsidR="00590D74">
            <w:t>inal</w:t>
          </w:r>
          <w:r w:rsidR="00734D89">
            <w:t xml:space="preserve"> </w:t>
          </w:r>
          <w:r>
            <w:t>21 June 2021</w:t>
          </w:r>
        </w:p>
      </w:tc>
      <w:tc>
        <w:tcPr>
          <w:tcW w:w="1490" w:type="dxa"/>
          <w:tcMar>
            <w:top w:w="142" w:type="dxa"/>
            <w:bottom w:w="0" w:type="dxa"/>
          </w:tcMar>
        </w:tcPr>
        <w:p w14:paraId="4E8A995F" w14:textId="6CBC0771" w:rsidR="00F21428" w:rsidRPr="00487162" w:rsidRDefault="00F21428" w:rsidP="00DB750B">
          <w:pPr>
            <w:pStyle w:val="Footer"/>
            <w:jc w:val="right"/>
          </w:pPr>
          <w:r w:rsidRPr="00487162">
            <w:t xml:space="preserve">Page </w:t>
          </w:r>
          <w:r>
            <w:fldChar w:fldCharType="begin"/>
          </w:r>
          <w:r>
            <w:instrText xml:space="preserve"> PAGE  \* Arabic </w:instrText>
          </w:r>
          <w:r>
            <w:fldChar w:fldCharType="separate"/>
          </w:r>
          <w:r w:rsidR="00F672AB">
            <w:rPr>
              <w:noProof/>
            </w:rPr>
            <w:t>3</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F672AB">
            <w:rPr>
              <w:noProof/>
            </w:rPr>
            <w:t>24</w:t>
          </w:r>
          <w:r>
            <w:rPr>
              <w:noProof/>
            </w:rPr>
            <w:fldChar w:fldCharType="end"/>
          </w:r>
        </w:p>
      </w:tc>
    </w:tr>
  </w:tbl>
  <w:p w14:paraId="1F721C8F" w14:textId="77777777" w:rsidR="00F21428" w:rsidRDefault="00F21428"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3E271" w14:textId="77777777" w:rsidR="00F672AB" w:rsidRDefault="00F672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21428" w:rsidRPr="00487162" w14:paraId="19B5F138" w14:textId="77777777" w:rsidTr="00E45619">
      <w:trPr>
        <w:trHeight w:val="269"/>
      </w:trPr>
      <w:tc>
        <w:tcPr>
          <w:tcW w:w="4519" w:type="dxa"/>
          <w:tcBorders>
            <w:top w:val="single" w:sz="4" w:space="0" w:color="auto"/>
          </w:tcBorders>
          <w:tcMar>
            <w:top w:w="142" w:type="dxa"/>
            <w:bottom w:w="0" w:type="dxa"/>
          </w:tcMar>
        </w:tcPr>
        <w:p w14:paraId="506FBE1E" w14:textId="77777777" w:rsidR="00F21428" w:rsidRPr="00487162" w:rsidRDefault="00F21428" w:rsidP="00FE1DEE">
          <w:pPr>
            <w:pStyle w:val="Footer"/>
          </w:pPr>
          <w:r w:rsidRPr="00487162">
            <w:t>Document title, Part #, Section # - Section title</w:t>
          </w:r>
        </w:p>
        <w:p w14:paraId="69DD7404" w14:textId="77777777" w:rsidR="00F21428" w:rsidRPr="00487162" w:rsidRDefault="00F21428" w:rsidP="00FE1DEE">
          <w:pPr>
            <w:pStyle w:val="Footer"/>
          </w:pPr>
          <w:r w:rsidRPr="00487162">
            <w:t>V1.0 October 2010</w:t>
          </w:r>
        </w:p>
      </w:tc>
      <w:tc>
        <w:tcPr>
          <w:tcW w:w="4342" w:type="dxa"/>
          <w:tcBorders>
            <w:top w:val="single" w:sz="4" w:space="0" w:color="auto"/>
          </w:tcBorders>
          <w:tcMar>
            <w:top w:w="142" w:type="dxa"/>
            <w:bottom w:w="0" w:type="dxa"/>
          </w:tcMar>
        </w:tcPr>
        <w:p w14:paraId="6FB8A59A" w14:textId="77777777" w:rsidR="00F21428" w:rsidRPr="00487162" w:rsidRDefault="00F2142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2</w:t>
          </w:r>
          <w:r>
            <w:rPr>
              <w:noProof/>
            </w:rPr>
            <w:fldChar w:fldCharType="end"/>
          </w:r>
        </w:p>
      </w:tc>
    </w:tr>
  </w:tbl>
  <w:p w14:paraId="73F3B6F3" w14:textId="77777777" w:rsidR="00F21428" w:rsidRDefault="00F2142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06622" w14:textId="77777777" w:rsidR="00F21428" w:rsidRPr="001C32CD" w:rsidRDefault="00F21428"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21428" w14:paraId="374BED93" w14:textId="77777777" w:rsidTr="0010601F">
      <w:trPr>
        <w:trHeight w:val="108"/>
      </w:trPr>
      <w:tc>
        <w:tcPr>
          <w:tcW w:w="8875" w:type="dxa"/>
          <w:gridSpan w:val="2"/>
          <w:tcBorders>
            <w:bottom w:val="single" w:sz="4" w:space="0" w:color="auto"/>
          </w:tcBorders>
          <w:tcMar>
            <w:right w:w="284" w:type="dxa"/>
          </w:tcMar>
        </w:tcPr>
        <w:p w14:paraId="32B851DA" w14:textId="77777777" w:rsidR="00F21428" w:rsidRDefault="00F21428" w:rsidP="006E08B3">
          <w:pPr>
            <w:pStyle w:val="Heading3"/>
          </w:pPr>
          <w:r>
            <w:t>Copyright</w:t>
          </w:r>
        </w:p>
        <w:p w14:paraId="6428E478" w14:textId="77777777" w:rsidR="00F21428" w:rsidRDefault="00F21428" w:rsidP="006E08B3">
          <w:r>
            <w:rPr>
              <w:rFonts w:cs="Arial"/>
            </w:rPr>
            <w:t>©</w:t>
          </w:r>
          <w:r>
            <w:t xml:space="preserve"> Commonwealth of Australia [add year]</w:t>
          </w:r>
        </w:p>
        <w:p w14:paraId="0FD1CC5A" w14:textId="77777777" w:rsidR="00F21428" w:rsidRDefault="00F21428" w:rsidP="006E08B3"/>
        <w:p w14:paraId="7E995CBA" w14:textId="77777777" w:rsidR="00F21428" w:rsidRDefault="00F2142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C874913" w14:textId="77777777" w:rsidR="00F21428" w:rsidRDefault="00F21428" w:rsidP="006E08B3"/>
        <w:p w14:paraId="4D0B4155" w14:textId="77777777" w:rsidR="00F21428" w:rsidRDefault="00F21428" w:rsidP="006E08B3">
          <w:pPr>
            <w:pStyle w:val="Heading3"/>
          </w:pPr>
          <w:r>
            <w:t>Confidentiality</w:t>
          </w:r>
        </w:p>
        <w:p w14:paraId="43D63524" w14:textId="77777777" w:rsidR="00F21428" w:rsidRDefault="00F2142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BC18910" w14:textId="77777777" w:rsidR="00F21428" w:rsidRDefault="00F21428" w:rsidP="006E08B3"/>
        <w:p w14:paraId="1AB3DC45" w14:textId="77777777" w:rsidR="00F21428" w:rsidRDefault="00F21428" w:rsidP="006E08B3">
          <w:r>
            <w:t>For submission made by individuals, all personal details, other than your name, will be removed from your submission before it is published on the TGA’s Internet site.</w:t>
          </w:r>
        </w:p>
        <w:p w14:paraId="0115F20D" w14:textId="77777777" w:rsidR="00F21428" w:rsidRDefault="00F21428" w:rsidP="006E08B3"/>
        <w:p w14:paraId="41F38BED" w14:textId="77777777" w:rsidR="00F21428" w:rsidRDefault="00F21428" w:rsidP="006E08B3">
          <w:r>
            <w:t>In addition, a list of parties making submissions will be published. If you do not wish to be identified with your submission you must specifically request this in the space provided ib the submission coversheet.</w:t>
          </w:r>
        </w:p>
      </w:tc>
    </w:tr>
    <w:tr w:rsidR="00F21428" w14:paraId="193EF1A7" w14:textId="77777777" w:rsidTr="0010601F">
      <w:trPr>
        <w:trHeight w:val="417"/>
      </w:trPr>
      <w:tc>
        <w:tcPr>
          <w:tcW w:w="4519" w:type="dxa"/>
          <w:tcBorders>
            <w:top w:val="single" w:sz="4" w:space="0" w:color="auto"/>
          </w:tcBorders>
          <w:tcMar>
            <w:top w:w="142" w:type="dxa"/>
            <w:bottom w:w="0" w:type="dxa"/>
          </w:tcMar>
        </w:tcPr>
        <w:p w14:paraId="76E5E39C" w14:textId="77777777" w:rsidR="00F21428" w:rsidRDefault="00F21428" w:rsidP="006E08B3">
          <w:r>
            <w:t>Document title, Part #, Section # - Section title</w:t>
          </w:r>
        </w:p>
        <w:p w14:paraId="6C59D540" w14:textId="77777777" w:rsidR="00F21428" w:rsidRDefault="00F21428" w:rsidP="006E08B3">
          <w:r>
            <w:t>V1.0 October 2010</w:t>
          </w:r>
        </w:p>
      </w:tc>
      <w:tc>
        <w:tcPr>
          <w:tcW w:w="4356" w:type="dxa"/>
          <w:tcBorders>
            <w:top w:val="single" w:sz="4" w:space="0" w:color="auto"/>
          </w:tcBorders>
          <w:tcMar>
            <w:top w:w="142" w:type="dxa"/>
            <w:bottom w:w="0" w:type="dxa"/>
          </w:tcMar>
        </w:tcPr>
        <w:p w14:paraId="4D56E293" w14:textId="34907DFC" w:rsidR="00F21428" w:rsidRDefault="00F21428" w:rsidP="006E08B3">
          <w:pPr>
            <w:jc w:val="right"/>
          </w:pPr>
          <w:r>
            <w:t xml:space="preserve">Page </w:t>
          </w:r>
          <w:r>
            <w:fldChar w:fldCharType="begin"/>
          </w:r>
          <w:r>
            <w:instrText xml:space="preserve"> PAGE   \* MERGEFORMAT </w:instrText>
          </w:r>
          <w:r>
            <w:fldChar w:fldCharType="separate"/>
          </w:r>
          <w:r>
            <w:rPr>
              <w:noProof/>
            </w:rPr>
            <w:t>i</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21</w:t>
          </w:r>
          <w:r>
            <w:rPr>
              <w:noProof/>
            </w:rPr>
            <w:fldChar w:fldCharType="end"/>
          </w:r>
          <w:r>
            <w:t xml:space="preserve">  </w:t>
          </w:r>
        </w:p>
      </w:tc>
    </w:tr>
  </w:tbl>
  <w:p w14:paraId="1EC95BC0" w14:textId="77777777" w:rsidR="00F21428" w:rsidRDefault="00F2142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FE3A72" w14:textId="77777777" w:rsidR="00F21428" w:rsidRDefault="00F21428" w:rsidP="00C40A36">
      <w:pPr>
        <w:spacing w:after="0"/>
      </w:pPr>
      <w:r>
        <w:separator/>
      </w:r>
    </w:p>
  </w:footnote>
  <w:footnote w:type="continuationSeparator" w:id="0">
    <w:p w14:paraId="0A128383" w14:textId="77777777" w:rsidR="00F21428" w:rsidRDefault="00F21428" w:rsidP="00C40A36">
      <w:pPr>
        <w:spacing w:after="0"/>
      </w:pPr>
      <w:r>
        <w:continuationSeparator/>
      </w:r>
    </w:p>
  </w:footnote>
  <w:footnote w:id="1">
    <w:p w14:paraId="33F1DD88" w14:textId="77777777" w:rsidR="00F21428" w:rsidRDefault="00F21428">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66B6845F" w14:textId="1E74B940" w:rsidR="00F21428" w:rsidRDefault="00F21428">
      <w:pPr>
        <w:pStyle w:val="FootnoteText"/>
      </w:pPr>
      <w:r>
        <w:rPr>
          <w:rStyle w:val="FootnoteReference"/>
        </w:rPr>
        <w:footnoteRef/>
      </w:r>
      <w:r>
        <w:t xml:space="preserve"> Octagam </w:t>
      </w:r>
      <w:r w:rsidRPr="00D96104">
        <w:t>was first registered on the ARTG on 16</w:t>
      </w:r>
      <w:r>
        <w:t xml:space="preserve"> November </w:t>
      </w:r>
      <w:r w:rsidRPr="00D96104">
        <w:t xml:space="preserve">2004 (ARTG number: </w:t>
      </w:r>
      <w:r>
        <w:t>113925, 113926, 113927 and 113928</w:t>
      </w:r>
      <w:r w:rsidRPr="00D96104">
        <w:t>).</w:t>
      </w:r>
    </w:p>
  </w:footnote>
  <w:footnote w:id="3">
    <w:p w14:paraId="00D7A299" w14:textId="261E1E5A" w:rsidR="00F21428" w:rsidRDefault="00F21428">
      <w:pPr>
        <w:pStyle w:val="FootnoteText"/>
      </w:pPr>
      <w:r>
        <w:rPr>
          <w:rStyle w:val="FootnoteReference"/>
        </w:rPr>
        <w:footnoteRef/>
      </w:r>
      <w:r>
        <w:t xml:space="preserve"> </w:t>
      </w:r>
      <w:r w:rsidRPr="004F168F">
        <w:t xml:space="preserve">The </w:t>
      </w:r>
      <w:r w:rsidRPr="004F168F">
        <w:rPr>
          <w:b/>
        </w:rPr>
        <w:t>QT interval</w:t>
      </w:r>
      <w:r w:rsidRPr="004F168F">
        <w:t xml:space="preserve">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footnote>
  <w:footnote w:id="4">
    <w:p w14:paraId="4A1ADDF8" w14:textId="5C075C42" w:rsidR="00F21428" w:rsidRDefault="00F21428" w:rsidP="004F168F">
      <w:pPr>
        <w:pStyle w:val="FootnoteText"/>
      </w:pPr>
      <w:r>
        <w:rPr>
          <w:rStyle w:val="FootnoteReference"/>
        </w:rPr>
        <w:footnoteRef/>
      </w:r>
      <w:r>
        <w:t xml:space="preserve"> A </w:t>
      </w:r>
      <w:r w:rsidRPr="004F168F">
        <w:rPr>
          <w:b/>
        </w:rPr>
        <w:t>Product Information (PI)</w:t>
      </w:r>
      <w:r>
        <w:t xml:space="preserve"> document provides health professionals with a summary of the scientific information relevant to the safe and effective use of a prescription medicine. The information in a product information document has been written by the pharmaceutical company responsible for the medicine and has been approved by the TGA. It provides objective information about the quality, safety and effectiveness of the medicine, as demonstrated in the data provided to the TGA by the pharmaceutical company.</w:t>
      </w:r>
    </w:p>
    <w:p w14:paraId="6938B5DA" w14:textId="03C2522F" w:rsidR="00F21428" w:rsidRDefault="00F21428" w:rsidP="004F168F">
      <w:pPr>
        <w:pStyle w:val="FootnoteText"/>
      </w:pPr>
      <w:r>
        <w:t>This information is intended to assist doctors, pharmacists and other health professionals in prescribing and dispensing medicines. In addition, this information can be used by health professionals in their consultations with patients, so that the patient can be better informed about their medicines.</w:t>
      </w:r>
    </w:p>
  </w:footnote>
  <w:footnote w:id="5">
    <w:p w14:paraId="4908B984" w14:textId="09761BAD" w:rsidR="00F21428" w:rsidRDefault="00F21428">
      <w:pPr>
        <w:pStyle w:val="FootnoteText"/>
      </w:pPr>
      <w:r>
        <w:rPr>
          <w:rStyle w:val="FootnoteReference"/>
        </w:rPr>
        <w:footnoteRef/>
      </w:r>
      <w:r>
        <w:t xml:space="preserve"> </w:t>
      </w:r>
      <w:r w:rsidRPr="00955C32">
        <w:t>European Medicines Agency (EMA), Committee for Medicinal Products for Human Use (CHMP), Guideline on The Clinical Investigation of Human Normal Immunoglobulin for Subcutaneous and/or Intramuscular Administration (SCIg/IMIg), EMA/CHMP/BPWP/410415/2011 rev 1, 23 July 2015.</w:t>
      </w:r>
    </w:p>
  </w:footnote>
  <w:footnote w:id="6">
    <w:p w14:paraId="0D42754F" w14:textId="576AE0C1" w:rsidR="00F21428" w:rsidRDefault="00F21428">
      <w:pPr>
        <w:pStyle w:val="FootnoteText"/>
      </w:pPr>
      <w:r>
        <w:rPr>
          <w:rStyle w:val="FootnoteReference"/>
        </w:rPr>
        <w:footnoteRef/>
      </w:r>
      <w:r>
        <w:t xml:space="preserve"> </w:t>
      </w:r>
      <w:r w:rsidRPr="00735EA7">
        <w:t>Octanorm</w:t>
      </w:r>
      <w:r w:rsidRPr="007D49A3">
        <w:t xml:space="preserve"> </w:t>
      </w:r>
      <w:r>
        <w:t xml:space="preserve">is </w:t>
      </w:r>
      <w:r w:rsidRPr="007D49A3">
        <w:t xml:space="preserve">marketed as </w:t>
      </w:r>
      <w:r>
        <w:t>C</w:t>
      </w:r>
      <w:r w:rsidRPr="007D49A3">
        <w:t xml:space="preserve">utaquig in Canada and </w:t>
      </w:r>
      <w:r>
        <w:t>the United States of America</w:t>
      </w:r>
      <w:r w:rsidRPr="007D49A3">
        <w:t xml:space="preserve"> and registere</w:t>
      </w:r>
      <w:r>
        <w:t>d under this tradename in several European countries.</w:t>
      </w:r>
    </w:p>
  </w:footnote>
  <w:footnote w:id="7">
    <w:p w14:paraId="09E625BC" w14:textId="3786F509" w:rsidR="00F21428" w:rsidRDefault="00F21428">
      <w:pPr>
        <w:pStyle w:val="FootnoteText"/>
      </w:pPr>
      <w:r>
        <w:rPr>
          <w:rStyle w:val="FootnoteReference"/>
        </w:rPr>
        <w:footnoteRef/>
      </w:r>
      <w:r>
        <w:t xml:space="preserve"> </w:t>
      </w:r>
      <w:r w:rsidRPr="00630653">
        <w:t>U.S. Department of Health and Human Services, Food and Drug Administration, Center for Biologics Evaluation and Research, Guidance for Industry: Safety, Efficacy, and Pharmacokinetic Studies to Support Marketing of Immune Globulin Intravenous (Human) as Replacement Therapy for Primary Humoral Immunodeficiency, June 2008.</w:t>
      </w:r>
    </w:p>
  </w:footnote>
  <w:footnote w:id="8">
    <w:p w14:paraId="21F1076C" w14:textId="2A1B7C84" w:rsidR="00F21428" w:rsidRDefault="00F21428">
      <w:pPr>
        <w:pStyle w:val="FootnoteText"/>
      </w:pPr>
      <w:r>
        <w:rPr>
          <w:rStyle w:val="FootnoteReference"/>
        </w:rPr>
        <w:footnoteRef/>
      </w:r>
      <w:r>
        <w:t xml:space="preserve"> </w:t>
      </w:r>
      <w:r w:rsidRPr="0033411B">
        <w:t>Inclusion of these information is beyond the scope of the AusPAR.</w:t>
      </w:r>
    </w:p>
  </w:footnote>
  <w:footnote w:id="9">
    <w:p w14:paraId="60CC7555" w14:textId="77777777" w:rsidR="00F21428" w:rsidRDefault="00F21428"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1EBE304C" w14:textId="77777777" w:rsidR="00F21428" w:rsidRDefault="00F21428" w:rsidP="007D53B6">
      <w:pPr>
        <w:pStyle w:val="FootnoteText"/>
      </w:pPr>
      <w:r w:rsidRPr="007D53B6">
        <w:rPr>
          <w:i/>
        </w:rPr>
        <w:t>Routine pharmacovigilance</w:t>
      </w:r>
      <w:r>
        <w:t xml:space="preserve"> practices involve the following activities:</w:t>
      </w:r>
    </w:p>
    <w:p w14:paraId="014F951A" w14:textId="77777777" w:rsidR="00F21428" w:rsidRDefault="00F21428" w:rsidP="007D53B6">
      <w:pPr>
        <w:pStyle w:val="FootnoteText"/>
        <w:numPr>
          <w:ilvl w:val="0"/>
          <w:numId w:val="32"/>
        </w:numPr>
        <w:ind w:left="284" w:hanging="284"/>
      </w:pPr>
      <w:r>
        <w:t>All suspected adverse reactions that are reported to the personnel of the company are collected and collated in an accessible manner;</w:t>
      </w:r>
    </w:p>
    <w:p w14:paraId="6517B07A" w14:textId="77777777" w:rsidR="00F21428" w:rsidRDefault="00F21428" w:rsidP="007D53B6">
      <w:pPr>
        <w:pStyle w:val="FootnoteText"/>
        <w:numPr>
          <w:ilvl w:val="0"/>
          <w:numId w:val="32"/>
        </w:numPr>
        <w:ind w:left="284" w:hanging="284"/>
      </w:pPr>
      <w:r>
        <w:t>Reporting to regulatory authorities;</w:t>
      </w:r>
    </w:p>
    <w:p w14:paraId="58DA34B4" w14:textId="77777777" w:rsidR="00F21428" w:rsidRDefault="00F21428" w:rsidP="007D53B6">
      <w:pPr>
        <w:pStyle w:val="FootnoteText"/>
        <w:numPr>
          <w:ilvl w:val="0"/>
          <w:numId w:val="32"/>
        </w:numPr>
        <w:ind w:left="284" w:hanging="284"/>
      </w:pPr>
      <w:r>
        <w:t>Continuous monitoring of the safety profiles of approved products including signal detection and updating of labelling;</w:t>
      </w:r>
    </w:p>
    <w:p w14:paraId="4624B069" w14:textId="77777777" w:rsidR="00F21428" w:rsidRDefault="00F21428" w:rsidP="007D53B6">
      <w:pPr>
        <w:pStyle w:val="FootnoteText"/>
        <w:numPr>
          <w:ilvl w:val="0"/>
          <w:numId w:val="32"/>
        </w:numPr>
        <w:ind w:left="284" w:hanging="284"/>
      </w:pPr>
      <w:r>
        <w:t>Submission of PSURs;</w:t>
      </w:r>
    </w:p>
    <w:p w14:paraId="08908FE1" w14:textId="77777777" w:rsidR="00F21428" w:rsidRDefault="00F21428" w:rsidP="007D53B6">
      <w:pPr>
        <w:pStyle w:val="FootnoteText"/>
        <w:numPr>
          <w:ilvl w:val="0"/>
          <w:numId w:val="32"/>
        </w:numPr>
        <w:ind w:left="284" w:hanging="284"/>
      </w:pPr>
      <w:r>
        <w:t>Meeting other local regulatory agency requirements.</w:t>
      </w:r>
    </w:p>
  </w:footnote>
  <w:footnote w:id="10">
    <w:p w14:paraId="4C279D78" w14:textId="295E449F" w:rsidR="00F21428" w:rsidRDefault="00F21428">
      <w:pPr>
        <w:pStyle w:val="FootnoteText"/>
      </w:pPr>
      <w:r>
        <w:rPr>
          <w:rStyle w:val="FootnoteReference"/>
        </w:rPr>
        <w:footnoteRef/>
      </w:r>
      <w:r>
        <w:t xml:space="preserve"> </w:t>
      </w:r>
      <w:r w:rsidRPr="004F168F">
        <w:t xml:space="preserve">The </w:t>
      </w:r>
      <w:r w:rsidRPr="004F168F">
        <w:rPr>
          <w:b/>
        </w:rPr>
        <w:t>Consumer Medicines Information (CMI)</w:t>
      </w:r>
      <w:r w:rsidRPr="004F168F">
        <w:t xml:space="preserve"> is a leaflet that contains information on the safe and effective use of a prescription or specified over-the-counter medicine. Sponsors are required to provide CMIs prior to new prescription medicines and specified over-the-counter (OTC) medicines being released to the market. Products that have been registered but not yet released to the market will not have accompanying CMI documents. For medicines that do have a CMI, the sponsor is required to make it available to consumers either in the pack or in another manner that will enable the information to be given to the person to whom the medicine is administered or otherwise dispensed.</w:t>
      </w:r>
    </w:p>
  </w:footnote>
  <w:footnote w:id="11">
    <w:p w14:paraId="5C6885E4" w14:textId="56F291E8" w:rsidR="00F21428" w:rsidRDefault="00F21428">
      <w:pPr>
        <w:pStyle w:val="FootnoteText"/>
      </w:pPr>
      <w:r>
        <w:rPr>
          <w:rStyle w:val="FootnoteReference"/>
        </w:rPr>
        <w:footnoteRef/>
      </w:r>
      <w:r>
        <w:t xml:space="preserve"> </w:t>
      </w:r>
      <w:r w:rsidRPr="00B031EE">
        <w:t>Cuvitru was first registered on the ARTG on 5 October 2017 (ARTG number: 282579).</w:t>
      </w:r>
    </w:p>
  </w:footnote>
  <w:footnote w:id="12">
    <w:p w14:paraId="18AE784C" w14:textId="60EA512D" w:rsidR="00F21428" w:rsidRDefault="00F21428">
      <w:pPr>
        <w:pStyle w:val="FootnoteText"/>
      </w:pPr>
      <w:r>
        <w:rPr>
          <w:rStyle w:val="FootnoteReference"/>
        </w:rPr>
        <w:footnoteRef/>
      </w:r>
      <w:r>
        <w:t xml:space="preserve"> Hizentra </w:t>
      </w:r>
      <w:r w:rsidRPr="00B031EE">
        <w:t>was first registered on the ARTG on 8</w:t>
      </w:r>
      <w:r>
        <w:t xml:space="preserve"> May </w:t>
      </w:r>
      <w:r w:rsidRPr="00B031EE">
        <w:t>2014 (ARTG number: 207383</w:t>
      </w:r>
      <w:r>
        <w:t xml:space="preserve">, </w:t>
      </w:r>
      <w:r w:rsidRPr="00B031EE">
        <w:t>207384</w:t>
      </w:r>
      <w:r>
        <w:t xml:space="preserve">, </w:t>
      </w:r>
      <w:r w:rsidRPr="00B031EE">
        <w:t>207385</w:t>
      </w:r>
      <w:r>
        <w:t xml:space="preserve"> and </w:t>
      </w:r>
      <w:r w:rsidRPr="00B031EE">
        <w:t>207386).</w:t>
      </w:r>
    </w:p>
  </w:footnote>
  <w:footnote w:id="13">
    <w:p w14:paraId="176C24AA" w14:textId="1111A1D7" w:rsidR="00F21428" w:rsidRDefault="00F21428">
      <w:pPr>
        <w:pStyle w:val="FootnoteText"/>
      </w:pPr>
      <w:r>
        <w:rPr>
          <w:rStyle w:val="FootnoteReference"/>
        </w:rPr>
        <w:footnoteRef/>
      </w:r>
      <w:r>
        <w:t xml:space="preserve"> </w:t>
      </w:r>
      <w:r w:rsidRPr="00B90C12">
        <w:t>Evogam was first registered on the ARTG on 15 January 2013 (ARTG number: 204954, 204955 and 204956).</w:t>
      </w:r>
    </w:p>
  </w:footnote>
  <w:footnote w:id="14">
    <w:p w14:paraId="217806DC" w14:textId="4CD84138" w:rsidR="00F21428" w:rsidRDefault="00F21428">
      <w:pPr>
        <w:pStyle w:val="FootnoteText"/>
      </w:pPr>
      <w:r>
        <w:rPr>
          <w:rStyle w:val="FootnoteReference"/>
        </w:rPr>
        <w:footnoteRef/>
      </w:r>
      <w:r>
        <w:t xml:space="preserve"> </w:t>
      </w:r>
      <w:r w:rsidRPr="00B90C12">
        <w:t>Gammanorm was first registered on the ARTG on 18 January 2008 (ARTG number: 128703 and 128705).</w:t>
      </w:r>
    </w:p>
  </w:footnote>
  <w:footnote w:id="15">
    <w:p w14:paraId="2CEC5526" w14:textId="77777777" w:rsidR="00F21428" w:rsidRDefault="00F21428"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018B654E" w14:textId="77777777" w:rsidR="00F21428" w:rsidRPr="00456765" w:rsidRDefault="00F21428"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7A9AB" w14:textId="77777777" w:rsidR="00F672AB" w:rsidRDefault="00F6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FC528" w14:textId="77777777" w:rsidR="00F21428" w:rsidRDefault="00F21428"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F9EB7" w14:textId="77777777" w:rsidR="00F21428" w:rsidRDefault="00F21428">
    <w:pPr>
      <w:rPr>
        <w:noProof/>
        <w:lang w:eastAsia="en-AU"/>
      </w:rPr>
    </w:pPr>
    <w:r w:rsidRPr="00347824">
      <w:rPr>
        <w:noProof/>
        <w:lang w:eastAsia="en-AU"/>
      </w:rPr>
      <w:drawing>
        <wp:anchor distT="0" distB="0" distL="114300" distR="114300" simplePos="0" relativeHeight="251659264" behindDoc="1" locked="0" layoutInCell="1" allowOverlap="1" wp14:anchorId="1A29AF16" wp14:editId="4C2EA161">
          <wp:simplePos x="0" y="0"/>
          <wp:positionH relativeFrom="column">
            <wp:posOffset>-1089660</wp:posOffset>
          </wp:positionH>
          <wp:positionV relativeFrom="paragraph">
            <wp:posOffset>-585470</wp:posOffset>
          </wp:positionV>
          <wp:extent cx="7572375" cy="10706100"/>
          <wp:effectExtent l="19050" t="0" r="0" b="0"/>
          <wp:wrapNone/>
          <wp:docPr id="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A08C74B" w14:textId="77777777" w:rsidR="00F21428" w:rsidRDefault="00F21428"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F4BE5" w14:textId="77777777" w:rsidR="00F21428" w:rsidRDefault="00F214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B85A" w14:textId="77777777" w:rsidR="00F21428" w:rsidRDefault="00F21428">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30410" w14:textId="77777777" w:rsidR="00F21428" w:rsidRDefault="00F21428">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E194D" w14:textId="77777777" w:rsidR="00F21428" w:rsidRDefault="00F2142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9F371" w14:textId="77777777" w:rsidR="00F21428" w:rsidRDefault="00F21428"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CB771" w14:textId="77777777" w:rsidR="00F21428" w:rsidRDefault="00F21428" w:rsidP="006E08B3">
    <w:r>
      <w:t>Therapeutic Goods Administration</w:t>
    </w:r>
  </w:p>
  <w:p w14:paraId="3E863428" w14:textId="77777777" w:rsidR="00F21428" w:rsidRDefault="00F21428"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CB528A9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DB2A9492"/>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C1686E"/>
    <w:multiLevelType w:val="hybridMultilevel"/>
    <w:tmpl w:val="1F58B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3"/>
  </w:num>
  <w:num w:numId="29">
    <w:abstractNumId w:val="7"/>
  </w:num>
  <w:num w:numId="30">
    <w:abstractNumId w:val="9"/>
  </w:num>
  <w:num w:numId="31">
    <w:abstractNumId w:val="4"/>
  </w:num>
  <w:num w:numId="32">
    <w:abstractNumId w:val="12"/>
  </w:num>
  <w:num w:numId="33">
    <w:abstractNumId w:val="5"/>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7CD"/>
    <w:rsid w:val="00002031"/>
    <w:rsid w:val="00004734"/>
    <w:rsid w:val="00006B22"/>
    <w:rsid w:val="00006FAB"/>
    <w:rsid w:val="0001276A"/>
    <w:rsid w:val="000246AE"/>
    <w:rsid w:val="00025C67"/>
    <w:rsid w:val="00044772"/>
    <w:rsid w:val="0004541C"/>
    <w:rsid w:val="0005559E"/>
    <w:rsid w:val="000604D6"/>
    <w:rsid w:val="000734D8"/>
    <w:rsid w:val="00077775"/>
    <w:rsid w:val="00077837"/>
    <w:rsid w:val="0007799A"/>
    <w:rsid w:val="00090471"/>
    <w:rsid w:val="00096AA7"/>
    <w:rsid w:val="000A0E97"/>
    <w:rsid w:val="000A1A4A"/>
    <w:rsid w:val="000A3AED"/>
    <w:rsid w:val="000B3532"/>
    <w:rsid w:val="000B3A75"/>
    <w:rsid w:val="000C00C2"/>
    <w:rsid w:val="000C5F88"/>
    <w:rsid w:val="000C690F"/>
    <w:rsid w:val="000D1295"/>
    <w:rsid w:val="000D391B"/>
    <w:rsid w:val="000D3D6D"/>
    <w:rsid w:val="000D4FC7"/>
    <w:rsid w:val="000E6196"/>
    <w:rsid w:val="000F4869"/>
    <w:rsid w:val="000F5B42"/>
    <w:rsid w:val="000F6E6F"/>
    <w:rsid w:val="00102D92"/>
    <w:rsid w:val="0010601F"/>
    <w:rsid w:val="0010788A"/>
    <w:rsid w:val="00107A03"/>
    <w:rsid w:val="00107A31"/>
    <w:rsid w:val="00107B06"/>
    <w:rsid w:val="00110EA5"/>
    <w:rsid w:val="00112F56"/>
    <w:rsid w:val="00113998"/>
    <w:rsid w:val="00122C2E"/>
    <w:rsid w:val="00124ACD"/>
    <w:rsid w:val="00125318"/>
    <w:rsid w:val="001273B0"/>
    <w:rsid w:val="001305A2"/>
    <w:rsid w:val="00133238"/>
    <w:rsid w:val="00133A1B"/>
    <w:rsid w:val="0014197B"/>
    <w:rsid w:val="001447CD"/>
    <w:rsid w:val="001516B1"/>
    <w:rsid w:val="00154EBB"/>
    <w:rsid w:val="00156316"/>
    <w:rsid w:val="00161181"/>
    <w:rsid w:val="00162D14"/>
    <w:rsid w:val="00163780"/>
    <w:rsid w:val="00165389"/>
    <w:rsid w:val="00174496"/>
    <w:rsid w:val="00176624"/>
    <w:rsid w:val="0017693F"/>
    <w:rsid w:val="0018110E"/>
    <w:rsid w:val="00181555"/>
    <w:rsid w:val="00181684"/>
    <w:rsid w:val="001843C6"/>
    <w:rsid w:val="00184FBD"/>
    <w:rsid w:val="001850E0"/>
    <w:rsid w:val="00187D6B"/>
    <w:rsid w:val="00195486"/>
    <w:rsid w:val="001A03AF"/>
    <w:rsid w:val="001A2158"/>
    <w:rsid w:val="001A525F"/>
    <w:rsid w:val="001B09F9"/>
    <w:rsid w:val="001B5C90"/>
    <w:rsid w:val="001B6448"/>
    <w:rsid w:val="001C32CD"/>
    <w:rsid w:val="001D2984"/>
    <w:rsid w:val="001E07CF"/>
    <w:rsid w:val="001E59F1"/>
    <w:rsid w:val="001E799E"/>
    <w:rsid w:val="001F2CEE"/>
    <w:rsid w:val="001F49EB"/>
    <w:rsid w:val="001F6CBA"/>
    <w:rsid w:val="00201D4E"/>
    <w:rsid w:val="002076C9"/>
    <w:rsid w:val="0021606F"/>
    <w:rsid w:val="00217C47"/>
    <w:rsid w:val="00220B8A"/>
    <w:rsid w:val="002217B5"/>
    <w:rsid w:val="00222F38"/>
    <w:rsid w:val="002257F3"/>
    <w:rsid w:val="00233456"/>
    <w:rsid w:val="002339A5"/>
    <w:rsid w:val="00246712"/>
    <w:rsid w:val="00250271"/>
    <w:rsid w:val="00257848"/>
    <w:rsid w:val="002578E8"/>
    <w:rsid w:val="00262AB3"/>
    <w:rsid w:val="0027084A"/>
    <w:rsid w:val="00280265"/>
    <w:rsid w:val="00282D24"/>
    <w:rsid w:val="00286434"/>
    <w:rsid w:val="00286C59"/>
    <w:rsid w:val="00291957"/>
    <w:rsid w:val="00292135"/>
    <w:rsid w:val="00292C8E"/>
    <w:rsid w:val="002942D1"/>
    <w:rsid w:val="0029501A"/>
    <w:rsid w:val="002A3721"/>
    <w:rsid w:val="002B1638"/>
    <w:rsid w:val="002B3624"/>
    <w:rsid w:val="002C7956"/>
    <w:rsid w:val="002D0952"/>
    <w:rsid w:val="002E40B3"/>
    <w:rsid w:val="002E4C9A"/>
    <w:rsid w:val="002F11F8"/>
    <w:rsid w:val="002F3F56"/>
    <w:rsid w:val="002F44B5"/>
    <w:rsid w:val="002F5122"/>
    <w:rsid w:val="003029DB"/>
    <w:rsid w:val="00311AC0"/>
    <w:rsid w:val="003176FC"/>
    <w:rsid w:val="00322598"/>
    <w:rsid w:val="00324E45"/>
    <w:rsid w:val="0032583B"/>
    <w:rsid w:val="00327883"/>
    <w:rsid w:val="0033411B"/>
    <w:rsid w:val="00335504"/>
    <w:rsid w:val="00340C18"/>
    <w:rsid w:val="003442FD"/>
    <w:rsid w:val="00347824"/>
    <w:rsid w:val="00350567"/>
    <w:rsid w:val="003510BC"/>
    <w:rsid w:val="003521E8"/>
    <w:rsid w:val="00364F31"/>
    <w:rsid w:val="00370CE3"/>
    <w:rsid w:val="003728F3"/>
    <w:rsid w:val="003735BC"/>
    <w:rsid w:val="0037496E"/>
    <w:rsid w:val="00383221"/>
    <w:rsid w:val="00386150"/>
    <w:rsid w:val="003874CE"/>
    <w:rsid w:val="00390900"/>
    <w:rsid w:val="003A2167"/>
    <w:rsid w:val="003A2CB8"/>
    <w:rsid w:val="003A7F6C"/>
    <w:rsid w:val="003B2ED6"/>
    <w:rsid w:val="003B4D60"/>
    <w:rsid w:val="003B5C43"/>
    <w:rsid w:val="003B7E39"/>
    <w:rsid w:val="003C58DC"/>
    <w:rsid w:val="003C6472"/>
    <w:rsid w:val="003D1E62"/>
    <w:rsid w:val="003D35C8"/>
    <w:rsid w:val="003E0B99"/>
    <w:rsid w:val="003E2486"/>
    <w:rsid w:val="003E2512"/>
    <w:rsid w:val="003E3208"/>
    <w:rsid w:val="003E3ED4"/>
    <w:rsid w:val="003F0B04"/>
    <w:rsid w:val="003F0D37"/>
    <w:rsid w:val="0040134E"/>
    <w:rsid w:val="00402741"/>
    <w:rsid w:val="004046B1"/>
    <w:rsid w:val="00404DD9"/>
    <w:rsid w:val="00424997"/>
    <w:rsid w:val="00427FEA"/>
    <w:rsid w:val="0043025C"/>
    <w:rsid w:val="004334C7"/>
    <w:rsid w:val="0043392B"/>
    <w:rsid w:val="00440A2D"/>
    <w:rsid w:val="00441C3F"/>
    <w:rsid w:val="00443FB8"/>
    <w:rsid w:val="00444D1A"/>
    <w:rsid w:val="0045186A"/>
    <w:rsid w:val="004564A7"/>
    <w:rsid w:val="00456765"/>
    <w:rsid w:val="00460036"/>
    <w:rsid w:val="004617BF"/>
    <w:rsid w:val="00463658"/>
    <w:rsid w:val="004637A0"/>
    <w:rsid w:val="00465036"/>
    <w:rsid w:val="004722CC"/>
    <w:rsid w:val="00482833"/>
    <w:rsid w:val="004869B6"/>
    <w:rsid w:val="00490483"/>
    <w:rsid w:val="004936E4"/>
    <w:rsid w:val="0049498A"/>
    <w:rsid w:val="00494E60"/>
    <w:rsid w:val="00497487"/>
    <w:rsid w:val="004A2771"/>
    <w:rsid w:val="004A6189"/>
    <w:rsid w:val="004A7390"/>
    <w:rsid w:val="004B439E"/>
    <w:rsid w:val="004B7831"/>
    <w:rsid w:val="004B7B76"/>
    <w:rsid w:val="004C0D5C"/>
    <w:rsid w:val="004C239D"/>
    <w:rsid w:val="004C2DCA"/>
    <w:rsid w:val="004C4FBE"/>
    <w:rsid w:val="004C61D2"/>
    <w:rsid w:val="004D371D"/>
    <w:rsid w:val="004E757D"/>
    <w:rsid w:val="004F0C4A"/>
    <w:rsid w:val="004F0F38"/>
    <w:rsid w:val="004F168F"/>
    <w:rsid w:val="004F4133"/>
    <w:rsid w:val="004F47D6"/>
    <w:rsid w:val="004F5F1D"/>
    <w:rsid w:val="00500337"/>
    <w:rsid w:val="00501921"/>
    <w:rsid w:val="00530354"/>
    <w:rsid w:val="0053625B"/>
    <w:rsid w:val="00537557"/>
    <w:rsid w:val="00540CF0"/>
    <w:rsid w:val="005434C6"/>
    <w:rsid w:val="00543B39"/>
    <w:rsid w:val="00543B9A"/>
    <w:rsid w:val="00546154"/>
    <w:rsid w:val="00550096"/>
    <w:rsid w:val="0055078A"/>
    <w:rsid w:val="00551860"/>
    <w:rsid w:val="00555280"/>
    <w:rsid w:val="00557FF9"/>
    <w:rsid w:val="00562327"/>
    <w:rsid w:val="005711D5"/>
    <w:rsid w:val="00576378"/>
    <w:rsid w:val="00577130"/>
    <w:rsid w:val="00577945"/>
    <w:rsid w:val="00577E38"/>
    <w:rsid w:val="0058252F"/>
    <w:rsid w:val="00585322"/>
    <w:rsid w:val="005857C6"/>
    <w:rsid w:val="00590D74"/>
    <w:rsid w:val="00592F6E"/>
    <w:rsid w:val="00593AD1"/>
    <w:rsid w:val="00597769"/>
    <w:rsid w:val="005A1BF4"/>
    <w:rsid w:val="005A4FC2"/>
    <w:rsid w:val="005A68B6"/>
    <w:rsid w:val="005C2087"/>
    <w:rsid w:val="005C5570"/>
    <w:rsid w:val="005C5B66"/>
    <w:rsid w:val="005C79A4"/>
    <w:rsid w:val="005D5442"/>
    <w:rsid w:val="005E7C89"/>
    <w:rsid w:val="00603F32"/>
    <w:rsid w:val="00605736"/>
    <w:rsid w:val="00605AD4"/>
    <w:rsid w:val="006136D7"/>
    <w:rsid w:val="00625A6E"/>
    <w:rsid w:val="00626C45"/>
    <w:rsid w:val="00627643"/>
    <w:rsid w:val="00630653"/>
    <w:rsid w:val="00632398"/>
    <w:rsid w:val="00640FC3"/>
    <w:rsid w:val="00642020"/>
    <w:rsid w:val="006430EE"/>
    <w:rsid w:val="00647505"/>
    <w:rsid w:val="0065098D"/>
    <w:rsid w:val="00651F4E"/>
    <w:rsid w:val="0065337B"/>
    <w:rsid w:val="0065419D"/>
    <w:rsid w:val="006603BC"/>
    <w:rsid w:val="006604D8"/>
    <w:rsid w:val="00664A5B"/>
    <w:rsid w:val="00665AF5"/>
    <w:rsid w:val="0066735C"/>
    <w:rsid w:val="00672269"/>
    <w:rsid w:val="006763D2"/>
    <w:rsid w:val="006807CF"/>
    <w:rsid w:val="00680C08"/>
    <w:rsid w:val="006827A0"/>
    <w:rsid w:val="006848E4"/>
    <w:rsid w:val="006916A0"/>
    <w:rsid w:val="0069175E"/>
    <w:rsid w:val="006931B1"/>
    <w:rsid w:val="006A15C0"/>
    <w:rsid w:val="006A58A8"/>
    <w:rsid w:val="006B3400"/>
    <w:rsid w:val="006C0E46"/>
    <w:rsid w:val="006C3E2A"/>
    <w:rsid w:val="006C642F"/>
    <w:rsid w:val="006D03E5"/>
    <w:rsid w:val="006D5D3E"/>
    <w:rsid w:val="006E08B3"/>
    <w:rsid w:val="006F17AC"/>
    <w:rsid w:val="006F25B8"/>
    <w:rsid w:val="006F572E"/>
    <w:rsid w:val="007046D6"/>
    <w:rsid w:val="00705DB0"/>
    <w:rsid w:val="00716DFD"/>
    <w:rsid w:val="007179B0"/>
    <w:rsid w:val="00722B57"/>
    <w:rsid w:val="00724560"/>
    <w:rsid w:val="00730F8A"/>
    <w:rsid w:val="00734D89"/>
    <w:rsid w:val="00735A8C"/>
    <w:rsid w:val="00735EA7"/>
    <w:rsid w:val="0074253D"/>
    <w:rsid w:val="00744121"/>
    <w:rsid w:val="0074429B"/>
    <w:rsid w:val="007569E3"/>
    <w:rsid w:val="007615BC"/>
    <w:rsid w:val="00762F05"/>
    <w:rsid w:val="007652FF"/>
    <w:rsid w:val="00770C17"/>
    <w:rsid w:val="00770CAC"/>
    <w:rsid w:val="00770EF1"/>
    <w:rsid w:val="00773EF7"/>
    <w:rsid w:val="007746E8"/>
    <w:rsid w:val="00774E1D"/>
    <w:rsid w:val="007765D8"/>
    <w:rsid w:val="0077675A"/>
    <w:rsid w:val="00780355"/>
    <w:rsid w:val="007819FD"/>
    <w:rsid w:val="00785717"/>
    <w:rsid w:val="00785721"/>
    <w:rsid w:val="00793A59"/>
    <w:rsid w:val="00794437"/>
    <w:rsid w:val="007A46F5"/>
    <w:rsid w:val="007A6505"/>
    <w:rsid w:val="007B6132"/>
    <w:rsid w:val="007B6E9F"/>
    <w:rsid w:val="007C1216"/>
    <w:rsid w:val="007C1AF7"/>
    <w:rsid w:val="007C6B9B"/>
    <w:rsid w:val="007D49A3"/>
    <w:rsid w:val="007D53B6"/>
    <w:rsid w:val="007E32DC"/>
    <w:rsid w:val="007F5989"/>
    <w:rsid w:val="00805D27"/>
    <w:rsid w:val="00806177"/>
    <w:rsid w:val="00806DCB"/>
    <w:rsid w:val="00821776"/>
    <w:rsid w:val="008242D1"/>
    <w:rsid w:val="008321F5"/>
    <w:rsid w:val="00832369"/>
    <w:rsid w:val="00834660"/>
    <w:rsid w:val="00835515"/>
    <w:rsid w:val="00836BC2"/>
    <w:rsid w:val="00851307"/>
    <w:rsid w:val="0085156D"/>
    <w:rsid w:val="00852B28"/>
    <w:rsid w:val="0085641B"/>
    <w:rsid w:val="00857136"/>
    <w:rsid w:val="0086026B"/>
    <w:rsid w:val="00875A6B"/>
    <w:rsid w:val="00885B11"/>
    <w:rsid w:val="00886D15"/>
    <w:rsid w:val="00887DD8"/>
    <w:rsid w:val="00891BA9"/>
    <w:rsid w:val="00896018"/>
    <w:rsid w:val="008960DD"/>
    <w:rsid w:val="0089635C"/>
    <w:rsid w:val="00897A53"/>
    <w:rsid w:val="008A2B9D"/>
    <w:rsid w:val="008A3D9F"/>
    <w:rsid w:val="008A5E0B"/>
    <w:rsid w:val="008A6D59"/>
    <w:rsid w:val="008A78DD"/>
    <w:rsid w:val="008B4B03"/>
    <w:rsid w:val="008B596F"/>
    <w:rsid w:val="008C159F"/>
    <w:rsid w:val="008C1623"/>
    <w:rsid w:val="008C1850"/>
    <w:rsid w:val="008C51A9"/>
    <w:rsid w:val="008E05D5"/>
    <w:rsid w:val="008E7846"/>
    <w:rsid w:val="008F0016"/>
    <w:rsid w:val="008F02E5"/>
    <w:rsid w:val="008F1CCC"/>
    <w:rsid w:val="008F2967"/>
    <w:rsid w:val="008F6943"/>
    <w:rsid w:val="008F7930"/>
    <w:rsid w:val="00902A21"/>
    <w:rsid w:val="00907C81"/>
    <w:rsid w:val="0091523F"/>
    <w:rsid w:val="00920330"/>
    <w:rsid w:val="009219D7"/>
    <w:rsid w:val="00922D53"/>
    <w:rsid w:val="00923B70"/>
    <w:rsid w:val="00924482"/>
    <w:rsid w:val="00925757"/>
    <w:rsid w:val="00930237"/>
    <w:rsid w:val="009319F1"/>
    <w:rsid w:val="009377A9"/>
    <w:rsid w:val="00937C17"/>
    <w:rsid w:val="00937E6A"/>
    <w:rsid w:val="0094023F"/>
    <w:rsid w:val="00940A89"/>
    <w:rsid w:val="00941F77"/>
    <w:rsid w:val="00946EA5"/>
    <w:rsid w:val="00955C32"/>
    <w:rsid w:val="00960520"/>
    <w:rsid w:val="00963C08"/>
    <w:rsid w:val="009752A5"/>
    <w:rsid w:val="0098337F"/>
    <w:rsid w:val="0098585A"/>
    <w:rsid w:val="00986AE6"/>
    <w:rsid w:val="009A4CED"/>
    <w:rsid w:val="009A690D"/>
    <w:rsid w:val="009B1D12"/>
    <w:rsid w:val="009B2A22"/>
    <w:rsid w:val="009B416B"/>
    <w:rsid w:val="009C1292"/>
    <w:rsid w:val="009C4BD5"/>
    <w:rsid w:val="009D4629"/>
    <w:rsid w:val="009D7564"/>
    <w:rsid w:val="009D7B77"/>
    <w:rsid w:val="009E0BB0"/>
    <w:rsid w:val="009E2D9D"/>
    <w:rsid w:val="009E3FBB"/>
    <w:rsid w:val="009F7353"/>
    <w:rsid w:val="009F77EF"/>
    <w:rsid w:val="00A04F85"/>
    <w:rsid w:val="00A05FA4"/>
    <w:rsid w:val="00A102E4"/>
    <w:rsid w:val="00A1219C"/>
    <w:rsid w:val="00A12C42"/>
    <w:rsid w:val="00A14DF7"/>
    <w:rsid w:val="00A178B2"/>
    <w:rsid w:val="00A17941"/>
    <w:rsid w:val="00A22D57"/>
    <w:rsid w:val="00A3246D"/>
    <w:rsid w:val="00A3359B"/>
    <w:rsid w:val="00A36FA7"/>
    <w:rsid w:val="00A445BE"/>
    <w:rsid w:val="00A44DDB"/>
    <w:rsid w:val="00A475B7"/>
    <w:rsid w:val="00A47AF7"/>
    <w:rsid w:val="00A47C3E"/>
    <w:rsid w:val="00A500B6"/>
    <w:rsid w:val="00A50226"/>
    <w:rsid w:val="00A60BAD"/>
    <w:rsid w:val="00A650AD"/>
    <w:rsid w:val="00A70897"/>
    <w:rsid w:val="00A77F87"/>
    <w:rsid w:val="00A80B5B"/>
    <w:rsid w:val="00A82808"/>
    <w:rsid w:val="00A84E36"/>
    <w:rsid w:val="00A95649"/>
    <w:rsid w:val="00A95C3D"/>
    <w:rsid w:val="00A964D1"/>
    <w:rsid w:val="00AA0ED0"/>
    <w:rsid w:val="00AA1DD3"/>
    <w:rsid w:val="00AC2B40"/>
    <w:rsid w:val="00AC2BB2"/>
    <w:rsid w:val="00AC2C3C"/>
    <w:rsid w:val="00AC512D"/>
    <w:rsid w:val="00AC60E8"/>
    <w:rsid w:val="00AD0083"/>
    <w:rsid w:val="00AD3935"/>
    <w:rsid w:val="00AE65EB"/>
    <w:rsid w:val="00AE67A7"/>
    <w:rsid w:val="00AF1D94"/>
    <w:rsid w:val="00AF60C5"/>
    <w:rsid w:val="00B009C6"/>
    <w:rsid w:val="00B01548"/>
    <w:rsid w:val="00B01B1A"/>
    <w:rsid w:val="00B031EE"/>
    <w:rsid w:val="00B057CD"/>
    <w:rsid w:val="00B06117"/>
    <w:rsid w:val="00B130C5"/>
    <w:rsid w:val="00B138B6"/>
    <w:rsid w:val="00B13EBD"/>
    <w:rsid w:val="00B21D29"/>
    <w:rsid w:val="00B24E1A"/>
    <w:rsid w:val="00B25034"/>
    <w:rsid w:val="00B33588"/>
    <w:rsid w:val="00B33863"/>
    <w:rsid w:val="00B37BEB"/>
    <w:rsid w:val="00B37D17"/>
    <w:rsid w:val="00B4175E"/>
    <w:rsid w:val="00B41C85"/>
    <w:rsid w:val="00B42A17"/>
    <w:rsid w:val="00B44859"/>
    <w:rsid w:val="00B452CE"/>
    <w:rsid w:val="00B469B0"/>
    <w:rsid w:val="00B46FDB"/>
    <w:rsid w:val="00B54C25"/>
    <w:rsid w:val="00B6795E"/>
    <w:rsid w:val="00B76B91"/>
    <w:rsid w:val="00B77EB1"/>
    <w:rsid w:val="00B811C6"/>
    <w:rsid w:val="00B81855"/>
    <w:rsid w:val="00B855B0"/>
    <w:rsid w:val="00B90C12"/>
    <w:rsid w:val="00B925DA"/>
    <w:rsid w:val="00B92E08"/>
    <w:rsid w:val="00B93A2D"/>
    <w:rsid w:val="00BA0EC3"/>
    <w:rsid w:val="00BB1FA4"/>
    <w:rsid w:val="00BC3ECE"/>
    <w:rsid w:val="00BC4CB8"/>
    <w:rsid w:val="00BC622A"/>
    <w:rsid w:val="00BD594F"/>
    <w:rsid w:val="00BE0A78"/>
    <w:rsid w:val="00BE41FD"/>
    <w:rsid w:val="00BE79F0"/>
    <w:rsid w:val="00BF046D"/>
    <w:rsid w:val="00BF1190"/>
    <w:rsid w:val="00BF3774"/>
    <w:rsid w:val="00BF5D04"/>
    <w:rsid w:val="00C009AA"/>
    <w:rsid w:val="00C1164D"/>
    <w:rsid w:val="00C16861"/>
    <w:rsid w:val="00C346AB"/>
    <w:rsid w:val="00C404A6"/>
    <w:rsid w:val="00C40A36"/>
    <w:rsid w:val="00C44419"/>
    <w:rsid w:val="00C45E7B"/>
    <w:rsid w:val="00C471B1"/>
    <w:rsid w:val="00C525A2"/>
    <w:rsid w:val="00C52E24"/>
    <w:rsid w:val="00C6316B"/>
    <w:rsid w:val="00C634A9"/>
    <w:rsid w:val="00C64586"/>
    <w:rsid w:val="00C70A36"/>
    <w:rsid w:val="00C70D53"/>
    <w:rsid w:val="00C73D0B"/>
    <w:rsid w:val="00C73EA2"/>
    <w:rsid w:val="00C747B2"/>
    <w:rsid w:val="00C74F5C"/>
    <w:rsid w:val="00C772FF"/>
    <w:rsid w:val="00C80137"/>
    <w:rsid w:val="00C801AF"/>
    <w:rsid w:val="00C80256"/>
    <w:rsid w:val="00C94CD4"/>
    <w:rsid w:val="00C9747E"/>
    <w:rsid w:val="00CA4799"/>
    <w:rsid w:val="00CB568C"/>
    <w:rsid w:val="00CB6BC0"/>
    <w:rsid w:val="00CC1B7C"/>
    <w:rsid w:val="00CC203E"/>
    <w:rsid w:val="00CC69C2"/>
    <w:rsid w:val="00CC727F"/>
    <w:rsid w:val="00CD3AC3"/>
    <w:rsid w:val="00CD4FC6"/>
    <w:rsid w:val="00CD5DA2"/>
    <w:rsid w:val="00CE3812"/>
    <w:rsid w:val="00CF15C3"/>
    <w:rsid w:val="00CF2B6F"/>
    <w:rsid w:val="00CF2F3E"/>
    <w:rsid w:val="00CF58B6"/>
    <w:rsid w:val="00CF5DAD"/>
    <w:rsid w:val="00D0062D"/>
    <w:rsid w:val="00D017ED"/>
    <w:rsid w:val="00D040D3"/>
    <w:rsid w:val="00D04C65"/>
    <w:rsid w:val="00D127C4"/>
    <w:rsid w:val="00D153D8"/>
    <w:rsid w:val="00D201D2"/>
    <w:rsid w:val="00D224FE"/>
    <w:rsid w:val="00D23139"/>
    <w:rsid w:val="00D36013"/>
    <w:rsid w:val="00D425BB"/>
    <w:rsid w:val="00D447BA"/>
    <w:rsid w:val="00D453FA"/>
    <w:rsid w:val="00D6493E"/>
    <w:rsid w:val="00D7195D"/>
    <w:rsid w:val="00D72677"/>
    <w:rsid w:val="00D7301E"/>
    <w:rsid w:val="00D83AE1"/>
    <w:rsid w:val="00D855D4"/>
    <w:rsid w:val="00D902C9"/>
    <w:rsid w:val="00D93466"/>
    <w:rsid w:val="00D96104"/>
    <w:rsid w:val="00DA1124"/>
    <w:rsid w:val="00DA26F1"/>
    <w:rsid w:val="00DA64CB"/>
    <w:rsid w:val="00DA67EF"/>
    <w:rsid w:val="00DA6E93"/>
    <w:rsid w:val="00DB06B8"/>
    <w:rsid w:val="00DB1A82"/>
    <w:rsid w:val="00DB6124"/>
    <w:rsid w:val="00DB750B"/>
    <w:rsid w:val="00DB75B7"/>
    <w:rsid w:val="00DC0A2F"/>
    <w:rsid w:val="00DC1948"/>
    <w:rsid w:val="00DC6E02"/>
    <w:rsid w:val="00DD28CD"/>
    <w:rsid w:val="00DD468D"/>
    <w:rsid w:val="00DE02AE"/>
    <w:rsid w:val="00DE39D1"/>
    <w:rsid w:val="00DE6F3C"/>
    <w:rsid w:val="00DF17CD"/>
    <w:rsid w:val="00DF1D7F"/>
    <w:rsid w:val="00DF4BE4"/>
    <w:rsid w:val="00E02382"/>
    <w:rsid w:val="00E02FB4"/>
    <w:rsid w:val="00E03159"/>
    <w:rsid w:val="00E12C91"/>
    <w:rsid w:val="00E13FC7"/>
    <w:rsid w:val="00E20571"/>
    <w:rsid w:val="00E235F7"/>
    <w:rsid w:val="00E23659"/>
    <w:rsid w:val="00E239D4"/>
    <w:rsid w:val="00E26130"/>
    <w:rsid w:val="00E33D42"/>
    <w:rsid w:val="00E40B22"/>
    <w:rsid w:val="00E44ED1"/>
    <w:rsid w:val="00E45619"/>
    <w:rsid w:val="00E4588F"/>
    <w:rsid w:val="00E46DA3"/>
    <w:rsid w:val="00E51BB1"/>
    <w:rsid w:val="00E52944"/>
    <w:rsid w:val="00E55CB0"/>
    <w:rsid w:val="00E624A5"/>
    <w:rsid w:val="00E64BA4"/>
    <w:rsid w:val="00E725A7"/>
    <w:rsid w:val="00E7344E"/>
    <w:rsid w:val="00E82665"/>
    <w:rsid w:val="00E8380E"/>
    <w:rsid w:val="00E85F9C"/>
    <w:rsid w:val="00E87641"/>
    <w:rsid w:val="00E90DFA"/>
    <w:rsid w:val="00EB0798"/>
    <w:rsid w:val="00EB40AD"/>
    <w:rsid w:val="00EB586E"/>
    <w:rsid w:val="00EB5FC8"/>
    <w:rsid w:val="00EC0E61"/>
    <w:rsid w:val="00EC463D"/>
    <w:rsid w:val="00EC7A85"/>
    <w:rsid w:val="00ED2922"/>
    <w:rsid w:val="00ED3567"/>
    <w:rsid w:val="00ED3CAD"/>
    <w:rsid w:val="00ED45EE"/>
    <w:rsid w:val="00ED5A41"/>
    <w:rsid w:val="00EE02D1"/>
    <w:rsid w:val="00EE1DE8"/>
    <w:rsid w:val="00EE27C2"/>
    <w:rsid w:val="00EF37AB"/>
    <w:rsid w:val="00EF4BAD"/>
    <w:rsid w:val="00EF59DC"/>
    <w:rsid w:val="00F033EC"/>
    <w:rsid w:val="00F04F68"/>
    <w:rsid w:val="00F12670"/>
    <w:rsid w:val="00F14B27"/>
    <w:rsid w:val="00F21428"/>
    <w:rsid w:val="00F278AF"/>
    <w:rsid w:val="00F3148D"/>
    <w:rsid w:val="00F325C5"/>
    <w:rsid w:val="00F32FE0"/>
    <w:rsid w:val="00F35298"/>
    <w:rsid w:val="00F406F0"/>
    <w:rsid w:val="00F47333"/>
    <w:rsid w:val="00F47E37"/>
    <w:rsid w:val="00F53C07"/>
    <w:rsid w:val="00F54B65"/>
    <w:rsid w:val="00F55FF8"/>
    <w:rsid w:val="00F63DBF"/>
    <w:rsid w:val="00F640B6"/>
    <w:rsid w:val="00F66DF2"/>
    <w:rsid w:val="00F672AB"/>
    <w:rsid w:val="00F7361E"/>
    <w:rsid w:val="00F761BE"/>
    <w:rsid w:val="00F80E40"/>
    <w:rsid w:val="00F848D9"/>
    <w:rsid w:val="00F90092"/>
    <w:rsid w:val="00FA4935"/>
    <w:rsid w:val="00FA5069"/>
    <w:rsid w:val="00FA5B82"/>
    <w:rsid w:val="00FA639E"/>
    <w:rsid w:val="00FB5C04"/>
    <w:rsid w:val="00FC1FCA"/>
    <w:rsid w:val="00FC25E4"/>
    <w:rsid w:val="00FC4EF7"/>
    <w:rsid w:val="00FC541D"/>
    <w:rsid w:val="00FD0824"/>
    <w:rsid w:val="00FD119B"/>
    <w:rsid w:val="00FD1EDC"/>
    <w:rsid w:val="00FD29FB"/>
    <w:rsid w:val="00FD4BA6"/>
    <w:rsid w:val="00FD78A2"/>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C2145E1"/>
  <w15:docId w15:val="{FC09B2C7-6FD7-4603-979D-2F021FFC7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F672AB"/>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list">
    <w:name w:val="Bullet list"/>
    <w:basedOn w:val="Normal"/>
    <w:link w:val="BulletlistChar"/>
    <w:qFormat/>
    <w:rsid w:val="00BB1FA4"/>
    <w:pPr>
      <w:numPr>
        <w:numId w:val="33"/>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BB1FA4"/>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BB1FA4"/>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BB1FA4"/>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BB1FA4"/>
    <w:rPr>
      <w:rFonts w:ascii="Cambria" w:eastAsia="Times New Roman" w:hAnsi="Cambria" w:cs="Times New Roman"/>
      <w:b/>
      <w:snapToGrid w:val="0"/>
      <w:kern w:val="16"/>
      <w:sz w:val="20"/>
      <w:szCs w:val="24"/>
    </w:rPr>
  </w:style>
  <w:style w:type="character" w:styleId="Emphasis">
    <w:name w:val="Emphasis"/>
    <w:basedOn w:val="DefaultParagraphFont"/>
    <w:uiPriority w:val="20"/>
    <w:qFormat/>
    <w:rsid w:val="001E799E"/>
    <w:rPr>
      <w:i/>
      <w:iCs/>
    </w:rPr>
  </w:style>
  <w:style w:type="paragraph" w:customStyle="1" w:styleId="Default">
    <w:name w:val="Default"/>
    <w:rsid w:val="00102D92"/>
    <w:pPr>
      <w:autoSpaceDE w:val="0"/>
      <w:autoSpaceDN w:val="0"/>
      <w:adjustRightInd w:val="0"/>
      <w:spacing w:after="0" w:line="240" w:lineRule="auto"/>
    </w:pPr>
    <w:rPr>
      <w:rFonts w:ascii="Times New Roman" w:hAnsi="Times New Roman" w:cs="Times New Roman"/>
      <w:color w:val="000000"/>
      <w:sz w:val="24"/>
      <w:szCs w:val="24"/>
      <w:lang w:val="de-AT"/>
    </w:rPr>
  </w:style>
  <w:style w:type="paragraph" w:customStyle="1" w:styleId="ATextBericht">
    <w:name w:val="A_Text_Bericht"/>
    <w:basedOn w:val="Normal"/>
    <w:link w:val="ATextBerichtZchn"/>
    <w:qFormat/>
    <w:rsid w:val="00CC69C2"/>
    <w:pPr>
      <w:spacing w:after="60" w:line="240" w:lineRule="auto"/>
      <w:jc w:val="both"/>
    </w:pPr>
    <w:rPr>
      <w:rFonts w:ascii="Times New Roman" w:eastAsia="Times New Roman" w:hAnsi="Times New Roman"/>
      <w:sz w:val="24"/>
      <w:szCs w:val="20"/>
      <w:lang w:val="en-GB" w:eastAsia="de-DE"/>
    </w:rPr>
  </w:style>
  <w:style w:type="character" w:customStyle="1" w:styleId="ATextBerichtZchn">
    <w:name w:val="A_Text_Bericht Zchn"/>
    <w:basedOn w:val="DefaultParagraphFont"/>
    <w:link w:val="ATextBericht"/>
    <w:rsid w:val="00CC69C2"/>
    <w:rPr>
      <w:rFonts w:ascii="Times New Roman" w:eastAsia="Times New Roman" w:hAnsi="Times New Roman" w:cs="Times New Roman"/>
      <w:sz w:val="24"/>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88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mailto:info@tga.gov.au" TargetMode="External"/><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yperlink" Target="https://www.tga.gov.au/product-information-p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4.xml"/><Relationship Id="rId33" Type="http://schemas.openxmlformats.org/officeDocument/2006/relationships/fontTable" Target="fontTable.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yperlink" Target="https://www.tga.gov.au" TargetMode="External"/><Relationship Id="rId30"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0BAFA-0BEB-4462-9F45-002F7D505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6066</Words>
  <Characters>35488</Characters>
  <Application>Microsoft Office Word</Application>
  <DocSecurity>0</DocSecurity>
  <Lines>1314</Lines>
  <Paragraphs>602</Paragraphs>
  <ScaleCrop>false</ScaleCrop>
  <HeadingPairs>
    <vt:vector size="2" baseType="variant">
      <vt:variant>
        <vt:lpstr>Title</vt:lpstr>
      </vt:variant>
      <vt:variant>
        <vt:i4>1</vt:i4>
      </vt:variant>
    </vt:vector>
  </HeadingPairs>
  <TitlesOfParts>
    <vt:vector size="1" baseType="lpstr">
      <vt:lpstr>Australian public assessment report for Human normal immunoglobulin</vt:lpstr>
    </vt:vector>
  </TitlesOfParts>
  <Company>Department of Health Therapeutic Goods Administration</Company>
  <LinksUpToDate>false</LinksUpToDate>
  <CharactersWithSpaces>40952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Human normal immunoglobulin</dc:title>
  <dc:subject>prescription medicines</dc:subject>
  <dc:creator>Therapeutic Goods Administration</dc:creator>
  <cp:keywords/>
  <cp:lastPrinted>2019-08-14T04:30:00Z</cp:lastPrinted>
  <dcterms:created xsi:type="dcterms:W3CDTF">2021-07-08T06:05:00Z</dcterms:created>
  <dcterms:modified xsi:type="dcterms:W3CDTF">2021-07-08T06:05:00Z</dcterms:modified>
  <cp:category/>
</cp:coreProperties>
</file>