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te of first round report: 30 August 2016&#10;Date of second round report: 6 March 2017&#10;"/>
      </w:tblPr>
      <w:tblGrid>
        <w:gridCol w:w="8626"/>
      </w:tblGrid>
      <w:tr w:rsidR="008E7846" w:rsidRPr="00487162" w:rsidTr="0074774A">
        <w:trPr>
          <w:trHeight w:val="1591"/>
        </w:trPr>
        <w:tc>
          <w:tcPr>
            <w:tcW w:w="8626" w:type="dxa"/>
            <w:tcBorders>
              <w:top w:val="nil"/>
              <w:left w:val="nil"/>
              <w:bottom w:val="nil"/>
              <w:right w:val="nil"/>
            </w:tcBorders>
          </w:tcPr>
          <w:p w:rsidR="008E7846" w:rsidRDefault="0074774A" w:rsidP="0074774A">
            <w:pPr>
              <w:rPr>
                <w:rFonts w:ascii="Arial" w:hAnsi="Arial" w:cs="Arial"/>
                <w:b/>
                <w:color w:val="002C47"/>
                <w:sz w:val="36"/>
                <w:szCs w:val="36"/>
              </w:rPr>
            </w:pPr>
            <w:r w:rsidRPr="0074774A">
              <w:rPr>
                <w:rFonts w:ascii="Arial" w:hAnsi="Arial" w:cs="Arial"/>
                <w:b/>
                <w:color w:val="002C47"/>
                <w:sz w:val="36"/>
                <w:szCs w:val="36"/>
              </w:rPr>
              <w:t>Date of first round report: 30</w:t>
            </w:r>
            <w:r>
              <w:rPr>
                <w:rFonts w:ascii="Arial" w:hAnsi="Arial" w:cs="Arial"/>
                <w:b/>
                <w:color w:val="002C47"/>
                <w:sz w:val="36"/>
                <w:szCs w:val="36"/>
              </w:rPr>
              <w:t xml:space="preserve"> </w:t>
            </w:r>
            <w:r w:rsidRPr="0074774A">
              <w:rPr>
                <w:rFonts w:ascii="Arial" w:hAnsi="Arial" w:cs="Arial"/>
                <w:b/>
                <w:color w:val="002C47"/>
                <w:sz w:val="36"/>
                <w:szCs w:val="36"/>
              </w:rPr>
              <w:t>August 2016</w:t>
            </w:r>
          </w:p>
          <w:p w:rsidR="0074774A" w:rsidRPr="0017078F" w:rsidRDefault="0074774A" w:rsidP="0074774A">
            <w:pPr>
              <w:rPr>
                <w:rFonts w:ascii="Arial" w:hAnsi="Arial" w:cs="Arial"/>
                <w:b/>
                <w:color w:val="002C47"/>
                <w:sz w:val="36"/>
                <w:szCs w:val="36"/>
              </w:rPr>
            </w:pPr>
            <w:r w:rsidRPr="0074774A">
              <w:rPr>
                <w:rFonts w:ascii="Arial" w:hAnsi="Arial" w:cs="Arial"/>
                <w:b/>
                <w:color w:val="002C47"/>
                <w:sz w:val="36"/>
                <w:szCs w:val="36"/>
              </w:rPr>
              <w:t>Date of second round report: 6 March 2017</w:t>
            </w:r>
          </w:p>
        </w:tc>
      </w:tr>
    </w:tbl>
    <w:tbl>
      <w:tblPr>
        <w:tblpPr w:leftFromText="180" w:rightFromText="180" w:vertAnchor="page" w:tblpY="3316"/>
        <w:tblW w:w="9079" w:type="dxa"/>
        <w:tblLayout w:type="fixed"/>
        <w:tblLook w:val="04A0" w:firstRow="1" w:lastRow="0" w:firstColumn="1" w:lastColumn="0" w:noHBand="0" w:noVBand="1"/>
        <w:tblDescription w:val="Date of first round report: 30 August 2016&#10;Date of second round report: 6 March 2017&#1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74774A">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4774A" w:rsidRPr="0074774A">
              <w:rPr>
                <w:color w:val="FFFFFF" w:themeColor="background1"/>
              </w:rPr>
              <w:t>Guanfacine hydrochloride</w:t>
            </w:r>
          </w:p>
        </w:tc>
      </w:tr>
      <w:tr w:rsidR="00E07F15" w:rsidRPr="00B64760" w:rsidTr="00E07F15">
        <w:tc>
          <w:tcPr>
            <w:tcW w:w="9079" w:type="dxa"/>
          </w:tcPr>
          <w:p w:rsidR="00E07F15" w:rsidRPr="008E7846" w:rsidRDefault="00E07F15" w:rsidP="0074774A">
            <w:pPr>
              <w:pStyle w:val="Subtitle"/>
              <w:rPr>
                <w:color w:val="FFFFFF" w:themeColor="background1"/>
              </w:rPr>
            </w:pPr>
            <w:r w:rsidRPr="008E7846">
              <w:rPr>
                <w:color w:val="FFFFFF" w:themeColor="background1"/>
              </w:rPr>
              <w:t xml:space="preserve">Proprietary Product Name: </w:t>
            </w:r>
            <w:r w:rsidR="0074774A" w:rsidRPr="0074774A">
              <w:rPr>
                <w:color w:val="FFFFFF" w:themeColor="background1"/>
              </w:rPr>
              <w:t>Intuniv</w:t>
            </w:r>
          </w:p>
        </w:tc>
      </w:tr>
      <w:tr w:rsidR="00E07F15" w:rsidRPr="00B64760" w:rsidTr="00E07F15">
        <w:trPr>
          <w:trHeight w:val="486"/>
        </w:trPr>
        <w:tc>
          <w:tcPr>
            <w:tcW w:w="9079" w:type="dxa"/>
          </w:tcPr>
          <w:p w:rsidR="00E07F15" w:rsidRPr="008E7846" w:rsidRDefault="00E07F15" w:rsidP="0074774A">
            <w:pPr>
              <w:pStyle w:val="Subtitle"/>
              <w:rPr>
                <w:color w:val="FFFFFF" w:themeColor="background1"/>
              </w:rPr>
            </w:pPr>
            <w:r w:rsidRPr="008E7846">
              <w:rPr>
                <w:color w:val="FFFFFF" w:themeColor="background1"/>
              </w:rPr>
              <w:t xml:space="preserve">Sponsor: </w:t>
            </w:r>
            <w:r w:rsidR="0074774A" w:rsidRPr="0074774A">
              <w:rPr>
                <w:color w:val="FFFFFF" w:themeColor="background1"/>
              </w:rPr>
              <w:t>Shire Australia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74774A">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266EEA">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814C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3217670" w:history="1">
            <w:r w:rsidR="006814CD" w:rsidRPr="002940D7">
              <w:rPr>
                <w:rStyle w:val="Hyperlink"/>
                <w:noProof/>
              </w:rPr>
              <w:t>List of common abbreviations</w:t>
            </w:r>
            <w:r w:rsidR="006814CD">
              <w:rPr>
                <w:noProof/>
                <w:webHidden/>
              </w:rPr>
              <w:tab/>
            </w:r>
            <w:r w:rsidR="006814CD">
              <w:rPr>
                <w:noProof/>
                <w:webHidden/>
              </w:rPr>
              <w:fldChar w:fldCharType="begin"/>
            </w:r>
            <w:r w:rsidR="006814CD">
              <w:rPr>
                <w:noProof/>
                <w:webHidden/>
              </w:rPr>
              <w:instrText xml:space="preserve"> PAGEREF _Toc513217670 \h </w:instrText>
            </w:r>
            <w:r w:rsidR="006814CD">
              <w:rPr>
                <w:noProof/>
                <w:webHidden/>
              </w:rPr>
            </w:r>
            <w:r w:rsidR="006814CD">
              <w:rPr>
                <w:noProof/>
                <w:webHidden/>
              </w:rPr>
              <w:fldChar w:fldCharType="separate"/>
            </w:r>
            <w:r w:rsidR="006814CD">
              <w:rPr>
                <w:noProof/>
                <w:webHidden/>
              </w:rPr>
              <w:t>5</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671" w:history="1">
            <w:r w:rsidR="006814CD" w:rsidRPr="002940D7">
              <w:rPr>
                <w:rStyle w:val="Hyperlink"/>
                <w:noProof/>
                <w:lang w:eastAsia="en-AU"/>
              </w:rPr>
              <w:t>1.</w:t>
            </w:r>
            <w:r w:rsidR="006814CD">
              <w:rPr>
                <w:rFonts w:asciiTheme="minorHAnsi" w:eastAsiaTheme="minorEastAsia" w:hAnsiTheme="minorHAnsi" w:cstheme="minorBidi"/>
                <w:b w:val="0"/>
                <w:noProof/>
                <w:sz w:val="22"/>
                <w:lang w:eastAsia="en-AU"/>
              </w:rPr>
              <w:tab/>
            </w:r>
            <w:r w:rsidR="006814CD" w:rsidRPr="002940D7">
              <w:rPr>
                <w:rStyle w:val="Hyperlink"/>
                <w:noProof/>
                <w:lang w:eastAsia="en-AU"/>
              </w:rPr>
              <w:t>Submission details</w:t>
            </w:r>
            <w:r w:rsidR="006814CD">
              <w:rPr>
                <w:noProof/>
                <w:webHidden/>
              </w:rPr>
              <w:tab/>
            </w:r>
            <w:r w:rsidR="006814CD">
              <w:rPr>
                <w:noProof/>
                <w:webHidden/>
              </w:rPr>
              <w:fldChar w:fldCharType="begin"/>
            </w:r>
            <w:r w:rsidR="006814CD">
              <w:rPr>
                <w:noProof/>
                <w:webHidden/>
              </w:rPr>
              <w:instrText xml:space="preserve"> PAGEREF _Toc513217671 \h </w:instrText>
            </w:r>
            <w:r w:rsidR="006814CD">
              <w:rPr>
                <w:noProof/>
                <w:webHidden/>
              </w:rPr>
            </w:r>
            <w:r w:rsidR="006814CD">
              <w:rPr>
                <w:noProof/>
                <w:webHidden/>
              </w:rPr>
              <w:fldChar w:fldCharType="separate"/>
            </w:r>
            <w:r w:rsidR="006814CD">
              <w:rPr>
                <w:noProof/>
                <w:webHidden/>
              </w:rPr>
              <w:t>9</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72" w:history="1">
            <w:r w:rsidR="006814CD" w:rsidRPr="002940D7">
              <w:rPr>
                <w:rStyle w:val="Hyperlink"/>
                <w:noProof/>
              </w:rPr>
              <w:t>1.1.</w:t>
            </w:r>
            <w:r w:rsidR="006814CD">
              <w:rPr>
                <w:rFonts w:asciiTheme="minorHAnsi" w:eastAsiaTheme="minorEastAsia" w:hAnsiTheme="minorHAnsi" w:cstheme="minorBidi"/>
                <w:noProof/>
                <w:lang w:eastAsia="en-AU"/>
              </w:rPr>
              <w:tab/>
            </w:r>
            <w:r w:rsidR="006814CD" w:rsidRPr="002940D7">
              <w:rPr>
                <w:rStyle w:val="Hyperlink"/>
                <w:noProof/>
              </w:rPr>
              <w:t>Identifying information</w:t>
            </w:r>
            <w:r w:rsidR="006814CD">
              <w:rPr>
                <w:noProof/>
                <w:webHidden/>
              </w:rPr>
              <w:tab/>
            </w:r>
            <w:r w:rsidR="006814CD">
              <w:rPr>
                <w:noProof/>
                <w:webHidden/>
              </w:rPr>
              <w:fldChar w:fldCharType="begin"/>
            </w:r>
            <w:r w:rsidR="006814CD">
              <w:rPr>
                <w:noProof/>
                <w:webHidden/>
              </w:rPr>
              <w:instrText xml:space="preserve"> PAGEREF _Toc513217672 \h </w:instrText>
            </w:r>
            <w:r w:rsidR="006814CD">
              <w:rPr>
                <w:noProof/>
                <w:webHidden/>
              </w:rPr>
            </w:r>
            <w:r w:rsidR="006814CD">
              <w:rPr>
                <w:noProof/>
                <w:webHidden/>
              </w:rPr>
              <w:fldChar w:fldCharType="separate"/>
            </w:r>
            <w:r w:rsidR="006814CD">
              <w:rPr>
                <w:noProof/>
                <w:webHidden/>
              </w:rPr>
              <w:t>9</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73" w:history="1">
            <w:r w:rsidR="006814CD" w:rsidRPr="002940D7">
              <w:rPr>
                <w:rStyle w:val="Hyperlink"/>
                <w:noProof/>
              </w:rPr>
              <w:t>1.2.</w:t>
            </w:r>
            <w:r w:rsidR="006814CD">
              <w:rPr>
                <w:rFonts w:asciiTheme="minorHAnsi" w:eastAsiaTheme="minorEastAsia" w:hAnsiTheme="minorHAnsi" w:cstheme="minorBidi"/>
                <w:noProof/>
                <w:lang w:eastAsia="en-AU"/>
              </w:rPr>
              <w:tab/>
            </w:r>
            <w:r w:rsidR="006814CD" w:rsidRPr="002940D7">
              <w:rPr>
                <w:rStyle w:val="Hyperlink"/>
                <w:noProof/>
              </w:rPr>
              <w:t>Submission type</w:t>
            </w:r>
            <w:r w:rsidR="006814CD">
              <w:rPr>
                <w:noProof/>
                <w:webHidden/>
              </w:rPr>
              <w:tab/>
            </w:r>
            <w:r w:rsidR="006814CD">
              <w:rPr>
                <w:noProof/>
                <w:webHidden/>
              </w:rPr>
              <w:fldChar w:fldCharType="begin"/>
            </w:r>
            <w:r w:rsidR="006814CD">
              <w:rPr>
                <w:noProof/>
                <w:webHidden/>
              </w:rPr>
              <w:instrText xml:space="preserve"> PAGEREF _Toc513217673 \h </w:instrText>
            </w:r>
            <w:r w:rsidR="006814CD">
              <w:rPr>
                <w:noProof/>
                <w:webHidden/>
              </w:rPr>
            </w:r>
            <w:r w:rsidR="006814CD">
              <w:rPr>
                <w:noProof/>
                <w:webHidden/>
              </w:rPr>
              <w:fldChar w:fldCharType="separate"/>
            </w:r>
            <w:r w:rsidR="006814CD">
              <w:rPr>
                <w:noProof/>
                <w:webHidden/>
              </w:rPr>
              <w:t>9</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74" w:history="1">
            <w:r w:rsidR="006814CD" w:rsidRPr="002940D7">
              <w:rPr>
                <w:rStyle w:val="Hyperlink"/>
                <w:noProof/>
              </w:rPr>
              <w:t>1.3.</w:t>
            </w:r>
            <w:r w:rsidR="006814CD">
              <w:rPr>
                <w:rFonts w:asciiTheme="minorHAnsi" w:eastAsiaTheme="minorEastAsia" w:hAnsiTheme="minorHAnsi" w:cstheme="minorBidi"/>
                <w:noProof/>
                <w:lang w:eastAsia="en-AU"/>
              </w:rPr>
              <w:tab/>
            </w:r>
            <w:r w:rsidR="006814CD" w:rsidRPr="002940D7">
              <w:rPr>
                <w:rStyle w:val="Hyperlink"/>
                <w:noProof/>
              </w:rPr>
              <w:t>Drug class and therapeutic indication</w:t>
            </w:r>
            <w:r w:rsidR="006814CD">
              <w:rPr>
                <w:noProof/>
                <w:webHidden/>
              </w:rPr>
              <w:tab/>
            </w:r>
            <w:r w:rsidR="006814CD">
              <w:rPr>
                <w:noProof/>
                <w:webHidden/>
              </w:rPr>
              <w:fldChar w:fldCharType="begin"/>
            </w:r>
            <w:r w:rsidR="006814CD">
              <w:rPr>
                <w:noProof/>
                <w:webHidden/>
              </w:rPr>
              <w:instrText xml:space="preserve"> PAGEREF _Toc513217674 \h </w:instrText>
            </w:r>
            <w:r w:rsidR="006814CD">
              <w:rPr>
                <w:noProof/>
                <w:webHidden/>
              </w:rPr>
            </w:r>
            <w:r w:rsidR="006814CD">
              <w:rPr>
                <w:noProof/>
                <w:webHidden/>
              </w:rPr>
              <w:fldChar w:fldCharType="separate"/>
            </w:r>
            <w:r w:rsidR="006814CD">
              <w:rPr>
                <w:noProof/>
                <w:webHidden/>
              </w:rPr>
              <w:t>9</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75" w:history="1">
            <w:r w:rsidR="006814CD" w:rsidRPr="002940D7">
              <w:rPr>
                <w:rStyle w:val="Hyperlink"/>
                <w:noProof/>
              </w:rPr>
              <w:t>1.4.</w:t>
            </w:r>
            <w:r w:rsidR="006814CD">
              <w:rPr>
                <w:rFonts w:asciiTheme="minorHAnsi" w:eastAsiaTheme="minorEastAsia" w:hAnsiTheme="minorHAnsi" w:cstheme="minorBidi"/>
                <w:noProof/>
                <w:lang w:eastAsia="en-AU"/>
              </w:rPr>
              <w:tab/>
            </w:r>
            <w:r w:rsidR="006814CD" w:rsidRPr="002940D7">
              <w:rPr>
                <w:rStyle w:val="Hyperlink"/>
                <w:noProof/>
              </w:rPr>
              <w:t>Dosage forms and strengths</w:t>
            </w:r>
            <w:r w:rsidR="006814CD">
              <w:rPr>
                <w:noProof/>
                <w:webHidden/>
              </w:rPr>
              <w:tab/>
            </w:r>
            <w:r w:rsidR="006814CD">
              <w:rPr>
                <w:noProof/>
                <w:webHidden/>
              </w:rPr>
              <w:fldChar w:fldCharType="begin"/>
            </w:r>
            <w:r w:rsidR="006814CD">
              <w:rPr>
                <w:noProof/>
                <w:webHidden/>
              </w:rPr>
              <w:instrText xml:space="preserve"> PAGEREF _Toc513217675 \h </w:instrText>
            </w:r>
            <w:r w:rsidR="006814CD">
              <w:rPr>
                <w:noProof/>
                <w:webHidden/>
              </w:rPr>
            </w:r>
            <w:r w:rsidR="006814CD">
              <w:rPr>
                <w:noProof/>
                <w:webHidden/>
              </w:rPr>
              <w:fldChar w:fldCharType="separate"/>
            </w:r>
            <w:r w:rsidR="006814CD">
              <w:rPr>
                <w:noProof/>
                <w:webHidden/>
              </w:rPr>
              <w:t>9</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76" w:history="1">
            <w:r w:rsidR="006814CD" w:rsidRPr="002940D7">
              <w:rPr>
                <w:rStyle w:val="Hyperlink"/>
                <w:noProof/>
              </w:rPr>
              <w:t>1.5.</w:t>
            </w:r>
            <w:r w:rsidR="006814CD">
              <w:rPr>
                <w:rFonts w:asciiTheme="minorHAnsi" w:eastAsiaTheme="minorEastAsia" w:hAnsiTheme="minorHAnsi" w:cstheme="minorBidi"/>
                <w:noProof/>
                <w:lang w:eastAsia="en-AU"/>
              </w:rPr>
              <w:tab/>
            </w:r>
            <w:r w:rsidR="006814CD" w:rsidRPr="002940D7">
              <w:rPr>
                <w:rStyle w:val="Hyperlink"/>
                <w:noProof/>
              </w:rPr>
              <w:t>Dosage and administration</w:t>
            </w:r>
            <w:r w:rsidR="006814CD">
              <w:rPr>
                <w:noProof/>
                <w:webHidden/>
              </w:rPr>
              <w:tab/>
            </w:r>
            <w:r w:rsidR="006814CD">
              <w:rPr>
                <w:noProof/>
                <w:webHidden/>
              </w:rPr>
              <w:fldChar w:fldCharType="begin"/>
            </w:r>
            <w:r w:rsidR="006814CD">
              <w:rPr>
                <w:noProof/>
                <w:webHidden/>
              </w:rPr>
              <w:instrText xml:space="preserve"> PAGEREF _Toc513217676 \h </w:instrText>
            </w:r>
            <w:r w:rsidR="006814CD">
              <w:rPr>
                <w:noProof/>
                <w:webHidden/>
              </w:rPr>
            </w:r>
            <w:r w:rsidR="006814CD">
              <w:rPr>
                <w:noProof/>
                <w:webHidden/>
              </w:rPr>
              <w:fldChar w:fldCharType="separate"/>
            </w:r>
            <w:r w:rsidR="006814CD">
              <w:rPr>
                <w:noProof/>
                <w:webHidden/>
              </w:rPr>
              <w:t>9</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677" w:history="1">
            <w:r w:rsidR="006814CD" w:rsidRPr="002940D7">
              <w:rPr>
                <w:rStyle w:val="Hyperlink"/>
                <w:noProof/>
              </w:rPr>
              <w:t>2.</w:t>
            </w:r>
            <w:r w:rsidR="006814CD">
              <w:rPr>
                <w:rFonts w:asciiTheme="minorHAnsi" w:eastAsiaTheme="minorEastAsia" w:hAnsiTheme="minorHAnsi" w:cstheme="minorBidi"/>
                <w:b w:val="0"/>
                <w:noProof/>
                <w:sz w:val="22"/>
                <w:lang w:eastAsia="en-AU"/>
              </w:rPr>
              <w:tab/>
            </w:r>
            <w:r w:rsidR="006814CD" w:rsidRPr="002940D7">
              <w:rPr>
                <w:rStyle w:val="Hyperlink"/>
                <w:noProof/>
              </w:rPr>
              <w:t>Background</w:t>
            </w:r>
            <w:r w:rsidR="006814CD">
              <w:rPr>
                <w:noProof/>
                <w:webHidden/>
              </w:rPr>
              <w:tab/>
            </w:r>
            <w:r w:rsidR="006814CD">
              <w:rPr>
                <w:noProof/>
                <w:webHidden/>
              </w:rPr>
              <w:fldChar w:fldCharType="begin"/>
            </w:r>
            <w:r w:rsidR="006814CD">
              <w:rPr>
                <w:noProof/>
                <w:webHidden/>
              </w:rPr>
              <w:instrText xml:space="preserve"> PAGEREF _Toc513217677 \h </w:instrText>
            </w:r>
            <w:r w:rsidR="006814CD">
              <w:rPr>
                <w:noProof/>
                <w:webHidden/>
              </w:rPr>
            </w:r>
            <w:r w:rsidR="006814CD">
              <w:rPr>
                <w:noProof/>
                <w:webHidden/>
              </w:rPr>
              <w:fldChar w:fldCharType="separate"/>
            </w:r>
            <w:r w:rsidR="006814CD">
              <w:rPr>
                <w:noProof/>
                <w:webHidden/>
              </w:rPr>
              <w:t>10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78" w:history="1">
            <w:r w:rsidR="006814CD" w:rsidRPr="002940D7">
              <w:rPr>
                <w:rStyle w:val="Hyperlink"/>
                <w:noProof/>
              </w:rPr>
              <w:t>2.1.</w:t>
            </w:r>
            <w:r w:rsidR="006814CD">
              <w:rPr>
                <w:rFonts w:asciiTheme="minorHAnsi" w:eastAsiaTheme="minorEastAsia" w:hAnsiTheme="minorHAnsi" w:cstheme="minorBidi"/>
                <w:noProof/>
                <w:lang w:eastAsia="en-AU"/>
              </w:rPr>
              <w:tab/>
            </w:r>
            <w:r w:rsidR="006814CD" w:rsidRPr="002940D7">
              <w:rPr>
                <w:rStyle w:val="Hyperlink"/>
                <w:noProof/>
              </w:rPr>
              <w:t>Information on the condition being treated</w:t>
            </w:r>
            <w:r w:rsidR="006814CD">
              <w:rPr>
                <w:noProof/>
                <w:webHidden/>
              </w:rPr>
              <w:tab/>
            </w:r>
            <w:r w:rsidR="006814CD">
              <w:rPr>
                <w:noProof/>
                <w:webHidden/>
              </w:rPr>
              <w:fldChar w:fldCharType="begin"/>
            </w:r>
            <w:r w:rsidR="006814CD">
              <w:rPr>
                <w:noProof/>
                <w:webHidden/>
              </w:rPr>
              <w:instrText xml:space="preserve"> PAGEREF _Toc513217678 \h </w:instrText>
            </w:r>
            <w:r w:rsidR="006814CD">
              <w:rPr>
                <w:noProof/>
                <w:webHidden/>
              </w:rPr>
            </w:r>
            <w:r w:rsidR="006814CD">
              <w:rPr>
                <w:noProof/>
                <w:webHidden/>
              </w:rPr>
              <w:fldChar w:fldCharType="separate"/>
            </w:r>
            <w:r w:rsidR="006814CD">
              <w:rPr>
                <w:noProof/>
                <w:webHidden/>
              </w:rPr>
              <w:t>10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79" w:history="1">
            <w:r w:rsidR="006814CD" w:rsidRPr="002940D7">
              <w:rPr>
                <w:rStyle w:val="Hyperlink"/>
                <w:noProof/>
              </w:rPr>
              <w:t>2.2.</w:t>
            </w:r>
            <w:r w:rsidR="006814CD">
              <w:rPr>
                <w:rFonts w:asciiTheme="minorHAnsi" w:eastAsiaTheme="minorEastAsia" w:hAnsiTheme="minorHAnsi" w:cstheme="minorBidi"/>
                <w:noProof/>
                <w:lang w:eastAsia="en-AU"/>
              </w:rPr>
              <w:tab/>
            </w:r>
            <w:r w:rsidR="006814CD" w:rsidRPr="002940D7">
              <w:rPr>
                <w:rStyle w:val="Hyperlink"/>
                <w:noProof/>
              </w:rPr>
              <w:t>Current treatment options</w:t>
            </w:r>
            <w:r w:rsidR="006814CD">
              <w:rPr>
                <w:noProof/>
                <w:webHidden/>
              </w:rPr>
              <w:tab/>
            </w:r>
            <w:r w:rsidR="006814CD">
              <w:rPr>
                <w:noProof/>
                <w:webHidden/>
              </w:rPr>
              <w:fldChar w:fldCharType="begin"/>
            </w:r>
            <w:r w:rsidR="006814CD">
              <w:rPr>
                <w:noProof/>
                <w:webHidden/>
              </w:rPr>
              <w:instrText xml:space="preserve"> PAGEREF _Toc513217679 \h </w:instrText>
            </w:r>
            <w:r w:rsidR="006814CD">
              <w:rPr>
                <w:noProof/>
                <w:webHidden/>
              </w:rPr>
            </w:r>
            <w:r w:rsidR="006814CD">
              <w:rPr>
                <w:noProof/>
                <w:webHidden/>
              </w:rPr>
              <w:fldChar w:fldCharType="separate"/>
            </w:r>
            <w:r w:rsidR="006814CD">
              <w:rPr>
                <w:noProof/>
                <w:webHidden/>
              </w:rPr>
              <w:t>11</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80" w:history="1">
            <w:r w:rsidR="006814CD" w:rsidRPr="002940D7">
              <w:rPr>
                <w:rStyle w:val="Hyperlink"/>
                <w:noProof/>
              </w:rPr>
              <w:t>2.3.</w:t>
            </w:r>
            <w:r w:rsidR="006814CD">
              <w:rPr>
                <w:rFonts w:asciiTheme="minorHAnsi" w:eastAsiaTheme="minorEastAsia" w:hAnsiTheme="minorHAnsi" w:cstheme="minorBidi"/>
                <w:noProof/>
                <w:lang w:eastAsia="en-AU"/>
              </w:rPr>
              <w:tab/>
            </w:r>
            <w:r w:rsidR="006814CD" w:rsidRPr="002940D7">
              <w:rPr>
                <w:rStyle w:val="Hyperlink"/>
                <w:noProof/>
              </w:rPr>
              <w:t>Clinical rationale</w:t>
            </w:r>
            <w:r w:rsidR="006814CD">
              <w:rPr>
                <w:noProof/>
                <w:webHidden/>
              </w:rPr>
              <w:tab/>
            </w:r>
            <w:r w:rsidR="006814CD">
              <w:rPr>
                <w:noProof/>
                <w:webHidden/>
              </w:rPr>
              <w:fldChar w:fldCharType="begin"/>
            </w:r>
            <w:r w:rsidR="006814CD">
              <w:rPr>
                <w:noProof/>
                <w:webHidden/>
              </w:rPr>
              <w:instrText xml:space="preserve"> PAGEREF _Toc513217680 \h </w:instrText>
            </w:r>
            <w:r w:rsidR="006814CD">
              <w:rPr>
                <w:noProof/>
                <w:webHidden/>
              </w:rPr>
            </w:r>
            <w:r w:rsidR="006814CD">
              <w:rPr>
                <w:noProof/>
                <w:webHidden/>
              </w:rPr>
              <w:fldChar w:fldCharType="separate"/>
            </w:r>
            <w:r w:rsidR="006814CD">
              <w:rPr>
                <w:noProof/>
                <w:webHidden/>
              </w:rPr>
              <w:t>11</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81" w:history="1">
            <w:r w:rsidR="006814CD" w:rsidRPr="002940D7">
              <w:rPr>
                <w:rStyle w:val="Hyperlink"/>
                <w:noProof/>
              </w:rPr>
              <w:t>2.4.</w:t>
            </w:r>
            <w:r w:rsidR="006814CD">
              <w:rPr>
                <w:rFonts w:asciiTheme="minorHAnsi" w:eastAsiaTheme="minorEastAsia" w:hAnsiTheme="minorHAnsi" w:cstheme="minorBidi"/>
                <w:noProof/>
                <w:lang w:eastAsia="en-AU"/>
              </w:rPr>
              <w:tab/>
            </w:r>
            <w:r w:rsidR="006814CD" w:rsidRPr="002940D7">
              <w:rPr>
                <w:rStyle w:val="Hyperlink"/>
                <w:noProof/>
              </w:rPr>
              <w:t>Guidance</w:t>
            </w:r>
            <w:r w:rsidR="006814CD">
              <w:rPr>
                <w:noProof/>
                <w:webHidden/>
              </w:rPr>
              <w:tab/>
            </w:r>
            <w:r w:rsidR="006814CD">
              <w:rPr>
                <w:noProof/>
                <w:webHidden/>
              </w:rPr>
              <w:fldChar w:fldCharType="begin"/>
            </w:r>
            <w:r w:rsidR="006814CD">
              <w:rPr>
                <w:noProof/>
                <w:webHidden/>
              </w:rPr>
              <w:instrText xml:space="preserve"> PAGEREF _Toc513217681 \h </w:instrText>
            </w:r>
            <w:r w:rsidR="006814CD">
              <w:rPr>
                <w:noProof/>
                <w:webHidden/>
              </w:rPr>
            </w:r>
            <w:r w:rsidR="006814CD">
              <w:rPr>
                <w:noProof/>
                <w:webHidden/>
              </w:rPr>
              <w:fldChar w:fldCharType="separate"/>
            </w:r>
            <w:r w:rsidR="006814CD">
              <w:rPr>
                <w:noProof/>
                <w:webHidden/>
              </w:rPr>
              <w:t>12</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82" w:history="1">
            <w:r w:rsidR="006814CD" w:rsidRPr="002940D7">
              <w:rPr>
                <w:rStyle w:val="Hyperlink"/>
                <w:noProof/>
              </w:rPr>
              <w:t>2.5.</w:t>
            </w:r>
            <w:r w:rsidR="006814CD">
              <w:rPr>
                <w:rFonts w:asciiTheme="minorHAnsi" w:eastAsiaTheme="minorEastAsia" w:hAnsiTheme="minorHAnsi" w:cstheme="minorBidi"/>
                <w:noProof/>
                <w:lang w:eastAsia="en-AU"/>
              </w:rPr>
              <w:tab/>
            </w:r>
            <w:r w:rsidR="006814CD" w:rsidRPr="002940D7">
              <w:rPr>
                <w:rStyle w:val="Hyperlink"/>
                <w:noProof/>
              </w:rPr>
              <w:t>Evaluator’s commentary on the background information</w:t>
            </w:r>
            <w:r w:rsidR="006814CD">
              <w:rPr>
                <w:noProof/>
                <w:webHidden/>
              </w:rPr>
              <w:tab/>
            </w:r>
            <w:r w:rsidR="006814CD">
              <w:rPr>
                <w:noProof/>
                <w:webHidden/>
              </w:rPr>
              <w:fldChar w:fldCharType="begin"/>
            </w:r>
            <w:r w:rsidR="006814CD">
              <w:rPr>
                <w:noProof/>
                <w:webHidden/>
              </w:rPr>
              <w:instrText xml:space="preserve"> PAGEREF _Toc513217682 \h </w:instrText>
            </w:r>
            <w:r w:rsidR="006814CD">
              <w:rPr>
                <w:noProof/>
                <w:webHidden/>
              </w:rPr>
            </w:r>
            <w:r w:rsidR="006814CD">
              <w:rPr>
                <w:noProof/>
                <w:webHidden/>
              </w:rPr>
              <w:fldChar w:fldCharType="separate"/>
            </w:r>
            <w:r w:rsidR="006814CD">
              <w:rPr>
                <w:noProof/>
                <w:webHidden/>
              </w:rPr>
              <w:t>12</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683" w:history="1">
            <w:r w:rsidR="006814CD" w:rsidRPr="002940D7">
              <w:rPr>
                <w:rStyle w:val="Hyperlink"/>
                <w:noProof/>
                <w:lang w:eastAsia="en-AU"/>
              </w:rPr>
              <w:t>3.</w:t>
            </w:r>
            <w:r w:rsidR="006814CD">
              <w:rPr>
                <w:rFonts w:asciiTheme="minorHAnsi" w:eastAsiaTheme="minorEastAsia" w:hAnsiTheme="minorHAnsi" w:cstheme="minorBidi"/>
                <w:b w:val="0"/>
                <w:noProof/>
                <w:sz w:val="22"/>
                <w:lang w:eastAsia="en-AU"/>
              </w:rPr>
              <w:tab/>
            </w:r>
            <w:r w:rsidR="006814CD" w:rsidRPr="002940D7">
              <w:rPr>
                <w:rStyle w:val="Hyperlink"/>
                <w:noProof/>
                <w:lang w:eastAsia="en-AU"/>
              </w:rPr>
              <w:t>Contents of the clinical dossier</w:t>
            </w:r>
            <w:r w:rsidR="006814CD">
              <w:rPr>
                <w:noProof/>
                <w:webHidden/>
              </w:rPr>
              <w:tab/>
            </w:r>
            <w:r w:rsidR="006814CD">
              <w:rPr>
                <w:noProof/>
                <w:webHidden/>
              </w:rPr>
              <w:fldChar w:fldCharType="begin"/>
            </w:r>
            <w:r w:rsidR="006814CD">
              <w:rPr>
                <w:noProof/>
                <w:webHidden/>
              </w:rPr>
              <w:instrText xml:space="preserve"> PAGEREF _Toc513217683 \h </w:instrText>
            </w:r>
            <w:r w:rsidR="006814CD">
              <w:rPr>
                <w:noProof/>
                <w:webHidden/>
              </w:rPr>
            </w:r>
            <w:r w:rsidR="006814CD">
              <w:rPr>
                <w:noProof/>
                <w:webHidden/>
              </w:rPr>
              <w:fldChar w:fldCharType="separate"/>
            </w:r>
            <w:r w:rsidR="006814CD">
              <w:rPr>
                <w:noProof/>
                <w:webHidden/>
              </w:rPr>
              <w:t>12</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84" w:history="1">
            <w:r w:rsidR="006814CD" w:rsidRPr="002940D7">
              <w:rPr>
                <w:rStyle w:val="Hyperlink"/>
                <w:noProof/>
              </w:rPr>
              <w:t>3.1.</w:t>
            </w:r>
            <w:r w:rsidR="006814CD">
              <w:rPr>
                <w:rFonts w:asciiTheme="minorHAnsi" w:eastAsiaTheme="minorEastAsia" w:hAnsiTheme="minorHAnsi" w:cstheme="minorBidi"/>
                <w:noProof/>
                <w:lang w:eastAsia="en-AU"/>
              </w:rPr>
              <w:tab/>
            </w:r>
            <w:r w:rsidR="006814CD" w:rsidRPr="002940D7">
              <w:rPr>
                <w:rStyle w:val="Hyperlink"/>
                <w:noProof/>
              </w:rPr>
              <w:t>Scope of the clinical dossier</w:t>
            </w:r>
            <w:r w:rsidR="006814CD">
              <w:rPr>
                <w:noProof/>
                <w:webHidden/>
              </w:rPr>
              <w:tab/>
            </w:r>
            <w:r w:rsidR="006814CD">
              <w:rPr>
                <w:noProof/>
                <w:webHidden/>
              </w:rPr>
              <w:fldChar w:fldCharType="begin"/>
            </w:r>
            <w:r w:rsidR="006814CD">
              <w:rPr>
                <w:noProof/>
                <w:webHidden/>
              </w:rPr>
              <w:instrText xml:space="preserve"> PAGEREF _Toc513217684 \h </w:instrText>
            </w:r>
            <w:r w:rsidR="006814CD">
              <w:rPr>
                <w:noProof/>
                <w:webHidden/>
              </w:rPr>
            </w:r>
            <w:r w:rsidR="006814CD">
              <w:rPr>
                <w:noProof/>
                <w:webHidden/>
              </w:rPr>
              <w:fldChar w:fldCharType="separate"/>
            </w:r>
            <w:r w:rsidR="006814CD">
              <w:rPr>
                <w:noProof/>
                <w:webHidden/>
              </w:rPr>
              <w:t>12</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85" w:history="1">
            <w:r w:rsidR="006814CD" w:rsidRPr="002940D7">
              <w:rPr>
                <w:rStyle w:val="Hyperlink"/>
                <w:noProof/>
              </w:rPr>
              <w:t>3.2.</w:t>
            </w:r>
            <w:r w:rsidR="006814CD">
              <w:rPr>
                <w:rFonts w:asciiTheme="minorHAnsi" w:eastAsiaTheme="minorEastAsia" w:hAnsiTheme="minorHAnsi" w:cstheme="minorBidi"/>
                <w:noProof/>
                <w:lang w:eastAsia="en-AU"/>
              </w:rPr>
              <w:tab/>
            </w:r>
            <w:r w:rsidR="006814CD" w:rsidRPr="002940D7">
              <w:rPr>
                <w:rStyle w:val="Hyperlink"/>
                <w:noProof/>
              </w:rPr>
              <w:t>Paediatric data</w:t>
            </w:r>
            <w:r w:rsidR="006814CD">
              <w:rPr>
                <w:noProof/>
                <w:webHidden/>
              </w:rPr>
              <w:tab/>
            </w:r>
            <w:r w:rsidR="006814CD">
              <w:rPr>
                <w:noProof/>
                <w:webHidden/>
              </w:rPr>
              <w:fldChar w:fldCharType="begin"/>
            </w:r>
            <w:r w:rsidR="006814CD">
              <w:rPr>
                <w:noProof/>
                <w:webHidden/>
              </w:rPr>
              <w:instrText xml:space="preserve"> PAGEREF _Toc513217685 \h </w:instrText>
            </w:r>
            <w:r w:rsidR="006814CD">
              <w:rPr>
                <w:noProof/>
                <w:webHidden/>
              </w:rPr>
            </w:r>
            <w:r w:rsidR="006814CD">
              <w:rPr>
                <w:noProof/>
                <w:webHidden/>
              </w:rPr>
              <w:fldChar w:fldCharType="separate"/>
            </w:r>
            <w:r w:rsidR="006814CD">
              <w:rPr>
                <w:noProof/>
                <w:webHidden/>
              </w:rPr>
              <w:t>13</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86" w:history="1">
            <w:r w:rsidR="006814CD" w:rsidRPr="002940D7">
              <w:rPr>
                <w:rStyle w:val="Hyperlink"/>
                <w:noProof/>
              </w:rPr>
              <w:t>3.3.</w:t>
            </w:r>
            <w:r w:rsidR="006814CD">
              <w:rPr>
                <w:rFonts w:asciiTheme="minorHAnsi" w:eastAsiaTheme="minorEastAsia" w:hAnsiTheme="minorHAnsi" w:cstheme="minorBidi"/>
                <w:noProof/>
                <w:lang w:eastAsia="en-AU"/>
              </w:rPr>
              <w:tab/>
            </w:r>
            <w:r w:rsidR="006814CD" w:rsidRPr="002940D7">
              <w:rPr>
                <w:rStyle w:val="Hyperlink"/>
                <w:noProof/>
              </w:rPr>
              <w:t>Good clinical practice</w:t>
            </w:r>
            <w:r w:rsidR="006814CD">
              <w:rPr>
                <w:noProof/>
                <w:webHidden/>
              </w:rPr>
              <w:tab/>
            </w:r>
            <w:r w:rsidR="006814CD">
              <w:rPr>
                <w:noProof/>
                <w:webHidden/>
              </w:rPr>
              <w:fldChar w:fldCharType="begin"/>
            </w:r>
            <w:r w:rsidR="006814CD">
              <w:rPr>
                <w:noProof/>
                <w:webHidden/>
              </w:rPr>
              <w:instrText xml:space="preserve"> PAGEREF _Toc513217686 \h </w:instrText>
            </w:r>
            <w:r w:rsidR="006814CD">
              <w:rPr>
                <w:noProof/>
                <w:webHidden/>
              </w:rPr>
            </w:r>
            <w:r w:rsidR="006814CD">
              <w:rPr>
                <w:noProof/>
                <w:webHidden/>
              </w:rPr>
              <w:fldChar w:fldCharType="separate"/>
            </w:r>
            <w:r w:rsidR="006814CD">
              <w:rPr>
                <w:noProof/>
                <w:webHidden/>
              </w:rPr>
              <w:t>13</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87" w:history="1">
            <w:r w:rsidR="006814CD" w:rsidRPr="002940D7">
              <w:rPr>
                <w:rStyle w:val="Hyperlink"/>
                <w:noProof/>
              </w:rPr>
              <w:t>3.4.</w:t>
            </w:r>
            <w:r w:rsidR="006814CD">
              <w:rPr>
                <w:rFonts w:asciiTheme="minorHAnsi" w:eastAsiaTheme="minorEastAsia" w:hAnsiTheme="minorHAnsi" w:cstheme="minorBidi"/>
                <w:noProof/>
                <w:lang w:eastAsia="en-AU"/>
              </w:rPr>
              <w:tab/>
            </w:r>
            <w:r w:rsidR="006814CD" w:rsidRPr="002940D7">
              <w:rPr>
                <w:rStyle w:val="Hyperlink"/>
                <w:noProof/>
              </w:rPr>
              <w:t>Evaluator’s commentary on the clinical dossier</w:t>
            </w:r>
            <w:r w:rsidR="006814CD">
              <w:rPr>
                <w:noProof/>
                <w:webHidden/>
              </w:rPr>
              <w:tab/>
            </w:r>
            <w:r w:rsidR="006814CD">
              <w:rPr>
                <w:noProof/>
                <w:webHidden/>
              </w:rPr>
              <w:fldChar w:fldCharType="begin"/>
            </w:r>
            <w:r w:rsidR="006814CD">
              <w:rPr>
                <w:noProof/>
                <w:webHidden/>
              </w:rPr>
              <w:instrText xml:space="preserve"> PAGEREF _Toc513217687 \h </w:instrText>
            </w:r>
            <w:r w:rsidR="006814CD">
              <w:rPr>
                <w:noProof/>
                <w:webHidden/>
              </w:rPr>
            </w:r>
            <w:r w:rsidR="006814CD">
              <w:rPr>
                <w:noProof/>
                <w:webHidden/>
              </w:rPr>
              <w:fldChar w:fldCharType="separate"/>
            </w:r>
            <w:r w:rsidR="006814CD">
              <w:rPr>
                <w:noProof/>
                <w:webHidden/>
              </w:rPr>
              <w:t>13</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688" w:history="1">
            <w:r w:rsidR="006814CD" w:rsidRPr="002940D7">
              <w:rPr>
                <w:rStyle w:val="Hyperlink"/>
                <w:noProof/>
              </w:rPr>
              <w:t>4.</w:t>
            </w:r>
            <w:r w:rsidR="006814CD">
              <w:rPr>
                <w:rFonts w:asciiTheme="minorHAnsi" w:eastAsiaTheme="minorEastAsia" w:hAnsiTheme="minorHAnsi" w:cstheme="minorBidi"/>
                <w:b w:val="0"/>
                <w:noProof/>
                <w:sz w:val="22"/>
                <w:lang w:eastAsia="en-AU"/>
              </w:rPr>
              <w:tab/>
            </w:r>
            <w:r w:rsidR="006814CD" w:rsidRPr="002940D7">
              <w:rPr>
                <w:rStyle w:val="Hyperlink"/>
                <w:noProof/>
              </w:rPr>
              <w:t>Pharmacokinetics</w:t>
            </w:r>
            <w:r w:rsidR="006814CD">
              <w:rPr>
                <w:noProof/>
                <w:webHidden/>
              </w:rPr>
              <w:tab/>
            </w:r>
            <w:r w:rsidR="006814CD">
              <w:rPr>
                <w:noProof/>
                <w:webHidden/>
              </w:rPr>
              <w:fldChar w:fldCharType="begin"/>
            </w:r>
            <w:r w:rsidR="006814CD">
              <w:rPr>
                <w:noProof/>
                <w:webHidden/>
              </w:rPr>
              <w:instrText xml:space="preserve"> PAGEREF _Toc513217688 \h </w:instrText>
            </w:r>
            <w:r w:rsidR="006814CD">
              <w:rPr>
                <w:noProof/>
                <w:webHidden/>
              </w:rPr>
            </w:r>
            <w:r w:rsidR="006814CD">
              <w:rPr>
                <w:noProof/>
                <w:webHidden/>
              </w:rPr>
              <w:fldChar w:fldCharType="separate"/>
            </w:r>
            <w:r w:rsidR="006814CD">
              <w:rPr>
                <w:noProof/>
                <w:webHidden/>
              </w:rPr>
              <w:t>13</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89" w:history="1">
            <w:r w:rsidR="006814CD" w:rsidRPr="002940D7">
              <w:rPr>
                <w:rStyle w:val="Hyperlink"/>
                <w:noProof/>
              </w:rPr>
              <w:t>4.1.</w:t>
            </w:r>
            <w:r w:rsidR="006814CD">
              <w:rPr>
                <w:rFonts w:asciiTheme="minorHAnsi" w:eastAsiaTheme="minorEastAsia" w:hAnsiTheme="minorHAnsi" w:cstheme="minorBidi"/>
                <w:noProof/>
                <w:lang w:eastAsia="en-AU"/>
              </w:rPr>
              <w:tab/>
            </w:r>
            <w:r w:rsidR="006814CD" w:rsidRPr="002940D7">
              <w:rPr>
                <w:rStyle w:val="Hyperlink"/>
                <w:noProof/>
              </w:rPr>
              <w:t>Studies providing pharmacokinetic information</w:t>
            </w:r>
            <w:r w:rsidR="006814CD">
              <w:rPr>
                <w:noProof/>
                <w:webHidden/>
              </w:rPr>
              <w:tab/>
            </w:r>
            <w:r w:rsidR="006814CD">
              <w:rPr>
                <w:noProof/>
                <w:webHidden/>
              </w:rPr>
              <w:fldChar w:fldCharType="begin"/>
            </w:r>
            <w:r w:rsidR="006814CD">
              <w:rPr>
                <w:noProof/>
                <w:webHidden/>
              </w:rPr>
              <w:instrText xml:space="preserve"> PAGEREF _Toc513217689 \h </w:instrText>
            </w:r>
            <w:r w:rsidR="006814CD">
              <w:rPr>
                <w:noProof/>
                <w:webHidden/>
              </w:rPr>
            </w:r>
            <w:r w:rsidR="006814CD">
              <w:rPr>
                <w:noProof/>
                <w:webHidden/>
              </w:rPr>
              <w:fldChar w:fldCharType="separate"/>
            </w:r>
            <w:r w:rsidR="006814CD">
              <w:rPr>
                <w:noProof/>
                <w:webHidden/>
              </w:rPr>
              <w:t>13</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90" w:history="1">
            <w:r w:rsidR="006814CD" w:rsidRPr="002940D7">
              <w:rPr>
                <w:rStyle w:val="Hyperlink"/>
                <w:noProof/>
              </w:rPr>
              <w:t>4.2.</w:t>
            </w:r>
            <w:r w:rsidR="006814CD">
              <w:rPr>
                <w:rFonts w:asciiTheme="minorHAnsi" w:eastAsiaTheme="minorEastAsia" w:hAnsiTheme="minorHAnsi" w:cstheme="minorBidi"/>
                <w:noProof/>
                <w:lang w:eastAsia="en-AU"/>
              </w:rPr>
              <w:tab/>
            </w:r>
            <w:r w:rsidR="006814CD" w:rsidRPr="002940D7">
              <w:rPr>
                <w:rStyle w:val="Hyperlink"/>
                <w:noProof/>
              </w:rPr>
              <w:t>Summary of pharmacokinetics</w:t>
            </w:r>
            <w:r w:rsidR="006814CD">
              <w:rPr>
                <w:noProof/>
                <w:webHidden/>
              </w:rPr>
              <w:tab/>
            </w:r>
            <w:r w:rsidR="006814CD">
              <w:rPr>
                <w:noProof/>
                <w:webHidden/>
              </w:rPr>
              <w:fldChar w:fldCharType="begin"/>
            </w:r>
            <w:r w:rsidR="006814CD">
              <w:rPr>
                <w:noProof/>
                <w:webHidden/>
              </w:rPr>
              <w:instrText xml:space="preserve"> PAGEREF _Toc513217690 \h </w:instrText>
            </w:r>
            <w:r w:rsidR="006814CD">
              <w:rPr>
                <w:noProof/>
                <w:webHidden/>
              </w:rPr>
            </w:r>
            <w:r w:rsidR="006814CD">
              <w:rPr>
                <w:noProof/>
                <w:webHidden/>
              </w:rPr>
              <w:fldChar w:fldCharType="separate"/>
            </w:r>
            <w:r w:rsidR="006814CD">
              <w:rPr>
                <w:noProof/>
                <w:webHidden/>
              </w:rPr>
              <w:t>14</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91" w:history="1">
            <w:r w:rsidR="006814CD" w:rsidRPr="002940D7">
              <w:rPr>
                <w:rStyle w:val="Hyperlink"/>
                <w:noProof/>
              </w:rPr>
              <w:t>4.3.</w:t>
            </w:r>
            <w:r w:rsidR="006814CD">
              <w:rPr>
                <w:rFonts w:asciiTheme="minorHAnsi" w:eastAsiaTheme="minorEastAsia" w:hAnsiTheme="minorHAnsi" w:cstheme="minorBidi"/>
                <w:noProof/>
                <w:lang w:eastAsia="en-AU"/>
              </w:rPr>
              <w:tab/>
            </w:r>
            <w:r w:rsidR="006814CD" w:rsidRPr="002940D7">
              <w:rPr>
                <w:rStyle w:val="Hyperlink"/>
                <w:noProof/>
              </w:rPr>
              <w:t>Evaluator’s overall conclusions on pharmacokinetics</w:t>
            </w:r>
            <w:r w:rsidR="006814CD">
              <w:rPr>
                <w:noProof/>
                <w:webHidden/>
              </w:rPr>
              <w:tab/>
            </w:r>
            <w:r w:rsidR="006814CD">
              <w:rPr>
                <w:noProof/>
                <w:webHidden/>
              </w:rPr>
              <w:fldChar w:fldCharType="begin"/>
            </w:r>
            <w:r w:rsidR="006814CD">
              <w:rPr>
                <w:noProof/>
                <w:webHidden/>
              </w:rPr>
              <w:instrText xml:space="preserve"> PAGEREF _Toc513217691 \h </w:instrText>
            </w:r>
            <w:r w:rsidR="006814CD">
              <w:rPr>
                <w:noProof/>
                <w:webHidden/>
              </w:rPr>
            </w:r>
            <w:r w:rsidR="006814CD">
              <w:rPr>
                <w:noProof/>
                <w:webHidden/>
              </w:rPr>
              <w:fldChar w:fldCharType="separate"/>
            </w:r>
            <w:r w:rsidR="006814CD">
              <w:rPr>
                <w:noProof/>
                <w:webHidden/>
              </w:rPr>
              <w:t>18</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692" w:history="1">
            <w:r w:rsidR="006814CD" w:rsidRPr="002940D7">
              <w:rPr>
                <w:rStyle w:val="Hyperlink"/>
                <w:noProof/>
              </w:rPr>
              <w:t>5.</w:t>
            </w:r>
            <w:r w:rsidR="006814CD">
              <w:rPr>
                <w:rFonts w:asciiTheme="minorHAnsi" w:eastAsiaTheme="minorEastAsia" w:hAnsiTheme="minorHAnsi" w:cstheme="minorBidi"/>
                <w:b w:val="0"/>
                <w:noProof/>
                <w:sz w:val="22"/>
                <w:lang w:eastAsia="en-AU"/>
              </w:rPr>
              <w:tab/>
            </w:r>
            <w:r w:rsidR="006814CD" w:rsidRPr="002940D7">
              <w:rPr>
                <w:rStyle w:val="Hyperlink"/>
                <w:noProof/>
              </w:rPr>
              <w:t>Pharmacodynamics</w:t>
            </w:r>
            <w:r w:rsidR="006814CD">
              <w:rPr>
                <w:noProof/>
                <w:webHidden/>
              </w:rPr>
              <w:tab/>
            </w:r>
            <w:r w:rsidR="006814CD">
              <w:rPr>
                <w:noProof/>
                <w:webHidden/>
              </w:rPr>
              <w:fldChar w:fldCharType="begin"/>
            </w:r>
            <w:r w:rsidR="006814CD">
              <w:rPr>
                <w:noProof/>
                <w:webHidden/>
              </w:rPr>
              <w:instrText xml:space="preserve"> PAGEREF _Toc513217692 \h </w:instrText>
            </w:r>
            <w:r w:rsidR="006814CD">
              <w:rPr>
                <w:noProof/>
                <w:webHidden/>
              </w:rPr>
            </w:r>
            <w:r w:rsidR="006814CD">
              <w:rPr>
                <w:noProof/>
                <w:webHidden/>
              </w:rPr>
              <w:fldChar w:fldCharType="separate"/>
            </w:r>
            <w:r w:rsidR="006814CD">
              <w:rPr>
                <w:noProof/>
                <w:webHidden/>
              </w:rPr>
              <w:t>18</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93" w:history="1">
            <w:r w:rsidR="006814CD" w:rsidRPr="002940D7">
              <w:rPr>
                <w:rStyle w:val="Hyperlink"/>
                <w:noProof/>
              </w:rPr>
              <w:t>5.1.</w:t>
            </w:r>
            <w:r w:rsidR="006814CD">
              <w:rPr>
                <w:rFonts w:asciiTheme="minorHAnsi" w:eastAsiaTheme="minorEastAsia" w:hAnsiTheme="minorHAnsi" w:cstheme="minorBidi"/>
                <w:noProof/>
                <w:lang w:eastAsia="en-AU"/>
              </w:rPr>
              <w:tab/>
            </w:r>
            <w:r w:rsidR="006814CD" w:rsidRPr="002940D7">
              <w:rPr>
                <w:rStyle w:val="Hyperlink"/>
                <w:noProof/>
              </w:rPr>
              <w:t>Studies providing pharmacodynamic information</w:t>
            </w:r>
            <w:r w:rsidR="006814CD">
              <w:rPr>
                <w:noProof/>
                <w:webHidden/>
              </w:rPr>
              <w:tab/>
            </w:r>
            <w:r w:rsidR="006814CD">
              <w:rPr>
                <w:noProof/>
                <w:webHidden/>
              </w:rPr>
              <w:fldChar w:fldCharType="begin"/>
            </w:r>
            <w:r w:rsidR="006814CD">
              <w:rPr>
                <w:noProof/>
                <w:webHidden/>
              </w:rPr>
              <w:instrText xml:space="preserve"> PAGEREF _Toc513217693 \h </w:instrText>
            </w:r>
            <w:r w:rsidR="006814CD">
              <w:rPr>
                <w:noProof/>
                <w:webHidden/>
              </w:rPr>
            </w:r>
            <w:r w:rsidR="006814CD">
              <w:rPr>
                <w:noProof/>
                <w:webHidden/>
              </w:rPr>
              <w:fldChar w:fldCharType="separate"/>
            </w:r>
            <w:r w:rsidR="006814CD">
              <w:rPr>
                <w:noProof/>
                <w:webHidden/>
              </w:rPr>
              <w:t>18</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94" w:history="1">
            <w:r w:rsidR="006814CD" w:rsidRPr="002940D7">
              <w:rPr>
                <w:rStyle w:val="Hyperlink"/>
                <w:noProof/>
              </w:rPr>
              <w:t>5.2.</w:t>
            </w:r>
            <w:r w:rsidR="006814CD">
              <w:rPr>
                <w:rFonts w:asciiTheme="minorHAnsi" w:eastAsiaTheme="minorEastAsia" w:hAnsiTheme="minorHAnsi" w:cstheme="minorBidi"/>
                <w:noProof/>
                <w:lang w:eastAsia="en-AU"/>
              </w:rPr>
              <w:tab/>
            </w:r>
            <w:r w:rsidR="006814CD" w:rsidRPr="002940D7">
              <w:rPr>
                <w:rStyle w:val="Hyperlink"/>
                <w:noProof/>
              </w:rPr>
              <w:t>Summary of pharmacodynamics</w:t>
            </w:r>
            <w:r w:rsidR="006814CD">
              <w:rPr>
                <w:noProof/>
                <w:webHidden/>
              </w:rPr>
              <w:tab/>
            </w:r>
            <w:r w:rsidR="006814CD">
              <w:rPr>
                <w:noProof/>
                <w:webHidden/>
              </w:rPr>
              <w:fldChar w:fldCharType="begin"/>
            </w:r>
            <w:r w:rsidR="006814CD">
              <w:rPr>
                <w:noProof/>
                <w:webHidden/>
              </w:rPr>
              <w:instrText xml:space="preserve"> PAGEREF _Toc513217694 \h </w:instrText>
            </w:r>
            <w:r w:rsidR="006814CD">
              <w:rPr>
                <w:noProof/>
                <w:webHidden/>
              </w:rPr>
            </w:r>
            <w:r w:rsidR="006814CD">
              <w:rPr>
                <w:noProof/>
                <w:webHidden/>
              </w:rPr>
              <w:fldChar w:fldCharType="separate"/>
            </w:r>
            <w:r w:rsidR="006814CD">
              <w:rPr>
                <w:noProof/>
                <w:webHidden/>
              </w:rPr>
              <w:t>18</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95" w:history="1">
            <w:r w:rsidR="006814CD" w:rsidRPr="002940D7">
              <w:rPr>
                <w:rStyle w:val="Hyperlink"/>
                <w:noProof/>
              </w:rPr>
              <w:t>5.3.</w:t>
            </w:r>
            <w:r w:rsidR="006814CD">
              <w:rPr>
                <w:rFonts w:asciiTheme="minorHAnsi" w:eastAsiaTheme="minorEastAsia" w:hAnsiTheme="minorHAnsi" w:cstheme="minorBidi"/>
                <w:noProof/>
                <w:lang w:eastAsia="en-AU"/>
              </w:rPr>
              <w:tab/>
            </w:r>
            <w:r w:rsidR="006814CD" w:rsidRPr="002940D7">
              <w:rPr>
                <w:rStyle w:val="Hyperlink"/>
                <w:noProof/>
              </w:rPr>
              <w:t>Evaluator’s overall conclusions on pharmacodynamics</w:t>
            </w:r>
            <w:r w:rsidR="006814CD">
              <w:rPr>
                <w:noProof/>
                <w:webHidden/>
              </w:rPr>
              <w:tab/>
            </w:r>
            <w:r w:rsidR="006814CD">
              <w:rPr>
                <w:noProof/>
                <w:webHidden/>
              </w:rPr>
              <w:fldChar w:fldCharType="begin"/>
            </w:r>
            <w:r w:rsidR="006814CD">
              <w:rPr>
                <w:noProof/>
                <w:webHidden/>
              </w:rPr>
              <w:instrText xml:space="preserve"> PAGEREF _Toc513217695 \h </w:instrText>
            </w:r>
            <w:r w:rsidR="006814CD">
              <w:rPr>
                <w:noProof/>
                <w:webHidden/>
              </w:rPr>
            </w:r>
            <w:r w:rsidR="006814CD">
              <w:rPr>
                <w:noProof/>
                <w:webHidden/>
              </w:rPr>
              <w:fldChar w:fldCharType="separate"/>
            </w:r>
            <w:r w:rsidR="006814CD">
              <w:rPr>
                <w:noProof/>
                <w:webHidden/>
              </w:rPr>
              <w:t>19</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696" w:history="1">
            <w:r w:rsidR="006814CD" w:rsidRPr="002940D7">
              <w:rPr>
                <w:rStyle w:val="Hyperlink"/>
                <w:noProof/>
              </w:rPr>
              <w:t>6.</w:t>
            </w:r>
            <w:r w:rsidR="006814CD">
              <w:rPr>
                <w:rFonts w:asciiTheme="minorHAnsi" w:eastAsiaTheme="minorEastAsia" w:hAnsiTheme="minorHAnsi" w:cstheme="minorBidi"/>
                <w:b w:val="0"/>
                <w:noProof/>
                <w:sz w:val="22"/>
                <w:lang w:eastAsia="en-AU"/>
              </w:rPr>
              <w:tab/>
            </w:r>
            <w:r w:rsidR="006814CD" w:rsidRPr="002940D7">
              <w:rPr>
                <w:rStyle w:val="Hyperlink"/>
                <w:noProof/>
              </w:rPr>
              <w:t>Dosage selection for the pivotal studies</w:t>
            </w:r>
            <w:r w:rsidR="006814CD">
              <w:rPr>
                <w:noProof/>
                <w:webHidden/>
              </w:rPr>
              <w:tab/>
            </w:r>
            <w:r w:rsidR="006814CD">
              <w:rPr>
                <w:noProof/>
                <w:webHidden/>
              </w:rPr>
              <w:fldChar w:fldCharType="begin"/>
            </w:r>
            <w:r w:rsidR="006814CD">
              <w:rPr>
                <w:noProof/>
                <w:webHidden/>
              </w:rPr>
              <w:instrText xml:space="preserve"> PAGEREF _Toc513217696 \h </w:instrText>
            </w:r>
            <w:r w:rsidR="006814CD">
              <w:rPr>
                <w:noProof/>
                <w:webHidden/>
              </w:rPr>
            </w:r>
            <w:r w:rsidR="006814CD">
              <w:rPr>
                <w:noProof/>
                <w:webHidden/>
              </w:rPr>
              <w:fldChar w:fldCharType="separate"/>
            </w:r>
            <w:r w:rsidR="006814CD">
              <w:rPr>
                <w:noProof/>
                <w:webHidden/>
              </w:rPr>
              <w:t>19</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97" w:history="1">
            <w:r w:rsidR="006814CD" w:rsidRPr="002940D7">
              <w:rPr>
                <w:rStyle w:val="Hyperlink"/>
                <w:noProof/>
              </w:rPr>
              <w:t>6.1.</w:t>
            </w:r>
            <w:r w:rsidR="006814CD">
              <w:rPr>
                <w:rFonts w:asciiTheme="minorHAnsi" w:eastAsiaTheme="minorEastAsia" w:hAnsiTheme="minorHAnsi" w:cstheme="minorBidi"/>
                <w:noProof/>
                <w:lang w:eastAsia="en-AU"/>
              </w:rPr>
              <w:tab/>
            </w:r>
            <w:r w:rsidR="006814CD" w:rsidRPr="002940D7">
              <w:rPr>
                <w:rStyle w:val="Hyperlink"/>
                <w:noProof/>
              </w:rPr>
              <w:t>Pharmacokinetics and pharmacodynamics: dose finding studies</w:t>
            </w:r>
            <w:r w:rsidR="006814CD">
              <w:rPr>
                <w:noProof/>
                <w:webHidden/>
              </w:rPr>
              <w:tab/>
            </w:r>
            <w:r w:rsidR="006814CD">
              <w:rPr>
                <w:noProof/>
                <w:webHidden/>
              </w:rPr>
              <w:fldChar w:fldCharType="begin"/>
            </w:r>
            <w:r w:rsidR="006814CD">
              <w:rPr>
                <w:noProof/>
                <w:webHidden/>
              </w:rPr>
              <w:instrText xml:space="preserve"> PAGEREF _Toc513217697 \h </w:instrText>
            </w:r>
            <w:r w:rsidR="006814CD">
              <w:rPr>
                <w:noProof/>
                <w:webHidden/>
              </w:rPr>
            </w:r>
            <w:r w:rsidR="006814CD">
              <w:rPr>
                <w:noProof/>
                <w:webHidden/>
              </w:rPr>
              <w:fldChar w:fldCharType="separate"/>
            </w:r>
            <w:r w:rsidR="006814CD">
              <w:rPr>
                <w:noProof/>
                <w:webHidden/>
              </w:rPr>
              <w:t>19</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98" w:history="1">
            <w:r w:rsidR="006814CD" w:rsidRPr="002940D7">
              <w:rPr>
                <w:rStyle w:val="Hyperlink"/>
                <w:noProof/>
              </w:rPr>
              <w:t>6.2.</w:t>
            </w:r>
            <w:r w:rsidR="006814CD">
              <w:rPr>
                <w:rFonts w:asciiTheme="minorHAnsi" w:eastAsiaTheme="minorEastAsia" w:hAnsiTheme="minorHAnsi" w:cstheme="minorBidi"/>
                <w:noProof/>
                <w:lang w:eastAsia="en-AU"/>
              </w:rPr>
              <w:tab/>
            </w:r>
            <w:r w:rsidR="006814CD" w:rsidRPr="002940D7">
              <w:rPr>
                <w:rStyle w:val="Hyperlink"/>
                <w:noProof/>
              </w:rPr>
              <w:t>Phase II dose finding studies</w:t>
            </w:r>
            <w:r w:rsidR="006814CD">
              <w:rPr>
                <w:noProof/>
                <w:webHidden/>
              </w:rPr>
              <w:tab/>
            </w:r>
            <w:r w:rsidR="006814CD">
              <w:rPr>
                <w:noProof/>
                <w:webHidden/>
              </w:rPr>
              <w:fldChar w:fldCharType="begin"/>
            </w:r>
            <w:r w:rsidR="006814CD">
              <w:rPr>
                <w:noProof/>
                <w:webHidden/>
              </w:rPr>
              <w:instrText xml:space="preserve"> PAGEREF _Toc513217698 \h </w:instrText>
            </w:r>
            <w:r w:rsidR="006814CD">
              <w:rPr>
                <w:noProof/>
                <w:webHidden/>
              </w:rPr>
            </w:r>
            <w:r w:rsidR="006814CD">
              <w:rPr>
                <w:noProof/>
                <w:webHidden/>
              </w:rPr>
              <w:fldChar w:fldCharType="separate"/>
            </w:r>
            <w:r w:rsidR="006814CD">
              <w:rPr>
                <w:noProof/>
                <w:webHidden/>
              </w:rPr>
              <w:t>19</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699" w:history="1">
            <w:r w:rsidR="006814CD" w:rsidRPr="002940D7">
              <w:rPr>
                <w:rStyle w:val="Hyperlink"/>
                <w:noProof/>
              </w:rPr>
              <w:t>6.3.</w:t>
            </w:r>
            <w:r w:rsidR="006814CD">
              <w:rPr>
                <w:rFonts w:asciiTheme="minorHAnsi" w:eastAsiaTheme="minorEastAsia" w:hAnsiTheme="minorHAnsi" w:cstheme="minorBidi"/>
                <w:noProof/>
                <w:lang w:eastAsia="en-AU"/>
              </w:rPr>
              <w:tab/>
            </w:r>
            <w:r w:rsidR="006814CD" w:rsidRPr="002940D7">
              <w:rPr>
                <w:rStyle w:val="Hyperlink"/>
                <w:noProof/>
              </w:rPr>
              <w:t>Phase III pivotal studies investigating more than one dose regimen</w:t>
            </w:r>
            <w:r w:rsidR="006814CD">
              <w:rPr>
                <w:noProof/>
                <w:webHidden/>
              </w:rPr>
              <w:tab/>
            </w:r>
            <w:r w:rsidR="006814CD">
              <w:rPr>
                <w:noProof/>
                <w:webHidden/>
              </w:rPr>
              <w:fldChar w:fldCharType="begin"/>
            </w:r>
            <w:r w:rsidR="006814CD">
              <w:rPr>
                <w:noProof/>
                <w:webHidden/>
              </w:rPr>
              <w:instrText xml:space="preserve"> PAGEREF _Toc513217699 \h </w:instrText>
            </w:r>
            <w:r w:rsidR="006814CD">
              <w:rPr>
                <w:noProof/>
                <w:webHidden/>
              </w:rPr>
            </w:r>
            <w:r w:rsidR="006814CD">
              <w:rPr>
                <w:noProof/>
                <w:webHidden/>
              </w:rPr>
              <w:fldChar w:fldCharType="separate"/>
            </w:r>
            <w:r w:rsidR="006814CD">
              <w:rPr>
                <w:noProof/>
                <w:webHidden/>
              </w:rPr>
              <w:t>20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00" w:history="1">
            <w:r w:rsidR="006814CD" w:rsidRPr="002940D7">
              <w:rPr>
                <w:rStyle w:val="Hyperlink"/>
                <w:noProof/>
              </w:rPr>
              <w:t>6.4.</w:t>
            </w:r>
            <w:r w:rsidR="006814CD">
              <w:rPr>
                <w:rFonts w:asciiTheme="minorHAnsi" w:eastAsiaTheme="minorEastAsia" w:hAnsiTheme="minorHAnsi" w:cstheme="minorBidi"/>
                <w:noProof/>
                <w:lang w:eastAsia="en-AU"/>
              </w:rPr>
              <w:tab/>
            </w:r>
            <w:r w:rsidR="006814CD" w:rsidRPr="002940D7">
              <w:rPr>
                <w:rStyle w:val="Hyperlink"/>
                <w:noProof/>
              </w:rPr>
              <w:t>Evaluator’s conclusions on dose finding for the pivotal studies</w:t>
            </w:r>
            <w:r w:rsidR="006814CD">
              <w:rPr>
                <w:noProof/>
                <w:webHidden/>
              </w:rPr>
              <w:tab/>
            </w:r>
            <w:r w:rsidR="006814CD">
              <w:rPr>
                <w:noProof/>
                <w:webHidden/>
              </w:rPr>
              <w:fldChar w:fldCharType="begin"/>
            </w:r>
            <w:r w:rsidR="006814CD">
              <w:rPr>
                <w:noProof/>
                <w:webHidden/>
              </w:rPr>
              <w:instrText xml:space="preserve"> PAGEREF _Toc513217700 \h </w:instrText>
            </w:r>
            <w:r w:rsidR="006814CD">
              <w:rPr>
                <w:noProof/>
                <w:webHidden/>
              </w:rPr>
            </w:r>
            <w:r w:rsidR="006814CD">
              <w:rPr>
                <w:noProof/>
                <w:webHidden/>
              </w:rPr>
              <w:fldChar w:fldCharType="separate"/>
            </w:r>
            <w:r w:rsidR="006814CD">
              <w:rPr>
                <w:noProof/>
                <w:webHidden/>
              </w:rPr>
              <w:t>20</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701" w:history="1">
            <w:r w:rsidR="006814CD" w:rsidRPr="002940D7">
              <w:rPr>
                <w:rStyle w:val="Hyperlink"/>
                <w:noProof/>
              </w:rPr>
              <w:t>7.</w:t>
            </w:r>
            <w:r w:rsidR="006814CD">
              <w:rPr>
                <w:rFonts w:asciiTheme="minorHAnsi" w:eastAsiaTheme="minorEastAsia" w:hAnsiTheme="minorHAnsi" w:cstheme="minorBidi"/>
                <w:b w:val="0"/>
                <w:noProof/>
                <w:sz w:val="22"/>
                <w:lang w:eastAsia="en-AU"/>
              </w:rPr>
              <w:tab/>
            </w:r>
            <w:r w:rsidR="006814CD" w:rsidRPr="002940D7">
              <w:rPr>
                <w:rStyle w:val="Hyperlink"/>
                <w:noProof/>
              </w:rPr>
              <w:t>Clinical efficacy</w:t>
            </w:r>
            <w:r w:rsidR="006814CD">
              <w:rPr>
                <w:noProof/>
                <w:webHidden/>
              </w:rPr>
              <w:tab/>
            </w:r>
            <w:r w:rsidR="006814CD">
              <w:rPr>
                <w:noProof/>
                <w:webHidden/>
              </w:rPr>
              <w:fldChar w:fldCharType="begin"/>
            </w:r>
            <w:r w:rsidR="006814CD">
              <w:rPr>
                <w:noProof/>
                <w:webHidden/>
              </w:rPr>
              <w:instrText xml:space="preserve"> PAGEREF _Toc513217701 \h </w:instrText>
            </w:r>
            <w:r w:rsidR="006814CD">
              <w:rPr>
                <w:noProof/>
                <w:webHidden/>
              </w:rPr>
            </w:r>
            <w:r w:rsidR="006814CD">
              <w:rPr>
                <w:noProof/>
                <w:webHidden/>
              </w:rPr>
              <w:fldChar w:fldCharType="separate"/>
            </w:r>
            <w:r w:rsidR="006814CD">
              <w:rPr>
                <w:noProof/>
                <w:webHidden/>
              </w:rPr>
              <w:t>20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02" w:history="1">
            <w:r w:rsidR="006814CD" w:rsidRPr="002940D7">
              <w:rPr>
                <w:rStyle w:val="Hyperlink"/>
                <w:noProof/>
              </w:rPr>
              <w:t>7.1.</w:t>
            </w:r>
            <w:r w:rsidR="006814CD">
              <w:rPr>
                <w:rFonts w:asciiTheme="minorHAnsi" w:eastAsiaTheme="minorEastAsia" w:hAnsiTheme="minorHAnsi" w:cstheme="minorBidi"/>
                <w:noProof/>
                <w:lang w:eastAsia="en-AU"/>
              </w:rPr>
              <w:tab/>
            </w:r>
            <w:r w:rsidR="006814CD" w:rsidRPr="002940D7">
              <w:rPr>
                <w:rStyle w:val="Hyperlink"/>
                <w:noProof/>
              </w:rPr>
              <w:t>Studies providing evaluable efficacy data</w:t>
            </w:r>
            <w:r w:rsidR="006814CD">
              <w:rPr>
                <w:noProof/>
                <w:webHidden/>
              </w:rPr>
              <w:tab/>
            </w:r>
            <w:r w:rsidR="006814CD">
              <w:rPr>
                <w:noProof/>
                <w:webHidden/>
              </w:rPr>
              <w:fldChar w:fldCharType="begin"/>
            </w:r>
            <w:r w:rsidR="006814CD">
              <w:rPr>
                <w:noProof/>
                <w:webHidden/>
              </w:rPr>
              <w:instrText xml:space="preserve"> PAGEREF _Toc513217702 \h </w:instrText>
            </w:r>
            <w:r w:rsidR="006814CD">
              <w:rPr>
                <w:noProof/>
                <w:webHidden/>
              </w:rPr>
            </w:r>
            <w:r w:rsidR="006814CD">
              <w:rPr>
                <w:noProof/>
                <w:webHidden/>
              </w:rPr>
              <w:fldChar w:fldCharType="separate"/>
            </w:r>
            <w:r w:rsidR="006814CD">
              <w:rPr>
                <w:noProof/>
                <w:webHidden/>
              </w:rPr>
              <w:t>20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03" w:history="1">
            <w:r w:rsidR="006814CD" w:rsidRPr="002940D7">
              <w:rPr>
                <w:rStyle w:val="Hyperlink"/>
                <w:noProof/>
              </w:rPr>
              <w:t>7.2.</w:t>
            </w:r>
            <w:r w:rsidR="006814CD">
              <w:rPr>
                <w:rFonts w:asciiTheme="minorHAnsi" w:eastAsiaTheme="minorEastAsia" w:hAnsiTheme="minorHAnsi" w:cstheme="minorBidi"/>
                <w:noProof/>
                <w:lang w:eastAsia="en-AU"/>
              </w:rPr>
              <w:tab/>
            </w:r>
            <w:r w:rsidR="006814CD" w:rsidRPr="002940D7">
              <w:rPr>
                <w:rStyle w:val="Hyperlink"/>
                <w:noProof/>
              </w:rPr>
              <w:t>Pivotal or main efficacy studies</w:t>
            </w:r>
            <w:r w:rsidR="006814CD">
              <w:rPr>
                <w:noProof/>
                <w:webHidden/>
              </w:rPr>
              <w:tab/>
            </w:r>
            <w:r w:rsidR="006814CD">
              <w:rPr>
                <w:noProof/>
                <w:webHidden/>
              </w:rPr>
              <w:fldChar w:fldCharType="begin"/>
            </w:r>
            <w:r w:rsidR="006814CD">
              <w:rPr>
                <w:noProof/>
                <w:webHidden/>
              </w:rPr>
              <w:instrText xml:space="preserve"> PAGEREF _Toc513217703 \h </w:instrText>
            </w:r>
            <w:r w:rsidR="006814CD">
              <w:rPr>
                <w:noProof/>
                <w:webHidden/>
              </w:rPr>
            </w:r>
            <w:r w:rsidR="006814CD">
              <w:rPr>
                <w:noProof/>
                <w:webHidden/>
              </w:rPr>
              <w:fldChar w:fldCharType="separate"/>
            </w:r>
            <w:r w:rsidR="006814CD">
              <w:rPr>
                <w:noProof/>
                <w:webHidden/>
              </w:rPr>
              <w:t>20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04" w:history="1">
            <w:r w:rsidR="006814CD" w:rsidRPr="002940D7">
              <w:rPr>
                <w:rStyle w:val="Hyperlink"/>
                <w:noProof/>
              </w:rPr>
              <w:t>7.3.</w:t>
            </w:r>
            <w:r w:rsidR="006814CD">
              <w:rPr>
                <w:rFonts w:asciiTheme="minorHAnsi" w:eastAsiaTheme="minorEastAsia" w:hAnsiTheme="minorHAnsi" w:cstheme="minorBidi"/>
                <w:noProof/>
                <w:lang w:eastAsia="en-AU"/>
              </w:rPr>
              <w:tab/>
            </w:r>
            <w:r w:rsidR="006814CD" w:rsidRPr="002940D7">
              <w:rPr>
                <w:rStyle w:val="Hyperlink"/>
                <w:noProof/>
              </w:rPr>
              <w:t>Other efficacy studies</w:t>
            </w:r>
            <w:r w:rsidR="006814CD">
              <w:rPr>
                <w:noProof/>
                <w:webHidden/>
              </w:rPr>
              <w:tab/>
            </w:r>
            <w:r w:rsidR="006814CD">
              <w:rPr>
                <w:noProof/>
                <w:webHidden/>
              </w:rPr>
              <w:fldChar w:fldCharType="begin"/>
            </w:r>
            <w:r w:rsidR="006814CD">
              <w:rPr>
                <w:noProof/>
                <w:webHidden/>
              </w:rPr>
              <w:instrText xml:space="preserve"> PAGEREF _Toc513217704 \h </w:instrText>
            </w:r>
            <w:r w:rsidR="006814CD">
              <w:rPr>
                <w:noProof/>
                <w:webHidden/>
              </w:rPr>
            </w:r>
            <w:r w:rsidR="006814CD">
              <w:rPr>
                <w:noProof/>
                <w:webHidden/>
              </w:rPr>
              <w:fldChar w:fldCharType="separate"/>
            </w:r>
            <w:r w:rsidR="006814CD">
              <w:rPr>
                <w:noProof/>
                <w:webHidden/>
              </w:rPr>
              <w:t>56</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05" w:history="1">
            <w:r w:rsidR="006814CD" w:rsidRPr="002940D7">
              <w:rPr>
                <w:rStyle w:val="Hyperlink"/>
                <w:noProof/>
              </w:rPr>
              <w:t>7.4.</w:t>
            </w:r>
            <w:r w:rsidR="006814CD">
              <w:rPr>
                <w:rFonts w:asciiTheme="minorHAnsi" w:eastAsiaTheme="minorEastAsia" w:hAnsiTheme="minorHAnsi" w:cstheme="minorBidi"/>
                <w:noProof/>
                <w:lang w:eastAsia="en-AU"/>
              </w:rPr>
              <w:tab/>
            </w:r>
            <w:r w:rsidR="006814CD" w:rsidRPr="002940D7">
              <w:rPr>
                <w:rStyle w:val="Hyperlink"/>
                <w:noProof/>
              </w:rPr>
              <w:t>Analyses performed across trials: pooled and meta analyses</w:t>
            </w:r>
            <w:r w:rsidR="006814CD">
              <w:rPr>
                <w:noProof/>
                <w:webHidden/>
              </w:rPr>
              <w:tab/>
            </w:r>
            <w:r w:rsidR="006814CD">
              <w:rPr>
                <w:noProof/>
                <w:webHidden/>
              </w:rPr>
              <w:fldChar w:fldCharType="begin"/>
            </w:r>
            <w:r w:rsidR="006814CD">
              <w:rPr>
                <w:noProof/>
                <w:webHidden/>
              </w:rPr>
              <w:instrText xml:space="preserve"> PAGEREF _Toc513217705 \h </w:instrText>
            </w:r>
            <w:r w:rsidR="006814CD">
              <w:rPr>
                <w:noProof/>
                <w:webHidden/>
              </w:rPr>
            </w:r>
            <w:r w:rsidR="006814CD">
              <w:rPr>
                <w:noProof/>
                <w:webHidden/>
              </w:rPr>
              <w:fldChar w:fldCharType="separate"/>
            </w:r>
            <w:r w:rsidR="006814CD">
              <w:rPr>
                <w:noProof/>
                <w:webHidden/>
              </w:rPr>
              <w:t>60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06" w:history="1">
            <w:r w:rsidR="006814CD" w:rsidRPr="002940D7">
              <w:rPr>
                <w:rStyle w:val="Hyperlink"/>
                <w:noProof/>
              </w:rPr>
              <w:t>7.5.</w:t>
            </w:r>
            <w:r w:rsidR="006814CD">
              <w:rPr>
                <w:rFonts w:asciiTheme="minorHAnsi" w:eastAsiaTheme="minorEastAsia" w:hAnsiTheme="minorHAnsi" w:cstheme="minorBidi"/>
                <w:noProof/>
                <w:lang w:eastAsia="en-AU"/>
              </w:rPr>
              <w:tab/>
            </w:r>
            <w:r w:rsidR="006814CD" w:rsidRPr="002940D7">
              <w:rPr>
                <w:rStyle w:val="Hyperlink"/>
                <w:noProof/>
              </w:rPr>
              <w:t>Evaluator’s conclusions on clinical efficacy</w:t>
            </w:r>
            <w:r w:rsidR="006814CD">
              <w:rPr>
                <w:noProof/>
                <w:webHidden/>
              </w:rPr>
              <w:tab/>
            </w:r>
            <w:r w:rsidR="006814CD">
              <w:rPr>
                <w:noProof/>
                <w:webHidden/>
              </w:rPr>
              <w:fldChar w:fldCharType="begin"/>
            </w:r>
            <w:r w:rsidR="006814CD">
              <w:rPr>
                <w:noProof/>
                <w:webHidden/>
              </w:rPr>
              <w:instrText xml:space="preserve"> PAGEREF _Toc513217706 \h </w:instrText>
            </w:r>
            <w:r w:rsidR="006814CD">
              <w:rPr>
                <w:noProof/>
                <w:webHidden/>
              </w:rPr>
            </w:r>
            <w:r w:rsidR="006814CD">
              <w:rPr>
                <w:noProof/>
                <w:webHidden/>
              </w:rPr>
              <w:fldChar w:fldCharType="separate"/>
            </w:r>
            <w:r w:rsidR="006814CD">
              <w:rPr>
                <w:noProof/>
                <w:webHidden/>
              </w:rPr>
              <w:t>61</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707" w:history="1">
            <w:r w:rsidR="006814CD" w:rsidRPr="002940D7">
              <w:rPr>
                <w:rStyle w:val="Hyperlink"/>
                <w:noProof/>
              </w:rPr>
              <w:t>8.</w:t>
            </w:r>
            <w:r w:rsidR="006814CD">
              <w:rPr>
                <w:rFonts w:asciiTheme="minorHAnsi" w:eastAsiaTheme="minorEastAsia" w:hAnsiTheme="minorHAnsi" w:cstheme="minorBidi"/>
                <w:b w:val="0"/>
                <w:noProof/>
                <w:sz w:val="22"/>
                <w:lang w:eastAsia="en-AU"/>
              </w:rPr>
              <w:tab/>
            </w:r>
            <w:r w:rsidR="006814CD" w:rsidRPr="002940D7">
              <w:rPr>
                <w:rStyle w:val="Hyperlink"/>
                <w:noProof/>
              </w:rPr>
              <w:t>Clinical safety</w:t>
            </w:r>
            <w:r w:rsidR="006814CD">
              <w:rPr>
                <w:noProof/>
                <w:webHidden/>
              </w:rPr>
              <w:tab/>
            </w:r>
            <w:r w:rsidR="006814CD">
              <w:rPr>
                <w:noProof/>
                <w:webHidden/>
              </w:rPr>
              <w:fldChar w:fldCharType="begin"/>
            </w:r>
            <w:r w:rsidR="006814CD">
              <w:rPr>
                <w:noProof/>
                <w:webHidden/>
              </w:rPr>
              <w:instrText xml:space="preserve"> PAGEREF _Toc513217707 \h </w:instrText>
            </w:r>
            <w:r w:rsidR="006814CD">
              <w:rPr>
                <w:noProof/>
                <w:webHidden/>
              </w:rPr>
            </w:r>
            <w:r w:rsidR="006814CD">
              <w:rPr>
                <w:noProof/>
                <w:webHidden/>
              </w:rPr>
              <w:fldChar w:fldCharType="separate"/>
            </w:r>
            <w:r w:rsidR="006814CD">
              <w:rPr>
                <w:noProof/>
                <w:webHidden/>
              </w:rPr>
              <w:t>62</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08" w:history="1">
            <w:r w:rsidR="006814CD" w:rsidRPr="002940D7">
              <w:rPr>
                <w:rStyle w:val="Hyperlink"/>
                <w:noProof/>
              </w:rPr>
              <w:t>8.1.</w:t>
            </w:r>
            <w:r w:rsidR="006814CD">
              <w:rPr>
                <w:rFonts w:asciiTheme="minorHAnsi" w:eastAsiaTheme="minorEastAsia" w:hAnsiTheme="minorHAnsi" w:cstheme="minorBidi"/>
                <w:noProof/>
                <w:lang w:eastAsia="en-AU"/>
              </w:rPr>
              <w:tab/>
            </w:r>
            <w:r w:rsidR="006814CD" w:rsidRPr="002940D7">
              <w:rPr>
                <w:rStyle w:val="Hyperlink"/>
                <w:noProof/>
              </w:rPr>
              <w:t>Studies providing evaluable safety data</w:t>
            </w:r>
            <w:r w:rsidR="006814CD">
              <w:rPr>
                <w:noProof/>
                <w:webHidden/>
              </w:rPr>
              <w:tab/>
            </w:r>
            <w:r w:rsidR="006814CD">
              <w:rPr>
                <w:noProof/>
                <w:webHidden/>
              </w:rPr>
              <w:fldChar w:fldCharType="begin"/>
            </w:r>
            <w:r w:rsidR="006814CD">
              <w:rPr>
                <w:noProof/>
                <w:webHidden/>
              </w:rPr>
              <w:instrText xml:space="preserve"> PAGEREF _Toc513217708 \h </w:instrText>
            </w:r>
            <w:r w:rsidR="006814CD">
              <w:rPr>
                <w:noProof/>
                <w:webHidden/>
              </w:rPr>
            </w:r>
            <w:r w:rsidR="006814CD">
              <w:rPr>
                <w:noProof/>
                <w:webHidden/>
              </w:rPr>
              <w:fldChar w:fldCharType="separate"/>
            </w:r>
            <w:r w:rsidR="006814CD">
              <w:rPr>
                <w:noProof/>
                <w:webHidden/>
              </w:rPr>
              <w:t>62</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09" w:history="1">
            <w:r w:rsidR="006814CD" w:rsidRPr="002940D7">
              <w:rPr>
                <w:rStyle w:val="Hyperlink"/>
                <w:noProof/>
              </w:rPr>
              <w:t>8.2.</w:t>
            </w:r>
            <w:r w:rsidR="006814CD">
              <w:rPr>
                <w:rFonts w:asciiTheme="minorHAnsi" w:eastAsiaTheme="minorEastAsia" w:hAnsiTheme="minorHAnsi" w:cstheme="minorBidi"/>
                <w:noProof/>
                <w:lang w:eastAsia="en-AU"/>
              </w:rPr>
              <w:tab/>
            </w:r>
            <w:r w:rsidR="006814CD" w:rsidRPr="002940D7">
              <w:rPr>
                <w:rStyle w:val="Hyperlink"/>
                <w:noProof/>
              </w:rPr>
              <w:t>Studies that assessed safety as the sole primary outcome</w:t>
            </w:r>
            <w:r w:rsidR="006814CD">
              <w:rPr>
                <w:noProof/>
                <w:webHidden/>
              </w:rPr>
              <w:tab/>
            </w:r>
            <w:r w:rsidR="006814CD">
              <w:rPr>
                <w:noProof/>
                <w:webHidden/>
              </w:rPr>
              <w:fldChar w:fldCharType="begin"/>
            </w:r>
            <w:r w:rsidR="006814CD">
              <w:rPr>
                <w:noProof/>
                <w:webHidden/>
              </w:rPr>
              <w:instrText xml:space="preserve"> PAGEREF _Toc513217709 \h </w:instrText>
            </w:r>
            <w:r w:rsidR="006814CD">
              <w:rPr>
                <w:noProof/>
                <w:webHidden/>
              </w:rPr>
            </w:r>
            <w:r w:rsidR="006814CD">
              <w:rPr>
                <w:noProof/>
                <w:webHidden/>
              </w:rPr>
              <w:fldChar w:fldCharType="separate"/>
            </w:r>
            <w:r w:rsidR="006814CD">
              <w:rPr>
                <w:noProof/>
                <w:webHidden/>
              </w:rPr>
              <w:t>64</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0" w:history="1">
            <w:r w:rsidR="006814CD" w:rsidRPr="002940D7">
              <w:rPr>
                <w:rStyle w:val="Hyperlink"/>
                <w:noProof/>
              </w:rPr>
              <w:t>8.3.</w:t>
            </w:r>
            <w:r w:rsidR="006814CD">
              <w:rPr>
                <w:rFonts w:asciiTheme="minorHAnsi" w:eastAsiaTheme="minorEastAsia" w:hAnsiTheme="minorHAnsi" w:cstheme="minorBidi"/>
                <w:noProof/>
                <w:lang w:eastAsia="en-AU"/>
              </w:rPr>
              <w:tab/>
            </w:r>
            <w:r w:rsidR="006814CD" w:rsidRPr="002940D7">
              <w:rPr>
                <w:rStyle w:val="Hyperlink"/>
                <w:noProof/>
              </w:rPr>
              <w:t>Patient exposure</w:t>
            </w:r>
            <w:r w:rsidR="006814CD">
              <w:rPr>
                <w:noProof/>
                <w:webHidden/>
              </w:rPr>
              <w:tab/>
            </w:r>
            <w:r w:rsidR="006814CD">
              <w:rPr>
                <w:noProof/>
                <w:webHidden/>
              </w:rPr>
              <w:fldChar w:fldCharType="begin"/>
            </w:r>
            <w:r w:rsidR="006814CD">
              <w:rPr>
                <w:noProof/>
                <w:webHidden/>
              </w:rPr>
              <w:instrText xml:space="preserve"> PAGEREF _Toc513217710 \h </w:instrText>
            </w:r>
            <w:r w:rsidR="006814CD">
              <w:rPr>
                <w:noProof/>
                <w:webHidden/>
              </w:rPr>
            </w:r>
            <w:r w:rsidR="006814CD">
              <w:rPr>
                <w:noProof/>
                <w:webHidden/>
              </w:rPr>
              <w:fldChar w:fldCharType="separate"/>
            </w:r>
            <w:r w:rsidR="006814CD">
              <w:rPr>
                <w:noProof/>
                <w:webHidden/>
              </w:rPr>
              <w:t>64</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1" w:history="1">
            <w:r w:rsidR="006814CD" w:rsidRPr="002940D7">
              <w:rPr>
                <w:rStyle w:val="Hyperlink"/>
                <w:noProof/>
              </w:rPr>
              <w:t>8.4.</w:t>
            </w:r>
            <w:r w:rsidR="006814CD">
              <w:rPr>
                <w:rFonts w:asciiTheme="minorHAnsi" w:eastAsiaTheme="minorEastAsia" w:hAnsiTheme="minorHAnsi" w:cstheme="minorBidi"/>
                <w:noProof/>
                <w:lang w:eastAsia="en-AU"/>
              </w:rPr>
              <w:tab/>
            </w:r>
            <w:r w:rsidR="006814CD" w:rsidRPr="002940D7">
              <w:rPr>
                <w:rStyle w:val="Hyperlink"/>
                <w:noProof/>
              </w:rPr>
              <w:t>Adverse events</w:t>
            </w:r>
            <w:r w:rsidR="006814CD">
              <w:rPr>
                <w:noProof/>
                <w:webHidden/>
              </w:rPr>
              <w:tab/>
            </w:r>
            <w:r w:rsidR="006814CD">
              <w:rPr>
                <w:noProof/>
                <w:webHidden/>
              </w:rPr>
              <w:fldChar w:fldCharType="begin"/>
            </w:r>
            <w:r w:rsidR="006814CD">
              <w:rPr>
                <w:noProof/>
                <w:webHidden/>
              </w:rPr>
              <w:instrText xml:space="preserve"> PAGEREF _Toc513217711 \h </w:instrText>
            </w:r>
            <w:r w:rsidR="006814CD">
              <w:rPr>
                <w:noProof/>
                <w:webHidden/>
              </w:rPr>
            </w:r>
            <w:r w:rsidR="006814CD">
              <w:rPr>
                <w:noProof/>
                <w:webHidden/>
              </w:rPr>
              <w:fldChar w:fldCharType="separate"/>
            </w:r>
            <w:r w:rsidR="006814CD">
              <w:rPr>
                <w:noProof/>
                <w:webHidden/>
              </w:rPr>
              <w:t>65</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2" w:history="1">
            <w:r w:rsidR="006814CD" w:rsidRPr="002940D7">
              <w:rPr>
                <w:rStyle w:val="Hyperlink"/>
                <w:noProof/>
              </w:rPr>
              <w:t>8.5.</w:t>
            </w:r>
            <w:r w:rsidR="006814CD">
              <w:rPr>
                <w:rFonts w:asciiTheme="minorHAnsi" w:eastAsiaTheme="minorEastAsia" w:hAnsiTheme="minorHAnsi" w:cstheme="minorBidi"/>
                <w:noProof/>
                <w:lang w:eastAsia="en-AU"/>
              </w:rPr>
              <w:tab/>
            </w:r>
            <w:r w:rsidR="006814CD" w:rsidRPr="002940D7">
              <w:rPr>
                <w:rStyle w:val="Hyperlink"/>
                <w:noProof/>
              </w:rPr>
              <w:t>Evaluation of issues with possible regulatory impact</w:t>
            </w:r>
            <w:r w:rsidR="006814CD">
              <w:rPr>
                <w:noProof/>
                <w:webHidden/>
              </w:rPr>
              <w:tab/>
            </w:r>
            <w:r w:rsidR="006814CD">
              <w:rPr>
                <w:noProof/>
                <w:webHidden/>
              </w:rPr>
              <w:fldChar w:fldCharType="begin"/>
            </w:r>
            <w:r w:rsidR="006814CD">
              <w:rPr>
                <w:noProof/>
                <w:webHidden/>
              </w:rPr>
              <w:instrText xml:space="preserve"> PAGEREF _Toc513217712 \h </w:instrText>
            </w:r>
            <w:r w:rsidR="006814CD">
              <w:rPr>
                <w:noProof/>
                <w:webHidden/>
              </w:rPr>
            </w:r>
            <w:r w:rsidR="006814CD">
              <w:rPr>
                <w:noProof/>
                <w:webHidden/>
              </w:rPr>
              <w:fldChar w:fldCharType="separate"/>
            </w:r>
            <w:r w:rsidR="006814CD">
              <w:rPr>
                <w:noProof/>
                <w:webHidden/>
              </w:rPr>
              <w:t>74</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3" w:history="1">
            <w:r w:rsidR="006814CD" w:rsidRPr="002940D7">
              <w:rPr>
                <w:rStyle w:val="Hyperlink"/>
                <w:noProof/>
              </w:rPr>
              <w:t>8.6.</w:t>
            </w:r>
            <w:r w:rsidR="006814CD">
              <w:rPr>
                <w:rFonts w:asciiTheme="minorHAnsi" w:eastAsiaTheme="minorEastAsia" w:hAnsiTheme="minorHAnsi" w:cstheme="minorBidi"/>
                <w:noProof/>
                <w:lang w:eastAsia="en-AU"/>
              </w:rPr>
              <w:tab/>
            </w:r>
            <w:r w:rsidR="006814CD" w:rsidRPr="002940D7">
              <w:rPr>
                <w:rStyle w:val="Hyperlink"/>
                <w:noProof/>
              </w:rPr>
              <w:t>Other safety issues</w:t>
            </w:r>
            <w:r w:rsidR="006814CD">
              <w:rPr>
                <w:noProof/>
                <w:webHidden/>
              </w:rPr>
              <w:tab/>
            </w:r>
            <w:r w:rsidR="006814CD">
              <w:rPr>
                <w:noProof/>
                <w:webHidden/>
              </w:rPr>
              <w:fldChar w:fldCharType="begin"/>
            </w:r>
            <w:r w:rsidR="006814CD">
              <w:rPr>
                <w:noProof/>
                <w:webHidden/>
              </w:rPr>
              <w:instrText xml:space="preserve"> PAGEREF _Toc513217713 \h </w:instrText>
            </w:r>
            <w:r w:rsidR="006814CD">
              <w:rPr>
                <w:noProof/>
                <w:webHidden/>
              </w:rPr>
            </w:r>
            <w:r w:rsidR="006814CD">
              <w:rPr>
                <w:noProof/>
                <w:webHidden/>
              </w:rPr>
              <w:fldChar w:fldCharType="separate"/>
            </w:r>
            <w:r w:rsidR="006814CD">
              <w:rPr>
                <w:noProof/>
                <w:webHidden/>
              </w:rPr>
              <w:t>84</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4" w:history="1">
            <w:r w:rsidR="006814CD" w:rsidRPr="002940D7">
              <w:rPr>
                <w:rStyle w:val="Hyperlink"/>
                <w:noProof/>
              </w:rPr>
              <w:t>8.7.</w:t>
            </w:r>
            <w:r w:rsidR="006814CD">
              <w:rPr>
                <w:rFonts w:asciiTheme="minorHAnsi" w:eastAsiaTheme="minorEastAsia" w:hAnsiTheme="minorHAnsi" w:cstheme="minorBidi"/>
                <w:noProof/>
                <w:lang w:eastAsia="en-AU"/>
              </w:rPr>
              <w:tab/>
            </w:r>
            <w:r w:rsidR="006814CD" w:rsidRPr="002940D7">
              <w:rPr>
                <w:rStyle w:val="Hyperlink"/>
                <w:noProof/>
              </w:rPr>
              <w:t>Post marketing experience</w:t>
            </w:r>
            <w:r w:rsidR="006814CD">
              <w:rPr>
                <w:noProof/>
                <w:webHidden/>
              </w:rPr>
              <w:tab/>
            </w:r>
            <w:r w:rsidR="006814CD">
              <w:rPr>
                <w:noProof/>
                <w:webHidden/>
              </w:rPr>
              <w:fldChar w:fldCharType="begin"/>
            </w:r>
            <w:r w:rsidR="006814CD">
              <w:rPr>
                <w:noProof/>
                <w:webHidden/>
              </w:rPr>
              <w:instrText xml:space="preserve"> PAGEREF _Toc513217714 \h </w:instrText>
            </w:r>
            <w:r w:rsidR="006814CD">
              <w:rPr>
                <w:noProof/>
                <w:webHidden/>
              </w:rPr>
            </w:r>
            <w:r w:rsidR="006814CD">
              <w:rPr>
                <w:noProof/>
                <w:webHidden/>
              </w:rPr>
              <w:fldChar w:fldCharType="separate"/>
            </w:r>
            <w:r w:rsidR="006814CD">
              <w:rPr>
                <w:noProof/>
                <w:webHidden/>
              </w:rPr>
              <w:t>85</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5" w:history="1">
            <w:r w:rsidR="006814CD" w:rsidRPr="002940D7">
              <w:rPr>
                <w:rStyle w:val="Hyperlink"/>
                <w:noProof/>
              </w:rPr>
              <w:t>8.8.</w:t>
            </w:r>
            <w:r w:rsidR="006814CD">
              <w:rPr>
                <w:rFonts w:asciiTheme="minorHAnsi" w:eastAsiaTheme="minorEastAsia" w:hAnsiTheme="minorHAnsi" w:cstheme="minorBidi"/>
                <w:noProof/>
                <w:lang w:eastAsia="en-AU"/>
              </w:rPr>
              <w:tab/>
            </w:r>
            <w:r w:rsidR="006814CD" w:rsidRPr="002940D7">
              <w:rPr>
                <w:rStyle w:val="Hyperlink"/>
                <w:noProof/>
              </w:rPr>
              <w:t>Evaluator’s overall conclusions on clinical safety</w:t>
            </w:r>
            <w:r w:rsidR="006814CD">
              <w:rPr>
                <w:noProof/>
                <w:webHidden/>
              </w:rPr>
              <w:tab/>
            </w:r>
            <w:r w:rsidR="006814CD">
              <w:rPr>
                <w:noProof/>
                <w:webHidden/>
              </w:rPr>
              <w:fldChar w:fldCharType="begin"/>
            </w:r>
            <w:r w:rsidR="006814CD">
              <w:rPr>
                <w:noProof/>
                <w:webHidden/>
              </w:rPr>
              <w:instrText xml:space="preserve"> PAGEREF _Toc513217715 \h </w:instrText>
            </w:r>
            <w:r w:rsidR="006814CD">
              <w:rPr>
                <w:noProof/>
                <w:webHidden/>
              </w:rPr>
            </w:r>
            <w:r w:rsidR="006814CD">
              <w:rPr>
                <w:noProof/>
                <w:webHidden/>
              </w:rPr>
              <w:fldChar w:fldCharType="separate"/>
            </w:r>
            <w:r w:rsidR="006814CD">
              <w:rPr>
                <w:noProof/>
                <w:webHidden/>
              </w:rPr>
              <w:t>85</w:t>
            </w:r>
            <w:r w:rsidR="006814CD">
              <w:rPr>
                <w:noProof/>
                <w:webHidden/>
              </w:rPr>
              <w:fldChar w:fldCharType="end"/>
            </w:r>
          </w:hyperlink>
        </w:p>
        <w:p w:rsidR="006814CD" w:rsidRDefault="006B7702">
          <w:pPr>
            <w:pStyle w:val="TOC2"/>
            <w:tabs>
              <w:tab w:val="left" w:pos="1100"/>
            </w:tabs>
            <w:rPr>
              <w:rFonts w:asciiTheme="minorHAnsi" w:eastAsiaTheme="minorEastAsia" w:hAnsiTheme="minorHAnsi" w:cstheme="minorBidi"/>
              <w:b w:val="0"/>
              <w:noProof/>
              <w:sz w:val="22"/>
              <w:lang w:eastAsia="en-AU"/>
            </w:rPr>
          </w:pPr>
          <w:hyperlink w:anchor="_Toc513217716" w:history="1">
            <w:r w:rsidR="006814CD" w:rsidRPr="002940D7">
              <w:rPr>
                <w:rStyle w:val="Hyperlink"/>
                <w:noProof/>
              </w:rPr>
              <w:t>9.</w:t>
            </w:r>
            <w:r w:rsidR="006814CD">
              <w:rPr>
                <w:rFonts w:asciiTheme="minorHAnsi" w:eastAsiaTheme="minorEastAsia" w:hAnsiTheme="minorHAnsi" w:cstheme="minorBidi"/>
                <w:b w:val="0"/>
                <w:noProof/>
                <w:sz w:val="22"/>
                <w:lang w:eastAsia="en-AU"/>
              </w:rPr>
              <w:tab/>
            </w:r>
            <w:r w:rsidR="006814CD" w:rsidRPr="002940D7">
              <w:rPr>
                <w:rStyle w:val="Hyperlink"/>
                <w:noProof/>
              </w:rPr>
              <w:t>First round benefit-risk assessment</w:t>
            </w:r>
            <w:r w:rsidR="006814CD">
              <w:rPr>
                <w:noProof/>
                <w:webHidden/>
              </w:rPr>
              <w:tab/>
            </w:r>
            <w:r w:rsidR="006814CD">
              <w:rPr>
                <w:noProof/>
                <w:webHidden/>
              </w:rPr>
              <w:fldChar w:fldCharType="begin"/>
            </w:r>
            <w:r w:rsidR="006814CD">
              <w:rPr>
                <w:noProof/>
                <w:webHidden/>
              </w:rPr>
              <w:instrText xml:space="preserve"> PAGEREF _Toc513217716 \h </w:instrText>
            </w:r>
            <w:r w:rsidR="006814CD">
              <w:rPr>
                <w:noProof/>
                <w:webHidden/>
              </w:rPr>
            </w:r>
            <w:r w:rsidR="006814CD">
              <w:rPr>
                <w:noProof/>
                <w:webHidden/>
              </w:rPr>
              <w:fldChar w:fldCharType="separate"/>
            </w:r>
            <w:r w:rsidR="006814CD">
              <w:rPr>
                <w:noProof/>
                <w:webHidden/>
              </w:rPr>
              <w:t>88</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7" w:history="1">
            <w:r w:rsidR="006814CD" w:rsidRPr="002940D7">
              <w:rPr>
                <w:rStyle w:val="Hyperlink"/>
                <w:noProof/>
              </w:rPr>
              <w:t>9.1.</w:t>
            </w:r>
            <w:r w:rsidR="006814CD">
              <w:rPr>
                <w:rFonts w:asciiTheme="minorHAnsi" w:eastAsiaTheme="minorEastAsia" w:hAnsiTheme="minorHAnsi" w:cstheme="minorBidi"/>
                <w:noProof/>
                <w:lang w:eastAsia="en-AU"/>
              </w:rPr>
              <w:tab/>
            </w:r>
            <w:r w:rsidR="006814CD" w:rsidRPr="002940D7">
              <w:rPr>
                <w:rStyle w:val="Hyperlink"/>
                <w:noProof/>
              </w:rPr>
              <w:t>First round assessment of benefits</w:t>
            </w:r>
            <w:r w:rsidR="006814CD">
              <w:rPr>
                <w:noProof/>
                <w:webHidden/>
              </w:rPr>
              <w:tab/>
            </w:r>
            <w:r w:rsidR="006814CD">
              <w:rPr>
                <w:noProof/>
                <w:webHidden/>
              </w:rPr>
              <w:fldChar w:fldCharType="begin"/>
            </w:r>
            <w:r w:rsidR="006814CD">
              <w:rPr>
                <w:noProof/>
                <w:webHidden/>
              </w:rPr>
              <w:instrText xml:space="preserve"> PAGEREF _Toc513217717 \h </w:instrText>
            </w:r>
            <w:r w:rsidR="006814CD">
              <w:rPr>
                <w:noProof/>
                <w:webHidden/>
              </w:rPr>
            </w:r>
            <w:r w:rsidR="006814CD">
              <w:rPr>
                <w:noProof/>
                <w:webHidden/>
              </w:rPr>
              <w:fldChar w:fldCharType="separate"/>
            </w:r>
            <w:r w:rsidR="006814CD">
              <w:rPr>
                <w:noProof/>
                <w:webHidden/>
              </w:rPr>
              <w:t>88</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8" w:history="1">
            <w:r w:rsidR="006814CD" w:rsidRPr="002940D7">
              <w:rPr>
                <w:rStyle w:val="Hyperlink"/>
                <w:noProof/>
              </w:rPr>
              <w:t>9.2.</w:t>
            </w:r>
            <w:r w:rsidR="006814CD">
              <w:rPr>
                <w:rFonts w:asciiTheme="minorHAnsi" w:eastAsiaTheme="minorEastAsia" w:hAnsiTheme="minorHAnsi" w:cstheme="minorBidi"/>
                <w:noProof/>
                <w:lang w:eastAsia="en-AU"/>
              </w:rPr>
              <w:tab/>
            </w:r>
            <w:r w:rsidR="006814CD" w:rsidRPr="002940D7">
              <w:rPr>
                <w:rStyle w:val="Hyperlink"/>
                <w:noProof/>
              </w:rPr>
              <w:t>First round assessment of risks</w:t>
            </w:r>
            <w:r w:rsidR="006814CD">
              <w:rPr>
                <w:noProof/>
                <w:webHidden/>
              </w:rPr>
              <w:tab/>
            </w:r>
            <w:r w:rsidR="006814CD">
              <w:rPr>
                <w:noProof/>
                <w:webHidden/>
              </w:rPr>
              <w:fldChar w:fldCharType="begin"/>
            </w:r>
            <w:r w:rsidR="006814CD">
              <w:rPr>
                <w:noProof/>
                <w:webHidden/>
              </w:rPr>
              <w:instrText xml:space="preserve"> PAGEREF _Toc513217718 \h </w:instrText>
            </w:r>
            <w:r w:rsidR="006814CD">
              <w:rPr>
                <w:noProof/>
                <w:webHidden/>
              </w:rPr>
            </w:r>
            <w:r w:rsidR="006814CD">
              <w:rPr>
                <w:noProof/>
                <w:webHidden/>
              </w:rPr>
              <w:fldChar w:fldCharType="separate"/>
            </w:r>
            <w:r w:rsidR="006814CD">
              <w:rPr>
                <w:noProof/>
                <w:webHidden/>
              </w:rPr>
              <w:t>88</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19" w:history="1">
            <w:r w:rsidR="006814CD" w:rsidRPr="002940D7">
              <w:rPr>
                <w:rStyle w:val="Hyperlink"/>
                <w:noProof/>
              </w:rPr>
              <w:t>9.3.</w:t>
            </w:r>
            <w:r w:rsidR="006814CD">
              <w:rPr>
                <w:rFonts w:asciiTheme="minorHAnsi" w:eastAsiaTheme="minorEastAsia" w:hAnsiTheme="minorHAnsi" w:cstheme="minorBidi"/>
                <w:noProof/>
                <w:lang w:eastAsia="en-AU"/>
              </w:rPr>
              <w:tab/>
            </w:r>
            <w:r w:rsidR="006814CD" w:rsidRPr="002940D7">
              <w:rPr>
                <w:rStyle w:val="Hyperlink"/>
                <w:noProof/>
              </w:rPr>
              <w:t>First round assessment of benefit-risk balance</w:t>
            </w:r>
            <w:r w:rsidR="006814CD">
              <w:rPr>
                <w:noProof/>
                <w:webHidden/>
              </w:rPr>
              <w:tab/>
            </w:r>
            <w:r w:rsidR="006814CD">
              <w:rPr>
                <w:noProof/>
                <w:webHidden/>
              </w:rPr>
              <w:fldChar w:fldCharType="begin"/>
            </w:r>
            <w:r w:rsidR="006814CD">
              <w:rPr>
                <w:noProof/>
                <w:webHidden/>
              </w:rPr>
              <w:instrText xml:space="preserve"> PAGEREF _Toc513217719 \h </w:instrText>
            </w:r>
            <w:r w:rsidR="006814CD">
              <w:rPr>
                <w:noProof/>
                <w:webHidden/>
              </w:rPr>
            </w:r>
            <w:r w:rsidR="006814CD">
              <w:rPr>
                <w:noProof/>
                <w:webHidden/>
              </w:rPr>
              <w:fldChar w:fldCharType="separate"/>
            </w:r>
            <w:r w:rsidR="006814CD">
              <w:rPr>
                <w:noProof/>
                <w:webHidden/>
              </w:rPr>
              <w:t>89</w:t>
            </w:r>
            <w:r w:rsidR="006814CD">
              <w:rPr>
                <w:noProof/>
                <w:webHidden/>
              </w:rPr>
              <w:fldChar w:fldCharType="end"/>
            </w:r>
          </w:hyperlink>
        </w:p>
        <w:p w:rsidR="006814CD" w:rsidRDefault="006B7702">
          <w:pPr>
            <w:pStyle w:val="TOC2"/>
            <w:tabs>
              <w:tab w:val="left" w:pos="1320"/>
            </w:tabs>
            <w:rPr>
              <w:rFonts w:asciiTheme="minorHAnsi" w:eastAsiaTheme="minorEastAsia" w:hAnsiTheme="minorHAnsi" w:cstheme="minorBidi"/>
              <w:b w:val="0"/>
              <w:noProof/>
              <w:sz w:val="22"/>
              <w:lang w:eastAsia="en-AU"/>
            </w:rPr>
          </w:pPr>
          <w:hyperlink w:anchor="_Toc513217720" w:history="1">
            <w:r w:rsidR="006814CD" w:rsidRPr="002940D7">
              <w:rPr>
                <w:rStyle w:val="Hyperlink"/>
                <w:noProof/>
              </w:rPr>
              <w:t>10.</w:t>
            </w:r>
            <w:r w:rsidR="006814CD">
              <w:rPr>
                <w:rFonts w:asciiTheme="minorHAnsi" w:eastAsiaTheme="minorEastAsia" w:hAnsiTheme="minorHAnsi" w:cstheme="minorBidi"/>
                <w:b w:val="0"/>
                <w:noProof/>
                <w:sz w:val="22"/>
                <w:lang w:eastAsia="en-AU"/>
              </w:rPr>
              <w:tab/>
            </w:r>
            <w:r w:rsidR="006814CD" w:rsidRPr="002940D7">
              <w:rPr>
                <w:rStyle w:val="Hyperlink"/>
                <w:noProof/>
              </w:rPr>
              <w:t>First round recommendation regarding authorisation</w:t>
            </w:r>
            <w:r w:rsidR="006814CD">
              <w:rPr>
                <w:noProof/>
                <w:webHidden/>
              </w:rPr>
              <w:tab/>
            </w:r>
            <w:r w:rsidR="006814CD">
              <w:rPr>
                <w:noProof/>
                <w:webHidden/>
              </w:rPr>
              <w:fldChar w:fldCharType="begin"/>
            </w:r>
            <w:r w:rsidR="006814CD">
              <w:rPr>
                <w:noProof/>
                <w:webHidden/>
              </w:rPr>
              <w:instrText xml:space="preserve"> PAGEREF _Toc513217720 \h </w:instrText>
            </w:r>
            <w:r w:rsidR="006814CD">
              <w:rPr>
                <w:noProof/>
                <w:webHidden/>
              </w:rPr>
            </w:r>
            <w:r w:rsidR="006814CD">
              <w:rPr>
                <w:noProof/>
                <w:webHidden/>
              </w:rPr>
              <w:fldChar w:fldCharType="separate"/>
            </w:r>
            <w:r w:rsidR="006814CD">
              <w:rPr>
                <w:noProof/>
                <w:webHidden/>
              </w:rPr>
              <w:t>89</w:t>
            </w:r>
            <w:r w:rsidR="006814CD">
              <w:rPr>
                <w:noProof/>
                <w:webHidden/>
              </w:rPr>
              <w:fldChar w:fldCharType="end"/>
            </w:r>
          </w:hyperlink>
        </w:p>
        <w:p w:rsidR="006814CD" w:rsidRDefault="006B7702">
          <w:pPr>
            <w:pStyle w:val="TOC2"/>
            <w:tabs>
              <w:tab w:val="left" w:pos="1320"/>
            </w:tabs>
            <w:rPr>
              <w:rFonts w:asciiTheme="minorHAnsi" w:eastAsiaTheme="minorEastAsia" w:hAnsiTheme="minorHAnsi" w:cstheme="minorBidi"/>
              <w:b w:val="0"/>
              <w:noProof/>
              <w:sz w:val="22"/>
              <w:lang w:eastAsia="en-AU"/>
            </w:rPr>
          </w:pPr>
          <w:hyperlink w:anchor="_Toc513217721" w:history="1">
            <w:r w:rsidR="006814CD" w:rsidRPr="002940D7">
              <w:rPr>
                <w:rStyle w:val="Hyperlink"/>
                <w:noProof/>
              </w:rPr>
              <w:t>11.</w:t>
            </w:r>
            <w:r w:rsidR="006814CD">
              <w:rPr>
                <w:rFonts w:asciiTheme="minorHAnsi" w:eastAsiaTheme="minorEastAsia" w:hAnsiTheme="minorHAnsi" w:cstheme="minorBidi"/>
                <w:b w:val="0"/>
                <w:noProof/>
                <w:sz w:val="22"/>
                <w:lang w:eastAsia="en-AU"/>
              </w:rPr>
              <w:tab/>
            </w:r>
            <w:r w:rsidR="006814CD" w:rsidRPr="002940D7">
              <w:rPr>
                <w:rStyle w:val="Hyperlink"/>
                <w:noProof/>
              </w:rPr>
              <w:t>Clinical questions</w:t>
            </w:r>
            <w:r w:rsidR="006814CD">
              <w:rPr>
                <w:noProof/>
                <w:webHidden/>
              </w:rPr>
              <w:tab/>
            </w:r>
            <w:r w:rsidR="006814CD">
              <w:rPr>
                <w:noProof/>
                <w:webHidden/>
              </w:rPr>
              <w:fldChar w:fldCharType="begin"/>
            </w:r>
            <w:r w:rsidR="006814CD">
              <w:rPr>
                <w:noProof/>
                <w:webHidden/>
              </w:rPr>
              <w:instrText xml:space="preserve"> PAGEREF _Toc513217721 \h </w:instrText>
            </w:r>
            <w:r w:rsidR="006814CD">
              <w:rPr>
                <w:noProof/>
                <w:webHidden/>
              </w:rPr>
            </w:r>
            <w:r w:rsidR="006814CD">
              <w:rPr>
                <w:noProof/>
                <w:webHidden/>
              </w:rPr>
              <w:fldChar w:fldCharType="separate"/>
            </w:r>
            <w:r w:rsidR="006814CD">
              <w:rPr>
                <w:noProof/>
                <w:webHidden/>
              </w:rPr>
              <w:t>90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22" w:history="1">
            <w:r w:rsidR="006814CD" w:rsidRPr="002940D7">
              <w:rPr>
                <w:rStyle w:val="Hyperlink"/>
                <w:noProof/>
              </w:rPr>
              <w:t>11.1.</w:t>
            </w:r>
            <w:r w:rsidR="006814CD">
              <w:rPr>
                <w:rFonts w:asciiTheme="minorHAnsi" w:eastAsiaTheme="minorEastAsia" w:hAnsiTheme="minorHAnsi" w:cstheme="minorBidi"/>
                <w:noProof/>
                <w:lang w:eastAsia="en-AU"/>
              </w:rPr>
              <w:tab/>
            </w:r>
            <w:r w:rsidR="006814CD" w:rsidRPr="002940D7">
              <w:rPr>
                <w:rStyle w:val="Hyperlink"/>
                <w:noProof/>
              </w:rPr>
              <w:t>Pharmacokinetics</w:t>
            </w:r>
            <w:r w:rsidR="006814CD">
              <w:rPr>
                <w:noProof/>
                <w:webHidden/>
              </w:rPr>
              <w:tab/>
            </w:r>
            <w:r w:rsidR="006814CD">
              <w:rPr>
                <w:noProof/>
                <w:webHidden/>
              </w:rPr>
              <w:fldChar w:fldCharType="begin"/>
            </w:r>
            <w:r w:rsidR="006814CD">
              <w:rPr>
                <w:noProof/>
                <w:webHidden/>
              </w:rPr>
              <w:instrText xml:space="preserve"> PAGEREF _Toc513217722 \h </w:instrText>
            </w:r>
            <w:r w:rsidR="006814CD">
              <w:rPr>
                <w:noProof/>
                <w:webHidden/>
              </w:rPr>
            </w:r>
            <w:r w:rsidR="006814CD">
              <w:rPr>
                <w:noProof/>
                <w:webHidden/>
              </w:rPr>
              <w:fldChar w:fldCharType="separate"/>
            </w:r>
            <w:r w:rsidR="006814CD">
              <w:rPr>
                <w:noProof/>
                <w:webHidden/>
              </w:rPr>
              <w:t>90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23" w:history="1">
            <w:r w:rsidR="006814CD" w:rsidRPr="002940D7">
              <w:rPr>
                <w:rStyle w:val="Hyperlink"/>
                <w:noProof/>
              </w:rPr>
              <w:t>11.2.</w:t>
            </w:r>
            <w:r w:rsidR="006814CD">
              <w:rPr>
                <w:rFonts w:asciiTheme="minorHAnsi" w:eastAsiaTheme="minorEastAsia" w:hAnsiTheme="minorHAnsi" w:cstheme="minorBidi"/>
                <w:noProof/>
                <w:lang w:eastAsia="en-AU"/>
              </w:rPr>
              <w:tab/>
            </w:r>
            <w:r w:rsidR="006814CD" w:rsidRPr="002940D7">
              <w:rPr>
                <w:rStyle w:val="Hyperlink"/>
                <w:noProof/>
              </w:rPr>
              <w:t>Pharmacodynamics</w:t>
            </w:r>
            <w:r w:rsidR="006814CD">
              <w:rPr>
                <w:noProof/>
                <w:webHidden/>
              </w:rPr>
              <w:tab/>
            </w:r>
            <w:r w:rsidR="006814CD">
              <w:rPr>
                <w:noProof/>
                <w:webHidden/>
              </w:rPr>
              <w:fldChar w:fldCharType="begin"/>
            </w:r>
            <w:r w:rsidR="006814CD">
              <w:rPr>
                <w:noProof/>
                <w:webHidden/>
              </w:rPr>
              <w:instrText xml:space="preserve"> PAGEREF _Toc513217723 \h </w:instrText>
            </w:r>
            <w:r w:rsidR="006814CD">
              <w:rPr>
                <w:noProof/>
                <w:webHidden/>
              </w:rPr>
            </w:r>
            <w:r w:rsidR="006814CD">
              <w:rPr>
                <w:noProof/>
                <w:webHidden/>
              </w:rPr>
              <w:fldChar w:fldCharType="separate"/>
            </w:r>
            <w:r w:rsidR="006814CD">
              <w:rPr>
                <w:noProof/>
                <w:webHidden/>
              </w:rPr>
              <w:t>90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24" w:history="1">
            <w:r w:rsidR="006814CD" w:rsidRPr="002940D7">
              <w:rPr>
                <w:rStyle w:val="Hyperlink"/>
                <w:noProof/>
              </w:rPr>
              <w:t>11.3.</w:t>
            </w:r>
            <w:r w:rsidR="006814CD">
              <w:rPr>
                <w:rFonts w:asciiTheme="minorHAnsi" w:eastAsiaTheme="minorEastAsia" w:hAnsiTheme="minorHAnsi" w:cstheme="minorBidi"/>
                <w:noProof/>
                <w:lang w:eastAsia="en-AU"/>
              </w:rPr>
              <w:tab/>
            </w:r>
            <w:r w:rsidR="006814CD" w:rsidRPr="002940D7">
              <w:rPr>
                <w:rStyle w:val="Hyperlink"/>
                <w:noProof/>
              </w:rPr>
              <w:t>Efficacy</w:t>
            </w:r>
            <w:r w:rsidR="006814CD">
              <w:rPr>
                <w:noProof/>
                <w:webHidden/>
              </w:rPr>
              <w:tab/>
            </w:r>
            <w:r w:rsidR="006814CD">
              <w:rPr>
                <w:noProof/>
                <w:webHidden/>
              </w:rPr>
              <w:fldChar w:fldCharType="begin"/>
            </w:r>
            <w:r w:rsidR="006814CD">
              <w:rPr>
                <w:noProof/>
                <w:webHidden/>
              </w:rPr>
              <w:instrText xml:space="preserve"> PAGEREF _Toc513217724 \h </w:instrText>
            </w:r>
            <w:r w:rsidR="006814CD">
              <w:rPr>
                <w:noProof/>
                <w:webHidden/>
              </w:rPr>
            </w:r>
            <w:r w:rsidR="006814CD">
              <w:rPr>
                <w:noProof/>
                <w:webHidden/>
              </w:rPr>
              <w:fldChar w:fldCharType="separate"/>
            </w:r>
            <w:r w:rsidR="006814CD">
              <w:rPr>
                <w:noProof/>
                <w:webHidden/>
              </w:rPr>
              <w:t>90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25" w:history="1">
            <w:r w:rsidR="006814CD" w:rsidRPr="002940D7">
              <w:rPr>
                <w:rStyle w:val="Hyperlink"/>
                <w:noProof/>
              </w:rPr>
              <w:t>11.4.</w:t>
            </w:r>
            <w:r w:rsidR="006814CD">
              <w:rPr>
                <w:rFonts w:asciiTheme="minorHAnsi" w:eastAsiaTheme="minorEastAsia" w:hAnsiTheme="minorHAnsi" w:cstheme="minorBidi"/>
                <w:noProof/>
                <w:lang w:eastAsia="en-AU"/>
              </w:rPr>
              <w:tab/>
            </w:r>
            <w:r w:rsidR="006814CD" w:rsidRPr="002940D7">
              <w:rPr>
                <w:rStyle w:val="Hyperlink"/>
                <w:noProof/>
              </w:rPr>
              <w:t>Safety</w:t>
            </w:r>
            <w:r w:rsidR="006814CD">
              <w:rPr>
                <w:noProof/>
                <w:webHidden/>
              </w:rPr>
              <w:tab/>
            </w:r>
            <w:r w:rsidR="006814CD">
              <w:rPr>
                <w:noProof/>
                <w:webHidden/>
              </w:rPr>
              <w:fldChar w:fldCharType="begin"/>
            </w:r>
            <w:r w:rsidR="006814CD">
              <w:rPr>
                <w:noProof/>
                <w:webHidden/>
              </w:rPr>
              <w:instrText xml:space="preserve"> PAGEREF _Toc513217725 \h </w:instrText>
            </w:r>
            <w:r w:rsidR="006814CD">
              <w:rPr>
                <w:noProof/>
                <w:webHidden/>
              </w:rPr>
            </w:r>
            <w:r w:rsidR="006814CD">
              <w:rPr>
                <w:noProof/>
                <w:webHidden/>
              </w:rPr>
              <w:fldChar w:fldCharType="separate"/>
            </w:r>
            <w:r w:rsidR="006814CD">
              <w:rPr>
                <w:noProof/>
                <w:webHidden/>
              </w:rPr>
              <w:t>90</w:t>
            </w:r>
            <w:r w:rsidR="006814CD">
              <w:rPr>
                <w:noProof/>
                <w:webHidden/>
              </w:rPr>
              <w:fldChar w:fldCharType="end"/>
            </w:r>
          </w:hyperlink>
        </w:p>
        <w:p w:rsidR="006814CD" w:rsidRDefault="006B7702">
          <w:pPr>
            <w:pStyle w:val="TOC2"/>
            <w:tabs>
              <w:tab w:val="left" w:pos="1320"/>
            </w:tabs>
            <w:rPr>
              <w:rFonts w:asciiTheme="minorHAnsi" w:eastAsiaTheme="minorEastAsia" w:hAnsiTheme="minorHAnsi" w:cstheme="minorBidi"/>
              <w:b w:val="0"/>
              <w:noProof/>
              <w:sz w:val="22"/>
              <w:lang w:eastAsia="en-AU"/>
            </w:rPr>
          </w:pPr>
          <w:hyperlink w:anchor="_Toc513217726" w:history="1">
            <w:r w:rsidR="006814CD" w:rsidRPr="002940D7">
              <w:rPr>
                <w:rStyle w:val="Hyperlink"/>
                <w:noProof/>
              </w:rPr>
              <w:t>12.</w:t>
            </w:r>
            <w:r w:rsidR="006814CD">
              <w:rPr>
                <w:rFonts w:asciiTheme="minorHAnsi" w:eastAsiaTheme="minorEastAsia" w:hAnsiTheme="minorHAnsi" w:cstheme="minorBidi"/>
                <w:b w:val="0"/>
                <w:noProof/>
                <w:sz w:val="22"/>
                <w:lang w:eastAsia="en-AU"/>
              </w:rPr>
              <w:tab/>
            </w:r>
            <w:r w:rsidR="006814CD" w:rsidRPr="002940D7">
              <w:rPr>
                <w:rStyle w:val="Hyperlink"/>
                <w:noProof/>
              </w:rPr>
              <w:t>Second round</w:t>
            </w:r>
            <w:r w:rsidR="006814CD" w:rsidRPr="002940D7">
              <w:rPr>
                <w:rStyle w:val="Hyperlink"/>
                <w:noProof/>
                <w:spacing w:val="-2"/>
              </w:rPr>
              <w:t xml:space="preserve"> </w:t>
            </w:r>
            <w:r w:rsidR="006814CD" w:rsidRPr="002940D7">
              <w:rPr>
                <w:rStyle w:val="Hyperlink"/>
                <w:noProof/>
              </w:rPr>
              <w:t>evaluation</w:t>
            </w:r>
            <w:r w:rsidR="006814CD">
              <w:rPr>
                <w:noProof/>
                <w:webHidden/>
              </w:rPr>
              <w:tab/>
            </w:r>
            <w:r w:rsidR="006814CD">
              <w:rPr>
                <w:noProof/>
                <w:webHidden/>
              </w:rPr>
              <w:fldChar w:fldCharType="begin"/>
            </w:r>
            <w:r w:rsidR="006814CD">
              <w:rPr>
                <w:noProof/>
                <w:webHidden/>
              </w:rPr>
              <w:instrText xml:space="preserve"> PAGEREF _Toc513217726 \h </w:instrText>
            </w:r>
            <w:r w:rsidR="006814CD">
              <w:rPr>
                <w:noProof/>
                <w:webHidden/>
              </w:rPr>
            </w:r>
            <w:r w:rsidR="006814CD">
              <w:rPr>
                <w:noProof/>
                <w:webHidden/>
              </w:rPr>
              <w:fldChar w:fldCharType="separate"/>
            </w:r>
            <w:r w:rsidR="006814CD">
              <w:rPr>
                <w:noProof/>
                <w:webHidden/>
              </w:rPr>
              <w:t>90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27" w:history="1">
            <w:r w:rsidR="006814CD" w:rsidRPr="002940D7">
              <w:rPr>
                <w:rStyle w:val="Hyperlink"/>
                <w:noProof/>
              </w:rPr>
              <w:t>12.1.</w:t>
            </w:r>
            <w:r w:rsidR="006814CD">
              <w:rPr>
                <w:rFonts w:asciiTheme="minorHAnsi" w:eastAsiaTheme="minorEastAsia" w:hAnsiTheme="minorHAnsi" w:cstheme="minorBidi"/>
                <w:noProof/>
                <w:lang w:eastAsia="en-AU"/>
              </w:rPr>
              <w:tab/>
            </w:r>
            <w:r w:rsidR="006814CD" w:rsidRPr="002940D7">
              <w:rPr>
                <w:rStyle w:val="Hyperlink"/>
                <w:noProof/>
              </w:rPr>
              <w:t>Clinical question</w:t>
            </w:r>
            <w:r w:rsidR="006814CD" w:rsidRPr="002940D7">
              <w:rPr>
                <w:rStyle w:val="Hyperlink"/>
                <w:noProof/>
                <w:spacing w:val="-3"/>
              </w:rPr>
              <w:t xml:space="preserve"> </w:t>
            </w:r>
            <w:r w:rsidR="006814CD" w:rsidRPr="002940D7">
              <w:rPr>
                <w:rStyle w:val="Hyperlink"/>
                <w:noProof/>
              </w:rPr>
              <w:t>1:</w:t>
            </w:r>
            <w:r w:rsidR="006814CD">
              <w:rPr>
                <w:noProof/>
                <w:webHidden/>
              </w:rPr>
              <w:tab/>
            </w:r>
            <w:r w:rsidR="006814CD">
              <w:rPr>
                <w:noProof/>
                <w:webHidden/>
              </w:rPr>
              <w:fldChar w:fldCharType="begin"/>
            </w:r>
            <w:r w:rsidR="006814CD">
              <w:rPr>
                <w:noProof/>
                <w:webHidden/>
              </w:rPr>
              <w:instrText xml:space="preserve"> PAGEREF _Toc513217727 \h </w:instrText>
            </w:r>
            <w:r w:rsidR="006814CD">
              <w:rPr>
                <w:noProof/>
                <w:webHidden/>
              </w:rPr>
            </w:r>
            <w:r w:rsidR="006814CD">
              <w:rPr>
                <w:noProof/>
                <w:webHidden/>
              </w:rPr>
              <w:fldChar w:fldCharType="separate"/>
            </w:r>
            <w:r w:rsidR="006814CD">
              <w:rPr>
                <w:noProof/>
                <w:webHidden/>
              </w:rPr>
              <w:t>90</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28" w:history="1">
            <w:r w:rsidR="006814CD" w:rsidRPr="002940D7">
              <w:rPr>
                <w:rStyle w:val="Hyperlink"/>
                <w:noProof/>
              </w:rPr>
              <w:t>12.2.</w:t>
            </w:r>
            <w:r w:rsidR="006814CD">
              <w:rPr>
                <w:rFonts w:asciiTheme="minorHAnsi" w:eastAsiaTheme="minorEastAsia" w:hAnsiTheme="minorHAnsi" w:cstheme="minorBidi"/>
                <w:noProof/>
                <w:lang w:eastAsia="en-AU"/>
              </w:rPr>
              <w:tab/>
            </w:r>
            <w:r w:rsidR="006814CD" w:rsidRPr="002940D7">
              <w:rPr>
                <w:rStyle w:val="Hyperlink"/>
                <w:noProof/>
              </w:rPr>
              <w:t>Clinical question</w:t>
            </w:r>
            <w:r w:rsidR="006814CD" w:rsidRPr="002940D7">
              <w:rPr>
                <w:rStyle w:val="Hyperlink"/>
                <w:noProof/>
                <w:spacing w:val="-3"/>
              </w:rPr>
              <w:t xml:space="preserve"> </w:t>
            </w:r>
            <w:r w:rsidR="006814CD" w:rsidRPr="002940D7">
              <w:rPr>
                <w:rStyle w:val="Hyperlink"/>
                <w:noProof/>
              </w:rPr>
              <w:t>2</w:t>
            </w:r>
            <w:r w:rsidR="006814CD">
              <w:rPr>
                <w:noProof/>
                <w:webHidden/>
              </w:rPr>
              <w:tab/>
            </w:r>
            <w:r w:rsidR="006814CD">
              <w:rPr>
                <w:noProof/>
                <w:webHidden/>
              </w:rPr>
              <w:fldChar w:fldCharType="begin"/>
            </w:r>
            <w:r w:rsidR="006814CD">
              <w:rPr>
                <w:noProof/>
                <w:webHidden/>
              </w:rPr>
              <w:instrText xml:space="preserve"> PAGEREF _Toc513217728 \h </w:instrText>
            </w:r>
            <w:r w:rsidR="006814CD">
              <w:rPr>
                <w:noProof/>
                <w:webHidden/>
              </w:rPr>
            </w:r>
            <w:r w:rsidR="006814CD">
              <w:rPr>
                <w:noProof/>
                <w:webHidden/>
              </w:rPr>
              <w:fldChar w:fldCharType="separate"/>
            </w:r>
            <w:r w:rsidR="006814CD">
              <w:rPr>
                <w:noProof/>
                <w:webHidden/>
              </w:rPr>
              <w:t>91</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29" w:history="1">
            <w:r w:rsidR="006814CD" w:rsidRPr="002940D7">
              <w:rPr>
                <w:rStyle w:val="Hyperlink"/>
                <w:noProof/>
              </w:rPr>
              <w:t>12.3.</w:t>
            </w:r>
            <w:r w:rsidR="006814CD">
              <w:rPr>
                <w:rFonts w:asciiTheme="minorHAnsi" w:eastAsiaTheme="minorEastAsia" w:hAnsiTheme="minorHAnsi" w:cstheme="minorBidi"/>
                <w:noProof/>
                <w:lang w:eastAsia="en-AU"/>
              </w:rPr>
              <w:tab/>
            </w:r>
            <w:r w:rsidR="006814CD" w:rsidRPr="002940D7">
              <w:rPr>
                <w:rStyle w:val="Hyperlink"/>
                <w:noProof/>
              </w:rPr>
              <w:t>Clinical Question</w:t>
            </w:r>
            <w:r w:rsidR="006814CD" w:rsidRPr="002940D7">
              <w:rPr>
                <w:rStyle w:val="Hyperlink"/>
                <w:noProof/>
                <w:spacing w:val="1"/>
              </w:rPr>
              <w:t xml:space="preserve"> </w:t>
            </w:r>
            <w:r w:rsidR="006814CD" w:rsidRPr="002940D7">
              <w:rPr>
                <w:rStyle w:val="Hyperlink"/>
                <w:noProof/>
              </w:rPr>
              <w:t>3</w:t>
            </w:r>
            <w:r w:rsidR="006814CD">
              <w:rPr>
                <w:noProof/>
                <w:webHidden/>
              </w:rPr>
              <w:tab/>
            </w:r>
            <w:r w:rsidR="006814CD">
              <w:rPr>
                <w:noProof/>
                <w:webHidden/>
              </w:rPr>
              <w:fldChar w:fldCharType="begin"/>
            </w:r>
            <w:r w:rsidR="006814CD">
              <w:rPr>
                <w:noProof/>
                <w:webHidden/>
              </w:rPr>
              <w:instrText xml:space="preserve"> PAGEREF _Toc513217729 \h </w:instrText>
            </w:r>
            <w:r w:rsidR="006814CD">
              <w:rPr>
                <w:noProof/>
                <w:webHidden/>
              </w:rPr>
            </w:r>
            <w:r w:rsidR="006814CD">
              <w:rPr>
                <w:noProof/>
                <w:webHidden/>
              </w:rPr>
              <w:fldChar w:fldCharType="separate"/>
            </w:r>
            <w:r w:rsidR="006814CD">
              <w:rPr>
                <w:noProof/>
                <w:webHidden/>
              </w:rPr>
              <w:t>93</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30" w:history="1">
            <w:r w:rsidR="006814CD" w:rsidRPr="002940D7">
              <w:rPr>
                <w:rStyle w:val="Hyperlink"/>
                <w:noProof/>
              </w:rPr>
              <w:t>12.4.</w:t>
            </w:r>
            <w:r w:rsidR="006814CD">
              <w:rPr>
                <w:rFonts w:asciiTheme="minorHAnsi" w:eastAsiaTheme="minorEastAsia" w:hAnsiTheme="minorHAnsi" w:cstheme="minorBidi"/>
                <w:noProof/>
                <w:lang w:eastAsia="en-AU"/>
              </w:rPr>
              <w:tab/>
            </w:r>
            <w:r w:rsidR="006814CD" w:rsidRPr="002940D7">
              <w:rPr>
                <w:rStyle w:val="Hyperlink"/>
                <w:noProof/>
              </w:rPr>
              <w:t>Clinical Question</w:t>
            </w:r>
            <w:r w:rsidR="006814CD" w:rsidRPr="002940D7">
              <w:rPr>
                <w:rStyle w:val="Hyperlink"/>
                <w:noProof/>
                <w:spacing w:val="1"/>
              </w:rPr>
              <w:t xml:space="preserve"> </w:t>
            </w:r>
            <w:r w:rsidR="006814CD" w:rsidRPr="002940D7">
              <w:rPr>
                <w:rStyle w:val="Hyperlink"/>
                <w:noProof/>
              </w:rPr>
              <w:t>4</w:t>
            </w:r>
            <w:r w:rsidR="006814CD">
              <w:rPr>
                <w:noProof/>
                <w:webHidden/>
              </w:rPr>
              <w:tab/>
            </w:r>
            <w:r w:rsidR="006814CD">
              <w:rPr>
                <w:noProof/>
                <w:webHidden/>
              </w:rPr>
              <w:fldChar w:fldCharType="begin"/>
            </w:r>
            <w:r w:rsidR="006814CD">
              <w:rPr>
                <w:noProof/>
                <w:webHidden/>
              </w:rPr>
              <w:instrText xml:space="preserve"> PAGEREF _Toc513217730 \h </w:instrText>
            </w:r>
            <w:r w:rsidR="006814CD">
              <w:rPr>
                <w:noProof/>
                <w:webHidden/>
              </w:rPr>
            </w:r>
            <w:r w:rsidR="006814CD">
              <w:rPr>
                <w:noProof/>
                <w:webHidden/>
              </w:rPr>
              <w:fldChar w:fldCharType="separate"/>
            </w:r>
            <w:r w:rsidR="006814CD">
              <w:rPr>
                <w:noProof/>
                <w:webHidden/>
              </w:rPr>
              <w:t>94</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31" w:history="1">
            <w:r w:rsidR="006814CD" w:rsidRPr="002940D7">
              <w:rPr>
                <w:rStyle w:val="Hyperlink"/>
                <w:noProof/>
              </w:rPr>
              <w:t>12.5.</w:t>
            </w:r>
            <w:r w:rsidR="006814CD">
              <w:rPr>
                <w:rFonts w:asciiTheme="minorHAnsi" w:eastAsiaTheme="minorEastAsia" w:hAnsiTheme="minorHAnsi" w:cstheme="minorBidi"/>
                <w:noProof/>
                <w:lang w:eastAsia="en-AU"/>
              </w:rPr>
              <w:tab/>
            </w:r>
            <w:r w:rsidR="006814CD" w:rsidRPr="002940D7">
              <w:rPr>
                <w:rStyle w:val="Hyperlink"/>
                <w:noProof/>
              </w:rPr>
              <w:t>Clinical Question</w:t>
            </w:r>
            <w:r w:rsidR="006814CD" w:rsidRPr="002940D7">
              <w:rPr>
                <w:rStyle w:val="Hyperlink"/>
                <w:noProof/>
                <w:spacing w:val="1"/>
              </w:rPr>
              <w:t xml:space="preserve"> </w:t>
            </w:r>
            <w:r w:rsidR="006814CD" w:rsidRPr="002940D7">
              <w:rPr>
                <w:rStyle w:val="Hyperlink"/>
                <w:noProof/>
              </w:rPr>
              <w:t>5</w:t>
            </w:r>
            <w:r w:rsidR="006814CD">
              <w:rPr>
                <w:noProof/>
                <w:webHidden/>
              </w:rPr>
              <w:tab/>
            </w:r>
            <w:r w:rsidR="006814CD">
              <w:rPr>
                <w:noProof/>
                <w:webHidden/>
              </w:rPr>
              <w:fldChar w:fldCharType="begin"/>
            </w:r>
            <w:r w:rsidR="006814CD">
              <w:rPr>
                <w:noProof/>
                <w:webHidden/>
              </w:rPr>
              <w:instrText xml:space="preserve"> PAGEREF _Toc513217731 \h </w:instrText>
            </w:r>
            <w:r w:rsidR="006814CD">
              <w:rPr>
                <w:noProof/>
                <w:webHidden/>
              </w:rPr>
            </w:r>
            <w:r w:rsidR="006814CD">
              <w:rPr>
                <w:noProof/>
                <w:webHidden/>
              </w:rPr>
              <w:fldChar w:fldCharType="separate"/>
            </w:r>
            <w:r w:rsidR="006814CD">
              <w:rPr>
                <w:noProof/>
                <w:webHidden/>
              </w:rPr>
              <w:t>95</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32" w:history="1">
            <w:r w:rsidR="006814CD" w:rsidRPr="002940D7">
              <w:rPr>
                <w:rStyle w:val="Hyperlink"/>
                <w:noProof/>
              </w:rPr>
              <w:t>12.6.</w:t>
            </w:r>
            <w:r w:rsidR="006814CD">
              <w:rPr>
                <w:rFonts w:asciiTheme="minorHAnsi" w:eastAsiaTheme="minorEastAsia" w:hAnsiTheme="minorHAnsi" w:cstheme="minorBidi"/>
                <w:noProof/>
                <w:lang w:eastAsia="en-AU"/>
              </w:rPr>
              <w:tab/>
            </w:r>
            <w:r w:rsidR="006814CD" w:rsidRPr="002940D7">
              <w:rPr>
                <w:rStyle w:val="Hyperlink"/>
                <w:noProof/>
              </w:rPr>
              <w:t>Clinical Question</w:t>
            </w:r>
            <w:r w:rsidR="006814CD" w:rsidRPr="002940D7">
              <w:rPr>
                <w:rStyle w:val="Hyperlink"/>
                <w:noProof/>
                <w:spacing w:val="1"/>
              </w:rPr>
              <w:t xml:space="preserve"> </w:t>
            </w:r>
            <w:r w:rsidR="006814CD" w:rsidRPr="002940D7">
              <w:rPr>
                <w:rStyle w:val="Hyperlink"/>
                <w:noProof/>
              </w:rPr>
              <w:t>6</w:t>
            </w:r>
            <w:r w:rsidR="006814CD">
              <w:rPr>
                <w:noProof/>
                <w:webHidden/>
              </w:rPr>
              <w:tab/>
            </w:r>
            <w:r w:rsidR="006814CD">
              <w:rPr>
                <w:noProof/>
                <w:webHidden/>
              </w:rPr>
              <w:fldChar w:fldCharType="begin"/>
            </w:r>
            <w:r w:rsidR="006814CD">
              <w:rPr>
                <w:noProof/>
                <w:webHidden/>
              </w:rPr>
              <w:instrText xml:space="preserve"> PAGEREF _Toc513217732 \h </w:instrText>
            </w:r>
            <w:r w:rsidR="006814CD">
              <w:rPr>
                <w:noProof/>
                <w:webHidden/>
              </w:rPr>
            </w:r>
            <w:r w:rsidR="006814CD">
              <w:rPr>
                <w:noProof/>
                <w:webHidden/>
              </w:rPr>
              <w:fldChar w:fldCharType="separate"/>
            </w:r>
            <w:r w:rsidR="006814CD">
              <w:rPr>
                <w:noProof/>
                <w:webHidden/>
              </w:rPr>
              <w:t>95</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33" w:history="1">
            <w:r w:rsidR="006814CD" w:rsidRPr="002940D7">
              <w:rPr>
                <w:rStyle w:val="Hyperlink"/>
                <w:noProof/>
              </w:rPr>
              <w:t>12.7.</w:t>
            </w:r>
            <w:r w:rsidR="006814CD">
              <w:rPr>
                <w:rFonts w:asciiTheme="minorHAnsi" w:eastAsiaTheme="minorEastAsia" w:hAnsiTheme="minorHAnsi" w:cstheme="minorBidi"/>
                <w:noProof/>
                <w:lang w:eastAsia="en-AU"/>
              </w:rPr>
              <w:tab/>
            </w:r>
            <w:r w:rsidR="006814CD" w:rsidRPr="002940D7">
              <w:rPr>
                <w:rStyle w:val="Hyperlink"/>
                <w:noProof/>
              </w:rPr>
              <w:t>Clinical question</w:t>
            </w:r>
            <w:r w:rsidR="006814CD" w:rsidRPr="002940D7">
              <w:rPr>
                <w:rStyle w:val="Hyperlink"/>
                <w:noProof/>
                <w:spacing w:val="-3"/>
              </w:rPr>
              <w:t xml:space="preserve"> </w:t>
            </w:r>
            <w:r w:rsidR="006814CD" w:rsidRPr="002940D7">
              <w:rPr>
                <w:rStyle w:val="Hyperlink"/>
                <w:noProof/>
              </w:rPr>
              <w:t>7</w:t>
            </w:r>
            <w:r w:rsidR="006814CD">
              <w:rPr>
                <w:noProof/>
                <w:webHidden/>
              </w:rPr>
              <w:tab/>
            </w:r>
            <w:r w:rsidR="006814CD">
              <w:rPr>
                <w:noProof/>
                <w:webHidden/>
              </w:rPr>
              <w:fldChar w:fldCharType="begin"/>
            </w:r>
            <w:r w:rsidR="006814CD">
              <w:rPr>
                <w:noProof/>
                <w:webHidden/>
              </w:rPr>
              <w:instrText xml:space="preserve"> PAGEREF _Toc513217733 \h </w:instrText>
            </w:r>
            <w:r w:rsidR="006814CD">
              <w:rPr>
                <w:noProof/>
                <w:webHidden/>
              </w:rPr>
            </w:r>
            <w:r w:rsidR="006814CD">
              <w:rPr>
                <w:noProof/>
                <w:webHidden/>
              </w:rPr>
              <w:fldChar w:fldCharType="separate"/>
            </w:r>
            <w:r w:rsidR="006814CD">
              <w:rPr>
                <w:noProof/>
                <w:webHidden/>
              </w:rPr>
              <w:t>96</w:t>
            </w:r>
            <w:r w:rsidR="006814CD">
              <w:rPr>
                <w:noProof/>
                <w:webHidden/>
              </w:rPr>
              <w:fldChar w:fldCharType="end"/>
            </w:r>
          </w:hyperlink>
        </w:p>
        <w:p w:rsidR="006814CD" w:rsidRDefault="006B7702">
          <w:pPr>
            <w:pStyle w:val="TOC2"/>
            <w:tabs>
              <w:tab w:val="left" w:pos="1320"/>
            </w:tabs>
            <w:rPr>
              <w:rFonts w:asciiTheme="minorHAnsi" w:eastAsiaTheme="minorEastAsia" w:hAnsiTheme="minorHAnsi" w:cstheme="minorBidi"/>
              <w:b w:val="0"/>
              <w:noProof/>
              <w:sz w:val="22"/>
              <w:lang w:eastAsia="en-AU"/>
            </w:rPr>
          </w:pPr>
          <w:hyperlink w:anchor="_Toc513217734" w:history="1">
            <w:r w:rsidR="006814CD" w:rsidRPr="002940D7">
              <w:rPr>
                <w:rStyle w:val="Hyperlink"/>
                <w:noProof/>
              </w:rPr>
              <w:t>13.</w:t>
            </w:r>
            <w:r w:rsidR="006814CD">
              <w:rPr>
                <w:rFonts w:asciiTheme="minorHAnsi" w:eastAsiaTheme="minorEastAsia" w:hAnsiTheme="minorHAnsi" w:cstheme="minorBidi"/>
                <w:b w:val="0"/>
                <w:noProof/>
                <w:sz w:val="22"/>
                <w:lang w:eastAsia="en-AU"/>
              </w:rPr>
              <w:tab/>
            </w:r>
            <w:r w:rsidR="006814CD" w:rsidRPr="002940D7">
              <w:rPr>
                <w:rStyle w:val="Hyperlink"/>
                <w:noProof/>
              </w:rPr>
              <w:t>Second round benefit-risk</w:t>
            </w:r>
            <w:r w:rsidR="006814CD" w:rsidRPr="002940D7">
              <w:rPr>
                <w:rStyle w:val="Hyperlink"/>
                <w:noProof/>
                <w:spacing w:val="-11"/>
              </w:rPr>
              <w:t xml:space="preserve"> </w:t>
            </w:r>
            <w:r w:rsidR="006814CD" w:rsidRPr="002940D7">
              <w:rPr>
                <w:rStyle w:val="Hyperlink"/>
                <w:noProof/>
              </w:rPr>
              <w:t>assessment</w:t>
            </w:r>
            <w:r w:rsidR="006814CD">
              <w:rPr>
                <w:noProof/>
                <w:webHidden/>
              </w:rPr>
              <w:tab/>
            </w:r>
            <w:r w:rsidR="006814CD">
              <w:rPr>
                <w:noProof/>
                <w:webHidden/>
              </w:rPr>
              <w:fldChar w:fldCharType="begin"/>
            </w:r>
            <w:r w:rsidR="006814CD">
              <w:rPr>
                <w:noProof/>
                <w:webHidden/>
              </w:rPr>
              <w:instrText xml:space="preserve"> PAGEREF _Toc513217734 \h </w:instrText>
            </w:r>
            <w:r w:rsidR="006814CD">
              <w:rPr>
                <w:noProof/>
                <w:webHidden/>
              </w:rPr>
            </w:r>
            <w:r w:rsidR="006814CD">
              <w:rPr>
                <w:noProof/>
                <w:webHidden/>
              </w:rPr>
              <w:fldChar w:fldCharType="separate"/>
            </w:r>
            <w:r w:rsidR="006814CD">
              <w:rPr>
                <w:noProof/>
                <w:webHidden/>
              </w:rPr>
              <w:t>96</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35" w:history="1">
            <w:r w:rsidR="006814CD" w:rsidRPr="002940D7">
              <w:rPr>
                <w:rStyle w:val="Hyperlink"/>
                <w:noProof/>
              </w:rPr>
              <w:t>13.1.</w:t>
            </w:r>
            <w:r w:rsidR="006814CD">
              <w:rPr>
                <w:rFonts w:asciiTheme="minorHAnsi" w:eastAsiaTheme="minorEastAsia" w:hAnsiTheme="minorHAnsi" w:cstheme="minorBidi"/>
                <w:noProof/>
                <w:lang w:eastAsia="en-AU"/>
              </w:rPr>
              <w:tab/>
            </w:r>
            <w:r w:rsidR="006814CD" w:rsidRPr="002940D7">
              <w:rPr>
                <w:rStyle w:val="Hyperlink"/>
                <w:noProof/>
              </w:rPr>
              <w:t>Second round assessment of benefits</w:t>
            </w:r>
            <w:r w:rsidR="006814CD">
              <w:rPr>
                <w:noProof/>
                <w:webHidden/>
              </w:rPr>
              <w:tab/>
            </w:r>
            <w:r w:rsidR="006814CD">
              <w:rPr>
                <w:noProof/>
                <w:webHidden/>
              </w:rPr>
              <w:fldChar w:fldCharType="begin"/>
            </w:r>
            <w:r w:rsidR="006814CD">
              <w:rPr>
                <w:noProof/>
                <w:webHidden/>
              </w:rPr>
              <w:instrText xml:space="preserve"> PAGEREF _Toc513217735 \h </w:instrText>
            </w:r>
            <w:r w:rsidR="006814CD">
              <w:rPr>
                <w:noProof/>
                <w:webHidden/>
              </w:rPr>
            </w:r>
            <w:r w:rsidR="006814CD">
              <w:rPr>
                <w:noProof/>
                <w:webHidden/>
              </w:rPr>
              <w:fldChar w:fldCharType="separate"/>
            </w:r>
            <w:r w:rsidR="006814CD">
              <w:rPr>
                <w:noProof/>
                <w:webHidden/>
              </w:rPr>
              <w:t>96</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36" w:history="1">
            <w:r w:rsidR="006814CD" w:rsidRPr="002940D7">
              <w:rPr>
                <w:rStyle w:val="Hyperlink"/>
                <w:noProof/>
              </w:rPr>
              <w:t>13.2.</w:t>
            </w:r>
            <w:r w:rsidR="006814CD">
              <w:rPr>
                <w:rFonts w:asciiTheme="minorHAnsi" w:eastAsiaTheme="minorEastAsia" w:hAnsiTheme="minorHAnsi" w:cstheme="minorBidi"/>
                <w:noProof/>
                <w:lang w:eastAsia="en-AU"/>
              </w:rPr>
              <w:tab/>
            </w:r>
            <w:r w:rsidR="006814CD" w:rsidRPr="002940D7">
              <w:rPr>
                <w:rStyle w:val="Hyperlink"/>
                <w:noProof/>
              </w:rPr>
              <w:t>Second round assessment of risks</w:t>
            </w:r>
            <w:r w:rsidR="006814CD">
              <w:rPr>
                <w:noProof/>
                <w:webHidden/>
              </w:rPr>
              <w:tab/>
            </w:r>
            <w:r w:rsidR="006814CD">
              <w:rPr>
                <w:noProof/>
                <w:webHidden/>
              </w:rPr>
              <w:fldChar w:fldCharType="begin"/>
            </w:r>
            <w:r w:rsidR="006814CD">
              <w:rPr>
                <w:noProof/>
                <w:webHidden/>
              </w:rPr>
              <w:instrText xml:space="preserve"> PAGEREF _Toc513217736 \h </w:instrText>
            </w:r>
            <w:r w:rsidR="006814CD">
              <w:rPr>
                <w:noProof/>
                <w:webHidden/>
              </w:rPr>
            </w:r>
            <w:r w:rsidR="006814CD">
              <w:rPr>
                <w:noProof/>
                <w:webHidden/>
              </w:rPr>
              <w:fldChar w:fldCharType="separate"/>
            </w:r>
            <w:r w:rsidR="006814CD">
              <w:rPr>
                <w:noProof/>
                <w:webHidden/>
              </w:rPr>
              <w:t>97</w:t>
            </w:r>
            <w:r w:rsidR="006814CD">
              <w:rPr>
                <w:noProof/>
                <w:webHidden/>
              </w:rPr>
              <w:fldChar w:fldCharType="end"/>
            </w:r>
          </w:hyperlink>
        </w:p>
        <w:p w:rsidR="006814CD" w:rsidRDefault="006B7702">
          <w:pPr>
            <w:pStyle w:val="TOC3"/>
            <w:tabs>
              <w:tab w:val="left" w:pos="1760"/>
            </w:tabs>
            <w:rPr>
              <w:rFonts w:asciiTheme="minorHAnsi" w:eastAsiaTheme="minorEastAsia" w:hAnsiTheme="minorHAnsi" w:cstheme="minorBidi"/>
              <w:noProof/>
              <w:lang w:eastAsia="en-AU"/>
            </w:rPr>
          </w:pPr>
          <w:hyperlink w:anchor="_Toc513217737" w:history="1">
            <w:r w:rsidR="006814CD" w:rsidRPr="002940D7">
              <w:rPr>
                <w:rStyle w:val="Hyperlink"/>
                <w:noProof/>
              </w:rPr>
              <w:t>13.3.</w:t>
            </w:r>
            <w:r w:rsidR="006814CD">
              <w:rPr>
                <w:rFonts w:asciiTheme="minorHAnsi" w:eastAsiaTheme="minorEastAsia" w:hAnsiTheme="minorHAnsi" w:cstheme="minorBidi"/>
                <w:noProof/>
                <w:lang w:eastAsia="en-AU"/>
              </w:rPr>
              <w:tab/>
            </w:r>
            <w:r w:rsidR="006814CD" w:rsidRPr="002940D7">
              <w:rPr>
                <w:rStyle w:val="Hyperlink"/>
                <w:noProof/>
              </w:rPr>
              <w:t>Second round assessment of benefit-risk</w:t>
            </w:r>
            <w:r w:rsidR="006814CD" w:rsidRPr="002940D7">
              <w:rPr>
                <w:rStyle w:val="Hyperlink"/>
                <w:noProof/>
                <w:spacing w:val="-3"/>
              </w:rPr>
              <w:t xml:space="preserve"> </w:t>
            </w:r>
            <w:r w:rsidR="006814CD" w:rsidRPr="002940D7">
              <w:rPr>
                <w:rStyle w:val="Hyperlink"/>
                <w:noProof/>
              </w:rPr>
              <w:t>balance</w:t>
            </w:r>
            <w:r w:rsidR="006814CD">
              <w:rPr>
                <w:noProof/>
                <w:webHidden/>
              </w:rPr>
              <w:tab/>
            </w:r>
            <w:r w:rsidR="006814CD">
              <w:rPr>
                <w:noProof/>
                <w:webHidden/>
              </w:rPr>
              <w:fldChar w:fldCharType="begin"/>
            </w:r>
            <w:r w:rsidR="006814CD">
              <w:rPr>
                <w:noProof/>
                <w:webHidden/>
              </w:rPr>
              <w:instrText xml:space="preserve"> PAGEREF _Toc513217737 \h </w:instrText>
            </w:r>
            <w:r w:rsidR="006814CD">
              <w:rPr>
                <w:noProof/>
                <w:webHidden/>
              </w:rPr>
            </w:r>
            <w:r w:rsidR="006814CD">
              <w:rPr>
                <w:noProof/>
                <w:webHidden/>
              </w:rPr>
              <w:fldChar w:fldCharType="separate"/>
            </w:r>
            <w:r w:rsidR="006814CD">
              <w:rPr>
                <w:noProof/>
                <w:webHidden/>
              </w:rPr>
              <w:t>97</w:t>
            </w:r>
            <w:r w:rsidR="006814CD">
              <w:rPr>
                <w:noProof/>
                <w:webHidden/>
              </w:rPr>
              <w:fldChar w:fldCharType="end"/>
            </w:r>
          </w:hyperlink>
        </w:p>
        <w:p w:rsidR="006814CD" w:rsidRDefault="006B7702">
          <w:pPr>
            <w:pStyle w:val="TOC2"/>
            <w:tabs>
              <w:tab w:val="left" w:pos="1320"/>
            </w:tabs>
            <w:rPr>
              <w:rFonts w:asciiTheme="minorHAnsi" w:eastAsiaTheme="minorEastAsia" w:hAnsiTheme="minorHAnsi" w:cstheme="minorBidi"/>
              <w:b w:val="0"/>
              <w:noProof/>
              <w:sz w:val="22"/>
              <w:lang w:eastAsia="en-AU"/>
            </w:rPr>
          </w:pPr>
          <w:hyperlink w:anchor="_Toc513217738" w:history="1">
            <w:r w:rsidR="006814CD" w:rsidRPr="002940D7">
              <w:rPr>
                <w:rStyle w:val="Hyperlink"/>
                <w:noProof/>
              </w:rPr>
              <w:t>14.</w:t>
            </w:r>
            <w:r w:rsidR="006814CD">
              <w:rPr>
                <w:rFonts w:asciiTheme="minorHAnsi" w:eastAsiaTheme="minorEastAsia" w:hAnsiTheme="minorHAnsi" w:cstheme="minorBidi"/>
                <w:b w:val="0"/>
                <w:noProof/>
                <w:sz w:val="22"/>
                <w:lang w:eastAsia="en-AU"/>
              </w:rPr>
              <w:tab/>
            </w:r>
            <w:r w:rsidR="006814CD" w:rsidRPr="002940D7">
              <w:rPr>
                <w:rStyle w:val="Hyperlink"/>
                <w:noProof/>
              </w:rPr>
              <w:t>Second round recommendation regarding authorisation</w:t>
            </w:r>
            <w:r w:rsidR="006814CD">
              <w:rPr>
                <w:noProof/>
                <w:webHidden/>
              </w:rPr>
              <w:tab/>
            </w:r>
            <w:r w:rsidR="006814CD">
              <w:rPr>
                <w:noProof/>
                <w:webHidden/>
              </w:rPr>
              <w:fldChar w:fldCharType="begin"/>
            </w:r>
            <w:r w:rsidR="006814CD">
              <w:rPr>
                <w:noProof/>
                <w:webHidden/>
              </w:rPr>
              <w:instrText xml:space="preserve"> PAGEREF _Toc513217738 \h </w:instrText>
            </w:r>
            <w:r w:rsidR="006814CD">
              <w:rPr>
                <w:noProof/>
                <w:webHidden/>
              </w:rPr>
            </w:r>
            <w:r w:rsidR="006814CD">
              <w:rPr>
                <w:noProof/>
                <w:webHidden/>
              </w:rPr>
              <w:fldChar w:fldCharType="separate"/>
            </w:r>
            <w:r w:rsidR="006814CD">
              <w:rPr>
                <w:noProof/>
                <w:webHidden/>
              </w:rPr>
              <w:t>98</w:t>
            </w:r>
            <w:r w:rsidR="006814CD">
              <w:rPr>
                <w:noProof/>
                <w:webHidden/>
              </w:rPr>
              <w:fldChar w:fldCharType="end"/>
            </w:r>
          </w:hyperlink>
        </w:p>
        <w:p w:rsidR="006814CD" w:rsidRDefault="006B7702">
          <w:pPr>
            <w:pStyle w:val="TOC2"/>
            <w:tabs>
              <w:tab w:val="left" w:pos="1320"/>
            </w:tabs>
            <w:rPr>
              <w:rFonts w:asciiTheme="minorHAnsi" w:eastAsiaTheme="minorEastAsia" w:hAnsiTheme="minorHAnsi" w:cstheme="minorBidi"/>
              <w:b w:val="0"/>
              <w:noProof/>
              <w:sz w:val="22"/>
              <w:lang w:eastAsia="en-AU"/>
            </w:rPr>
          </w:pPr>
          <w:hyperlink w:anchor="_Toc513217739" w:history="1">
            <w:r w:rsidR="006814CD" w:rsidRPr="002940D7">
              <w:rPr>
                <w:rStyle w:val="Hyperlink"/>
                <w:noProof/>
              </w:rPr>
              <w:t>15.</w:t>
            </w:r>
            <w:r w:rsidR="006814CD">
              <w:rPr>
                <w:rFonts w:asciiTheme="minorHAnsi" w:eastAsiaTheme="minorEastAsia" w:hAnsiTheme="minorHAnsi" w:cstheme="minorBidi"/>
                <w:b w:val="0"/>
                <w:noProof/>
                <w:sz w:val="22"/>
                <w:lang w:eastAsia="en-AU"/>
              </w:rPr>
              <w:tab/>
            </w:r>
            <w:r w:rsidR="006814CD" w:rsidRPr="002940D7">
              <w:rPr>
                <w:rStyle w:val="Hyperlink"/>
                <w:noProof/>
              </w:rPr>
              <w:t>References</w:t>
            </w:r>
            <w:r w:rsidR="006814CD">
              <w:rPr>
                <w:noProof/>
                <w:webHidden/>
              </w:rPr>
              <w:tab/>
            </w:r>
            <w:r w:rsidR="006814CD">
              <w:rPr>
                <w:noProof/>
                <w:webHidden/>
              </w:rPr>
              <w:fldChar w:fldCharType="begin"/>
            </w:r>
            <w:r w:rsidR="006814CD">
              <w:rPr>
                <w:noProof/>
                <w:webHidden/>
              </w:rPr>
              <w:instrText xml:space="preserve"> PAGEREF _Toc513217739 \h </w:instrText>
            </w:r>
            <w:r w:rsidR="006814CD">
              <w:rPr>
                <w:noProof/>
                <w:webHidden/>
              </w:rPr>
            </w:r>
            <w:r w:rsidR="006814CD">
              <w:rPr>
                <w:noProof/>
                <w:webHidden/>
              </w:rPr>
              <w:fldChar w:fldCharType="separate"/>
            </w:r>
            <w:r w:rsidR="006814CD">
              <w:rPr>
                <w:noProof/>
                <w:webHidden/>
              </w:rPr>
              <w:t>98</w:t>
            </w:r>
            <w:r w:rsidR="006814CD">
              <w:rPr>
                <w:noProof/>
                <w:webHidden/>
              </w:rPr>
              <w:fldChar w:fldCharType="end"/>
            </w:r>
          </w:hyperlink>
        </w:p>
        <w:p w:rsidR="003A7F6C" w:rsidRPr="00B811C6" w:rsidRDefault="004F4AF5" w:rsidP="00B811C6">
          <w:pPr>
            <w:pStyle w:val="TOC2"/>
          </w:pPr>
          <w:r>
            <w:lastRenderedPageBreak/>
            <w:fldChar w:fldCharType="end"/>
          </w:r>
        </w:p>
      </w:sdtContent>
    </w:sdt>
    <w:bookmarkStart w:id="2" w:name="_Toc314842482" w:displacedByCustomXml="prev"/>
    <w:p w:rsidR="0074774A" w:rsidRDefault="0074774A" w:rsidP="0074774A">
      <w:pPr>
        <w:pStyle w:val="Heading2"/>
        <w:numPr>
          <w:ilvl w:val="0"/>
          <w:numId w:val="0"/>
        </w:numPr>
      </w:pPr>
      <w:bookmarkStart w:id="3" w:name="_Toc505616956"/>
      <w:bookmarkStart w:id="4" w:name="_Toc513217670"/>
      <w:bookmarkEnd w:id="1"/>
      <w:bookmarkEnd w:id="0"/>
      <w:bookmarkEnd w:id="2"/>
      <w:r>
        <w:t>List of common abbreviations</w:t>
      </w:r>
      <w:bookmarkEnd w:id="3"/>
      <w:bookmarkEnd w:id="4"/>
    </w:p>
    <w:tbl>
      <w:tblPr>
        <w:tblStyle w:val="TableTGAblue"/>
        <w:tblW w:w="0" w:type="auto"/>
        <w:tblLook w:val="04A0" w:firstRow="1" w:lastRow="0" w:firstColumn="1" w:lastColumn="0" w:noHBand="0" w:noVBand="1"/>
        <w:tblDescription w:val="List of common abbreviations"/>
      </w:tblPr>
      <w:tblGrid>
        <w:gridCol w:w="1890"/>
        <w:gridCol w:w="6911"/>
      </w:tblGrid>
      <w:tr w:rsidR="0074774A" w:rsidTr="00D32C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74774A" w:rsidRPr="00266EEA" w:rsidRDefault="0074774A" w:rsidP="00266EEA">
            <w:pPr>
              <w:pStyle w:val="Tabletitle"/>
            </w:pPr>
            <w:r w:rsidRPr="00266EEA">
              <w:t>Abbreviation</w:t>
            </w:r>
          </w:p>
        </w:tc>
        <w:tc>
          <w:tcPr>
            <w:tcW w:w="6911" w:type="dxa"/>
          </w:tcPr>
          <w:p w:rsidR="0074774A" w:rsidRPr="00266EEA" w:rsidRDefault="0074774A" w:rsidP="00266EEA">
            <w:pPr>
              <w:pStyle w:val="Tabletitle"/>
              <w:cnfStyle w:val="100000000000" w:firstRow="1" w:lastRow="0" w:firstColumn="0" w:lastColumn="0" w:oddVBand="0" w:evenVBand="0" w:oddHBand="0" w:evenHBand="0" w:firstRowFirstColumn="0" w:firstRowLastColumn="0" w:lastRowFirstColumn="0" w:lastRowLastColumn="0"/>
            </w:pPr>
            <w:r w:rsidRPr="00266EEA">
              <w:t>Meaning</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ADHD</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Attention Deficit Hyperactivity Disorder</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ADHD-RS-IV</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Attention Deficit Hyperactivity Disorder – Rating Scale, Version IV</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AE</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Adverse Event</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ALT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Alanine aminotransferase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ANCOVA</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Analysis of covariance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ANOVA</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Analysis of variance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AST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Aspartate aminotransferase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BP</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Blood pressure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bpm</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Beats per minute</w:t>
            </w:r>
          </w:p>
        </w:tc>
      </w:tr>
      <w:tr w:rsidR="0074774A" w:rsidRPr="00810A5E"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BPRS-C</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Brief Psychiatric Rating Scale for Children</w:t>
            </w:r>
          </w:p>
        </w:tc>
      </w:tr>
      <w:tr w:rsidR="0074774A" w:rsidRPr="00810A5E"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BRIEF</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Behavior Rating Inventory of Executive Function</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BSFQ</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Before-school Functioning Questionnaire (Wil-Hammer)</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CANTAB</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Cambridge Neuropsychological Test Automated Battery</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CGI</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Clinical Global Impression</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CGI-I</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Clinical Global Impression – Improvement</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CGI-P</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Connor’s Global Index - Parent</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CGI-S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Clinical Global Impression – Severity of illness</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CHQ</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Child Health Questionnaire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CHQ-PF50</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Child Health Questionnaire – Parent Form</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CHQ-CF87</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Child Health Questionnaire – Child Form</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CI</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Confidence Interval</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CMH</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Cochran-Mantel-Haenszel</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CPRS-R</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Connors’ Parent Rating Scale – Revised: Short Form</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lastRenderedPageBreak/>
              <w:t>CPRS-R:L</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Conners’ Parent Rating Scale – Revised: Long Form</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CRT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Choice Reaction Time in the Cambridge Neuropsychological Test Automated Battery</w:t>
            </w:r>
          </w:p>
        </w:tc>
      </w:tr>
      <w:tr w:rsidR="0074774A" w:rsidRPr="00810A5E"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CSHQ</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Children’s Sleep Habits Questionnaire</w:t>
            </w:r>
          </w:p>
        </w:tc>
      </w:tr>
      <w:tr w:rsidR="0074774A" w:rsidRPr="00810A5E"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C-SSRS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Columbia-Suicide Severity Rating Scale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CTRS-R</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Connors’ Teacher Rating Scale – Revised: Short Form</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DAE</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Discontinuation due to Adverse Event</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DBP</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Diastolic Blood Pressure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DSM-IV-TR®</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Diagnostic and Statistical Manual of Mental Disorders, 4th Edition – Text Revision</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DSST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Digit Symbol Substitution Task</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ECG</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Electrocardiogram</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FAS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Full Analysis Set</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FOCP</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Females of Childbearing Potential</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GGT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Gamma-glutamyl transferase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HAM-A</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 xml:space="preserve">Hamilton Anxiety Scale </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HAM-D</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Hamilton Depression Scale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HCG</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Human Chorionic Gonadotropin</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HR</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Heart rate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HUI2/3</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Health Utilities Index – Mark 2 and Mark 3</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 xml:space="preserve">ICH </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International Conference on Harmonisation</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ITT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Intention to Treat</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IVRS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Interactive Voice Response System</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KBIT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Kaufman Brief Intelligence Test</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K-SADS-PL</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Kiddie-Sads-Present and Lifetime – Diagnostic Interview</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LOCF</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Last observation carried forward</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lastRenderedPageBreak/>
              <w:t>LS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Least squares</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MedDRA®</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Medical Dictionary for Regulatory Activities</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MSS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Medication Satisfaction Survey</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NDTI</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National Disease Therapeutic Index™</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NOS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Not otherwise specified</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NYPRS-S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New York Parent’s Rating Scale – School-aged</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ODD</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Oppositional Defiant Disorder</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PDSS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Pediatric Daytime Sleepiness Scale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PERMP</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Permanent Product Measure of Performance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PGA</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Parent Global Assessment</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PSERS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Pittsburgh Side Effect Rating Scale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PSI/SF</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Parent Stress Index – Short Form</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PSQ</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Post-sleep Questionnaire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PSS</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Pictorial Sleepiness Scale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QoL</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Quality of Life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QT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QT Interval</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QTc</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QT Interval Corrected for HR</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QTcF</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QT Corrected For Heart Rate Using the Fridericia Method</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QTcNi</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QT Corrected For Heart Rate Using a Subject-Specific Correction</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SAE</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Serious Adverse Event</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SAP</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Statistical Analysis Plan</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SBP</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Systolic Blood Pressure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SD</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Standard Deviation</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SE</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Standard Error</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SGOT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Serum Glutamic Oxaloacetic Transaminase</w:t>
            </w:r>
          </w:p>
        </w:tc>
      </w:tr>
      <w:tr w:rsidR="0074774A"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lastRenderedPageBreak/>
              <w:t>SGPT</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Serum Glutamic Pyruvic Transaminase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SPD503</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Intuniv (guanfacine hydrochloride)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SSEQ</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Structured Side-Effect Questionnaire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SWM</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Spatial Working Memory</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TEAE</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Treatment Emergent Adverse Event</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TSH</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Thyroid Stimulating Hormone</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WFIRS-P</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Weiss Functional Impairment Rating Scale - Parent</w:t>
            </w:r>
          </w:p>
        </w:tc>
      </w:tr>
      <w:tr w:rsidR="0074774A" w:rsidRPr="002F74B4" w:rsidTr="00D32C18">
        <w:tc>
          <w:tcPr>
            <w:cnfStyle w:val="001000000000" w:firstRow="0" w:lastRow="0" w:firstColumn="1" w:lastColumn="0" w:oddVBand="0" w:evenVBand="0" w:oddHBand="0" w:evenHBand="0" w:firstRowFirstColumn="0" w:firstRowLastColumn="0" w:lastRowFirstColumn="0" w:lastRowLastColumn="0"/>
            <w:tcW w:w="1890" w:type="dxa"/>
          </w:tcPr>
          <w:p w:rsidR="0074774A" w:rsidRPr="00B0044E" w:rsidRDefault="0074774A" w:rsidP="00D32C18">
            <w:r w:rsidRPr="00B0044E">
              <w:t>WBC</w:t>
            </w:r>
          </w:p>
        </w:tc>
        <w:tc>
          <w:tcPr>
            <w:tcW w:w="6911" w:type="dxa"/>
          </w:tcPr>
          <w:p w:rsidR="0074774A" w:rsidRPr="00B0044E" w:rsidRDefault="0074774A" w:rsidP="00D32C18">
            <w:pPr>
              <w:cnfStyle w:val="000000000000" w:firstRow="0" w:lastRow="0" w:firstColumn="0" w:lastColumn="0" w:oddVBand="0" w:evenVBand="0" w:oddHBand="0" w:evenHBand="0" w:firstRowFirstColumn="0" w:firstRowLastColumn="0" w:lastRowFirstColumn="0" w:lastRowLastColumn="0"/>
            </w:pPr>
            <w:r w:rsidRPr="00B0044E">
              <w:t>White Blood Cell Count</w:t>
            </w:r>
          </w:p>
        </w:tc>
      </w:tr>
    </w:tbl>
    <w:p w:rsidR="0074774A" w:rsidRDefault="0074774A" w:rsidP="0074774A">
      <w:pPr>
        <w:pStyle w:val="Heading2"/>
        <w:pageBreakBefore/>
        <w:numPr>
          <w:ilvl w:val="0"/>
          <w:numId w:val="29"/>
        </w:numPr>
        <w:rPr>
          <w:lang w:eastAsia="en-AU"/>
        </w:rPr>
      </w:pPr>
      <w:bookmarkStart w:id="5" w:name="_Toc505616957"/>
      <w:bookmarkStart w:id="6" w:name="_Toc513217671"/>
      <w:bookmarkStart w:id="7" w:name="_Toc351718900"/>
      <w:bookmarkStart w:id="8" w:name="_Toc355338635"/>
      <w:r>
        <w:rPr>
          <w:lang w:eastAsia="en-AU"/>
        </w:rPr>
        <w:lastRenderedPageBreak/>
        <w:t>Submission details</w:t>
      </w:r>
      <w:bookmarkEnd w:id="5"/>
      <w:bookmarkEnd w:id="6"/>
    </w:p>
    <w:p w:rsidR="0074774A" w:rsidRDefault="0074774A" w:rsidP="0074774A">
      <w:pPr>
        <w:pStyle w:val="Heading3"/>
        <w:numPr>
          <w:ilvl w:val="1"/>
          <w:numId w:val="29"/>
        </w:numPr>
        <w:ind w:left="907" w:hanging="794"/>
      </w:pPr>
      <w:bookmarkStart w:id="9" w:name="_Toc505616958"/>
      <w:bookmarkStart w:id="10" w:name="_Toc513217672"/>
      <w:r>
        <w:t>Identifying information</w:t>
      </w:r>
      <w:bookmarkEnd w:id="9"/>
      <w:bookmarkEnd w:id="10"/>
    </w:p>
    <w:tbl>
      <w:tblPr>
        <w:tblStyle w:val="TableGrid"/>
        <w:tblW w:w="0" w:type="auto"/>
        <w:tblLook w:val="04A0" w:firstRow="1" w:lastRow="0" w:firstColumn="1" w:lastColumn="0" w:noHBand="0" w:noVBand="1"/>
        <w:tblDescription w:val="Submission details"/>
      </w:tblPr>
      <w:tblGrid>
        <w:gridCol w:w="2802"/>
        <w:gridCol w:w="6440"/>
      </w:tblGrid>
      <w:tr w:rsidR="0074774A" w:rsidTr="00F47232">
        <w:trPr>
          <w:tblHeader/>
        </w:trPr>
        <w:tc>
          <w:tcPr>
            <w:tcW w:w="2802" w:type="dxa"/>
          </w:tcPr>
          <w:p w:rsidR="0074774A" w:rsidRPr="009C43F8" w:rsidRDefault="0074774A" w:rsidP="00D32C18">
            <w:pPr>
              <w:rPr>
                <w:sz w:val="22"/>
                <w:szCs w:val="22"/>
              </w:rPr>
            </w:pPr>
            <w:r w:rsidRPr="009C43F8">
              <w:rPr>
                <w:sz w:val="22"/>
                <w:szCs w:val="22"/>
              </w:rPr>
              <w:t>Submission number</w:t>
            </w:r>
          </w:p>
        </w:tc>
        <w:tc>
          <w:tcPr>
            <w:tcW w:w="6440" w:type="dxa"/>
          </w:tcPr>
          <w:p w:rsidR="0074774A" w:rsidRPr="00B85BBB" w:rsidRDefault="0074774A" w:rsidP="00D32C18">
            <w:pPr>
              <w:rPr>
                <w:sz w:val="22"/>
                <w:szCs w:val="22"/>
              </w:rPr>
            </w:pPr>
            <w:r>
              <w:rPr>
                <w:sz w:val="22"/>
                <w:szCs w:val="22"/>
              </w:rPr>
              <w:t>PM-2016-00711-1-1</w:t>
            </w:r>
          </w:p>
        </w:tc>
      </w:tr>
      <w:tr w:rsidR="0074774A" w:rsidTr="00D32C18">
        <w:tc>
          <w:tcPr>
            <w:tcW w:w="2802" w:type="dxa"/>
          </w:tcPr>
          <w:p w:rsidR="0074774A" w:rsidRPr="009C43F8" w:rsidRDefault="0074774A" w:rsidP="00D32C18">
            <w:pPr>
              <w:rPr>
                <w:sz w:val="22"/>
                <w:szCs w:val="22"/>
              </w:rPr>
            </w:pPr>
            <w:r w:rsidRPr="009C43F8">
              <w:rPr>
                <w:sz w:val="22"/>
                <w:szCs w:val="22"/>
              </w:rPr>
              <w:t>Sponsor</w:t>
            </w:r>
          </w:p>
        </w:tc>
        <w:tc>
          <w:tcPr>
            <w:tcW w:w="6440" w:type="dxa"/>
          </w:tcPr>
          <w:p w:rsidR="0074774A" w:rsidRPr="00B85BBB" w:rsidRDefault="0074774A" w:rsidP="00D32C18">
            <w:pPr>
              <w:rPr>
                <w:sz w:val="22"/>
                <w:szCs w:val="22"/>
              </w:rPr>
            </w:pPr>
            <w:r>
              <w:rPr>
                <w:sz w:val="22"/>
                <w:szCs w:val="22"/>
              </w:rPr>
              <w:t>Shire Australia Pty Limited</w:t>
            </w:r>
          </w:p>
        </w:tc>
      </w:tr>
      <w:tr w:rsidR="0074774A" w:rsidTr="00D32C18">
        <w:tc>
          <w:tcPr>
            <w:tcW w:w="2802" w:type="dxa"/>
          </w:tcPr>
          <w:p w:rsidR="0074774A" w:rsidRPr="009C43F8" w:rsidRDefault="0074774A" w:rsidP="00D32C18">
            <w:pPr>
              <w:rPr>
                <w:sz w:val="22"/>
                <w:szCs w:val="22"/>
              </w:rPr>
            </w:pPr>
            <w:r w:rsidRPr="009C43F8">
              <w:rPr>
                <w:sz w:val="22"/>
                <w:szCs w:val="22"/>
              </w:rPr>
              <w:t>Trade name</w:t>
            </w:r>
          </w:p>
        </w:tc>
        <w:tc>
          <w:tcPr>
            <w:tcW w:w="6440" w:type="dxa"/>
          </w:tcPr>
          <w:p w:rsidR="0074774A" w:rsidRPr="00B85BBB" w:rsidRDefault="0074774A" w:rsidP="00D32C18">
            <w:pPr>
              <w:rPr>
                <w:sz w:val="22"/>
                <w:szCs w:val="22"/>
              </w:rPr>
            </w:pPr>
            <w:r>
              <w:rPr>
                <w:sz w:val="22"/>
                <w:szCs w:val="22"/>
              </w:rPr>
              <w:t>Intuniv</w:t>
            </w:r>
          </w:p>
        </w:tc>
      </w:tr>
      <w:tr w:rsidR="0074774A" w:rsidTr="00D32C18">
        <w:tc>
          <w:tcPr>
            <w:tcW w:w="2802" w:type="dxa"/>
          </w:tcPr>
          <w:p w:rsidR="0074774A" w:rsidRPr="009C43F8" w:rsidRDefault="0074774A" w:rsidP="00D32C18">
            <w:pPr>
              <w:rPr>
                <w:sz w:val="22"/>
                <w:szCs w:val="22"/>
              </w:rPr>
            </w:pPr>
            <w:r w:rsidRPr="009C43F8">
              <w:rPr>
                <w:sz w:val="22"/>
                <w:szCs w:val="22"/>
              </w:rPr>
              <w:t>Active substance</w:t>
            </w:r>
          </w:p>
        </w:tc>
        <w:tc>
          <w:tcPr>
            <w:tcW w:w="6440" w:type="dxa"/>
          </w:tcPr>
          <w:p w:rsidR="0074774A" w:rsidRPr="00B85BBB" w:rsidRDefault="0074774A" w:rsidP="00D32C18">
            <w:pPr>
              <w:rPr>
                <w:sz w:val="22"/>
                <w:szCs w:val="22"/>
              </w:rPr>
            </w:pPr>
            <w:r>
              <w:rPr>
                <w:sz w:val="22"/>
                <w:szCs w:val="22"/>
              </w:rPr>
              <w:t>Guanfacine hydrochloride</w:t>
            </w:r>
          </w:p>
        </w:tc>
      </w:tr>
    </w:tbl>
    <w:p w:rsidR="0074774A" w:rsidRDefault="0074774A" w:rsidP="0074774A">
      <w:pPr>
        <w:pStyle w:val="Heading3"/>
        <w:numPr>
          <w:ilvl w:val="1"/>
          <w:numId w:val="29"/>
        </w:numPr>
        <w:ind w:left="907" w:hanging="794"/>
      </w:pPr>
      <w:bookmarkStart w:id="11" w:name="_Toc505616959"/>
      <w:bookmarkStart w:id="12" w:name="_Toc513217673"/>
      <w:r>
        <w:t>Submission type</w:t>
      </w:r>
      <w:bookmarkEnd w:id="11"/>
      <w:bookmarkEnd w:id="12"/>
    </w:p>
    <w:p w:rsidR="0074774A" w:rsidRDefault="0074774A" w:rsidP="0074774A">
      <w:pPr>
        <w:rPr>
          <w:lang w:eastAsia="ja-JP"/>
        </w:rPr>
      </w:pPr>
      <w:r>
        <w:rPr>
          <w:lang w:eastAsia="ja-JP"/>
        </w:rPr>
        <w:t>This is a Category 1, Type A (New Chemical Entity) application to register Intuniv (guanfacine hydrochloride) 1 mg, 2 mg, 3 mg and 4 mg modified release tablets.</w:t>
      </w:r>
    </w:p>
    <w:p w:rsidR="0074774A" w:rsidRDefault="0074774A" w:rsidP="0074774A">
      <w:pPr>
        <w:pStyle w:val="Heading3"/>
        <w:numPr>
          <w:ilvl w:val="1"/>
          <w:numId w:val="29"/>
        </w:numPr>
        <w:ind w:left="907" w:hanging="794"/>
      </w:pPr>
      <w:bookmarkStart w:id="13" w:name="_Toc505616960"/>
      <w:bookmarkStart w:id="14" w:name="_Toc513217674"/>
      <w:r>
        <w:t>Drug class and therapeutic indication</w:t>
      </w:r>
      <w:bookmarkEnd w:id="13"/>
      <w:bookmarkEnd w:id="14"/>
    </w:p>
    <w:p w:rsidR="0074774A" w:rsidRDefault="0074774A" w:rsidP="0074774A">
      <w:pPr>
        <w:rPr>
          <w:lang w:eastAsia="ja-JP"/>
        </w:rPr>
      </w:pPr>
      <w:r>
        <w:rPr>
          <w:lang w:eastAsia="ja-JP"/>
        </w:rPr>
        <w:t>Guanfacine is a selective alpha</w:t>
      </w:r>
      <w:r w:rsidRPr="00DF6906">
        <w:rPr>
          <w:vertAlign w:val="subscript"/>
          <w:lang w:eastAsia="ja-JP"/>
        </w:rPr>
        <w:t>2A</w:t>
      </w:r>
      <w:r>
        <w:rPr>
          <w:lang w:eastAsia="ja-JP"/>
        </w:rPr>
        <w:t>-adrenergic receptor agonist. It has 15 to 20 times the affinity for the apha</w:t>
      </w:r>
      <w:r w:rsidRPr="00DF6906">
        <w:rPr>
          <w:vertAlign w:val="subscript"/>
          <w:lang w:eastAsia="ja-JP"/>
        </w:rPr>
        <w:t>2A</w:t>
      </w:r>
      <w:r>
        <w:rPr>
          <w:lang w:eastAsia="ja-JP"/>
        </w:rPr>
        <w:t xml:space="preserve"> subtype than for the alpha</w:t>
      </w:r>
      <w:r w:rsidRPr="00DF6906">
        <w:rPr>
          <w:vertAlign w:val="subscript"/>
          <w:lang w:eastAsia="ja-JP"/>
        </w:rPr>
        <w:t>2B</w:t>
      </w:r>
      <w:r>
        <w:rPr>
          <w:lang w:eastAsia="ja-JP"/>
        </w:rPr>
        <w:t xml:space="preserve"> or alpha</w:t>
      </w:r>
      <w:r w:rsidRPr="00DF6906">
        <w:rPr>
          <w:vertAlign w:val="subscript"/>
          <w:lang w:eastAsia="ja-JP"/>
        </w:rPr>
        <w:t>2C</w:t>
      </w:r>
      <w:r>
        <w:rPr>
          <w:lang w:eastAsia="ja-JP"/>
        </w:rPr>
        <w:t xml:space="preserve"> subtypes. It has actions as an antihypertensive agent, through decreasing sympathetic efferent impulses from the CNS to the heart and blood vessels. The mode of action in ADHD has not been fully established, but it is proposed modulation of signalling in the prefrontal cortex and basal ganglia through direct modification of synaptic norepinephrine transmission at the alpha</w:t>
      </w:r>
      <w:r w:rsidRPr="002F74B4">
        <w:rPr>
          <w:vertAlign w:val="subscript"/>
          <w:lang w:eastAsia="ja-JP"/>
        </w:rPr>
        <w:t>2</w:t>
      </w:r>
      <w:r>
        <w:rPr>
          <w:lang w:eastAsia="ja-JP"/>
        </w:rPr>
        <w:t>-adrenergic receptors.</w:t>
      </w:r>
    </w:p>
    <w:p w:rsidR="0074774A" w:rsidRDefault="0074774A" w:rsidP="0074774A">
      <w:pPr>
        <w:rPr>
          <w:lang w:eastAsia="ja-JP"/>
        </w:rPr>
      </w:pPr>
      <w:r>
        <w:rPr>
          <w:lang w:eastAsia="ja-JP"/>
        </w:rPr>
        <w:t>The proposed indication is:</w:t>
      </w:r>
    </w:p>
    <w:p w:rsidR="0074774A" w:rsidRPr="005F1C82" w:rsidRDefault="0074774A" w:rsidP="0074774A">
      <w:pPr>
        <w:autoSpaceDE w:val="0"/>
        <w:autoSpaceDN w:val="0"/>
        <w:adjustRightInd w:val="0"/>
        <w:spacing w:before="0" w:after="0" w:line="240" w:lineRule="auto"/>
        <w:rPr>
          <w:rFonts w:asciiTheme="minorHAnsi" w:hAnsiTheme="minorHAnsi"/>
          <w:i/>
          <w:lang w:eastAsia="ja-JP"/>
        </w:rPr>
      </w:pPr>
      <w:r>
        <w:rPr>
          <w:rFonts w:asciiTheme="minorHAnsi" w:eastAsia="TimesNewRoman" w:hAnsiTheme="minorHAnsi" w:cs="TimesNewRoman"/>
          <w:i/>
          <w:lang w:val="en-NZ"/>
        </w:rPr>
        <w:t>Intuniv</w:t>
      </w:r>
      <w:r w:rsidRPr="005F1C82">
        <w:rPr>
          <w:rFonts w:asciiTheme="minorHAnsi" w:eastAsia="TimesNewRoman" w:hAnsiTheme="minorHAnsi" w:cs="TimesNewRoman"/>
          <w:i/>
          <w:lang w:val="en-NZ"/>
        </w:rPr>
        <w:t xml:space="preserve"> is indicated for the treatment of Attention Deficit Hyperactivity Disorder (ADHD) in paediatric patients (children and adolescents 6-17 years old inclusive).</w:t>
      </w:r>
    </w:p>
    <w:p w:rsidR="0074774A" w:rsidRDefault="0074774A" w:rsidP="0074774A">
      <w:pPr>
        <w:pStyle w:val="Heading3"/>
        <w:numPr>
          <w:ilvl w:val="1"/>
          <w:numId w:val="29"/>
        </w:numPr>
        <w:ind w:left="907" w:hanging="794"/>
      </w:pPr>
      <w:bookmarkStart w:id="15" w:name="_Toc505616961"/>
      <w:bookmarkStart w:id="16" w:name="_Toc513217675"/>
      <w:r>
        <w:t>Dosage forms and strengths</w:t>
      </w:r>
      <w:bookmarkEnd w:id="15"/>
      <w:bookmarkEnd w:id="16"/>
    </w:p>
    <w:p w:rsidR="0074774A" w:rsidRDefault="0074774A" w:rsidP="0074774A">
      <w:pPr>
        <w:rPr>
          <w:lang w:eastAsia="ja-JP"/>
        </w:rPr>
      </w:pPr>
      <w:r>
        <w:rPr>
          <w:lang w:eastAsia="ja-JP"/>
        </w:rPr>
        <w:t>The following dose forms and strengths are proposed:</w:t>
      </w:r>
    </w:p>
    <w:p w:rsidR="0074774A" w:rsidRDefault="0074774A" w:rsidP="0074774A">
      <w:pPr>
        <w:pStyle w:val="ListParagraph"/>
        <w:numPr>
          <w:ilvl w:val="0"/>
          <w:numId w:val="35"/>
        </w:numPr>
        <w:ind w:left="567" w:hanging="567"/>
        <w:rPr>
          <w:lang w:eastAsia="ja-JP"/>
        </w:rPr>
      </w:pPr>
      <w:r>
        <w:rPr>
          <w:lang w:eastAsia="ja-JP"/>
        </w:rPr>
        <w:t>Intuniv (guanfacine hydrochloride) 1 mg modified release tablets</w:t>
      </w:r>
    </w:p>
    <w:p w:rsidR="0074774A" w:rsidRDefault="0074774A" w:rsidP="0074774A">
      <w:pPr>
        <w:pStyle w:val="ListParagraph"/>
        <w:numPr>
          <w:ilvl w:val="0"/>
          <w:numId w:val="35"/>
        </w:numPr>
        <w:ind w:left="567" w:hanging="567"/>
        <w:rPr>
          <w:lang w:eastAsia="ja-JP"/>
        </w:rPr>
      </w:pPr>
      <w:r>
        <w:rPr>
          <w:lang w:eastAsia="ja-JP"/>
        </w:rPr>
        <w:t>Intuniv (guanfacine hydrochloride) 2 mg modified release tablets</w:t>
      </w:r>
    </w:p>
    <w:p w:rsidR="0074774A" w:rsidRDefault="0074774A" w:rsidP="0074774A">
      <w:pPr>
        <w:pStyle w:val="ListParagraph"/>
        <w:numPr>
          <w:ilvl w:val="0"/>
          <w:numId w:val="35"/>
        </w:numPr>
        <w:ind w:left="567" w:hanging="567"/>
        <w:rPr>
          <w:lang w:eastAsia="ja-JP"/>
        </w:rPr>
      </w:pPr>
      <w:r>
        <w:rPr>
          <w:lang w:eastAsia="ja-JP"/>
        </w:rPr>
        <w:t>Intuniv (guanfacine hydrochloride) 3 mg modified release tablets</w:t>
      </w:r>
    </w:p>
    <w:p w:rsidR="0074774A" w:rsidRDefault="0074774A" w:rsidP="0074774A">
      <w:pPr>
        <w:pStyle w:val="ListParagraph"/>
        <w:numPr>
          <w:ilvl w:val="0"/>
          <w:numId w:val="35"/>
        </w:numPr>
        <w:ind w:left="567" w:hanging="567"/>
        <w:rPr>
          <w:lang w:eastAsia="ja-JP"/>
        </w:rPr>
      </w:pPr>
      <w:r>
        <w:rPr>
          <w:lang w:eastAsia="ja-JP"/>
        </w:rPr>
        <w:t>Intuniv (guanfacine hydrochloride) 4 mg modified release tablets</w:t>
      </w:r>
    </w:p>
    <w:p w:rsidR="0074774A" w:rsidRDefault="0074774A" w:rsidP="0074774A">
      <w:pPr>
        <w:pStyle w:val="Heading3"/>
        <w:numPr>
          <w:ilvl w:val="1"/>
          <w:numId w:val="29"/>
        </w:numPr>
        <w:ind w:left="907" w:hanging="794"/>
      </w:pPr>
      <w:bookmarkStart w:id="17" w:name="_Toc505616962"/>
      <w:bookmarkStart w:id="18" w:name="_Toc513217676"/>
      <w:r>
        <w:t>Dosage and administration</w:t>
      </w:r>
      <w:bookmarkEnd w:id="17"/>
      <w:bookmarkEnd w:id="18"/>
    </w:p>
    <w:p w:rsidR="0074774A" w:rsidRDefault="0074774A" w:rsidP="0074774A">
      <w:pPr>
        <w:rPr>
          <w:lang w:eastAsia="ja-JP"/>
        </w:rPr>
      </w:pPr>
      <w:r>
        <w:rPr>
          <w:lang w:eastAsia="ja-JP"/>
        </w:rPr>
        <w:t>The following dosage recommendations are proposed in the Product Information:</w:t>
      </w:r>
    </w:p>
    <w:p w:rsidR="0074774A" w:rsidRPr="00016391" w:rsidRDefault="0074774A" w:rsidP="0074774A">
      <w:pPr>
        <w:autoSpaceDE w:val="0"/>
        <w:autoSpaceDN w:val="0"/>
        <w:adjustRightInd w:val="0"/>
        <w:spacing w:before="0" w:after="0" w:line="240" w:lineRule="auto"/>
        <w:rPr>
          <w:rFonts w:asciiTheme="minorHAnsi" w:eastAsiaTheme="minorHAnsi" w:hAnsiTheme="minorHAnsi" w:cs="Arial"/>
          <w:b/>
          <w:bCs/>
          <w:lang w:val="en-NZ"/>
        </w:rPr>
      </w:pPr>
      <w:r>
        <w:rPr>
          <w:rFonts w:asciiTheme="minorHAnsi" w:eastAsiaTheme="minorHAnsi" w:hAnsiTheme="minorHAnsi" w:cs="Arial"/>
          <w:b/>
          <w:bCs/>
          <w:lang w:val="en-NZ"/>
        </w:rPr>
        <w:t>‘</w:t>
      </w:r>
      <w:r w:rsidRPr="00016391">
        <w:rPr>
          <w:rFonts w:asciiTheme="minorHAnsi" w:eastAsiaTheme="minorHAnsi" w:hAnsiTheme="minorHAnsi" w:cs="Arial"/>
          <w:b/>
          <w:bCs/>
          <w:lang w:val="en-NZ"/>
        </w:rPr>
        <w:t>Dosage in Paediatric Patients (Children and Adolescents)</w:t>
      </w:r>
    </w:p>
    <w:p w:rsidR="0074774A" w:rsidRPr="00016391" w:rsidRDefault="0074774A" w:rsidP="0074774A">
      <w:pPr>
        <w:autoSpaceDE w:val="0"/>
        <w:autoSpaceDN w:val="0"/>
        <w:adjustRightInd w:val="0"/>
        <w:spacing w:before="0" w:after="0" w:line="240" w:lineRule="auto"/>
        <w:rPr>
          <w:rFonts w:asciiTheme="minorHAnsi" w:eastAsiaTheme="minorHAnsi" w:hAnsiTheme="minorHAnsi" w:cs="ArialMT"/>
          <w:lang w:val="en-NZ"/>
        </w:rPr>
      </w:pPr>
      <w:r w:rsidRPr="00016391">
        <w:rPr>
          <w:rFonts w:asciiTheme="minorHAnsi" w:eastAsiaTheme="minorHAnsi" w:hAnsiTheme="minorHAnsi" w:cs="ArialMT"/>
          <w:lang w:val="en-NZ"/>
        </w:rPr>
        <w:t xml:space="preserve">The recommended starting dose for </w:t>
      </w:r>
      <w:r>
        <w:rPr>
          <w:rFonts w:asciiTheme="minorHAnsi" w:eastAsiaTheme="minorHAnsi" w:hAnsiTheme="minorHAnsi" w:cs="ArialMT"/>
          <w:lang w:val="en-NZ"/>
        </w:rPr>
        <w:t>Intuniv</w:t>
      </w:r>
      <w:r w:rsidRPr="00016391">
        <w:rPr>
          <w:rFonts w:asciiTheme="minorHAnsi" w:eastAsiaTheme="minorHAnsi" w:hAnsiTheme="minorHAnsi" w:cs="ArialMT"/>
          <w:lang w:val="en-NZ"/>
        </w:rPr>
        <w:t xml:space="preserve"> is 1 mg, taken orally once a day, for both</w:t>
      </w:r>
      <w:r>
        <w:rPr>
          <w:rFonts w:asciiTheme="minorHAnsi" w:eastAsiaTheme="minorHAnsi" w:hAnsiTheme="minorHAnsi" w:cs="ArialMT"/>
          <w:lang w:val="en-NZ"/>
        </w:rPr>
        <w:t xml:space="preserve"> </w:t>
      </w:r>
      <w:r w:rsidRPr="00016391">
        <w:rPr>
          <w:rFonts w:asciiTheme="minorHAnsi" w:eastAsiaTheme="minorHAnsi" w:hAnsiTheme="minorHAnsi" w:cs="ArialMT"/>
          <w:lang w:val="en-NZ"/>
        </w:rPr>
        <w:t>monotherapy and when co-administered with psychostimulants.</w:t>
      </w:r>
    </w:p>
    <w:p w:rsidR="0074774A" w:rsidRDefault="0074774A" w:rsidP="00471942">
      <w:pPr>
        <w:rPr>
          <w:lang w:val="en-NZ"/>
        </w:rPr>
      </w:pPr>
      <w:r w:rsidRPr="00016391">
        <w:rPr>
          <w:lang w:val="en-NZ"/>
        </w:rPr>
        <w:t>The dose is adjusted in increments of no more than 1 mg/week for both monotherapy and</w:t>
      </w:r>
      <w:r>
        <w:rPr>
          <w:lang w:val="en-NZ"/>
        </w:rPr>
        <w:t xml:space="preserve"> </w:t>
      </w:r>
      <w:r w:rsidRPr="00016391">
        <w:rPr>
          <w:lang w:val="en-NZ"/>
        </w:rPr>
        <w:t>when co-administered with psychostimulants.</w:t>
      </w:r>
    </w:p>
    <w:p w:rsidR="0074774A" w:rsidRDefault="0074774A" w:rsidP="00471942">
      <w:pPr>
        <w:rPr>
          <w:lang w:val="en-NZ"/>
        </w:rPr>
      </w:pPr>
      <w:r w:rsidRPr="00016391">
        <w:rPr>
          <w:lang w:val="en-NZ"/>
        </w:rPr>
        <w:lastRenderedPageBreak/>
        <w:t>In monotherapy clinical trials, there was dose- and exposure-related clinical improvement as</w:t>
      </w:r>
      <w:r>
        <w:rPr>
          <w:lang w:val="en-NZ"/>
        </w:rPr>
        <w:t xml:space="preserve"> </w:t>
      </w:r>
      <w:r w:rsidRPr="00016391">
        <w:rPr>
          <w:lang w:val="en-NZ"/>
        </w:rPr>
        <w:t>well as risks for several clinically significant adverse reactions (hypotension, bradycardia,</w:t>
      </w:r>
      <w:r>
        <w:rPr>
          <w:lang w:val="en-NZ"/>
        </w:rPr>
        <w:t xml:space="preserve"> </w:t>
      </w:r>
      <w:r w:rsidRPr="00016391">
        <w:rPr>
          <w:lang w:val="en-NZ"/>
        </w:rPr>
        <w:t>sedative events). To balance the exposure-related potential benefits and risks, the</w:t>
      </w:r>
      <w:r>
        <w:rPr>
          <w:lang w:val="en-NZ"/>
        </w:rPr>
        <w:t xml:space="preserve"> </w:t>
      </w:r>
      <w:r w:rsidRPr="00016391">
        <w:rPr>
          <w:lang w:val="en-NZ"/>
        </w:rPr>
        <w:t>recommended maintenance dose range depending on clinical response and tolerability for</w:t>
      </w:r>
      <w:r>
        <w:rPr>
          <w:lang w:val="en-NZ"/>
        </w:rPr>
        <w:t xml:space="preserve"> Intuniv</w:t>
      </w:r>
      <w:r w:rsidRPr="00016391">
        <w:rPr>
          <w:lang w:val="en-NZ"/>
        </w:rPr>
        <w:t xml:space="preserve"> is 0.05-0.12 mg/kg/day (total daily dose between 1-7 mg. See Table </w:t>
      </w:r>
      <w:r>
        <w:rPr>
          <w:lang w:val="en-NZ"/>
        </w:rPr>
        <w:t>3</w:t>
      </w:r>
      <w:r w:rsidRPr="00016391">
        <w:rPr>
          <w:lang w:val="en-NZ"/>
        </w:rPr>
        <w:t>).</w:t>
      </w:r>
    </w:p>
    <w:p w:rsidR="0074774A" w:rsidRDefault="0074774A" w:rsidP="0074774A">
      <w:pPr>
        <w:pStyle w:val="Tabletitle"/>
        <w:rPr>
          <w:lang w:val="en-NZ"/>
        </w:rPr>
      </w:pPr>
      <w:r>
        <w:rPr>
          <w:lang w:val="en-NZ"/>
        </w:rPr>
        <w:t>Table 3: Recommended target dose range for maintenance therapy with Intuniv</w:t>
      </w:r>
    </w:p>
    <w:p w:rsidR="0074774A" w:rsidRDefault="0074774A" w:rsidP="0074774A">
      <w:pPr>
        <w:autoSpaceDE w:val="0"/>
        <w:autoSpaceDN w:val="0"/>
        <w:adjustRightInd w:val="0"/>
        <w:spacing w:before="0" w:after="0" w:line="240" w:lineRule="auto"/>
        <w:rPr>
          <w:rFonts w:ascii="ArialMT" w:eastAsiaTheme="minorHAnsi" w:hAnsi="ArialMT" w:cs="ArialMT"/>
          <w:sz w:val="19"/>
          <w:szCs w:val="19"/>
          <w:lang w:val="en-NZ"/>
        </w:rPr>
      </w:pPr>
      <w:r w:rsidRPr="003A7F66">
        <w:rPr>
          <w:rFonts w:ascii="ArialMT" w:eastAsiaTheme="minorHAnsi" w:hAnsi="ArialMT" w:cs="ArialMT"/>
          <w:noProof/>
          <w:sz w:val="19"/>
          <w:szCs w:val="19"/>
          <w:lang w:eastAsia="en-AU"/>
        </w:rPr>
        <w:drawing>
          <wp:inline distT="0" distB="0" distL="0" distR="0" wp14:anchorId="76E6AEF2" wp14:editId="0AD28356">
            <wp:extent cx="5443200" cy="1929600"/>
            <wp:effectExtent l="0" t="0" r="5715" b="0"/>
            <wp:docPr id="6" name="Picture 6" descr="Table 1: Recommended target dose range for maintenance therapy with Intu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6" t="9518" r="3769" b="2526"/>
                    <a:stretch/>
                  </pic:blipFill>
                  <pic:spPr bwMode="auto">
                    <a:xfrm>
                      <a:off x="0" y="0"/>
                      <a:ext cx="5443494" cy="1929704"/>
                    </a:xfrm>
                    <a:prstGeom prst="rect">
                      <a:avLst/>
                    </a:prstGeom>
                    <a:noFill/>
                    <a:ln>
                      <a:noFill/>
                    </a:ln>
                    <a:extLst>
                      <a:ext uri="{53640926-AAD7-44D8-BBD7-CCE9431645EC}">
                        <a14:shadowObscured xmlns:a14="http://schemas.microsoft.com/office/drawing/2010/main"/>
                      </a:ext>
                    </a:extLst>
                  </pic:spPr>
                </pic:pic>
              </a:graphicData>
            </a:graphic>
          </wp:inline>
        </w:drawing>
      </w:r>
    </w:p>
    <w:p w:rsidR="0074774A" w:rsidRPr="003A7F66" w:rsidRDefault="0074774A" w:rsidP="00471942">
      <w:pPr>
        <w:rPr>
          <w:lang w:eastAsia="ja-JP"/>
        </w:rPr>
      </w:pPr>
      <w:r w:rsidRPr="003A7F66">
        <w:rPr>
          <w:lang w:val="en-NZ"/>
        </w:rPr>
        <w:t xml:space="preserve">In the co-administration trial which evaluated </w:t>
      </w:r>
      <w:r>
        <w:rPr>
          <w:lang w:val="en-NZ"/>
        </w:rPr>
        <w:t>Intuniv</w:t>
      </w:r>
      <w:r w:rsidRPr="003A7F66">
        <w:rPr>
          <w:lang w:val="en-NZ"/>
        </w:rPr>
        <w:t xml:space="preserve"> treatment with psychostimulants, the</w:t>
      </w:r>
      <w:r>
        <w:rPr>
          <w:lang w:val="en-NZ"/>
        </w:rPr>
        <w:t xml:space="preserve"> </w:t>
      </w:r>
      <w:r w:rsidRPr="003A7F66">
        <w:rPr>
          <w:lang w:val="en-NZ"/>
        </w:rPr>
        <w:t>majority of subjects reached optimal doses in the 0.05-0.12 mg/kg/day range.</w:t>
      </w:r>
      <w:r>
        <w:rPr>
          <w:lang w:val="en-NZ"/>
        </w:rPr>
        <w:t xml:space="preserve"> </w:t>
      </w:r>
      <w:r w:rsidRPr="003A7F66">
        <w:rPr>
          <w:lang w:val="en-NZ"/>
        </w:rPr>
        <w:t>Doses above 4 mg/day have not been studied in co-administration trials.</w:t>
      </w:r>
    </w:p>
    <w:p w:rsidR="0074774A" w:rsidRDefault="0074774A" w:rsidP="0074774A">
      <w:pPr>
        <w:rPr>
          <w:lang w:eastAsia="ja-JP"/>
        </w:rPr>
      </w:pPr>
      <w:r>
        <w:rPr>
          <w:lang w:eastAsia="ja-JP"/>
        </w:rPr>
        <w:t>The dosing information also gives advice on withdrawing treatment slowly to avoid rebound hypertension.</w:t>
      </w:r>
    </w:p>
    <w:p w:rsidR="0074774A" w:rsidRDefault="0074774A" w:rsidP="0074774A">
      <w:pPr>
        <w:pStyle w:val="Heading2"/>
        <w:numPr>
          <w:ilvl w:val="0"/>
          <w:numId w:val="29"/>
        </w:numPr>
      </w:pPr>
      <w:bookmarkStart w:id="19" w:name="_Toc505616963"/>
      <w:bookmarkStart w:id="20" w:name="_Toc513217677"/>
      <w:r>
        <w:t>Background</w:t>
      </w:r>
      <w:bookmarkEnd w:id="19"/>
      <w:bookmarkEnd w:id="20"/>
    </w:p>
    <w:p w:rsidR="0074774A" w:rsidRDefault="0074774A" w:rsidP="0074774A">
      <w:pPr>
        <w:pStyle w:val="Heading3"/>
        <w:numPr>
          <w:ilvl w:val="1"/>
          <w:numId w:val="29"/>
        </w:numPr>
        <w:ind w:left="907" w:hanging="794"/>
      </w:pPr>
      <w:bookmarkStart w:id="21" w:name="_Information_on_the"/>
      <w:bookmarkStart w:id="22" w:name="_Toc505616964"/>
      <w:bookmarkStart w:id="23" w:name="_Toc513217678"/>
      <w:bookmarkEnd w:id="21"/>
      <w:r w:rsidRPr="00E709B3">
        <w:t>Information on the condition being treated</w:t>
      </w:r>
      <w:bookmarkEnd w:id="22"/>
      <w:bookmarkEnd w:id="23"/>
    </w:p>
    <w:p w:rsidR="0074774A" w:rsidRDefault="0074774A" w:rsidP="0074774A">
      <w:pPr>
        <w:rPr>
          <w:lang w:eastAsia="ja-JP"/>
        </w:rPr>
      </w:pPr>
      <w:r>
        <w:rPr>
          <w:lang w:eastAsia="ja-JP"/>
        </w:rPr>
        <w:t xml:space="preserve">The following background information comes from </w:t>
      </w:r>
      <w:r>
        <w:t>The Mental Health of Children and Adolescents Report on the second Australian Child and Adolescent Survey of Mental Health and Wellbeing (Lawrence et. al. 2015).</w:t>
      </w:r>
    </w:p>
    <w:p w:rsidR="0074774A" w:rsidRDefault="0074774A" w:rsidP="0074774A">
      <w:r>
        <w:rPr>
          <w:lang w:eastAsia="ja-JP"/>
        </w:rPr>
        <w:t xml:space="preserve">ADHD </w:t>
      </w:r>
      <w:r>
        <w:t>is a persistent pattern of inattention and/ or hyperactivity-impulsivity more frequent and severe than in other individuals at a similar developmental stage. There are three subtypes of ADHD based on the most common symptoms. Those with mostly inattentive symptoms are diagnosed with ADHD, predominantly inattentive type and individuals with primarily hyperactivity-impulsivity symptoms are diagnosed with ADHD, predominantly hyperactive-impulsive type. Those children and adolescence with symptoms of both inattentiveness and hyperactivity are diagnosed with ADHD, combined type. The DSM-IV criteria require at least six symptoms of either inattention or hyperactivity-impulsivity to have persisted for at least 6 months to a degree that is maladaptive and inconsistent with developmental level. Symptoms must be present in at least two settings (for example, at school and at home), and some symptoms causing impairment must have been present before the age of 7 years.</w:t>
      </w:r>
    </w:p>
    <w:p w:rsidR="00886C19" w:rsidRDefault="0074774A" w:rsidP="0074774A">
      <w:r>
        <w:t>The prevalence of ADHD in Australian children and adolescents is 7.4%, equivalent to an estimated 298,000 children and adolescents. Of the three sub-types of ADHD, inattentive type was the most common, with 3.4% of children and adolescents having inattentive type, 1.2% hyperactive type and 2.8% combined type. The prevalence of ADHD was higher in males than females, with more than twice as many males as females having had ADHD in the previous 12 months (10.4% compared with 4.3%).</w:t>
      </w:r>
    </w:p>
    <w:p w:rsidR="00886C19" w:rsidRDefault="0074774A" w:rsidP="0074774A">
      <w:r>
        <w:lastRenderedPageBreak/>
        <w:t>The severity of impact of ADHD on children and adolescents in four different domains (school or work, friends and social actives, family and impact on self) and overall is reported in Table 1. Overall one in ten (10.5%) children and adolescents with ADHD had severe impact on functioning in at least one of these domains. Severe impact on functioning was reported most commonly in the domain of family (17.3%), and then school or work (12.8%). Only 3.7% of children and adolescents with ADHD had a severe level of impact on functioning in the self domain (that is, where the young person experienced a high level of distress due to their symptoms). Two fifths (40.9%) of children and adolescents with ADHD had no impact in the friends domain, while only 13.3% of children with ADHD had no impact in the school or work domain.</w:t>
      </w:r>
    </w:p>
    <w:p w:rsidR="0074774A" w:rsidRPr="006F782B" w:rsidRDefault="0074774A" w:rsidP="0074774A">
      <w:pPr>
        <w:pStyle w:val="Tabletitle"/>
        <w:rPr>
          <w:lang w:eastAsia="ja-JP"/>
        </w:rPr>
      </w:pPr>
      <w:r>
        <w:rPr>
          <w:lang w:val="en-NZ"/>
        </w:rPr>
        <w:t xml:space="preserve">Table 1: </w:t>
      </w:r>
      <w:r w:rsidRPr="006F782B">
        <w:rPr>
          <w:lang w:val="en-NZ"/>
        </w:rPr>
        <w:t>Severity of impact in different life domains among 4-17 year-olds with ADHD (copied from Table 5-8, Lawrence et al 2015)</w:t>
      </w:r>
    </w:p>
    <w:p w:rsidR="0074774A" w:rsidRDefault="0074774A" w:rsidP="0074774A">
      <w:pPr>
        <w:rPr>
          <w:lang w:eastAsia="ja-JP"/>
        </w:rPr>
      </w:pPr>
      <w:r w:rsidRPr="006F782B">
        <w:rPr>
          <w:noProof/>
          <w:lang w:eastAsia="en-AU"/>
        </w:rPr>
        <w:drawing>
          <wp:inline distT="0" distB="0" distL="0" distR="0" wp14:anchorId="490532AA" wp14:editId="677574FA">
            <wp:extent cx="5731510" cy="1534146"/>
            <wp:effectExtent l="0" t="0" r="2540" b="9525"/>
            <wp:docPr id="3" name="Picture 3" descr="Table 1: Severity of impact in different life domains among 4-17 year-olds with ADHD (copied from Table 5-8, Lawrence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5731510" cy="1534146"/>
                    </a:xfrm>
                    <a:prstGeom prst="rect">
                      <a:avLst/>
                    </a:prstGeom>
                    <a:noFill/>
                    <a:ln>
                      <a:noFill/>
                    </a:ln>
                  </pic:spPr>
                </pic:pic>
              </a:graphicData>
            </a:graphic>
          </wp:inline>
        </w:drawing>
      </w:r>
    </w:p>
    <w:p w:rsidR="00886C19" w:rsidRDefault="0074774A" w:rsidP="0074774A">
      <w:pPr>
        <w:pStyle w:val="Heading3"/>
        <w:numPr>
          <w:ilvl w:val="1"/>
          <w:numId w:val="29"/>
        </w:numPr>
        <w:ind w:left="907" w:hanging="794"/>
      </w:pPr>
      <w:bookmarkStart w:id="24" w:name="_Toc505616965"/>
      <w:bookmarkStart w:id="25" w:name="_Toc513217679"/>
      <w:r>
        <w:t>Current treatment options</w:t>
      </w:r>
      <w:bookmarkEnd w:id="24"/>
      <w:bookmarkEnd w:id="25"/>
    </w:p>
    <w:p w:rsidR="0074774A" w:rsidRDefault="0074774A" w:rsidP="0074774A">
      <w:pPr>
        <w:rPr>
          <w:lang w:eastAsia="ja-JP"/>
        </w:rPr>
      </w:pPr>
      <w:r>
        <w:rPr>
          <w:lang w:eastAsia="ja-JP"/>
        </w:rPr>
        <w:t>Pharmacological approaches are usually used in managing ADHD in Australia. Current pharmacological treatment options available in Australia include:</w:t>
      </w:r>
    </w:p>
    <w:p w:rsidR="0074774A" w:rsidRDefault="0074774A" w:rsidP="0074774A">
      <w:pPr>
        <w:pStyle w:val="ListBullet"/>
        <w:numPr>
          <w:ilvl w:val="0"/>
          <w:numId w:val="3"/>
        </w:numPr>
        <w:rPr>
          <w:lang w:eastAsia="ja-JP"/>
        </w:rPr>
      </w:pPr>
      <w:r>
        <w:rPr>
          <w:lang w:eastAsia="ja-JP"/>
        </w:rPr>
        <w:t>CNS stimulants</w:t>
      </w:r>
    </w:p>
    <w:p w:rsidR="0074774A" w:rsidRDefault="0074774A" w:rsidP="0074774A">
      <w:pPr>
        <w:pStyle w:val="ListBullet2"/>
        <w:numPr>
          <w:ilvl w:val="1"/>
          <w:numId w:val="3"/>
        </w:numPr>
        <w:rPr>
          <w:lang w:eastAsia="ja-JP"/>
        </w:rPr>
      </w:pPr>
      <w:r>
        <w:rPr>
          <w:lang w:eastAsia="ja-JP"/>
        </w:rPr>
        <w:t>Methylphenidate</w:t>
      </w:r>
    </w:p>
    <w:p w:rsidR="0074774A" w:rsidRDefault="0074774A" w:rsidP="0074774A">
      <w:pPr>
        <w:pStyle w:val="ListBullet2"/>
        <w:numPr>
          <w:ilvl w:val="1"/>
          <w:numId w:val="3"/>
        </w:numPr>
        <w:rPr>
          <w:lang w:eastAsia="ja-JP"/>
        </w:rPr>
      </w:pPr>
      <w:r>
        <w:rPr>
          <w:lang w:eastAsia="ja-JP"/>
        </w:rPr>
        <w:t>Dexamfetamine</w:t>
      </w:r>
    </w:p>
    <w:p w:rsidR="0074774A" w:rsidRDefault="0074774A" w:rsidP="0074774A">
      <w:pPr>
        <w:pStyle w:val="ListBullet2"/>
        <w:numPr>
          <w:ilvl w:val="1"/>
          <w:numId w:val="3"/>
        </w:numPr>
        <w:rPr>
          <w:lang w:eastAsia="ja-JP"/>
        </w:rPr>
      </w:pPr>
      <w:r>
        <w:rPr>
          <w:lang w:eastAsia="ja-JP"/>
        </w:rPr>
        <w:t>Lisdexamfetamine</w:t>
      </w:r>
    </w:p>
    <w:p w:rsidR="0074774A" w:rsidRDefault="0074774A" w:rsidP="0074774A">
      <w:pPr>
        <w:pStyle w:val="ListBullet"/>
        <w:numPr>
          <w:ilvl w:val="0"/>
          <w:numId w:val="3"/>
        </w:numPr>
        <w:rPr>
          <w:lang w:eastAsia="ja-JP"/>
        </w:rPr>
      </w:pPr>
      <w:r>
        <w:rPr>
          <w:lang w:eastAsia="ja-JP"/>
        </w:rPr>
        <w:t>Atomoxetine (selective inhibitor of norepinephrine reuptake)</w:t>
      </w:r>
    </w:p>
    <w:p w:rsidR="0074774A" w:rsidRDefault="0074774A" w:rsidP="0074774A">
      <w:pPr>
        <w:rPr>
          <w:lang w:eastAsia="ja-JP"/>
        </w:rPr>
      </w:pPr>
      <w:r>
        <w:rPr>
          <w:lang w:eastAsia="ja-JP"/>
        </w:rPr>
        <w:t>Non-pharmacological interventions include general behavioural approaches and cognitive behavioural therapy.</w:t>
      </w:r>
    </w:p>
    <w:p w:rsidR="0074774A" w:rsidRDefault="0074774A" w:rsidP="0074774A">
      <w:pPr>
        <w:pStyle w:val="Heading3"/>
        <w:numPr>
          <w:ilvl w:val="1"/>
          <w:numId w:val="29"/>
        </w:numPr>
        <w:ind w:left="907" w:hanging="794"/>
      </w:pPr>
      <w:bookmarkStart w:id="26" w:name="_Toc505616966"/>
      <w:bookmarkStart w:id="27" w:name="_Toc513217680"/>
      <w:r>
        <w:t>Clinical rationale</w:t>
      </w:r>
      <w:bookmarkEnd w:id="26"/>
      <w:bookmarkEnd w:id="27"/>
    </w:p>
    <w:p w:rsidR="0074774A" w:rsidRDefault="0074774A" w:rsidP="0074774A">
      <w:pPr>
        <w:rPr>
          <w:lang w:eastAsia="ja-JP"/>
        </w:rPr>
      </w:pPr>
      <w:r>
        <w:rPr>
          <w:lang w:eastAsia="ja-JP"/>
        </w:rPr>
        <w:t>The sponsor has identified the following situations where an alternative to psychostimulants would be desirable:</w:t>
      </w:r>
    </w:p>
    <w:p w:rsidR="0074774A" w:rsidRPr="00FF1710" w:rsidRDefault="0074774A" w:rsidP="0074774A">
      <w:pPr>
        <w:pStyle w:val="ListBullet"/>
        <w:numPr>
          <w:ilvl w:val="0"/>
          <w:numId w:val="3"/>
        </w:numPr>
        <w:rPr>
          <w:lang w:val="en-NZ"/>
        </w:rPr>
      </w:pPr>
      <w:r w:rsidRPr="00FF1710">
        <w:rPr>
          <w:lang w:val="en-NZ"/>
        </w:rPr>
        <w:t>A subset of ADHD patients will fail to respond to stimulant monotherapy.</w:t>
      </w:r>
    </w:p>
    <w:p w:rsidR="0074774A" w:rsidRPr="00FF1710" w:rsidRDefault="0074774A" w:rsidP="0074774A">
      <w:pPr>
        <w:pStyle w:val="ListBullet"/>
        <w:numPr>
          <w:ilvl w:val="0"/>
          <w:numId w:val="3"/>
        </w:numPr>
        <w:rPr>
          <w:lang w:val="en-NZ"/>
        </w:rPr>
      </w:pPr>
      <w:r w:rsidRPr="00FF1710">
        <w:rPr>
          <w:lang w:val="en-NZ"/>
        </w:rPr>
        <w:t>A subset of ADHD patients will have side effects that preclude stimulant use, for example insomnia and anorexia with stimulants.</w:t>
      </w:r>
    </w:p>
    <w:p w:rsidR="0074774A" w:rsidRPr="00FF1710" w:rsidRDefault="0074774A" w:rsidP="0074774A">
      <w:pPr>
        <w:pStyle w:val="ListBullet"/>
        <w:numPr>
          <w:ilvl w:val="0"/>
          <w:numId w:val="3"/>
        </w:numPr>
        <w:rPr>
          <w:lang w:val="en-NZ"/>
        </w:rPr>
      </w:pPr>
      <w:r w:rsidRPr="00FF1710">
        <w:rPr>
          <w:lang w:val="en-NZ"/>
        </w:rPr>
        <w:t>In some children treated with psychostimulants, ADHD symptoms may not be adequately controlled in the hours before school or in the evening.</w:t>
      </w:r>
      <w:r>
        <w:rPr>
          <w:lang w:val="en-NZ"/>
        </w:rPr>
        <w:t xml:space="preserve"> </w:t>
      </w:r>
      <w:r w:rsidRPr="00FF1710">
        <w:rPr>
          <w:lang w:val="en-NZ"/>
        </w:rPr>
        <w:t>In addition, some stimulants have a short duration of action, requiring multiple doses per day, which can result in compliance problems, especially in children.</w:t>
      </w:r>
    </w:p>
    <w:p w:rsidR="0074774A" w:rsidRPr="00FF1710" w:rsidRDefault="0074774A" w:rsidP="0074774A">
      <w:pPr>
        <w:pStyle w:val="ListBullet"/>
        <w:numPr>
          <w:ilvl w:val="0"/>
          <w:numId w:val="3"/>
        </w:numPr>
        <w:rPr>
          <w:lang w:val="en-NZ"/>
        </w:rPr>
      </w:pPr>
      <w:r w:rsidRPr="00FF1710">
        <w:rPr>
          <w:lang w:val="en-NZ"/>
        </w:rPr>
        <w:lastRenderedPageBreak/>
        <w:t>Psychostimulants may also have limitations in the treatment of some patients with comorbid symptoms (</w:t>
      </w:r>
      <w:r>
        <w:rPr>
          <w:lang w:val="en-NZ"/>
        </w:rPr>
        <w:t>for example,</w:t>
      </w:r>
      <w:r w:rsidRPr="00FF1710">
        <w:rPr>
          <w:lang w:val="en-NZ"/>
        </w:rPr>
        <w:t xml:space="preserve"> oppositional defiant disorder, anxiety disorder, substance abuse, tics, and Tourette's syndrome).</w:t>
      </w:r>
    </w:p>
    <w:p w:rsidR="0074774A" w:rsidRPr="00FF1710" w:rsidRDefault="0074774A" w:rsidP="0074774A">
      <w:pPr>
        <w:pStyle w:val="ListBullet"/>
        <w:numPr>
          <w:ilvl w:val="0"/>
          <w:numId w:val="3"/>
        </w:numPr>
        <w:rPr>
          <w:lang w:val="en-NZ"/>
        </w:rPr>
      </w:pPr>
      <w:r w:rsidRPr="00FF1710">
        <w:rPr>
          <w:lang w:val="en-NZ"/>
        </w:rPr>
        <w:t>Patients in whom stimulants or other non-stimulants (</w:t>
      </w:r>
      <w:r>
        <w:rPr>
          <w:lang w:val="en-NZ"/>
        </w:rPr>
        <w:t>that is,</w:t>
      </w:r>
      <w:r w:rsidRPr="00FF1710">
        <w:rPr>
          <w:lang w:val="en-NZ"/>
        </w:rPr>
        <w:t xml:space="preserve"> atomoxetine) are contraindicated.</w:t>
      </w:r>
    </w:p>
    <w:p w:rsidR="0074774A" w:rsidRPr="00FF1710" w:rsidRDefault="0074774A" w:rsidP="0074774A">
      <w:pPr>
        <w:pStyle w:val="ListBullet"/>
        <w:numPr>
          <w:ilvl w:val="0"/>
          <w:numId w:val="3"/>
        </w:numPr>
        <w:rPr>
          <w:lang w:eastAsia="ja-JP"/>
        </w:rPr>
      </w:pPr>
      <w:r w:rsidRPr="00FF1710">
        <w:rPr>
          <w:lang w:val="en-NZ"/>
        </w:rPr>
        <w:t>In addition, physicians and/or parents may prefer a treatment option which is not a controlled substance due to the potential for abuse or dependence.</w:t>
      </w:r>
    </w:p>
    <w:p w:rsidR="00886C19" w:rsidRDefault="0074774A" w:rsidP="0074774A">
      <w:pPr>
        <w:rPr>
          <w:lang w:eastAsia="ja-JP"/>
        </w:rPr>
      </w:pPr>
      <w:r>
        <w:rPr>
          <w:lang w:eastAsia="ja-JP"/>
        </w:rPr>
        <w:t>The sponsor gives the following rational for developing guanfacine:</w:t>
      </w:r>
    </w:p>
    <w:p w:rsidR="0074774A" w:rsidRPr="00FF1710" w:rsidRDefault="0074774A" w:rsidP="0074774A">
      <w:pPr>
        <w:autoSpaceDE w:val="0"/>
        <w:autoSpaceDN w:val="0"/>
        <w:adjustRightInd w:val="0"/>
        <w:spacing w:before="0" w:after="0" w:line="240" w:lineRule="auto"/>
        <w:rPr>
          <w:rFonts w:asciiTheme="minorHAnsi" w:hAnsiTheme="minorHAnsi"/>
          <w:lang w:eastAsia="ja-JP"/>
        </w:rPr>
      </w:pPr>
      <w:r>
        <w:rPr>
          <w:rFonts w:asciiTheme="minorHAnsi" w:hAnsiTheme="minorHAnsi"/>
          <w:lang w:eastAsia="ja-JP"/>
        </w:rPr>
        <w:t>‘</w:t>
      </w:r>
      <w:r w:rsidRPr="000E3E9F">
        <w:rPr>
          <w:rFonts w:asciiTheme="minorHAnsi" w:eastAsia="TimesNewRoman" w:hAnsiTheme="minorHAnsi" w:cs="TimesNewRoman"/>
          <w:i/>
          <w:lang w:val="en-NZ"/>
        </w:rPr>
        <w:t xml:space="preserve">Several studies published in peer reviewed journals have documented the beneficial effects of guanfacine and other </w:t>
      </w:r>
      <w:r w:rsidRPr="000E3E9F">
        <w:rPr>
          <w:rFonts w:asciiTheme="minorHAnsi" w:eastAsia="TimesNewRoman" w:hAnsiTheme="minorHAnsi" w:cs="Symbol"/>
          <w:i/>
          <w:lang w:val="en-NZ"/>
        </w:rPr>
        <w:t>alpha-</w:t>
      </w:r>
      <w:r w:rsidRPr="000E3E9F">
        <w:rPr>
          <w:rFonts w:asciiTheme="minorHAnsi" w:eastAsia="TimesNewRoman" w:hAnsiTheme="minorHAnsi" w:cs="TimesNewRoman"/>
          <w:i/>
          <w:lang w:val="en-NZ"/>
        </w:rPr>
        <w:t>2-adrenergic agonists (such as clonidine) for treatment of the symptoms of ADHD. Shire has developed a modified-release version of guanfacine HCl (SPD503) as an additional alternative non-stimulant option for the treatment of ADHD</w:t>
      </w:r>
      <w:r w:rsidRPr="00FF1710">
        <w:rPr>
          <w:rFonts w:asciiTheme="minorHAnsi" w:eastAsia="TimesNewRoman" w:hAnsiTheme="minorHAnsi" w:cs="TimesNewRoman"/>
          <w:lang w:val="en-NZ"/>
        </w:rPr>
        <w:t>.</w:t>
      </w:r>
      <w:r>
        <w:rPr>
          <w:rFonts w:asciiTheme="minorHAnsi" w:hAnsiTheme="minorHAnsi"/>
          <w:lang w:eastAsia="ja-JP"/>
        </w:rPr>
        <w:t>’ The studies referred to were not cited by the sponsor.</w:t>
      </w:r>
    </w:p>
    <w:p w:rsidR="0074774A" w:rsidRDefault="0074774A" w:rsidP="0074774A">
      <w:pPr>
        <w:pStyle w:val="Heading3"/>
        <w:numPr>
          <w:ilvl w:val="1"/>
          <w:numId w:val="29"/>
        </w:numPr>
        <w:ind w:left="907" w:hanging="794"/>
      </w:pPr>
      <w:bookmarkStart w:id="28" w:name="_Toc505616967"/>
      <w:bookmarkStart w:id="29" w:name="_Toc513217681"/>
      <w:r>
        <w:t>Guidance</w:t>
      </w:r>
      <w:bookmarkEnd w:id="28"/>
      <w:bookmarkEnd w:id="29"/>
    </w:p>
    <w:p w:rsidR="0074774A" w:rsidRDefault="0074774A" w:rsidP="0074774A">
      <w:pPr>
        <w:rPr>
          <w:lang w:eastAsia="ja-JP"/>
        </w:rPr>
      </w:pPr>
      <w:r>
        <w:rPr>
          <w:lang w:eastAsia="ja-JP"/>
        </w:rPr>
        <w:t>The following guidance applies to the present application:</w:t>
      </w:r>
    </w:p>
    <w:p w:rsidR="0074774A" w:rsidRPr="00427900" w:rsidRDefault="0074774A" w:rsidP="0074774A">
      <w:pPr>
        <w:pStyle w:val="ListBullet"/>
        <w:numPr>
          <w:ilvl w:val="0"/>
          <w:numId w:val="3"/>
        </w:numPr>
        <w:rPr>
          <w:lang w:eastAsia="ja-JP"/>
        </w:rPr>
      </w:pPr>
      <w:r>
        <w:t>EMA/CHMP/185423/2010 Rev</w:t>
      </w:r>
      <w:r w:rsidRPr="000872C5">
        <w:t xml:space="preserve"> 2</w:t>
      </w:r>
      <w:r>
        <w:t xml:space="preserve">. </w:t>
      </w:r>
      <w:r w:rsidRPr="000872C5">
        <w:t xml:space="preserve">Guideline on clinical investigation of medicinal products in the treatment of </w:t>
      </w:r>
      <w:r>
        <w:t>Attention Deficit Hyperactivity Disorder (ADHD)</w:t>
      </w:r>
      <w:r w:rsidRPr="000872C5">
        <w:t>.</w:t>
      </w:r>
    </w:p>
    <w:p w:rsidR="0074774A" w:rsidRDefault="0074774A" w:rsidP="0074774A">
      <w:pPr>
        <w:pStyle w:val="ListBullet"/>
        <w:numPr>
          <w:ilvl w:val="0"/>
          <w:numId w:val="3"/>
        </w:numPr>
        <w:rPr>
          <w:lang w:eastAsia="ja-JP"/>
        </w:rPr>
      </w:pPr>
      <w:r>
        <w:t>CHMP/ICH/2/04. ICH Topic E 14 The Clinical Evaluation of QT/QTc Interval Prolongation and Proarrhythmic Potential for Non-Antiarrhythmic Drugs</w:t>
      </w:r>
    </w:p>
    <w:p w:rsidR="0074774A" w:rsidRDefault="0074774A" w:rsidP="0074774A">
      <w:pPr>
        <w:pStyle w:val="Heading3"/>
        <w:numPr>
          <w:ilvl w:val="1"/>
          <w:numId w:val="29"/>
        </w:numPr>
        <w:ind w:left="907" w:hanging="794"/>
      </w:pPr>
      <w:bookmarkStart w:id="30" w:name="_Toc505616968"/>
      <w:bookmarkStart w:id="31" w:name="_Toc513217682"/>
      <w:r>
        <w:t>Evaluator’s commentary on the background information</w:t>
      </w:r>
      <w:bookmarkEnd w:id="30"/>
      <w:bookmarkEnd w:id="31"/>
    </w:p>
    <w:p w:rsidR="0074774A" w:rsidRDefault="0074774A" w:rsidP="0074774A">
      <w:pPr>
        <w:rPr>
          <w:lang w:eastAsia="ja-JP"/>
        </w:rPr>
      </w:pPr>
      <w:r>
        <w:rPr>
          <w:lang w:eastAsia="ja-JP"/>
        </w:rPr>
        <w:t>The rationale for developing guanfacine is not clear. The sponsor mentions published data in the statement: ‘</w:t>
      </w:r>
      <w:r w:rsidRPr="000E3E9F">
        <w:rPr>
          <w:rFonts w:asciiTheme="minorHAnsi" w:eastAsia="TimesNewRoman" w:hAnsiTheme="minorHAnsi" w:cs="TimesNewRoman"/>
          <w:i/>
          <w:lang w:val="en-NZ"/>
        </w:rPr>
        <w:t xml:space="preserve">Several studies published in peer reviewed journals have documented the beneficial effects of guanfacine and other </w:t>
      </w:r>
      <w:r w:rsidRPr="000E3E9F">
        <w:rPr>
          <w:rFonts w:asciiTheme="minorHAnsi" w:eastAsia="TimesNewRoman" w:hAnsiTheme="minorHAnsi" w:cs="Symbol"/>
          <w:i/>
          <w:lang w:val="en-NZ"/>
        </w:rPr>
        <w:t>alpha-</w:t>
      </w:r>
      <w:r w:rsidRPr="000E3E9F">
        <w:rPr>
          <w:rFonts w:asciiTheme="minorHAnsi" w:eastAsia="TimesNewRoman" w:hAnsiTheme="minorHAnsi" w:cs="TimesNewRoman"/>
          <w:i/>
          <w:lang w:val="en-NZ"/>
        </w:rPr>
        <w:t>2-adrenergic agonists (such as clonidine) for treatment of the symptoms of ADHD</w:t>
      </w:r>
      <w:r w:rsidRPr="00FF1710">
        <w:rPr>
          <w:rFonts w:asciiTheme="minorHAnsi" w:eastAsia="TimesNewRoman" w:hAnsiTheme="minorHAnsi" w:cs="TimesNewRoman"/>
          <w:lang w:val="en-NZ"/>
        </w:rPr>
        <w:t>.</w:t>
      </w:r>
      <w:r>
        <w:rPr>
          <w:lang w:eastAsia="ja-JP"/>
        </w:rPr>
        <w:t>’ However, the sponsor does not provide references for these data.</w:t>
      </w:r>
    </w:p>
    <w:p w:rsidR="00886C19" w:rsidRDefault="0074774A" w:rsidP="0074774A">
      <w:pPr>
        <w:rPr>
          <w:lang w:eastAsia="ja-JP"/>
        </w:rPr>
      </w:pPr>
      <w:r>
        <w:rPr>
          <w:lang w:eastAsia="ja-JP"/>
        </w:rPr>
        <w:t>The indication sought by the sponsor is similar to that which is approved in the US, but the EU indication is much more restrictive. The EU indication requires prior treatment with CNS stimulants to be ‘</w:t>
      </w:r>
      <w:r w:rsidRPr="0059654E">
        <w:rPr>
          <w:rFonts w:asciiTheme="minorHAnsi" w:eastAsia="TimesNewRoman" w:hAnsiTheme="minorHAnsi" w:cs="TimesNewRoman"/>
          <w:i/>
          <w:lang w:val="en-NZ"/>
        </w:rPr>
        <w:t>not suitable, not tolerated or have been shown to be ineffective.</w:t>
      </w:r>
      <w:r>
        <w:rPr>
          <w:lang w:eastAsia="ja-JP"/>
        </w:rPr>
        <w:t>’</w:t>
      </w:r>
    </w:p>
    <w:p w:rsidR="0074774A" w:rsidRDefault="0074774A" w:rsidP="0074774A">
      <w:pPr>
        <w:pStyle w:val="Heading2"/>
        <w:numPr>
          <w:ilvl w:val="0"/>
          <w:numId w:val="29"/>
        </w:numPr>
        <w:rPr>
          <w:lang w:eastAsia="en-AU"/>
        </w:rPr>
      </w:pPr>
      <w:bookmarkStart w:id="32" w:name="_Toc505616969"/>
      <w:bookmarkStart w:id="33" w:name="_Toc513217683"/>
      <w:r>
        <w:rPr>
          <w:lang w:eastAsia="en-AU"/>
        </w:rPr>
        <w:t>Contents of the clinical dossier</w:t>
      </w:r>
      <w:bookmarkEnd w:id="7"/>
      <w:bookmarkEnd w:id="8"/>
      <w:bookmarkEnd w:id="32"/>
      <w:bookmarkEnd w:id="33"/>
    </w:p>
    <w:p w:rsidR="0074774A" w:rsidRDefault="0074774A" w:rsidP="0074774A">
      <w:pPr>
        <w:pStyle w:val="Heading3"/>
        <w:numPr>
          <w:ilvl w:val="1"/>
          <w:numId w:val="29"/>
        </w:numPr>
        <w:ind w:left="907" w:hanging="794"/>
      </w:pPr>
      <w:bookmarkStart w:id="34" w:name="_Toc505616970"/>
      <w:bookmarkStart w:id="35" w:name="_Toc513217684"/>
      <w:r>
        <w:t>Scope of the clinical dossier</w:t>
      </w:r>
      <w:bookmarkEnd w:id="34"/>
      <w:bookmarkEnd w:id="35"/>
    </w:p>
    <w:p w:rsidR="0074774A" w:rsidRDefault="0074774A" w:rsidP="0074774A">
      <w:pPr>
        <w:rPr>
          <w:lang w:eastAsia="ja-JP"/>
        </w:rPr>
      </w:pPr>
      <w:r>
        <w:rPr>
          <w:lang w:eastAsia="ja-JP"/>
        </w:rPr>
        <w:t>The dossier represented a development program for guanfacine extended release (SPD503) in children and adolescents with ADHD.</w:t>
      </w:r>
    </w:p>
    <w:p w:rsidR="0074774A" w:rsidRDefault="0074774A" w:rsidP="0074774A">
      <w:pPr>
        <w:pStyle w:val="ListBullet"/>
        <w:numPr>
          <w:ilvl w:val="0"/>
          <w:numId w:val="3"/>
        </w:numPr>
        <w:rPr>
          <w:lang w:eastAsia="ja-JP"/>
        </w:rPr>
      </w:pPr>
      <w:r>
        <w:rPr>
          <w:lang w:eastAsia="ja-JP"/>
        </w:rPr>
        <w:t>There were 15 studies with pharmacokinetic data.</w:t>
      </w:r>
    </w:p>
    <w:p w:rsidR="0074774A" w:rsidRDefault="0074774A" w:rsidP="0074774A">
      <w:pPr>
        <w:pStyle w:val="ListBullet"/>
        <w:numPr>
          <w:ilvl w:val="0"/>
          <w:numId w:val="3"/>
        </w:numPr>
        <w:rPr>
          <w:lang w:eastAsia="ja-JP"/>
        </w:rPr>
      </w:pPr>
      <w:r>
        <w:rPr>
          <w:lang w:eastAsia="ja-JP"/>
        </w:rPr>
        <w:t>There were two studies with pharmacodynamic data</w:t>
      </w:r>
    </w:p>
    <w:p w:rsidR="0074774A" w:rsidRDefault="0074774A" w:rsidP="0074774A">
      <w:pPr>
        <w:pStyle w:val="ListBullet"/>
        <w:numPr>
          <w:ilvl w:val="0"/>
          <w:numId w:val="3"/>
        </w:numPr>
        <w:rPr>
          <w:lang w:eastAsia="ja-JP"/>
        </w:rPr>
      </w:pPr>
      <w:r>
        <w:rPr>
          <w:lang w:eastAsia="ja-JP"/>
        </w:rPr>
        <w:t>There was one population pharmacokinetic-pharmacodynamic study</w:t>
      </w:r>
    </w:p>
    <w:p w:rsidR="0074774A" w:rsidRDefault="0074774A" w:rsidP="0074774A">
      <w:pPr>
        <w:pStyle w:val="ListBullet"/>
        <w:numPr>
          <w:ilvl w:val="0"/>
          <w:numId w:val="3"/>
        </w:numPr>
        <w:rPr>
          <w:lang w:eastAsia="ja-JP"/>
        </w:rPr>
      </w:pPr>
      <w:r>
        <w:rPr>
          <w:lang w:eastAsia="ja-JP"/>
        </w:rPr>
        <w:t>There were eight pivotal studies conducted in children and adolescents with ADHD</w:t>
      </w:r>
    </w:p>
    <w:p w:rsidR="0074774A" w:rsidRDefault="0074774A" w:rsidP="0074774A">
      <w:pPr>
        <w:pStyle w:val="ListBullet"/>
        <w:numPr>
          <w:ilvl w:val="0"/>
          <w:numId w:val="3"/>
        </w:numPr>
        <w:rPr>
          <w:lang w:eastAsia="ja-JP"/>
        </w:rPr>
      </w:pPr>
      <w:r>
        <w:rPr>
          <w:lang w:eastAsia="ja-JP"/>
        </w:rPr>
        <w:t>There were three long-term follow-on studies.</w:t>
      </w:r>
    </w:p>
    <w:p w:rsidR="0074774A" w:rsidRDefault="0074774A" w:rsidP="0074774A">
      <w:pPr>
        <w:pStyle w:val="ListBullet"/>
        <w:numPr>
          <w:ilvl w:val="0"/>
          <w:numId w:val="3"/>
        </w:numPr>
        <w:rPr>
          <w:lang w:eastAsia="ja-JP"/>
        </w:rPr>
      </w:pPr>
      <w:r>
        <w:rPr>
          <w:lang w:eastAsia="ja-JP"/>
        </w:rPr>
        <w:t>There were three other efficacy and safety studies.</w:t>
      </w:r>
    </w:p>
    <w:p w:rsidR="0074774A" w:rsidRDefault="0074774A" w:rsidP="0074774A">
      <w:pPr>
        <w:pStyle w:val="ListBullet"/>
        <w:numPr>
          <w:ilvl w:val="0"/>
          <w:numId w:val="3"/>
        </w:numPr>
        <w:rPr>
          <w:lang w:eastAsia="ja-JP"/>
        </w:rPr>
      </w:pPr>
      <w:r>
        <w:rPr>
          <w:lang w:eastAsia="ja-JP"/>
        </w:rPr>
        <w:lastRenderedPageBreak/>
        <w:t>There were two other safety studies.</w:t>
      </w:r>
    </w:p>
    <w:p w:rsidR="0074774A" w:rsidRDefault="0074774A" w:rsidP="0074774A">
      <w:pPr>
        <w:pStyle w:val="Heading3"/>
        <w:numPr>
          <w:ilvl w:val="1"/>
          <w:numId w:val="29"/>
        </w:numPr>
        <w:ind w:left="907" w:hanging="794"/>
      </w:pPr>
      <w:bookmarkStart w:id="36" w:name="_Toc505616971"/>
      <w:bookmarkStart w:id="37" w:name="_Toc513217685"/>
      <w:r>
        <w:t>Paediatric data</w:t>
      </w:r>
      <w:bookmarkEnd w:id="36"/>
      <w:bookmarkEnd w:id="37"/>
    </w:p>
    <w:p w:rsidR="0074774A" w:rsidRDefault="0074774A" w:rsidP="0074774A">
      <w:pPr>
        <w:rPr>
          <w:lang w:eastAsia="ja-JP"/>
        </w:rPr>
      </w:pPr>
      <w:r>
        <w:rPr>
          <w:lang w:eastAsia="ja-JP"/>
        </w:rPr>
        <w:t>Data relating to children and adolescents aged 6 to 17 years is included in the dossier.</w:t>
      </w:r>
    </w:p>
    <w:p w:rsidR="0074774A" w:rsidRDefault="0074774A" w:rsidP="0074774A">
      <w:pPr>
        <w:pStyle w:val="Heading3"/>
        <w:numPr>
          <w:ilvl w:val="1"/>
          <w:numId w:val="29"/>
        </w:numPr>
        <w:ind w:left="907" w:hanging="794"/>
      </w:pPr>
      <w:bookmarkStart w:id="38" w:name="_Toc505616972"/>
      <w:bookmarkStart w:id="39" w:name="_Toc513217686"/>
      <w:r>
        <w:t>Good clinical practice</w:t>
      </w:r>
      <w:bookmarkEnd w:id="38"/>
      <w:bookmarkEnd w:id="39"/>
    </w:p>
    <w:p w:rsidR="0074774A" w:rsidRDefault="0074774A" w:rsidP="0074774A">
      <w:pPr>
        <w:rPr>
          <w:lang w:eastAsia="ja-JP"/>
        </w:rPr>
      </w:pPr>
      <w:r>
        <w:rPr>
          <w:lang w:eastAsia="ja-JP"/>
        </w:rPr>
        <w:t>The clinical studies presented in the dossier are stated to have adhered to GCP and appear to have adhered to GCP.</w:t>
      </w:r>
    </w:p>
    <w:p w:rsidR="0074774A" w:rsidRPr="009A141C" w:rsidRDefault="0074774A" w:rsidP="0074774A">
      <w:pPr>
        <w:pStyle w:val="Heading3"/>
        <w:numPr>
          <w:ilvl w:val="1"/>
          <w:numId w:val="29"/>
        </w:numPr>
        <w:ind w:left="907" w:hanging="794"/>
      </w:pPr>
      <w:bookmarkStart w:id="40" w:name="_Toc505616973"/>
      <w:bookmarkStart w:id="41" w:name="_Toc513217687"/>
      <w:bookmarkStart w:id="42" w:name="_Toc355338639"/>
      <w:r>
        <w:t>Evaluator’s commentary on the clinical dossier</w:t>
      </w:r>
      <w:bookmarkEnd w:id="40"/>
      <w:bookmarkEnd w:id="41"/>
    </w:p>
    <w:p w:rsidR="0074774A" w:rsidRDefault="0074774A" w:rsidP="0074774A">
      <w:pPr>
        <w:rPr>
          <w:lang w:eastAsia="ja-JP"/>
        </w:rPr>
      </w:pPr>
      <w:r>
        <w:rPr>
          <w:lang w:eastAsia="ja-JP"/>
        </w:rPr>
        <w:t>The clinical dossier represents a complete clinical development program in a specific population (that is, children and adolescents with ADHD).</w:t>
      </w:r>
    </w:p>
    <w:p w:rsidR="0074774A" w:rsidRDefault="0074774A" w:rsidP="0074774A">
      <w:pPr>
        <w:pStyle w:val="Heading2"/>
        <w:numPr>
          <w:ilvl w:val="0"/>
          <w:numId w:val="29"/>
        </w:numPr>
      </w:pPr>
      <w:bookmarkStart w:id="43" w:name="_Toc505616974"/>
      <w:bookmarkStart w:id="44" w:name="_Toc513217688"/>
      <w:r>
        <w:t>Pharmacokinetics</w:t>
      </w:r>
      <w:bookmarkEnd w:id="42"/>
      <w:bookmarkEnd w:id="43"/>
      <w:bookmarkEnd w:id="44"/>
    </w:p>
    <w:p w:rsidR="0074774A" w:rsidRPr="009A141C" w:rsidRDefault="0074774A" w:rsidP="0074774A">
      <w:pPr>
        <w:pStyle w:val="Heading3"/>
        <w:numPr>
          <w:ilvl w:val="1"/>
          <w:numId w:val="29"/>
        </w:numPr>
        <w:ind w:left="907" w:hanging="794"/>
      </w:pPr>
      <w:bookmarkStart w:id="45" w:name="_Toc505616975"/>
      <w:bookmarkStart w:id="46" w:name="_Toc513217689"/>
      <w:r>
        <w:t>Studies providing pharmacokinetic information</w:t>
      </w:r>
      <w:bookmarkEnd w:id="45"/>
      <w:bookmarkEnd w:id="46"/>
    </w:p>
    <w:p w:rsidR="0074774A" w:rsidRDefault="0074774A" w:rsidP="0074774A">
      <w:pPr>
        <w:pStyle w:val="Tabletitle"/>
      </w:pPr>
      <w:r>
        <w:t>Table 2: Submitted pharmacokinetic studies</w:t>
      </w:r>
    </w:p>
    <w:tbl>
      <w:tblPr>
        <w:tblStyle w:val="TableTGAblue"/>
        <w:tblW w:w="8755" w:type="dxa"/>
        <w:tblLayout w:type="fixed"/>
        <w:tblLook w:val="04A0" w:firstRow="1" w:lastRow="0" w:firstColumn="1" w:lastColumn="0" w:noHBand="0" w:noVBand="1"/>
        <w:tblDescription w:val="Table 2: Submitted pharmacokinetic studies"/>
      </w:tblPr>
      <w:tblGrid>
        <w:gridCol w:w="1951"/>
        <w:gridCol w:w="3827"/>
        <w:gridCol w:w="2268"/>
        <w:gridCol w:w="709"/>
      </w:tblGrid>
      <w:tr w:rsidR="0074774A" w:rsidRPr="00F47232" w:rsidTr="00D32C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tcPr>
          <w:p w:rsidR="0074774A" w:rsidRPr="00F47232" w:rsidRDefault="0074774A" w:rsidP="00D32C18">
            <w:pPr>
              <w:rPr>
                <w:rFonts w:asciiTheme="minorHAnsi" w:hAnsiTheme="minorHAnsi"/>
                <w:b w:val="0"/>
                <w:szCs w:val="22"/>
              </w:rPr>
            </w:pPr>
            <w:r w:rsidRPr="00F47232">
              <w:rPr>
                <w:rFonts w:asciiTheme="minorHAnsi" w:hAnsiTheme="minorHAnsi"/>
                <w:szCs w:val="22"/>
              </w:rPr>
              <w:t>PK topic</w:t>
            </w:r>
          </w:p>
        </w:tc>
        <w:tc>
          <w:tcPr>
            <w:tcW w:w="3827" w:type="dxa"/>
          </w:tcPr>
          <w:p w:rsidR="0074774A" w:rsidRPr="00F47232" w:rsidRDefault="0074774A" w:rsidP="00D32C18">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2"/>
              </w:rPr>
            </w:pPr>
            <w:r w:rsidRPr="00F47232">
              <w:rPr>
                <w:rFonts w:asciiTheme="minorHAnsi" w:hAnsiTheme="minorHAnsi"/>
                <w:szCs w:val="22"/>
              </w:rPr>
              <w:t>Subtopic</w:t>
            </w:r>
          </w:p>
        </w:tc>
        <w:tc>
          <w:tcPr>
            <w:tcW w:w="2268" w:type="dxa"/>
          </w:tcPr>
          <w:p w:rsidR="0074774A" w:rsidRPr="00F47232" w:rsidRDefault="0074774A" w:rsidP="00D32C18">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2"/>
              </w:rPr>
            </w:pPr>
            <w:r w:rsidRPr="00F47232">
              <w:rPr>
                <w:rFonts w:asciiTheme="minorHAnsi" w:hAnsiTheme="minorHAnsi"/>
                <w:szCs w:val="22"/>
              </w:rPr>
              <w:t>Study ID</w:t>
            </w:r>
          </w:p>
        </w:tc>
        <w:tc>
          <w:tcPr>
            <w:tcW w:w="709" w:type="dxa"/>
          </w:tcPr>
          <w:p w:rsidR="0074774A" w:rsidRPr="00F47232" w:rsidRDefault="0074774A" w:rsidP="00D32C18">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val="restart"/>
          </w:tcPr>
          <w:p w:rsidR="0074774A" w:rsidRPr="00F47232" w:rsidRDefault="0074774A" w:rsidP="00D32C18">
            <w:pPr>
              <w:rPr>
                <w:rFonts w:asciiTheme="minorHAnsi" w:hAnsiTheme="minorHAnsi"/>
                <w:szCs w:val="22"/>
              </w:rPr>
            </w:pPr>
            <w:r w:rsidRPr="00F47232">
              <w:rPr>
                <w:rFonts w:asciiTheme="minorHAnsi" w:hAnsiTheme="minorHAnsi"/>
                <w:szCs w:val="22"/>
              </w:rPr>
              <w:t>General Pharmacokinetics</w:t>
            </w:r>
          </w:p>
        </w:tc>
        <w:tc>
          <w:tcPr>
            <w:tcW w:w="3827" w:type="dxa"/>
            <w:vMerge w:val="restart"/>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General PK</w:t>
            </w:r>
            <w:r w:rsidRPr="00F47232">
              <w:rPr>
                <w:rFonts w:asciiTheme="minorHAnsi" w:hAnsiTheme="minorHAnsi"/>
                <w:szCs w:val="22"/>
              </w:rPr>
              <w:tab/>
              <w:t>- Multi-dose</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SPD503-113</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vMerge/>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1209A3111</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vMerge/>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SPD503-206</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vMerge w:val="restart"/>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Bioequivalence †</w:t>
            </w:r>
            <w:r w:rsidRPr="00F47232">
              <w:rPr>
                <w:rFonts w:asciiTheme="minorHAnsi" w:hAnsiTheme="minorHAnsi"/>
                <w:szCs w:val="22"/>
              </w:rPr>
              <w:tab/>
              <w:t>- Single dose</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SPD503-101</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vMerge/>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SPD503-103</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vMerge/>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 xml:space="preserve">Study SPD503-110, </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vMerge/>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SPD503-119</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vMerge/>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SPD503-120</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Food effect</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SPD503-104</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tcPr>
          <w:p w:rsidR="0074774A" w:rsidRPr="00F47232" w:rsidRDefault="0074774A" w:rsidP="00D32C18">
            <w:pPr>
              <w:rPr>
                <w:rFonts w:asciiTheme="minorHAnsi" w:hAnsiTheme="minorHAnsi"/>
                <w:szCs w:val="22"/>
              </w:rPr>
            </w:pPr>
            <w:r w:rsidRPr="00F47232">
              <w:rPr>
                <w:rFonts w:asciiTheme="minorHAnsi" w:hAnsiTheme="minorHAnsi"/>
                <w:szCs w:val="22"/>
              </w:rPr>
              <w:lastRenderedPageBreak/>
              <w:t>PK in special populations</w:t>
            </w:r>
          </w:p>
        </w:tc>
        <w:tc>
          <w:tcPr>
            <w:tcW w:w="3827"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Target population §</w:t>
            </w:r>
            <w:r w:rsidRPr="00F47232">
              <w:rPr>
                <w:rFonts w:asciiTheme="minorHAnsi" w:hAnsiTheme="minorHAnsi"/>
                <w:szCs w:val="22"/>
              </w:rPr>
              <w:tab/>
              <w:t>- Multi dose</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SPD503-107</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val="restart"/>
          </w:tcPr>
          <w:p w:rsidR="0074774A" w:rsidRPr="00F47232" w:rsidRDefault="0074774A" w:rsidP="00D32C18">
            <w:pPr>
              <w:rPr>
                <w:rFonts w:asciiTheme="minorHAnsi" w:hAnsiTheme="minorHAnsi"/>
                <w:szCs w:val="22"/>
              </w:rPr>
            </w:pPr>
            <w:r w:rsidRPr="00F47232">
              <w:rPr>
                <w:rFonts w:asciiTheme="minorHAnsi" w:hAnsiTheme="minorHAnsi"/>
                <w:szCs w:val="22"/>
              </w:rPr>
              <w:t>PK interactions</w:t>
            </w:r>
          </w:p>
        </w:tc>
        <w:tc>
          <w:tcPr>
            <w:tcW w:w="3827"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Ketoconazole</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SPD503-106</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Pr>
          <w:p w:rsidR="0074774A" w:rsidRPr="00F47232" w:rsidRDefault="0074774A" w:rsidP="00D32C18">
            <w:pPr>
              <w:rPr>
                <w:rFonts w:asciiTheme="minorHAnsi" w:hAnsiTheme="minorHAnsi"/>
                <w:szCs w:val="22"/>
              </w:rPr>
            </w:pPr>
          </w:p>
        </w:tc>
        <w:tc>
          <w:tcPr>
            <w:tcW w:w="3827"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Rifampicin</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SPD503-108</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vMerge/>
            <w:tcBorders>
              <w:bottom w:val="nil"/>
            </w:tcBorders>
          </w:tcPr>
          <w:p w:rsidR="0074774A" w:rsidRPr="00F47232" w:rsidRDefault="0074774A" w:rsidP="00D32C18">
            <w:pPr>
              <w:rPr>
                <w:rFonts w:asciiTheme="minorHAnsi" w:hAnsiTheme="minorHAnsi"/>
                <w:szCs w:val="22"/>
              </w:rPr>
            </w:pPr>
          </w:p>
        </w:tc>
        <w:tc>
          <w:tcPr>
            <w:tcW w:w="3827"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Methylphenidate</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SPD503-114</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tcBorders>
              <w:top w:val="nil"/>
              <w:bottom w:val="single" w:sz="4" w:space="0" w:color="auto"/>
            </w:tcBorders>
          </w:tcPr>
          <w:p w:rsidR="0074774A" w:rsidRPr="00F47232" w:rsidRDefault="0074774A" w:rsidP="00D32C18">
            <w:pPr>
              <w:rPr>
                <w:rFonts w:asciiTheme="minorHAnsi" w:hAnsiTheme="minorHAnsi"/>
                <w:szCs w:val="22"/>
              </w:rPr>
            </w:pPr>
          </w:p>
        </w:tc>
        <w:tc>
          <w:tcPr>
            <w:tcW w:w="3827"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Lisdexamphetamine (</w:t>
            </w:r>
            <w:r w:rsidRPr="00F47232">
              <w:rPr>
                <w:rFonts w:asciiTheme="minorHAnsi" w:hAnsiTheme="minorHAnsi"/>
                <w:i/>
                <w:szCs w:val="22"/>
              </w:rPr>
              <w:t>d</w:t>
            </w:r>
            <w:r w:rsidRPr="00F47232">
              <w:rPr>
                <w:rFonts w:asciiTheme="minorHAnsi" w:hAnsiTheme="minorHAnsi"/>
                <w:szCs w:val="22"/>
              </w:rPr>
              <w:t>-amphetamine)</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Study SPD503-115</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r w:rsidR="0074774A" w:rsidRPr="00F47232" w:rsidTr="00D32C18">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tcPr>
          <w:p w:rsidR="0074774A" w:rsidRPr="00F47232" w:rsidRDefault="0074774A" w:rsidP="00D32C18">
            <w:pPr>
              <w:rPr>
                <w:rFonts w:asciiTheme="minorHAnsi" w:hAnsiTheme="minorHAnsi"/>
                <w:szCs w:val="22"/>
              </w:rPr>
            </w:pPr>
            <w:r w:rsidRPr="00F47232">
              <w:rPr>
                <w:rFonts w:asciiTheme="minorHAnsi" w:hAnsiTheme="minorHAnsi"/>
                <w:szCs w:val="22"/>
              </w:rPr>
              <w:t>Population PK analyses</w:t>
            </w:r>
          </w:p>
        </w:tc>
        <w:tc>
          <w:tcPr>
            <w:tcW w:w="3827"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Target population §</w:t>
            </w:r>
          </w:p>
        </w:tc>
        <w:tc>
          <w:tcPr>
            <w:tcW w:w="2268"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lang w:eastAsia="ja-JP"/>
              </w:rPr>
              <w:t>Study SPD503-312</w:t>
            </w:r>
          </w:p>
        </w:tc>
        <w:tc>
          <w:tcPr>
            <w:tcW w:w="709" w:type="dxa"/>
          </w:tcPr>
          <w:p w:rsidR="0074774A" w:rsidRPr="00F47232" w:rsidRDefault="0074774A" w:rsidP="00D32C18">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47232">
              <w:rPr>
                <w:rFonts w:asciiTheme="minorHAnsi" w:hAnsiTheme="minorHAnsi"/>
                <w:szCs w:val="22"/>
              </w:rPr>
              <w:t>*</w:t>
            </w:r>
          </w:p>
        </w:tc>
      </w:tr>
    </w:tbl>
    <w:p w:rsidR="0074774A" w:rsidRPr="00C37A1D" w:rsidRDefault="0074774A" w:rsidP="0074774A">
      <w:pPr>
        <w:pStyle w:val="TableDescription"/>
        <w:rPr>
          <w:szCs w:val="20"/>
        </w:rPr>
      </w:pPr>
      <w:r w:rsidRPr="00C37A1D">
        <w:t>* Indicates the primary PK aim of the study.</w:t>
      </w:r>
      <w:r>
        <w:t xml:space="preserve"> </w:t>
      </w:r>
      <w:r w:rsidRPr="00C37A1D">
        <w:t>† Bioequivalence of different formulations.</w:t>
      </w:r>
      <w:r>
        <w:t xml:space="preserve"> </w:t>
      </w:r>
      <w:r w:rsidRPr="00C37A1D">
        <w:t>§</w:t>
      </w:r>
      <w:r w:rsidRPr="00C37A1D">
        <w:rPr>
          <w:szCs w:val="20"/>
        </w:rPr>
        <w:t xml:space="preserve"> Subjects who would be eligible to receive the drug if approved for the proposed indication.</w:t>
      </w:r>
    </w:p>
    <w:p w:rsidR="0074774A" w:rsidRPr="002B74F6" w:rsidRDefault="0074774A" w:rsidP="0074774A">
      <w:pPr>
        <w:pStyle w:val="Heading3"/>
        <w:numPr>
          <w:ilvl w:val="1"/>
          <w:numId w:val="29"/>
        </w:numPr>
        <w:ind w:left="907" w:hanging="794"/>
      </w:pPr>
      <w:bookmarkStart w:id="47" w:name="_Toc505616976"/>
      <w:bookmarkStart w:id="48" w:name="_Toc513217690"/>
      <w:r w:rsidRPr="002B74F6">
        <w:t>Summary of pharmacokinetics</w:t>
      </w:r>
      <w:bookmarkEnd w:id="47"/>
      <w:bookmarkEnd w:id="48"/>
    </w:p>
    <w:p w:rsidR="0074774A" w:rsidRPr="002B74F6" w:rsidRDefault="0074774A" w:rsidP="0074774A">
      <w:pPr>
        <w:pStyle w:val="Heading4"/>
        <w:numPr>
          <w:ilvl w:val="2"/>
          <w:numId w:val="29"/>
        </w:numPr>
      </w:pPr>
      <w:bookmarkStart w:id="49" w:name="_Toc272414617"/>
      <w:bookmarkStart w:id="50" w:name="_Toc290888466"/>
      <w:bookmarkStart w:id="51" w:name="_Toc416353662"/>
      <w:bookmarkStart w:id="52" w:name="_Toc421005243"/>
      <w:bookmarkStart w:id="53" w:name="_Toc432079125"/>
      <w:bookmarkStart w:id="54" w:name="_Toc432080698"/>
      <w:r w:rsidRPr="002B74F6">
        <w:t>Physicochemical characteristics of the active substance</w:t>
      </w:r>
      <w:bookmarkEnd w:id="49"/>
      <w:bookmarkEnd w:id="50"/>
      <w:bookmarkEnd w:id="51"/>
      <w:bookmarkEnd w:id="52"/>
      <w:bookmarkEnd w:id="53"/>
      <w:bookmarkEnd w:id="54"/>
    </w:p>
    <w:p w:rsidR="0074774A" w:rsidRPr="00510C53" w:rsidRDefault="0074774A" w:rsidP="0074774A">
      <w:bookmarkStart w:id="55" w:name="_Ref271189106"/>
      <w:bookmarkStart w:id="56" w:name="_Ref271189143"/>
      <w:bookmarkStart w:id="57" w:name="_Toc272414618"/>
      <w:bookmarkStart w:id="58" w:name="_Toc290888467"/>
      <w:bookmarkStart w:id="59" w:name="_Toc416353663"/>
      <w:bookmarkStart w:id="60" w:name="_Toc421005244"/>
      <w:bookmarkStart w:id="61" w:name="_Toc432079126"/>
      <w:bookmarkStart w:id="62" w:name="_Toc432080699"/>
      <w:r w:rsidRPr="00510C53">
        <w:t>From the Product Information: Guanfacine hydrochloride is a white to off-white crystalline powder that is sparingly soluble in water.</w:t>
      </w:r>
      <w:r>
        <w:t xml:space="preserve"> </w:t>
      </w:r>
      <w:r w:rsidRPr="00510C53">
        <w:t>Guanfacine exhibits only a single polymorphic form and does not exhibit optical rotation.</w:t>
      </w:r>
      <w:r>
        <w:t xml:space="preserve"> </w:t>
      </w:r>
      <w:r w:rsidRPr="00510C53">
        <w:t>Guanfacine hydrochloride has a 2-octanol/water partition coefficient (logP) of 0.10; a dissociation constant of 7.69; and pH of ~4 when dissolved in water.</w:t>
      </w:r>
    </w:p>
    <w:p w:rsidR="0074774A" w:rsidRPr="00545B14" w:rsidRDefault="0074774A" w:rsidP="0074774A">
      <w:pPr>
        <w:pStyle w:val="Heading4"/>
        <w:numPr>
          <w:ilvl w:val="2"/>
          <w:numId w:val="29"/>
        </w:numPr>
      </w:pPr>
      <w:r w:rsidRPr="00545B14">
        <w:t>Pharmacokinetics in healthy subjects</w:t>
      </w:r>
      <w:bookmarkEnd w:id="55"/>
      <w:bookmarkEnd w:id="56"/>
      <w:bookmarkEnd w:id="57"/>
      <w:bookmarkEnd w:id="58"/>
      <w:bookmarkEnd w:id="59"/>
      <w:bookmarkEnd w:id="60"/>
      <w:bookmarkEnd w:id="61"/>
      <w:bookmarkEnd w:id="62"/>
    </w:p>
    <w:p w:rsidR="0074774A" w:rsidRPr="005B0142" w:rsidRDefault="0074774A" w:rsidP="0074774A">
      <w:pPr>
        <w:pStyle w:val="Heading5"/>
        <w:numPr>
          <w:ilvl w:val="3"/>
          <w:numId w:val="29"/>
        </w:numPr>
        <w:ind w:left="1304" w:hanging="1077"/>
      </w:pPr>
      <w:bookmarkStart w:id="63" w:name="_Toc272414619"/>
      <w:bookmarkStart w:id="64" w:name="_Toc290888468"/>
      <w:bookmarkStart w:id="65" w:name="_Toc416353664"/>
      <w:r w:rsidRPr="005B0142">
        <w:t>Absorption</w:t>
      </w:r>
      <w:bookmarkEnd w:id="63"/>
      <w:bookmarkEnd w:id="64"/>
      <w:bookmarkEnd w:id="65"/>
    </w:p>
    <w:p w:rsidR="0074774A" w:rsidRDefault="0074774A" w:rsidP="0074774A">
      <w:pPr>
        <w:pStyle w:val="Heading6"/>
        <w:rPr>
          <w:lang w:eastAsia="ja-JP"/>
        </w:rPr>
      </w:pPr>
      <w:bookmarkStart w:id="66" w:name="_Toc241374287"/>
      <w:bookmarkStart w:id="67" w:name="_Toc272414620"/>
      <w:bookmarkStart w:id="68" w:name="_Toc290888469"/>
      <w:bookmarkStart w:id="69" w:name="_Toc416353665"/>
      <w:r>
        <w:rPr>
          <w:lang w:eastAsia="ja-JP"/>
        </w:rPr>
        <w:t>Sites and mechanism of absorption</w:t>
      </w:r>
    </w:p>
    <w:p w:rsidR="0074774A" w:rsidRPr="005956F1" w:rsidRDefault="0074774A" w:rsidP="0074774A">
      <w:pPr>
        <w:rPr>
          <w:lang w:eastAsia="ja-JP"/>
        </w:rPr>
      </w:pPr>
      <w:r>
        <w:rPr>
          <w:lang w:eastAsia="ja-JP"/>
        </w:rPr>
        <w:t>Guanfacine is absorbed from the gastrointestinal tract.</w:t>
      </w:r>
    </w:p>
    <w:p w:rsidR="0074774A" w:rsidRPr="005B0142" w:rsidRDefault="0074774A" w:rsidP="0074774A">
      <w:pPr>
        <w:pStyle w:val="Heading5"/>
        <w:numPr>
          <w:ilvl w:val="3"/>
          <w:numId w:val="29"/>
        </w:numPr>
        <w:ind w:left="1304" w:hanging="1077"/>
      </w:pPr>
      <w:r w:rsidRPr="005B0142">
        <w:t>Bioavailability</w:t>
      </w:r>
      <w:bookmarkEnd w:id="66"/>
      <w:bookmarkEnd w:id="67"/>
      <w:bookmarkEnd w:id="68"/>
      <w:bookmarkEnd w:id="69"/>
    </w:p>
    <w:p w:rsidR="0074774A" w:rsidRPr="00C37A1D" w:rsidRDefault="0074774A" w:rsidP="0074774A">
      <w:pPr>
        <w:pStyle w:val="Heading6"/>
      </w:pPr>
      <w:r w:rsidRPr="00C37A1D">
        <w:t xml:space="preserve">Absolute </w:t>
      </w:r>
      <w:r w:rsidRPr="00F77F87">
        <w:t>bioavailability</w:t>
      </w:r>
    </w:p>
    <w:p w:rsidR="0074774A" w:rsidRPr="00B156FB" w:rsidRDefault="0074774A" w:rsidP="0074774A">
      <w:r w:rsidRPr="00B156FB">
        <w:t>The absolute bioavailability of guanfacine is 81% (Carchman et al, 1987).</w:t>
      </w:r>
    </w:p>
    <w:p w:rsidR="0074774A" w:rsidRPr="00C37A1D" w:rsidRDefault="0074774A" w:rsidP="0074774A">
      <w:pPr>
        <w:pStyle w:val="Heading6"/>
      </w:pPr>
      <w:r w:rsidRPr="00C37A1D">
        <w:t>Bioavailability relative to an oral solution or micronised suspension</w:t>
      </w:r>
    </w:p>
    <w:p w:rsidR="0074774A" w:rsidRDefault="0074774A" w:rsidP="0074774A">
      <w:pPr>
        <w:rPr>
          <w:lang w:eastAsia="ja-JP"/>
        </w:rPr>
      </w:pPr>
      <w:r>
        <w:rPr>
          <w:lang w:eastAsia="ja-JP"/>
        </w:rPr>
        <w:t>No new data were presented.</w:t>
      </w:r>
    </w:p>
    <w:p w:rsidR="0074774A" w:rsidRPr="00C37A1D" w:rsidRDefault="0074774A" w:rsidP="0074774A">
      <w:pPr>
        <w:pStyle w:val="Heading6"/>
      </w:pPr>
      <w:r w:rsidRPr="00C37A1D">
        <w:t>Bioequivalence of clinical trial and market formulations</w:t>
      </w:r>
    </w:p>
    <w:p w:rsidR="00886C19" w:rsidRDefault="0074774A" w:rsidP="0074774A">
      <w:r>
        <w:rPr>
          <w:lang w:eastAsia="ja-JP"/>
        </w:rPr>
        <w:t>The sponsor had some difficulties in replicating manufacture at different sites for the 4 mg formulation (</w:t>
      </w:r>
      <w:r>
        <w:t>Study SPD503-103)</w:t>
      </w:r>
      <w:r>
        <w:rPr>
          <w:lang w:eastAsia="ja-JP"/>
        </w:rPr>
        <w:t xml:space="preserve">. However, the sponsor did demonstrate bioequivalence between </w:t>
      </w:r>
      <w:r>
        <w:t>guanfacine extended release 2 mg tablet manufactured by Shire US Manufacturing Incorporated (SUMI) and those manufactured by Pharmaceutics International Incorporated (PII) (Study SPD503-109). Guanfacine extended release 4 mg tablet manufactured by SUMI were bioequivalent to those manufactured by PII.</w:t>
      </w:r>
    </w:p>
    <w:p w:rsidR="0074774A" w:rsidRPr="00C37A1D" w:rsidRDefault="0074774A" w:rsidP="0074774A">
      <w:pPr>
        <w:pStyle w:val="Heading6"/>
      </w:pPr>
      <w:r w:rsidRPr="00C37A1D">
        <w:lastRenderedPageBreak/>
        <w:t>Bioequivalence of different dosage forms and strengths</w:t>
      </w:r>
    </w:p>
    <w:p w:rsidR="0074774A" w:rsidRDefault="0074774A" w:rsidP="0074774A">
      <w:r>
        <w:t>Guanfacine 1 mg and 4 mg tablets were demonstrated to be bioequivalent (Study SPD503-104). Although not intended for marketing in Australia, guanfacine extended release 2.5 mg tablets manufactured at SUMI and PII were bioequivalent (when dose normalised) to guanfacine extended release 2 mg tablets (Study SPD503-110).</w:t>
      </w:r>
    </w:p>
    <w:p w:rsidR="0074774A" w:rsidRDefault="0074774A" w:rsidP="0074774A">
      <w:r>
        <w:t>The sponsor demonstrated bioequivalence for two different manufacturing sites for Guanfacine extended release 2 mg tablets: Owings Mills and DSM Pharmaceutical Products (Study SPD503-119). The sponsor demonstrated bioequivalence for two different manufacturing sites for Guanfacine extended release 4 mg tablets: Owings Mills and DSM Pharmaceutical Products (Study SPD503-120).</w:t>
      </w:r>
    </w:p>
    <w:p w:rsidR="0074774A" w:rsidRPr="00C37A1D" w:rsidRDefault="0074774A" w:rsidP="0074774A">
      <w:pPr>
        <w:pStyle w:val="Heading6"/>
      </w:pPr>
      <w:r w:rsidRPr="00C37A1D">
        <w:t>Bioequivalence to relevant registered products</w:t>
      </w:r>
    </w:p>
    <w:p w:rsidR="0074774A" w:rsidRDefault="0074774A" w:rsidP="0074774A">
      <w:pPr>
        <w:rPr>
          <w:lang w:eastAsia="ja-JP"/>
        </w:rPr>
      </w:pPr>
      <w:r>
        <w:t>Modified release formulations provided a more satisfactory plasma concentration time profile for the management of patients with ADHD (Study SPD503-101).</w:t>
      </w:r>
    </w:p>
    <w:p w:rsidR="0074774A" w:rsidRPr="00C37A1D" w:rsidRDefault="0074774A" w:rsidP="0074774A">
      <w:pPr>
        <w:pStyle w:val="Heading6"/>
      </w:pPr>
      <w:r w:rsidRPr="00C37A1D">
        <w:t>Influence of food</w:t>
      </w:r>
    </w:p>
    <w:p w:rsidR="0074774A" w:rsidRDefault="0074774A" w:rsidP="0074774A">
      <w:pPr>
        <w:rPr>
          <w:lang w:eastAsia="ja-JP"/>
        </w:rPr>
      </w:pPr>
      <w:r>
        <w:t>Food increased the AUC</w:t>
      </w:r>
      <w:r w:rsidRPr="00407016">
        <w:rPr>
          <w:vertAlign w:val="subscript"/>
        </w:rPr>
        <w:t>0-t</w:t>
      </w:r>
      <w:r>
        <w:t xml:space="preserve"> of a 4mg dose by 39% and C</w:t>
      </w:r>
      <w:r w:rsidRPr="00407016">
        <w:rPr>
          <w:vertAlign w:val="subscript"/>
        </w:rPr>
        <w:t>max</w:t>
      </w:r>
      <w:r>
        <w:t xml:space="preserve"> by 75% (Study SPD503-104).</w:t>
      </w:r>
    </w:p>
    <w:p w:rsidR="0074774A" w:rsidRPr="00C37A1D" w:rsidRDefault="0074774A" w:rsidP="0074774A">
      <w:pPr>
        <w:pStyle w:val="Heading6"/>
        <w:tabs>
          <w:tab w:val="left" w:pos="7013"/>
        </w:tabs>
      </w:pPr>
      <w:bookmarkStart w:id="70" w:name="_Dose_proportionality"/>
      <w:bookmarkEnd w:id="70"/>
      <w:r w:rsidRPr="00C37A1D">
        <w:t>Dose proportionality</w:t>
      </w:r>
    </w:p>
    <w:p w:rsidR="0074774A" w:rsidRDefault="0074774A" w:rsidP="0074774A">
      <w:r>
        <w:t>There was dose proportionality for AUC</w:t>
      </w:r>
      <w:r w:rsidRPr="00F06B2E">
        <w:rPr>
          <w:vertAlign w:val="subscript"/>
        </w:rPr>
        <w:t>0-t</w:t>
      </w:r>
      <w:r>
        <w:t xml:space="preserve"> but not for C</w:t>
      </w:r>
      <w:r w:rsidRPr="00F06B2E">
        <w:rPr>
          <w:vertAlign w:val="subscript"/>
        </w:rPr>
        <w:t>max</w:t>
      </w:r>
      <w:r>
        <w:t xml:space="preserve"> in the dose range 1 mg to 4 mg. C</w:t>
      </w:r>
      <w:r w:rsidRPr="00F06B2E">
        <w:rPr>
          <w:vertAlign w:val="subscript"/>
        </w:rPr>
        <w:t>max</w:t>
      </w:r>
      <w:r>
        <w:t xml:space="preserve"> increased to a lesser than expected extent from 1 mg to 2 mg (Study SPD503-109). For tablets manufactured by PII, mean (SD) AUC</w:t>
      </w:r>
      <w:r w:rsidRPr="004925BC">
        <w:rPr>
          <w:vertAlign w:val="subscript"/>
        </w:rPr>
        <w:t>0-t</w:t>
      </w:r>
      <w:r>
        <w:t xml:space="preserve"> was 29.3 (8.84) h•ng/mL for 1 mg, 55.0 (18.0) h•ng/mL for 2 mg and 120 (41.5) h•ng/mL for 4 mg. Mean (SD) C</w:t>
      </w:r>
      <w:r>
        <w:rPr>
          <w:vertAlign w:val="subscript"/>
        </w:rPr>
        <w:t>max</w:t>
      </w:r>
      <w:r>
        <w:t xml:space="preserve"> was 0.98 (0.26) ng/mL for 1 mg, 1.59 (0.49) ng/mL for 2 mg and 3.58 (1.39) h•ng/mL for 4 mg.</w:t>
      </w:r>
    </w:p>
    <w:p w:rsidR="0074774A" w:rsidRDefault="0074774A" w:rsidP="0074774A">
      <w:r>
        <w:t xml:space="preserve">In Japanese and Non-Hispanic Caucasian subjects the PK of guanfacine was linear in the dose range 1 to 4 mg, with multiple dosing </w:t>
      </w:r>
      <w:r>
        <w:rPr>
          <w:lang w:eastAsia="ja-JP"/>
        </w:rPr>
        <w:t>(</w:t>
      </w:r>
      <w:r>
        <w:t>Study 1209A3111).</w:t>
      </w:r>
    </w:p>
    <w:p w:rsidR="0074774A" w:rsidRDefault="0074774A" w:rsidP="0074774A">
      <w:r>
        <w:t>In Study SPD503-206, guanfacine 1 mg, 2 mg and 3 mg were dose proportional at steady state (Table 3).</w:t>
      </w:r>
    </w:p>
    <w:p w:rsidR="0074774A" w:rsidRPr="004161B6" w:rsidRDefault="0074774A" w:rsidP="0074774A">
      <w:pPr>
        <w:pStyle w:val="Tabletitle"/>
        <w:rPr>
          <w:lang w:eastAsia="ja-JP"/>
        </w:rPr>
      </w:pPr>
      <w:bookmarkStart w:id="71" w:name="Table_4_2_2_2_1"/>
      <w:r>
        <w:rPr>
          <w:lang w:eastAsia="ja-JP"/>
        </w:rPr>
        <w:t>Table 3:</w:t>
      </w:r>
      <w:bookmarkEnd w:id="71"/>
      <w:r>
        <w:rPr>
          <w:lang w:eastAsia="ja-JP"/>
        </w:rPr>
        <w:t xml:space="preserve"> </w:t>
      </w:r>
      <w:r w:rsidRPr="004161B6">
        <w:rPr>
          <w:lang w:val="en-NZ"/>
        </w:rPr>
        <w:t>Arithmetic Mean (</w:t>
      </w:r>
      <w:proofErr w:type="gramStart"/>
      <w:r w:rsidRPr="004161B6">
        <w:rPr>
          <w:lang w:val="en-NZ"/>
        </w:rPr>
        <w:t>CV%</w:t>
      </w:r>
      <w:proofErr w:type="gramEnd"/>
      <w:r w:rsidRPr="004161B6">
        <w:rPr>
          <w:lang w:val="en-NZ"/>
        </w:rPr>
        <w:t>) of Se</w:t>
      </w:r>
      <w:r>
        <w:rPr>
          <w:lang w:val="en-NZ"/>
        </w:rPr>
        <w:t>lect Pharmacokinetic Parameters</w:t>
      </w:r>
    </w:p>
    <w:p w:rsidR="0074774A" w:rsidRDefault="0074774A" w:rsidP="0074774A">
      <w:pPr>
        <w:rPr>
          <w:lang w:eastAsia="ja-JP"/>
        </w:rPr>
      </w:pPr>
      <w:r w:rsidRPr="004161B6">
        <w:rPr>
          <w:noProof/>
          <w:lang w:eastAsia="en-AU"/>
        </w:rPr>
        <w:drawing>
          <wp:inline distT="0" distB="0" distL="0" distR="0" wp14:anchorId="20159721" wp14:editId="77538D93">
            <wp:extent cx="5731510" cy="1840751"/>
            <wp:effectExtent l="0" t="0" r="2540" b="7620"/>
            <wp:docPr id="65" name="Picture 65" descr="Table 3: Arithmetic Mean (CV%) of Select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40751"/>
                    </a:xfrm>
                    <a:prstGeom prst="rect">
                      <a:avLst/>
                    </a:prstGeom>
                    <a:noFill/>
                    <a:ln>
                      <a:noFill/>
                    </a:ln>
                  </pic:spPr>
                </pic:pic>
              </a:graphicData>
            </a:graphic>
          </wp:inline>
        </w:drawing>
      </w:r>
      <w:bookmarkStart w:id="72" w:name="_GoBack"/>
      <w:bookmarkEnd w:id="72"/>
    </w:p>
    <w:p w:rsidR="0074774A" w:rsidRPr="00C37A1D" w:rsidRDefault="0074774A" w:rsidP="0074774A">
      <w:pPr>
        <w:pStyle w:val="Heading6"/>
      </w:pPr>
      <w:r w:rsidRPr="00C37A1D">
        <w:t>Bioavailability during multiple-dosing</w:t>
      </w:r>
    </w:p>
    <w:p w:rsidR="0074774A" w:rsidRDefault="0074774A" w:rsidP="0074774A">
      <w:pPr>
        <w:rPr>
          <w:lang w:eastAsia="ja-JP"/>
        </w:rPr>
      </w:pPr>
      <w:r>
        <w:rPr>
          <w:lang w:eastAsia="ja-JP"/>
        </w:rPr>
        <w:t>No relative bioavailability data were presented.</w:t>
      </w:r>
    </w:p>
    <w:p w:rsidR="0074774A" w:rsidRPr="00C37A1D" w:rsidRDefault="0074774A" w:rsidP="0074774A">
      <w:pPr>
        <w:pStyle w:val="Heading6"/>
      </w:pPr>
      <w:r w:rsidRPr="00C37A1D">
        <w:t>Effect of administration timing</w:t>
      </w:r>
    </w:p>
    <w:p w:rsidR="0074774A" w:rsidRDefault="0074774A" w:rsidP="0074774A">
      <w:pPr>
        <w:rPr>
          <w:lang w:eastAsia="ja-JP"/>
        </w:rPr>
      </w:pPr>
      <w:r>
        <w:rPr>
          <w:lang w:eastAsia="ja-JP"/>
        </w:rPr>
        <w:t>Other than with regard to food, no data on the effect of administration time were presented.</w:t>
      </w:r>
    </w:p>
    <w:p w:rsidR="0074774A" w:rsidRPr="005B0142" w:rsidRDefault="0074774A" w:rsidP="0074774A">
      <w:pPr>
        <w:pStyle w:val="Heading5"/>
        <w:numPr>
          <w:ilvl w:val="3"/>
          <w:numId w:val="29"/>
        </w:numPr>
        <w:ind w:left="1304" w:hanging="1077"/>
      </w:pPr>
      <w:r w:rsidRPr="005B0142">
        <w:t>Distribution</w:t>
      </w:r>
    </w:p>
    <w:p w:rsidR="0074774A" w:rsidRPr="00533011" w:rsidRDefault="0074774A" w:rsidP="0074774A">
      <w:pPr>
        <w:pStyle w:val="Heading6"/>
      </w:pPr>
      <w:r w:rsidRPr="00533011">
        <w:t>Volume of distribution</w:t>
      </w:r>
    </w:p>
    <w:p w:rsidR="00886C19" w:rsidRDefault="0074774A" w:rsidP="0074774A">
      <w:r>
        <w:rPr>
          <w:lang w:eastAsia="ja-JP"/>
        </w:rPr>
        <w:t xml:space="preserve">Volume of distribution was in the range of 823 to 894 L </w:t>
      </w:r>
      <w:r>
        <w:t>(Study SPD503-109).</w:t>
      </w:r>
    </w:p>
    <w:p w:rsidR="0074774A" w:rsidRPr="00533011" w:rsidRDefault="0074774A" w:rsidP="0074774A">
      <w:pPr>
        <w:pStyle w:val="Heading6"/>
      </w:pPr>
      <w:r w:rsidRPr="00533011">
        <w:lastRenderedPageBreak/>
        <w:t>Plasma protein binding</w:t>
      </w:r>
    </w:p>
    <w:p w:rsidR="0074774A" w:rsidRPr="00B156FB" w:rsidRDefault="0074774A" w:rsidP="0074774A">
      <w:r w:rsidRPr="00B156FB">
        <w:t xml:space="preserve">The mean plasma protein binding is 71.6%, and is not influenced by plasma concentration or route of administration (Carchman </w:t>
      </w:r>
      <w:r w:rsidRPr="00B156FB">
        <w:rPr>
          <w:i/>
        </w:rPr>
        <w:t>et al</w:t>
      </w:r>
      <w:r w:rsidRPr="00B156FB">
        <w:t xml:space="preserve"> 1987).</w:t>
      </w:r>
    </w:p>
    <w:p w:rsidR="0074774A" w:rsidRPr="00533011" w:rsidRDefault="0074774A" w:rsidP="0074774A">
      <w:pPr>
        <w:pStyle w:val="Heading6"/>
      </w:pPr>
      <w:r w:rsidRPr="00533011">
        <w:t>Erythrocyte distribution</w:t>
      </w:r>
    </w:p>
    <w:p w:rsidR="0074774A" w:rsidRDefault="0074774A" w:rsidP="0074774A">
      <w:pPr>
        <w:rPr>
          <w:lang w:eastAsia="ja-JP"/>
        </w:rPr>
      </w:pPr>
      <w:r>
        <w:rPr>
          <w:lang w:eastAsia="ja-JP"/>
        </w:rPr>
        <w:t>There were no data on erythrocyte distribution.</w:t>
      </w:r>
    </w:p>
    <w:p w:rsidR="0074774A" w:rsidRDefault="0074774A" w:rsidP="0074774A">
      <w:pPr>
        <w:pStyle w:val="Heading6"/>
      </w:pPr>
      <w:r w:rsidRPr="00533011">
        <w:t>Tissue distribution</w:t>
      </w:r>
    </w:p>
    <w:p w:rsidR="0074774A" w:rsidRDefault="0074774A" w:rsidP="0074774A">
      <w:pPr>
        <w:rPr>
          <w:lang w:eastAsia="ja-JP"/>
        </w:rPr>
      </w:pPr>
      <w:bookmarkStart w:id="73" w:name="_Toc272414622"/>
      <w:bookmarkStart w:id="74" w:name="_Toc290888471"/>
      <w:bookmarkStart w:id="75" w:name="_Toc416353667"/>
      <w:r>
        <w:rPr>
          <w:lang w:eastAsia="ja-JP"/>
        </w:rPr>
        <w:t xml:space="preserve">The volume of distribution is 6 L/kg which implies extensive tissue distribution (Carchman </w:t>
      </w:r>
      <w:r w:rsidRPr="00AD34FB">
        <w:rPr>
          <w:i/>
          <w:lang w:eastAsia="ja-JP"/>
        </w:rPr>
        <w:t>et. al.</w:t>
      </w:r>
      <w:r>
        <w:rPr>
          <w:lang w:eastAsia="ja-JP"/>
        </w:rPr>
        <w:t xml:space="preserve"> 1987).</w:t>
      </w:r>
    </w:p>
    <w:p w:rsidR="0074774A" w:rsidRPr="005B0142" w:rsidRDefault="0074774A" w:rsidP="0074774A">
      <w:pPr>
        <w:pStyle w:val="Heading5"/>
        <w:numPr>
          <w:ilvl w:val="3"/>
          <w:numId w:val="29"/>
        </w:numPr>
        <w:ind w:left="1304" w:hanging="1077"/>
      </w:pPr>
      <w:r w:rsidRPr="005B0142">
        <w:t>Metabolism</w:t>
      </w:r>
      <w:bookmarkEnd w:id="73"/>
      <w:bookmarkEnd w:id="74"/>
      <w:bookmarkEnd w:id="75"/>
    </w:p>
    <w:p w:rsidR="0074774A" w:rsidRPr="00533011" w:rsidRDefault="0074774A" w:rsidP="0074774A">
      <w:pPr>
        <w:pStyle w:val="Heading6"/>
      </w:pPr>
      <w:r w:rsidRPr="00533011">
        <w:t>Interconversion between enantiomers</w:t>
      </w:r>
    </w:p>
    <w:p w:rsidR="0074774A" w:rsidRDefault="0074774A" w:rsidP="0074774A">
      <w:pPr>
        <w:rPr>
          <w:lang w:eastAsia="ja-JP"/>
        </w:rPr>
      </w:pPr>
      <w:r>
        <w:rPr>
          <w:lang w:eastAsia="ja-JP"/>
        </w:rPr>
        <w:t>Guanfacine does not have enantiomers.</w:t>
      </w:r>
    </w:p>
    <w:p w:rsidR="0074774A" w:rsidRPr="00533011" w:rsidRDefault="0074774A" w:rsidP="0074774A">
      <w:pPr>
        <w:pStyle w:val="Heading6"/>
      </w:pPr>
      <w:r w:rsidRPr="00533011">
        <w:t>Sites of metabolism and mechanisms / enzyme systems involved</w:t>
      </w:r>
    </w:p>
    <w:p w:rsidR="0074774A" w:rsidRPr="00510C53" w:rsidRDefault="0074774A" w:rsidP="0074774A">
      <w:r w:rsidRPr="00510C53">
        <w:t>Guanfacine is metabolised via CYP3A4/5 mediated oxidation, with subsequent phase II reactions of sulfation and glucuronidation.</w:t>
      </w:r>
      <w:r>
        <w:t xml:space="preserve"> </w:t>
      </w:r>
      <w:r w:rsidRPr="00510C53">
        <w:t>The major circulating metabolite is 3-O</w:t>
      </w:r>
      <w:r>
        <w:t>H-</w:t>
      </w:r>
      <w:r w:rsidRPr="00510C53">
        <w:t>guanfacine sulphate. Guanfacine is primarily metabolised by the CYP3A4 isoenzyme.</w:t>
      </w:r>
      <w:r>
        <w:t xml:space="preserve"> </w:t>
      </w:r>
      <w:r w:rsidRPr="00510C53">
        <w:t>In vitro studies with human liver microsomes and recombinant CYP’s demonstrated that guanfacine was primarily metabolized by CYP3A4.</w:t>
      </w:r>
    </w:p>
    <w:p w:rsidR="0074774A" w:rsidRPr="00533011" w:rsidRDefault="0074774A" w:rsidP="0074774A">
      <w:pPr>
        <w:pStyle w:val="Heading6"/>
      </w:pPr>
      <w:r w:rsidRPr="00533011">
        <w:t>Non-renal clearance</w:t>
      </w:r>
    </w:p>
    <w:p w:rsidR="0074774A" w:rsidRDefault="0074774A" w:rsidP="0074774A">
      <w:pPr>
        <w:rPr>
          <w:lang w:eastAsia="ja-JP"/>
        </w:rPr>
      </w:pPr>
      <w:r>
        <w:rPr>
          <w:lang w:eastAsia="ja-JP"/>
        </w:rPr>
        <w:t>Non-renal clearance is hepatic.</w:t>
      </w:r>
    </w:p>
    <w:p w:rsidR="00886C19" w:rsidRDefault="0074774A" w:rsidP="0074774A">
      <w:pPr>
        <w:pStyle w:val="Heading6"/>
      </w:pPr>
      <w:r w:rsidRPr="00533011">
        <w:t>Metabolites identified in humans: active and other</w:t>
      </w:r>
    </w:p>
    <w:p w:rsidR="0074774A" w:rsidRPr="002734FF" w:rsidRDefault="0074774A" w:rsidP="0074774A">
      <w:r w:rsidRPr="002734FF">
        <w:t>The major circulating metabolite is 3-O</w:t>
      </w:r>
      <w:r>
        <w:t>H-</w:t>
      </w:r>
      <w:r w:rsidRPr="002734FF">
        <w:t>guanfacine sulphate.</w:t>
      </w:r>
    </w:p>
    <w:p w:rsidR="0074774A" w:rsidRPr="00533011" w:rsidRDefault="0074774A" w:rsidP="0074774A">
      <w:pPr>
        <w:pStyle w:val="Heading6"/>
      </w:pPr>
      <w:r w:rsidRPr="00533011">
        <w:t>Pharmacokinetics of metabolites</w:t>
      </w:r>
    </w:p>
    <w:p w:rsidR="0074774A" w:rsidRDefault="0074774A" w:rsidP="0074774A">
      <w:pPr>
        <w:rPr>
          <w:lang w:eastAsia="ja-JP"/>
        </w:rPr>
      </w:pPr>
      <w:r>
        <w:rPr>
          <w:lang w:eastAsia="ja-JP"/>
        </w:rPr>
        <w:t>The metabolites are excreted renally.</w:t>
      </w:r>
    </w:p>
    <w:p w:rsidR="0074774A" w:rsidRDefault="0074774A" w:rsidP="0074774A">
      <w:pPr>
        <w:pStyle w:val="Heading6"/>
      </w:pPr>
      <w:r w:rsidRPr="00533011">
        <w:t>Consequences of genetic polymorphism</w:t>
      </w:r>
    </w:p>
    <w:p w:rsidR="0074774A" w:rsidRDefault="0074774A" w:rsidP="0074774A">
      <w:pPr>
        <w:rPr>
          <w:lang w:eastAsia="ja-JP"/>
        </w:rPr>
      </w:pPr>
      <w:bookmarkStart w:id="76" w:name="_Toc241374289"/>
      <w:bookmarkStart w:id="77" w:name="_Toc272414623"/>
      <w:bookmarkStart w:id="78" w:name="_Toc290888472"/>
      <w:bookmarkStart w:id="79" w:name="_Toc416353668"/>
      <w:r>
        <w:rPr>
          <w:lang w:eastAsia="ja-JP"/>
        </w:rPr>
        <w:t>No data were presented on genetic polymorphism.</w:t>
      </w:r>
    </w:p>
    <w:p w:rsidR="0074774A" w:rsidRPr="005B0142" w:rsidRDefault="0074774A" w:rsidP="0074774A">
      <w:pPr>
        <w:pStyle w:val="Heading5"/>
        <w:numPr>
          <w:ilvl w:val="3"/>
          <w:numId w:val="29"/>
        </w:numPr>
        <w:ind w:left="1304" w:hanging="1077"/>
      </w:pPr>
      <w:r w:rsidRPr="005B0142">
        <w:t>E</w:t>
      </w:r>
      <w:bookmarkEnd w:id="76"/>
      <w:r w:rsidRPr="005B0142">
        <w:t>xcretion</w:t>
      </w:r>
      <w:bookmarkEnd w:id="77"/>
      <w:bookmarkEnd w:id="78"/>
      <w:bookmarkEnd w:id="79"/>
    </w:p>
    <w:p w:rsidR="0074774A" w:rsidRPr="00533011" w:rsidRDefault="0074774A" w:rsidP="0074774A">
      <w:pPr>
        <w:pStyle w:val="Heading6"/>
      </w:pPr>
      <w:r w:rsidRPr="00533011">
        <w:t>Routes and mechanisms of excretion</w:t>
      </w:r>
    </w:p>
    <w:p w:rsidR="0074774A" w:rsidRDefault="0074774A" w:rsidP="0074774A">
      <w:pPr>
        <w:rPr>
          <w:lang w:eastAsia="ja-JP"/>
        </w:rPr>
      </w:pPr>
      <w:r>
        <w:rPr>
          <w:lang w:eastAsia="ja-JP"/>
        </w:rPr>
        <w:t>The fraction excreted unchanged in the urine is approximately 36% of the ingested dose (</w:t>
      </w:r>
      <w:r>
        <w:t xml:space="preserve">Study 1209A3111). Urine recovery after intravenous dosing was 50% (Carchman </w:t>
      </w:r>
      <w:r w:rsidRPr="00D743C5">
        <w:rPr>
          <w:i/>
        </w:rPr>
        <w:t>et. al.</w:t>
      </w:r>
      <w:r>
        <w:t xml:space="preserve"> 1987)</w:t>
      </w:r>
    </w:p>
    <w:p w:rsidR="0074774A" w:rsidRPr="00533011" w:rsidRDefault="0074774A" w:rsidP="0074774A">
      <w:pPr>
        <w:pStyle w:val="Heading6"/>
      </w:pPr>
      <w:r w:rsidRPr="00533011">
        <w:t>Mass balance studies</w:t>
      </w:r>
    </w:p>
    <w:p w:rsidR="0074774A" w:rsidRDefault="0074774A" w:rsidP="0074774A">
      <w:pPr>
        <w:rPr>
          <w:lang w:eastAsia="ja-JP"/>
        </w:rPr>
      </w:pPr>
      <w:r>
        <w:rPr>
          <w:lang w:eastAsia="ja-JP"/>
        </w:rPr>
        <w:t>Mass balance studies were not included in the dossier.</w:t>
      </w:r>
    </w:p>
    <w:p w:rsidR="0074774A" w:rsidRDefault="0074774A" w:rsidP="0074774A">
      <w:pPr>
        <w:pStyle w:val="Heading6"/>
      </w:pPr>
      <w:r w:rsidRPr="00533011">
        <w:t>Renal clearance</w:t>
      </w:r>
    </w:p>
    <w:p w:rsidR="0074774A" w:rsidRDefault="0074774A" w:rsidP="0074774A">
      <w:pPr>
        <w:rPr>
          <w:lang w:eastAsia="ja-JP"/>
        </w:rPr>
      </w:pPr>
      <w:bookmarkStart w:id="80" w:name="_Toc241374291"/>
      <w:bookmarkStart w:id="81" w:name="_Toc272414624"/>
      <w:bookmarkStart w:id="82" w:name="_Toc290888473"/>
      <w:bookmarkStart w:id="83" w:name="_Toc416353669"/>
      <w:r>
        <w:rPr>
          <w:lang w:eastAsia="ja-JP"/>
        </w:rPr>
        <w:t>Renal clearance was 0.12 L/kg/hour (</w:t>
      </w:r>
      <w:r>
        <w:t xml:space="preserve">Study 1209A3111). </w:t>
      </w:r>
      <w:r w:rsidRPr="00AD34FB">
        <w:t xml:space="preserve">Renal clearance of guanfacine was 50% of total body clearance and appeared to be due to a net renal tubular secretory process (Carchman </w:t>
      </w:r>
      <w:r w:rsidRPr="00AD34FB">
        <w:rPr>
          <w:i/>
        </w:rPr>
        <w:t>et.al.</w:t>
      </w:r>
      <w:r w:rsidRPr="00AD34FB">
        <w:t xml:space="preserve"> 1987).</w:t>
      </w:r>
      <w:r>
        <w:t xml:space="preserve"> This secretory process appears to be mediated by OCT2.</w:t>
      </w:r>
    </w:p>
    <w:p w:rsidR="0074774A" w:rsidRDefault="0074774A" w:rsidP="0074774A">
      <w:pPr>
        <w:pStyle w:val="Heading5"/>
        <w:numPr>
          <w:ilvl w:val="3"/>
          <w:numId w:val="29"/>
        </w:numPr>
        <w:ind w:left="1304" w:hanging="1077"/>
      </w:pPr>
      <w:r>
        <w:t xml:space="preserve">Intra </w:t>
      </w:r>
      <w:r w:rsidRPr="005B0142">
        <w:t>and inter</w:t>
      </w:r>
      <w:r>
        <w:t xml:space="preserve"> </w:t>
      </w:r>
      <w:r w:rsidRPr="00F77F87">
        <w:t>individual</w:t>
      </w:r>
      <w:r w:rsidRPr="005B0142">
        <w:t xml:space="preserve"> variability</w:t>
      </w:r>
      <w:bookmarkEnd w:id="80"/>
      <w:r w:rsidRPr="005B0142">
        <w:t xml:space="preserve"> of pharmacokinetics</w:t>
      </w:r>
      <w:bookmarkEnd w:id="81"/>
      <w:bookmarkEnd w:id="82"/>
      <w:bookmarkEnd w:id="83"/>
    </w:p>
    <w:p w:rsidR="0074774A" w:rsidRDefault="0074774A" w:rsidP="0074774A">
      <w:pPr>
        <w:rPr>
          <w:lang w:eastAsia="ja-JP"/>
        </w:rPr>
      </w:pPr>
      <w:bookmarkStart w:id="84" w:name="_Toc241374292"/>
      <w:bookmarkStart w:id="85" w:name="_Ref271189131"/>
      <w:bookmarkStart w:id="86" w:name="_Ref271189136"/>
      <w:bookmarkStart w:id="87" w:name="_Toc272414625"/>
      <w:bookmarkStart w:id="88" w:name="_Toc290888474"/>
      <w:bookmarkStart w:id="89" w:name="_Toc416353670"/>
      <w:bookmarkStart w:id="90" w:name="_Toc421005245"/>
      <w:bookmarkStart w:id="91" w:name="_Toc432079127"/>
      <w:bookmarkStart w:id="92" w:name="_Toc432080700"/>
      <w:r>
        <w:rPr>
          <w:lang w:eastAsia="ja-JP"/>
        </w:rPr>
        <w:t>The main covariates contributing to variability in CL were weight and age (Study SPD503-312). Race and sex were statistically significant but not clinically significant.</w:t>
      </w:r>
    </w:p>
    <w:p w:rsidR="0074774A" w:rsidRPr="00545B14" w:rsidRDefault="0074774A" w:rsidP="0074774A">
      <w:pPr>
        <w:pStyle w:val="Heading4"/>
        <w:numPr>
          <w:ilvl w:val="2"/>
          <w:numId w:val="29"/>
        </w:numPr>
      </w:pPr>
      <w:r w:rsidRPr="00545B14">
        <w:lastRenderedPageBreak/>
        <w:t>Pharmacokinetics in the target population</w:t>
      </w:r>
      <w:bookmarkEnd w:id="84"/>
      <w:bookmarkEnd w:id="85"/>
      <w:bookmarkEnd w:id="86"/>
      <w:bookmarkEnd w:id="87"/>
      <w:bookmarkEnd w:id="88"/>
      <w:bookmarkEnd w:id="89"/>
      <w:bookmarkEnd w:id="90"/>
      <w:bookmarkEnd w:id="91"/>
      <w:bookmarkEnd w:id="92"/>
    </w:p>
    <w:p w:rsidR="0074774A" w:rsidRDefault="0074774A" w:rsidP="0074774A">
      <w:pPr>
        <w:rPr>
          <w:lang w:eastAsia="ja-JP"/>
        </w:rPr>
      </w:pPr>
      <w:bookmarkStart w:id="93" w:name="_Toc241374293"/>
      <w:bookmarkStart w:id="94" w:name="_Toc272414626"/>
      <w:bookmarkStart w:id="95" w:name="_Toc290888475"/>
      <w:bookmarkStart w:id="96" w:name="_Toc416353671"/>
      <w:bookmarkStart w:id="97" w:name="_Toc421005246"/>
      <w:bookmarkStart w:id="98" w:name="_Toc432079128"/>
      <w:bookmarkStart w:id="99" w:name="_Toc432080701"/>
      <w:r>
        <w:t>Study SPD503-107 demonstrated linear kinetics at steady state in the dose range 2 mg to 4 mg, and also between single dose and steady state for the 2 mg dose level. Age and gender differences in PK were attributed to differences in body weight. The study was conducted in children and adolescents with ADHD aged 7 to 16 years.</w:t>
      </w:r>
    </w:p>
    <w:p w:rsidR="0074774A" w:rsidRPr="00545B14" w:rsidRDefault="0074774A" w:rsidP="0074774A">
      <w:pPr>
        <w:pStyle w:val="Heading4"/>
        <w:numPr>
          <w:ilvl w:val="2"/>
          <w:numId w:val="29"/>
        </w:numPr>
      </w:pPr>
      <w:r w:rsidRPr="00545B14">
        <w:t>Pharmacokinetics in special populations</w:t>
      </w:r>
      <w:bookmarkEnd w:id="93"/>
      <w:bookmarkEnd w:id="94"/>
      <w:bookmarkEnd w:id="95"/>
      <w:bookmarkEnd w:id="96"/>
      <w:bookmarkEnd w:id="97"/>
      <w:bookmarkEnd w:id="98"/>
      <w:bookmarkEnd w:id="99"/>
    </w:p>
    <w:p w:rsidR="0074774A" w:rsidRPr="005B0142" w:rsidRDefault="0074774A" w:rsidP="0074774A">
      <w:pPr>
        <w:pStyle w:val="Heading5"/>
        <w:numPr>
          <w:ilvl w:val="3"/>
          <w:numId w:val="29"/>
        </w:numPr>
        <w:ind w:left="1304" w:hanging="1077"/>
      </w:pPr>
      <w:bookmarkStart w:id="100" w:name="_Toc272414627"/>
      <w:bookmarkStart w:id="101" w:name="_Toc290888476"/>
      <w:bookmarkStart w:id="102" w:name="_Toc416353672"/>
      <w:r w:rsidRPr="005B0142">
        <w:t>Pharmacokinetics in subjects with impaired hepatic function</w:t>
      </w:r>
      <w:bookmarkEnd w:id="100"/>
      <w:bookmarkEnd w:id="101"/>
      <w:bookmarkEnd w:id="102"/>
    </w:p>
    <w:p w:rsidR="0074774A" w:rsidRDefault="0074774A" w:rsidP="0074774A">
      <w:pPr>
        <w:rPr>
          <w:lang w:eastAsia="ja-JP"/>
        </w:rPr>
      </w:pPr>
      <w:bookmarkStart w:id="103" w:name="_Toc272414628"/>
      <w:bookmarkStart w:id="104" w:name="_Toc290888477"/>
      <w:bookmarkStart w:id="105" w:name="_Toc416353673"/>
      <w:r>
        <w:rPr>
          <w:lang w:eastAsia="ja-JP"/>
        </w:rPr>
        <w:t>No data were included in the dossier.</w:t>
      </w:r>
    </w:p>
    <w:p w:rsidR="0074774A" w:rsidRPr="005B0142" w:rsidRDefault="0074774A" w:rsidP="0074774A">
      <w:pPr>
        <w:pStyle w:val="Heading5"/>
        <w:numPr>
          <w:ilvl w:val="3"/>
          <w:numId w:val="29"/>
        </w:numPr>
        <w:ind w:left="1304" w:hanging="1077"/>
      </w:pPr>
      <w:r w:rsidRPr="005B0142">
        <w:t>Pharmacokinetics in subjects with impaired renal function</w:t>
      </w:r>
      <w:bookmarkEnd w:id="103"/>
      <w:bookmarkEnd w:id="104"/>
      <w:bookmarkEnd w:id="105"/>
    </w:p>
    <w:p w:rsidR="0074774A" w:rsidRDefault="0074774A" w:rsidP="0074774A">
      <w:pPr>
        <w:rPr>
          <w:lang w:eastAsia="ja-JP"/>
        </w:rPr>
      </w:pPr>
      <w:bookmarkStart w:id="106" w:name="_Toc272414629"/>
      <w:bookmarkStart w:id="107" w:name="_Toc290888478"/>
      <w:bookmarkStart w:id="108" w:name="_Toc416353674"/>
      <w:r>
        <w:rPr>
          <w:lang w:eastAsia="ja-JP"/>
        </w:rPr>
        <w:t>No data were included in the dossier.</w:t>
      </w:r>
    </w:p>
    <w:p w:rsidR="0074774A" w:rsidRPr="005B0142" w:rsidRDefault="0074774A" w:rsidP="0074774A">
      <w:pPr>
        <w:pStyle w:val="Heading5"/>
        <w:numPr>
          <w:ilvl w:val="3"/>
          <w:numId w:val="29"/>
        </w:numPr>
        <w:ind w:left="1304" w:hanging="1077"/>
      </w:pPr>
      <w:r w:rsidRPr="005B0142">
        <w:t>Pharmacokinetics according to age</w:t>
      </w:r>
      <w:bookmarkEnd w:id="106"/>
      <w:bookmarkEnd w:id="107"/>
      <w:bookmarkEnd w:id="108"/>
    </w:p>
    <w:p w:rsidR="0074774A" w:rsidRDefault="0074774A" w:rsidP="0074774A">
      <w:bookmarkStart w:id="109" w:name="_Toc272414630"/>
      <w:bookmarkStart w:id="110" w:name="_Toc290888479"/>
      <w:bookmarkStart w:id="111" w:name="_Toc416353675"/>
      <w:r>
        <w:t>In Study SPD503-113 clearance, scaled to body weight, decreased with increasing, but usually parameters such as CL would be related to allometric scaling for body weight (for example, weight</w:t>
      </w:r>
      <w:r w:rsidRPr="00685CD3">
        <w:rPr>
          <w:vertAlign w:val="superscript"/>
        </w:rPr>
        <w:t>0.75</w:t>
      </w:r>
      <w:r>
        <w:t>). Exposure, corresponding, increased with increasing weight, reflecting the decreased CL.</w:t>
      </w:r>
    </w:p>
    <w:p w:rsidR="0074774A" w:rsidRPr="005B0142" w:rsidRDefault="0074774A" w:rsidP="0074774A">
      <w:pPr>
        <w:pStyle w:val="Heading5"/>
        <w:numPr>
          <w:ilvl w:val="3"/>
          <w:numId w:val="29"/>
        </w:numPr>
        <w:ind w:left="1304" w:hanging="1077"/>
      </w:pPr>
      <w:r w:rsidRPr="005B0142">
        <w:t>Pharmacokinetics related to genetic factors</w:t>
      </w:r>
      <w:bookmarkEnd w:id="109"/>
      <w:bookmarkEnd w:id="110"/>
      <w:bookmarkEnd w:id="111"/>
    </w:p>
    <w:p w:rsidR="0074774A" w:rsidRDefault="0074774A" w:rsidP="0074774A">
      <w:pPr>
        <w:rPr>
          <w:lang w:eastAsia="ja-JP"/>
        </w:rPr>
      </w:pPr>
      <w:bookmarkStart w:id="112" w:name="_Toc272414631"/>
      <w:bookmarkStart w:id="113" w:name="_Toc290888480"/>
      <w:bookmarkStart w:id="114" w:name="_Toc416353676"/>
      <w:r>
        <w:rPr>
          <w:lang w:eastAsia="ja-JP"/>
        </w:rPr>
        <w:t>No data were included in the dossier.</w:t>
      </w:r>
    </w:p>
    <w:p w:rsidR="0074774A" w:rsidRDefault="0074774A" w:rsidP="0074774A">
      <w:pPr>
        <w:pStyle w:val="Heading5"/>
        <w:numPr>
          <w:ilvl w:val="3"/>
          <w:numId w:val="29"/>
        </w:numPr>
        <w:ind w:left="1304" w:hanging="1077"/>
      </w:pPr>
      <w:r w:rsidRPr="005B0142">
        <w:t>Ph</w:t>
      </w:r>
      <w:r>
        <w:t xml:space="preserve">armacokinetics </w:t>
      </w:r>
      <w:r w:rsidRPr="005B0142">
        <w:t xml:space="preserve">in other special population / </w:t>
      </w:r>
      <w:r>
        <w:t>with</w:t>
      </w:r>
      <w:r w:rsidRPr="005B0142">
        <w:t xml:space="preserve"> other population characteristic</w:t>
      </w:r>
      <w:bookmarkEnd w:id="112"/>
      <w:bookmarkEnd w:id="113"/>
      <w:bookmarkEnd w:id="114"/>
    </w:p>
    <w:p w:rsidR="0074774A" w:rsidRDefault="0074774A" w:rsidP="0074774A">
      <w:pPr>
        <w:rPr>
          <w:lang w:eastAsia="ja-JP"/>
        </w:rPr>
      </w:pPr>
      <w:r>
        <w:rPr>
          <w:lang w:eastAsia="ja-JP"/>
        </w:rPr>
        <w:t>The PK of guanfacine was similar in Japanese and Non-Hispanic Caucasian subjects (</w:t>
      </w:r>
      <w:r>
        <w:t>Study 1209A3111)</w:t>
      </w:r>
      <w:r>
        <w:rPr>
          <w:lang w:eastAsia="ja-JP"/>
        </w:rPr>
        <w:t>.</w:t>
      </w:r>
    </w:p>
    <w:p w:rsidR="0074774A" w:rsidRPr="00150A99" w:rsidRDefault="0074774A" w:rsidP="0074774A">
      <w:pPr>
        <w:pStyle w:val="Heading4"/>
        <w:numPr>
          <w:ilvl w:val="2"/>
          <w:numId w:val="29"/>
        </w:numPr>
      </w:pPr>
      <w:bookmarkStart w:id="115" w:name="_Toc416353677"/>
      <w:bookmarkStart w:id="116" w:name="_Toc421005247"/>
      <w:bookmarkStart w:id="117" w:name="_Toc432079129"/>
      <w:bookmarkStart w:id="118" w:name="_Toc432080702"/>
      <w:r w:rsidRPr="00150A99">
        <w:t xml:space="preserve">Population </w:t>
      </w:r>
      <w:r>
        <w:t>p</w:t>
      </w:r>
      <w:r w:rsidRPr="00150A99">
        <w:t>harmacokinetics</w:t>
      </w:r>
      <w:bookmarkEnd w:id="115"/>
      <w:bookmarkEnd w:id="116"/>
      <w:bookmarkEnd w:id="117"/>
      <w:bookmarkEnd w:id="118"/>
    </w:p>
    <w:p w:rsidR="0074774A" w:rsidRPr="005B0142" w:rsidRDefault="0074774A" w:rsidP="0074774A">
      <w:pPr>
        <w:pStyle w:val="Heading5"/>
        <w:numPr>
          <w:ilvl w:val="3"/>
          <w:numId w:val="29"/>
        </w:numPr>
        <w:ind w:left="1304" w:hanging="1077"/>
      </w:pPr>
      <w:r>
        <w:t>PopPK Study SPD503-312</w:t>
      </w:r>
      <w:bookmarkStart w:id="119" w:name="_Toc421005248"/>
    </w:p>
    <w:p w:rsidR="0074774A" w:rsidRDefault="0074774A" w:rsidP="0074774A">
      <w:pPr>
        <w:rPr>
          <w:lang w:eastAsia="ja-JP"/>
        </w:rPr>
      </w:pPr>
      <w:r>
        <w:rPr>
          <w:lang w:eastAsia="ja-JP"/>
        </w:rPr>
        <w:t>In Study SPD503-312 weight was the main predictor for guanfacine exposure, when scaled allometrically. Race and gender did not significantly affect guanfacine exposure.</w:t>
      </w:r>
    </w:p>
    <w:p w:rsidR="0074774A" w:rsidRDefault="0074774A" w:rsidP="0074774A">
      <w:pPr>
        <w:pStyle w:val="Heading4"/>
        <w:numPr>
          <w:ilvl w:val="2"/>
          <w:numId w:val="29"/>
        </w:numPr>
      </w:pPr>
      <w:bookmarkStart w:id="120" w:name="_Toc241374294"/>
      <w:bookmarkStart w:id="121" w:name="_Toc272414632"/>
      <w:bookmarkStart w:id="122" w:name="_Toc290888481"/>
      <w:bookmarkStart w:id="123" w:name="_Toc416353678"/>
      <w:bookmarkStart w:id="124" w:name="_Toc421005249"/>
      <w:bookmarkStart w:id="125" w:name="_Toc432079130"/>
      <w:bookmarkStart w:id="126" w:name="_Toc432080703"/>
      <w:bookmarkEnd w:id="119"/>
      <w:r w:rsidRPr="00545B14">
        <w:t>Pharmacokinetic interactions</w:t>
      </w:r>
      <w:bookmarkEnd w:id="120"/>
      <w:bookmarkEnd w:id="121"/>
      <w:bookmarkEnd w:id="122"/>
      <w:bookmarkEnd w:id="123"/>
      <w:bookmarkEnd w:id="124"/>
      <w:bookmarkEnd w:id="125"/>
      <w:bookmarkEnd w:id="126"/>
    </w:p>
    <w:p w:rsidR="0074774A" w:rsidRPr="005B0142" w:rsidRDefault="0074774A" w:rsidP="0074774A">
      <w:pPr>
        <w:pStyle w:val="Heading5"/>
        <w:numPr>
          <w:ilvl w:val="3"/>
          <w:numId w:val="29"/>
        </w:numPr>
        <w:ind w:left="1304" w:hanging="1077"/>
      </w:pPr>
      <w:r>
        <w:t>Ketoconazole</w:t>
      </w:r>
    </w:p>
    <w:p w:rsidR="0074774A" w:rsidRDefault="0074774A" w:rsidP="0074774A">
      <w:pPr>
        <w:rPr>
          <w:lang w:eastAsia="ja-JP"/>
        </w:rPr>
      </w:pPr>
      <w:r>
        <w:t>Exposure to guanfacine was significantly increased by ketoconazole (Study SPD503-106). At a 4 mg dose, the ratio (90% CI) exposed / unexposed for AUC</w:t>
      </w:r>
      <w:r w:rsidRPr="00CD077E">
        <w:rPr>
          <w:vertAlign w:val="subscript"/>
        </w:rPr>
        <w:t>0-t</w:t>
      </w:r>
      <w:r>
        <w:t xml:space="preserve"> was 278.59 (227.53 to 341.11) and for C</w:t>
      </w:r>
      <w:r w:rsidRPr="00CD077E">
        <w:rPr>
          <w:vertAlign w:val="subscript"/>
        </w:rPr>
        <w:t>max</w:t>
      </w:r>
      <w:r>
        <w:t xml:space="preserve"> was 174.54 (145.65 to 209.17).</w:t>
      </w:r>
    </w:p>
    <w:p w:rsidR="0074774A" w:rsidRDefault="0074774A" w:rsidP="0074774A">
      <w:pPr>
        <w:pStyle w:val="Heading5"/>
        <w:numPr>
          <w:ilvl w:val="3"/>
          <w:numId w:val="29"/>
        </w:numPr>
        <w:ind w:left="1304" w:hanging="1077"/>
      </w:pPr>
      <w:r>
        <w:t>Rifampicin</w:t>
      </w:r>
    </w:p>
    <w:p w:rsidR="0074774A" w:rsidRDefault="0074774A" w:rsidP="0074774A">
      <w:r>
        <w:t>Co-administration with rifampicin significantly decreased guanfacine AUC</w:t>
      </w:r>
      <w:r w:rsidRPr="00B8005B">
        <w:rPr>
          <w:vertAlign w:val="subscript"/>
        </w:rPr>
        <w:t>0-t</w:t>
      </w:r>
      <w:r>
        <w:t xml:space="preserve"> by 69% and C</w:t>
      </w:r>
      <w:r w:rsidRPr="00B8005B">
        <w:rPr>
          <w:vertAlign w:val="subscript"/>
        </w:rPr>
        <w:t>max</w:t>
      </w:r>
      <w:r>
        <w:t xml:space="preserve"> by 54% (Study SPD503-108). At a 4 mg dose, the ratio (90% CI) exposed / unexposed for AUC</w:t>
      </w:r>
      <w:r w:rsidRPr="00CD077E">
        <w:rPr>
          <w:vertAlign w:val="subscript"/>
        </w:rPr>
        <w:t>0-t</w:t>
      </w:r>
      <w:r>
        <w:t xml:space="preserve"> was 30.92 (25.22 to 37.92) and for C</w:t>
      </w:r>
      <w:r w:rsidRPr="00CD077E">
        <w:rPr>
          <w:vertAlign w:val="subscript"/>
        </w:rPr>
        <w:t>max</w:t>
      </w:r>
      <w:r>
        <w:t xml:space="preserve"> was 45.64 (38.75 to 53.75).</w:t>
      </w:r>
    </w:p>
    <w:p w:rsidR="0074774A" w:rsidRDefault="0074774A" w:rsidP="0074774A">
      <w:pPr>
        <w:pStyle w:val="Heading5"/>
        <w:numPr>
          <w:ilvl w:val="3"/>
          <w:numId w:val="29"/>
        </w:numPr>
        <w:ind w:left="1304" w:hanging="1077"/>
      </w:pPr>
      <w:r>
        <w:t>Methylphenidate</w:t>
      </w:r>
    </w:p>
    <w:p w:rsidR="0074774A" w:rsidRPr="00472F39" w:rsidRDefault="0074774A" w:rsidP="0074774A">
      <w:r>
        <w:t>There was also no effect of methylphenidate on guanfacine bioavailability (Study SPD503-114). The geometric mean ratio (90% CI) guanfacine/methylphenidate + guanfacine for AUC</w:t>
      </w:r>
      <w:r w:rsidRPr="004E6F5F">
        <w:rPr>
          <w:vertAlign w:val="subscript"/>
        </w:rPr>
        <w:t>0-t</w:t>
      </w:r>
      <w:r>
        <w:t xml:space="preserve"> was 1.08 (0.974 to 1.198) and for C</w:t>
      </w:r>
      <w:r w:rsidRPr="004E6F5F">
        <w:rPr>
          <w:vertAlign w:val="subscript"/>
        </w:rPr>
        <w:t>max</w:t>
      </w:r>
      <w:r>
        <w:t xml:space="preserve"> was 1.065 (0.945 to 1.2).</w:t>
      </w:r>
    </w:p>
    <w:p w:rsidR="0074774A" w:rsidRPr="00472F39" w:rsidRDefault="0074774A" w:rsidP="0074774A">
      <w:r>
        <w:t xml:space="preserve">There was also no effect of guanfacine on </w:t>
      </w:r>
      <w:r>
        <w:rPr>
          <w:i/>
        </w:rPr>
        <w:t>d</w:t>
      </w:r>
      <w:r>
        <w:t>-methylphenidate bioavailability. The geometric mean ratio (90% CI) methylphenidate/methylphenidate + guanfacine for AUC</w:t>
      </w:r>
      <w:r>
        <w:rPr>
          <w:vertAlign w:val="subscript"/>
        </w:rPr>
        <w:t>0-t</w:t>
      </w:r>
      <w:r>
        <w:t xml:space="preserve"> was 1.043 (0.977 to 1.114) and for C</w:t>
      </w:r>
      <w:r w:rsidRPr="004E6F5F">
        <w:rPr>
          <w:vertAlign w:val="subscript"/>
        </w:rPr>
        <w:t>max</w:t>
      </w:r>
      <w:r>
        <w:t xml:space="preserve"> was 0.957 (0.907 to 1.01).</w:t>
      </w:r>
    </w:p>
    <w:p w:rsidR="0074774A" w:rsidRPr="00472F39" w:rsidRDefault="0074774A" w:rsidP="0074774A">
      <w:r>
        <w:lastRenderedPageBreak/>
        <w:t xml:space="preserve">There was also no effect of guanfacine on </w:t>
      </w:r>
      <w:r w:rsidRPr="00472F39">
        <w:rPr>
          <w:i/>
        </w:rPr>
        <w:t>l</w:t>
      </w:r>
      <w:r>
        <w:t>-methylphenidate bioavailability. The geometric mean ratio (90% CI) methylphenidate/methylphenidate + guanfacine for AUC</w:t>
      </w:r>
      <w:r w:rsidRPr="004E6F5F">
        <w:rPr>
          <w:vertAlign w:val="subscript"/>
        </w:rPr>
        <w:t>0-t</w:t>
      </w:r>
      <w:r>
        <w:t xml:space="preserve"> was 1.08 (0.974 to 1.198) and for C</w:t>
      </w:r>
      <w:r w:rsidRPr="004E6F5F">
        <w:rPr>
          <w:vertAlign w:val="subscript"/>
        </w:rPr>
        <w:t>max</w:t>
      </w:r>
      <w:r>
        <w:t xml:space="preserve"> was 1.065 (0.945 to 1.2).</w:t>
      </w:r>
    </w:p>
    <w:p w:rsidR="0074774A" w:rsidRDefault="0074774A" w:rsidP="0074774A">
      <w:pPr>
        <w:pStyle w:val="Heading5"/>
        <w:numPr>
          <w:ilvl w:val="3"/>
          <w:numId w:val="29"/>
        </w:numPr>
        <w:ind w:left="1304" w:hanging="1077"/>
      </w:pPr>
      <w:r>
        <w:t>Lisdexamphetamine (d-amphetamine)</w:t>
      </w:r>
    </w:p>
    <w:p w:rsidR="0074774A" w:rsidRDefault="0074774A" w:rsidP="0074774A">
      <w:r>
        <w:t>Guanfacine and lisdexamphetamine did not have any clinically significant effects upon the PK of the other (Study SPD503-115). The geometric mean ratio (90% CI) for guanfacine (guanfacine/lisdexamphetamine + guanfacine) for AUC</w:t>
      </w:r>
      <w:r w:rsidRPr="004E6F5F">
        <w:rPr>
          <w:vertAlign w:val="subscript"/>
        </w:rPr>
        <w:t>0-t</w:t>
      </w:r>
      <w:r>
        <w:t xml:space="preserve"> was 1.092 (1.020 to 1.169) and for C</w:t>
      </w:r>
      <w:r w:rsidRPr="004E6F5F">
        <w:rPr>
          <w:vertAlign w:val="subscript"/>
        </w:rPr>
        <w:t>max</w:t>
      </w:r>
      <w:r>
        <w:t xml:space="preserve"> was 1.187 (1.066 to 1.321). The geometric mean ratio (90% CI) for d-amphetamine (guanfacine/lisdexamphetamine + guanfacine) for AUC</w:t>
      </w:r>
      <w:r w:rsidRPr="004E6F5F">
        <w:rPr>
          <w:vertAlign w:val="subscript"/>
        </w:rPr>
        <w:t>0-t</w:t>
      </w:r>
      <w:r>
        <w:t xml:space="preserve"> was 1.007 (0.968 to 1.048) and for C</w:t>
      </w:r>
      <w:r w:rsidRPr="004E6F5F">
        <w:rPr>
          <w:vertAlign w:val="subscript"/>
        </w:rPr>
        <w:t>max</w:t>
      </w:r>
      <w:r>
        <w:t xml:space="preserve"> was 0.993 (0.967 to 1.019).</w:t>
      </w:r>
    </w:p>
    <w:p w:rsidR="0074774A" w:rsidRDefault="0074774A" w:rsidP="0074774A">
      <w:pPr>
        <w:pStyle w:val="Heading4"/>
        <w:numPr>
          <w:ilvl w:val="2"/>
          <w:numId w:val="29"/>
        </w:numPr>
      </w:pPr>
      <w:bookmarkStart w:id="127" w:name="_Toc272414634"/>
      <w:bookmarkStart w:id="128" w:name="_Toc290888483"/>
      <w:bookmarkStart w:id="129" w:name="_Toc416353680"/>
      <w:bookmarkStart w:id="130" w:name="_Toc432079131"/>
      <w:bookmarkStart w:id="131" w:name="_Toc432080704"/>
      <w:r w:rsidRPr="00545B14">
        <w:t xml:space="preserve">Clinical implications of </w:t>
      </w:r>
      <w:r w:rsidRPr="00545B14">
        <w:rPr>
          <w:i/>
        </w:rPr>
        <w:t>in vitro</w:t>
      </w:r>
      <w:r w:rsidRPr="00545B14">
        <w:t xml:space="preserve"> findings</w:t>
      </w:r>
      <w:bookmarkEnd w:id="127"/>
      <w:bookmarkEnd w:id="128"/>
      <w:bookmarkEnd w:id="129"/>
      <w:bookmarkEnd w:id="130"/>
      <w:bookmarkEnd w:id="131"/>
    </w:p>
    <w:p w:rsidR="0074774A" w:rsidRDefault="0074774A" w:rsidP="0074774A">
      <w:pPr>
        <w:rPr>
          <w:lang w:eastAsia="ja-JP"/>
        </w:rPr>
      </w:pPr>
      <w:r>
        <w:rPr>
          <w:lang w:eastAsia="ja-JP"/>
        </w:rPr>
        <w:t xml:space="preserve">The </w:t>
      </w:r>
      <w:r w:rsidRPr="00CE14FD">
        <w:rPr>
          <w:lang w:eastAsia="ja-JP"/>
        </w:rPr>
        <w:t>in vitro</w:t>
      </w:r>
      <w:r>
        <w:rPr>
          <w:i/>
          <w:lang w:eastAsia="ja-JP"/>
        </w:rPr>
        <w:t xml:space="preserve"> </w:t>
      </w:r>
      <w:r>
        <w:rPr>
          <w:lang w:eastAsia="ja-JP"/>
        </w:rPr>
        <w:t>data support CYP3A4 as being the enzyme responsible for the oxidative metabolism of guanfacine.</w:t>
      </w:r>
    </w:p>
    <w:p w:rsidR="0074774A" w:rsidRDefault="0074774A" w:rsidP="0074774A">
      <w:pPr>
        <w:pStyle w:val="Heading3"/>
        <w:numPr>
          <w:ilvl w:val="1"/>
          <w:numId w:val="29"/>
        </w:numPr>
        <w:ind w:left="907" w:hanging="794"/>
      </w:pPr>
      <w:bookmarkStart w:id="132" w:name="_Toc241374296"/>
      <w:bookmarkStart w:id="133" w:name="_Ref269982040"/>
      <w:bookmarkStart w:id="134" w:name="_Ref271018704"/>
      <w:bookmarkStart w:id="135" w:name="_Ref271018755"/>
      <w:bookmarkStart w:id="136" w:name="_Toc272414635"/>
      <w:bookmarkStart w:id="137" w:name="_Toc290888484"/>
      <w:bookmarkStart w:id="138" w:name="_Toc416353681"/>
      <w:bookmarkStart w:id="139" w:name="_Toc421005250"/>
      <w:bookmarkStart w:id="140" w:name="_Toc432079132"/>
      <w:bookmarkStart w:id="141" w:name="_Toc432080705"/>
      <w:bookmarkStart w:id="142" w:name="_Toc505616977"/>
      <w:bookmarkStart w:id="143" w:name="_Toc513217691"/>
      <w:r w:rsidRPr="00545B14">
        <w:t>Evaluator’s overall conclusions on pharmacokinetics</w:t>
      </w:r>
      <w:bookmarkEnd w:id="132"/>
      <w:bookmarkEnd w:id="133"/>
      <w:bookmarkEnd w:id="134"/>
      <w:bookmarkEnd w:id="135"/>
      <w:bookmarkEnd w:id="136"/>
      <w:bookmarkEnd w:id="137"/>
      <w:bookmarkEnd w:id="138"/>
      <w:bookmarkEnd w:id="139"/>
      <w:bookmarkEnd w:id="140"/>
      <w:bookmarkEnd w:id="141"/>
      <w:bookmarkEnd w:id="142"/>
      <w:bookmarkEnd w:id="143"/>
    </w:p>
    <w:p w:rsidR="0074774A" w:rsidRDefault="0074774A" w:rsidP="0074774A">
      <w:pPr>
        <w:rPr>
          <w:lang w:eastAsia="ja-JP"/>
        </w:rPr>
      </w:pPr>
      <w:r>
        <w:rPr>
          <w:lang w:eastAsia="ja-JP"/>
        </w:rPr>
        <w:t>The pharmacokinetics of guanfacine has been adequately characterised. Guanfacine in the extended release formulation (SPD503) has a favourable PK profile for use in children and adolescents with ADHD.</w:t>
      </w:r>
    </w:p>
    <w:p w:rsidR="0074774A" w:rsidRDefault="0074774A" w:rsidP="0074774A">
      <w:pPr>
        <w:pStyle w:val="Heading2"/>
        <w:numPr>
          <w:ilvl w:val="0"/>
          <w:numId w:val="29"/>
        </w:numPr>
      </w:pPr>
      <w:bookmarkStart w:id="144" w:name="_Toc505616978"/>
      <w:bookmarkStart w:id="145" w:name="_Toc513217692"/>
      <w:r>
        <w:t>Pharmacodynamics</w:t>
      </w:r>
      <w:bookmarkEnd w:id="144"/>
      <w:bookmarkEnd w:id="145"/>
    </w:p>
    <w:p w:rsidR="0074774A" w:rsidRPr="009A141C" w:rsidRDefault="0074774A" w:rsidP="0074774A">
      <w:pPr>
        <w:pStyle w:val="Heading3"/>
        <w:numPr>
          <w:ilvl w:val="1"/>
          <w:numId w:val="29"/>
        </w:numPr>
        <w:ind w:left="907" w:hanging="794"/>
      </w:pPr>
      <w:bookmarkStart w:id="146" w:name="_Toc505616979"/>
      <w:bookmarkStart w:id="147" w:name="_Toc513217693"/>
      <w:r>
        <w:t>Studies providing pharmacodynamic information</w:t>
      </w:r>
      <w:bookmarkEnd w:id="146"/>
      <w:bookmarkEnd w:id="147"/>
    </w:p>
    <w:p w:rsidR="0074774A" w:rsidRDefault="0074774A" w:rsidP="0074774A">
      <w:pPr>
        <w:rPr>
          <w:lang w:eastAsia="ja-JP"/>
        </w:rPr>
      </w:pPr>
      <w:r>
        <w:rPr>
          <w:lang w:eastAsia="ja-JP"/>
        </w:rPr>
        <w:t>There were no new data in the dossier examining primary pharmacology.</w:t>
      </w:r>
    </w:p>
    <w:p w:rsidR="0074774A" w:rsidRDefault="0074774A" w:rsidP="0074774A">
      <w:pPr>
        <w:pStyle w:val="Tabletitle"/>
      </w:pPr>
      <w:r>
        <w:t xml:space="preserve">Table 4: </w:t>
      </w:r>
      <w:r w:rsidRPr="008C40FD">
        <w:t>Submitted pharmacodynamic studies</w:t>
      </w:r>
    </w:p>
    <w:tbl>
      <w:tblPr>
        <w:tblStyle w:val="TableTGAblue"/>
        <w:tblW w:w="9039" w:type="dxa"/>
        <w:tblLayout w:type="fixed"/>
        <w:tblLook w:val="04A0" w:firstRow="1" w:lastRow="0" w:firstColumn="1" w:lastColumn="0" w:noHBand="0" w:noVBand="1"/>
        <w:tblDescription w:val="Table 4: Submitted pharmacodynamic studies"/>
      </w:tblPr>
      <w:tblGrid>
        <w:gridCol w:w="2235"/>
        <w:gridCol w:w="3969"/>
        <w:gridCol w:w="2126"/>
        <w:gridCol w:w="709"/>
      </w:tblGrid>
      <w:tr w:rsidR="0074774A" w:rsidRPr="00C37A1D" w:rsidTr="00D32C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74774A" w:rsidRPr="008A0EAA" w:rsidRDefault="0074774A" w:rsidP="00D32C18">
            <w:pPr>
              <w:pStyle w:val="Tabletext"/>
              <w:keepNext/>
              <w:rPr>
                <w:b w:val="0"/>
                <w:sz w:val="22"/>
                <w:szCs w:val="22"/>
              </w:rPr>
            </w:pPr>
            <w:r w:rsidRPr="008A0EAA">
              <w:rPr>
                <w:sz w:val="22"/>
                <w:szCs w:val="22"/>
              </w:rPr>
              <w:t>PD Topic</w:t>
            </w:r>
          </w:p>
        </w:tc>
        <w:tc>
          <w:tcPr>
            <w:tcW w:w="3969" w:type="dxa"/>
          </w:tcPr>
          <w:p w:rsidR="0074774A" w:rsidRPr="008A0EAA" w:rsidRDefault="0074774A" w:rsidP="00D32C18">
            <w:pPr>
              <w:pStyle w:val="Tabletext"/>
              <w:keepNext/>
              <w:cnfStyle w:val="100000000000" w:firstRow="1" w:lastRow="0" w:firstColumn="0" w:lastColumn="0" w:oddVBand="0" w:evenVBand="0" w:oddHBand="0" w:evenHBand="0" w:firstRowFirstColumn="0" w:firstRowLastColumn="0" w:lastRowFirstColumn="0" w:lastRowLastColumn="0"/>
              <w:rPr>
                <w:b w:val="0"/>
                <w:sz w:val="22"/>
                <w:szCs w:val="22"/>
              </w:rPr>
            </w:pPr>
            <w:r w:rsidRPr="008A0EAA">
              <w:rPr>
                <w:sz w:val="22"/>
                <w:szCs w:val="22"/>
              </w:rPr>
              <w:t>Subtopic</w:t>
            </w:r>
          </w:p>
        </w:tc>
        <w:tc>
          <w:tcPr>
            <w:tcW w:w="2126" w:type="dxa"/>
          </w:tcPr>
          <w:p w:rsidR="0074774A" w:rsidRPr="008A0EAA" w:rsidRDefault="0074774A" w:rsidP="00D32C18">
            <w:pPr>
              <w:pStyle w:val="Tabletext"/>
              <w:keepNext/>
              <w:cnfStyle w:val="100000000000" w:firstRow="1" w:lastRow="0" w:firstColumn="0" w:lastColumn="0" w:oddVBand="0" w:evenVBand="0" w:oddHBand="0" w:evenHBand="0" w:firstRowFirstColumn="0" w:firstRowLastColumn="0" w:lastRowFirstColumn="0" w:lastRowLastColumn="0"/>
              <w:rPr>
                <w:b w:val="0"/>
                <w:sz w:val="22"/>
                <w:szCs w:val="22"/>
              </w:rPr>
            </w:pPr>
            <w:r w:rsidRPr="008A0EAA">
              <w:rPr>
                <w:sz w:val="22"/>
                <w:szCs w:val="22"/>
              </w:rPr>
              <w:t>Study ID</w:t>
            </w:r>
          </w:p>
        </w:tc>
        <w:tc>
          <w:tcPr>
            <w:tcW w:w="709" w:type="dxa"/>
          </w:tcPr>
          <w:p w:rsidR="0074774A" w:rsidRPr="008A0EAA" w:rsidRDefault="0074774A" w:rsidP="00D32C18">
            <w:pPr>
              <w:pStyle w:val="Tabletext"/>
              <w:keepNext/>
              <w:cnfStyle w:val="100000000000" w:firstRow="1" w:lastRow="0" w:firstColumn="0" w:lastColumn="0" w:oddVBand="0" w:evenVBand="0" w:oddHBand="0" w:evenHBand="0" w:firstRowFirstColumn="0" w:firstRowLastColumn="0" w:lastRowFirstColumn="0" w:lastRowLastColumn="0"/>
              <w:rPr>
                <w:b w:val="0"/>
                <w:sz w:val="22"/>
                <w:szCs w:val="22"/>
              </w:rPr>
            </w:pPr>
            <w:r w:rsidRPr="008A0EAA">
              <w:rPr>
                <w:sz w:val="22"/>
                <w:szCs w:val="22"/>
              </w:rPr>
              <w:t>*</w:t>
            </w:r>
          </w:p>
        </w:tc>
      </w:tr>
      <w:tr w:rsidR="0074774A" w:rsidRPr="00C37A1D" w:rsidTr="00D32C18">
        <w:tc>
          <w:tcPr>
            <w:cnfStyle w:val="001000000000" w:firstRow="0" w:lastRow="0" w:firstColumn="1" w:lastColumn="0" w:oddVBand="0" w:evenVBand="0" w:oddHBand="0" w:evenHBand="0" w:firstRowFirstColumn="0" w:firstRowLastColumn="0" w:lastRowFirstColumn="0" w:lastRowLastColumn="0"/>
            <w:tcW w:w="2235" w:type="dxa"/>
            <w:vMerge w:val="restart"/>
          </w:tcPr>
          <w:p w:rsidR="0074774A" w:rsidRPr="008A0EAA" w:rsidRDefault="0074774A" w:rsidP="00D32C18">
            <w:pPr>
              <w:pStyle w:val="Tabletext"/>
              <w:keepNext/>
              <w:rPr>
                <w:b/>
                <w:sz w:val="22"/>
                <w:szCs w:val="22"/>
              </w:rPr>
            </w:pPr>
            <w:r w:rsidRPr="008A0EAA">
              <w:rPr>
                <w:b/>
                <w:sz w:val="22"/>
                <w:szCs w:val="22"/>
              </w:rPr>
              <w:t>Secondary Pharmacology</w:t>
            </w:r>
          </w:p>
        </w:tc>
        <w:tc>
          <w:tcPr>
            <w:tcW w:w="3969" w:type="dxa"/>
          </w:tcPr>
          <w:p w:rsidR="0074774A" w:rsidRPr="008A0EAA" w:rsidRDefault="0074774A" w:rsidP="00D32C18">
            <w:pPr>
              <w:pStyle w:val="Tabletext"/>
              <w:keepNext/>
              <w:cnfStyle w:val="000000000000" w:firstRow="0" w:lastRow="0" w:firstColumn="0" w:lastColumn="0" w:oddVBand="0" w:evenVBand="0" w:oddHBand="0" w:evenHBand="0" w:firstRowFirstColumn="0" w:firstRowLastColumn="0" w:lastRowFirstColumn="0" w:lastRowLastColumn="0"/>
              <w:rPr>
                <w:sz w:val="22"/>
                <w:szCs w:val="22"/>
              </w:rPr>
            </w:pPr>
            <w:r w:rsidRPr="008A0EAA">
              <w:rPr>
                <w:sz w:val="22"/>
                <w:szCs w:val="22"/>
              </w:rPr>
              <w:t>Effect on PD parameter: blood pressure</w:t>
            </w:r>
          </w:p>
        </w:tc>
        <w:tc>
          <w:tcPr>
            <w:tcW w:w="2126" w:type="dxa"/>
          </w:tcPr>
          <w:p w:rsidR="0074774A" w:rsidRPr="008A0EAA" w:rsidRDefault="0074774A" w:rsidP="00D32C18">
            <w:pPr>
              <w:pStyle w:val="Tabletext"/>
              <w:keepNext/>
              <w:cnfStyle w:val="000000000000" w:firstRow="0" w:lastRow="0" w:firstColumn="0" w:lastColumn="0" w:oddVBand="0" w:evenVBand="0" w:oddHBand="0" w:evenHBand="0" w:firstRowFirstColumn="0" w:firstRowLastColumn="0" w:lastRowFirstColumn="0" w:lastRowLastColumn="0"/>
              <w:rPr>
                <w:sz w:val="22"/>
                <w:szCs w:val="22"/>
              </w:rPr>
            </w:pPr>
            <w:r w:rsidRPr="008A0EAA">
              <w:rPr>
                <w:sz w:val="22"/>
                <w:szCs w:val="22"/>
              </w:rPr>
              <w:t>Study SPD503-102</w:t>
            </w:r>
          </w:p>
        </w:tc>
        <w:tc>
          <w:tcPr>
            <w:tcW w:w="709" w:type="dxa"/>
          </w:tcPr>
          <w:p w:rsidR="0074774A" w:rsidRPr="008A0EAA" w:rsidRDefault="0074774A" w:rsidP="00D32C18">
            <w:pPr>
              <w:pStyle w:val="Tabletext"/>
              <w:keepNext/>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4774A" w:rsidRPr="00C37A1D" w:rsidTr="00D32C18">
        <w:tc>
          <w:tcPr>
            <w:cnfStyle w:val="001000000000" w:firstRow="0" w:lastRow="0" w:firstColumn="1" w:lastColumn="0" w:oddVBand="0" w:evenVBand="0" w:oddHBand="0" w:evenHBand="0" w:firstRowFirstColumn="0" w:firstRowLastColumn="0" w:lastRowFirstColumn="0" w:lastRowLastColumn="0"/>
            <w:tcW w:w="2235" w:type="dxa"/>
            <w:vMerge/>
          </w:tcPr>
          <w:p w:rsidR="0074774A" w:rsidRPr="008A0EAA" w:rsidRDefault="0074774A" w:rsidP="00D32C18">
            <w:pPr>
              <w:pStyle w:val="Tabletext"/>
              <w:keepNext/>
              <w:rPr>
                <w:b/>
                <w:sz w:val="22"/>
                <w:szCs w:val="22"/>
              </w:rPr>
            </w:pPr>
          </w:p>
        </w:tc>
        <w:tc>
          <w:tcPr>
            <w:tcW w:w="3969" w:type="dxa"/>
          </w:tcPr>
          <w:p w:rsidR="0074774A" w:rsidRPr="008A0EAA" w:rsidRDefault="0074774A" w:rsidP="00D32C18">
            <w:pPr>
              <w:pStyle w:val="Tabletext"/>
              <w:keepNext/>
              <w:cnfStyle w:val="000000000000" w:firstRow="0" w:lastRow="0" w:firstColumn="0" w:lastColumn="0" w:oddVBand="0" w:evenVBand="0" w:oddHBand="0" w:evenHBand="0" w:firstRowFirstColumn="0" w:firstRowLastColumn="0" w:lastRowFirstColumn="0" w:lastRowLastColumn="0"/>
              <w:rPr>
                <w:sz w:val="22"/>
                <w:szCs w:val="22"/>
              </w:rPr>
            </w:pPr>
            <w:r w:rsidRPr="008A0EAA">
              <w:rPr>
                <w:sz w:val="22"/>
                <w:szCs w:val="22"/>
              </w:rPr>
              <w:t>Effect on PD parameter: QTc prolongation</w:t>
            </w:r>
          </w:p>
        </w:tc>
        <w:tc>
          <w:tcPr>
            <w:tcW w:w="2126" w:type="dxa"/>
          </w:tcPr>
          <w:p w:rsidR="0074774A" w:rsidRPr="008A0EAA" w:rsidRDefault="0074774A" w:rsidP="00D32C18">
            <w:pPr>
              <w:pStyle w:val="Tabletext"/>
              <w:keepNext/>
              <w:cnfStyle w:val="000000000000" w:firstRow="0" w:lastRow="0" w:firstColumn="0" w:lastColumn="0" w:oddVBand="0" w:evenVBand="0" w:oddHBand="0" w:evenHBand="0" w:firstRowFirstColumn="0" w:firstRowLastColumn="0" w:lastRowFirstColumn="0" w:lastRowLastColumn="0"/>
              <w:rPr>
                <w:sz w:val="22"/>
                <w:szCs w:val="22"/>
              </w:rPr>
            </w:pPr>
            <w:r w:rsidRPr="008A0EAA">
              <w:rPr>
                <w:sz w:val="22"/>
                <w:szCs w:val="22"/>
              </w:rPr>
              <w:t>Study SPD503-112</w:t>
            </w:r>
          </w:p>
        </w:tc>
        <w:tc>
          <w:tcPr>
            <w:tcW w:w="709" w:type="dxa"/>
          </w:tcPr>
          <w:p w:rsidR="0074774A" w:rsidRPr="008A0EAA" w:rsidRDefault="0074774A" w:rsidP="00D32C18">
            <w:pPr>
              <w:pStyle w:val="Tabletext"/>
              <w:keepNext/>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4774A" w:rsidRPr="00C37A1D" w:rsidTr="00D32C18">
        <w:tc>
          <w:tcPr>
            <w:cnfStyle w:val="001000000000" w:firstRow="0" w:lastRow="0" w:firstColumn="1" w:lastColumn="0" w:oddVBand="0" w:evenVBand="0" w:oddHBand="0" w:evenHBand="0" w:firstRowFirstColumn="0" w:firstRowLastColumn="0" w:lastRowFirstColumn="0" w:lastRowLastColumn="0"/>
            <w:tcW w:w="2235" w:type="dxa"/>
          </w:tcPr>
          <w:p w:rsidR="0074774A" w:rsidRPr="008A0EAA" w:rsidRDefault="0074774A" w:rsidP="00D32C18">
            <w:pPr>
              <w:pStyle w:val="Tabletext"/>
              <w:keepNext/>
              <w:rPr>
                <w:b/>
                <w:sz w:val="22"/>
                <w:szCs w:val="22"/>
              </w:rPr>
            </w:pPr>
            <w:r w:rsidRPr="008A0EAA">
              <w:rPr>
                <w:b/>
                <w:sz w:val="22"/>
                <w:szCs w:val="22"/>
              </w:rPr>
              <w:t>Population PD and PK-PD analyses</w:t>
            </w:r>
          </w:p>
        </w:tc>
        <w:tc>
          <w:tcPr>
            <w:tcW w:w="3969" w:type="dxa"/>
          </w:tcPr>
          <w:p w:rsidR="0074774A" w:rsidRPr="008A0EAA" w:rsidRDefault="0074774A" w:rsidP="00D32C18">
            <w:pPr>
              <w:pStyle w:val="Tabletext"/>
              <w:keepNext/>
              <w:cnfStyle w:val="000000000000" w:firstRow="0" w:lastRow="0" w:firstColumn="0" w:lastColumn="0" w:oddVBand="0" w:evenVBand="0" w:oddHBand="0" w:evenHBand="0" w:firstRowFirstColumn="0" w:firstRowLastColumn="0" w:lastRowFirstColumn="0" w:lastRowLastColumn="0"/>
              <w:rPr>
                <w:sz w:val="22"/>
                <w:szCs w:val="22"/>
              </w:rPr>
            </w:pPr>
            <w:r w:rsidRPr="008A0EAA">
              <w:rPr>
                <w:sz w:val="22"/>
                <w:szCs w:val="22"/>
              </w:rPr>
              <w:t>Target population</w:t>
            </w:r>
          </w:p>
        </w:tc>
        <w:tc>
          <w:tcPr>
            <w:tcW w:w="2126" w:type="dxa"/>
          </w:tcPr>
          <w:p w:rsidR="0074774A" w:rsidRPr="008A0EAA" w:rsidRDefault="0074774A" w:rsidP="00D32C18">
            <w:pPr>
              <w:pStyle w:val="Tabletext"/>
              <w:keepNext/>
              <w:cnfStyle w:val="000000000000" w:firstRow="0" w:lastRow="0" w:firstColumn="0" w:lastColumn="0" w:oddVBand="0" w:evenVBand="0" w:oddHBand="0" w:evenHBand="0" w:firstRowFirstColumn="0" w:firstRowLastColumn="0" w:lastRowFirstColumn="0" w:lastRowLastColumn="0"/>
              <w:rPr>
                <w:sz w:val="22"/>
                <w:szCs w:val="22"/>
              </w:rPr>
            </w:pPr>
            <w:r w:rsidRPr="008A0EAA">
              <w:rPr>
                <w:sz w:val="22"/>
                <w:szCs w:val="22"/>
                <w:lang w:eastAsia="ja-JP"/>
              </w:rPr>
              <w:t xml:space="preserve">Study SPD503-312, </w:t>
            </w:r>
          </w:p>
        </w:tc>
        <w:tc>
          <w:tcPr>
            <w:tcW w:w="709" w:type="dxa"/>
          </w:tcPr>
          <w:p w:rsidR="0074774A" w:rsidRPr="008A0EAA" w:rsidRDefault="0074774A" w:rsidP="00D32C18">
            <w:pPr>
              <w:pStyle w:val="Tabletext"/>
              <w:keepNext/>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rsidR="0074774A" w:rsidRPr="00C37A1D" w:rsidRDefault="0074774A" w:rsidP="0074774A">
      <w:pPr>
        <w:pStyle w:val="TableDescription"/>
        <w:rPr>
          <w:szCs w:val="20"/>
        </w:rPr>
      </w:pPr>
      <w:r w:rsidRPr="00C37A1D">
        <w:t>* Indicates the primary PD aim of the study.</w:t>
      </w:r>
      <w:r>
        <w:t xml:space="preserve"> </w:t>
      </w:r>
      <w:r w:rsidRPr="00C37A1D">
        <w:t>§</w:t>
      </w:r>
      <w:r w:rsidRPr="00C37A1D">
        <w:rPr>
          <w:szCs w:val="20"/>
        </w:rPr>
        <w:t xml:space="preserve"> Subjects who would be eligible to receive the drug if approved for the proposed indication.</w:t>
      </w:r>
      <w:r>
        <w:rPr>
          <w:szCs w:val="20"/>
        </w:rPr>
        <w:t xml:space="preserve"> </w:t>
      </w:r>
      <w:r w:rsidRPr="00C37A1D">
        <w:t>‡</w:t>
      </w:r>
      <w:r w:rsidRPr="00C37A1D">
        <w:rPr>
          <w:szCs w:val="20"/>
        </w:rPr>
        <w:t xml:space="preserve"> And adolescents if applicable.</w:t>
      </w:r>
    </w:p>
    <w:p w:rsidR="0074774A" w:rsidRPr="00545B14" w:rsidRDefault="0074774A" w:rsidP="0074774A">
      <w:pPr>
        <w:pStyle w:val="Heading3"/>
        <w:numPr>
          <w:ilvl w:val="1"/>
          <w:numId w:val="29"/>
        </w:numPr>
        <w:ind w:left="907" w:hanging="794"/>
      </w:pPr>
      <w:bookmarkStart w:id="148" w:name="_Ref269119989"/>
      <w:bookmarkStart w:id="149" w:name="_Toc272414639"/>
      <w:bookmarkStart w:id="150" w:name="_Toc290888487"/>
      <w:bookmarkStart w:id="151" w:name="_Toc416353684"/>
      <w:bookmarkStart w:id="152" w:name="_Toc421005253"/>
      <w:bookmarkStart w:id="153" w:name="_Toc432079135"/>
      <w:bookmarkStart w:id="154" w:name="_Toc432080708"/>
      <w:bookmarkStart w:id="155" w:name="_Toc505616980"/>
      <w:bookmarkStart w:id="156" w:name="_Toc513217694"/>
      <w:r w:rsidRPr="00545B14">
        <w:t>Summary of pharmacodynamics</w:t>
      </w:r>
      <w:bookmarkEnd w:id="148"/>
      <w:bookmarkEnd w:id="149"/>
      <w:bookmarkEnd w:id="150"/>
      <w:bookmarkEnd w:id="151"/>
      <w:bookmarkEnd w:id="152"/>
      <w:bookmarkEnd w:id="153"/>
      <w:bookmarkEnd w:id="154"/>
      <w:bookmarkEnd w:id="155"/>
      <w:bookmarkEnd w:id="156"/>
    </w:p>
    <w:p w:rsidR="0074774A" w:rsidRPr="00545B14" w:rsidRDefault="0074774A" w:rsidP="0074774A">
      <w:pPr>
        <w:pStyle w:val="Heading4"/>
        <w:numPr>
          <w:ilvl w:val="2"/>
          <w:numId w:val="29"/>
        </w:numPr>
      </w:pPr>
      <w:bookmarkStart w:id="157" w:name="_Toc241374299"/>
      <w:bookmarkStart w:id="158" w:name="_Toc272414640"/>
      <w:bookmarkStart w:id="159" w:name="_Toc290888488"/>
      <w:bookmarkStart w:id="160" w:name="_Toc416353685"/>
      <w:bookmarkStart w:id="161" w:name="_Toc421005254"/>
      <w:bookmarkStart w:id="162" w:name="_Toc432079136"/>
      <w:bookmarkStart w:id="163" w:name="_Toc432080709"/>
      <w:r w:rsidRPr="00545B14">
        <w:t>Mechanism of action</w:t>
      </w:r>
      <w:bookmarkEnd w:id="157"/>
      <w:bookmarkEnd w:id="158"/>
      <w:bookmarkEnd w:id="159"/>
      <w:bookmarkEnd w:id="160"/>
      <w:bookmarkEnd w:id="161"/>
      <w:bookmarkEnd w:id="162"/>
      <w:bookmarkEnd w:id="163"/>
    </w:p>
    <w:p w:rsidR="0074774A" w:rsidRDefault="0074774A" w:rsidP="0074774A">
      <w:pPr>
        <w:rPr>
          <w:lang w:eastAsia="ja-JP"/>
        </w:rPr>
      </w:pPr>
      <w:r>
        <w:rPr>
          <w:lang w:eastAsia="ja-JP"/>
        </w:rPr>
        <w:t>There were no new data on mechanism of action.</w:t>
      </w:r>
    </w:p>
    <w:p w:rsidR="00886C19" w:rsidRDefault="0074774A" w:rsidP="0074774A">
      <w:pPr>
        <w:pStyle w:val="Heading4"/>
        <w:numPr>
          <w:ilvl w:val="2"/>
          <w:numId w:val="29"/>
        </w:numPr>
      </w:pPr>
      <w:bookmarkStart w:id="164" w:name="_Toc241374300"/>
      <w:bookmarkStart w:id="165" w:name="_Toc272414641"/>
      <w:bookmarkStart w:id="166" w:name="_Toc290888489"/>
      <w:bookmarkStart w:id="167" w:name="_Toc416353686"/>
      <w:bookmarkStart w:id="168" w:name="_Toc421005255"/>
      <w:bookmarkStart w:id="169" w:name="_Toc432079137"/>
      <w:bookmarkStart w:id="170" w:name="_Toc432080710"/>
      <w:r w:rsidRPr="00545B14">
        <w:lastRenderedPageBreak/>
        <w:t>Pharmacodynamic effects</w:t>
      </w:r>
      <w:bookmarkEnd w:id="164"/>
      <w:bookmarkEnd w:id="165"/>
      <w:bookmarkEnd w:id="166"/>
      <w:bookmarkEnd w:id="167"/>
      <w:bookmarkEnd w:id="168"/>
      <w:bookmarkEnd w:id="169"/>
      <w:bookmarkEnd w:id="170"/>
    </w:p>
    <w:p w:rsidR="0074774A" w:rsidRPr="005B0142" w:rsidRDefault="0074774A" w:rsidP="0074774A">
      <w:pPr>
        <w:pStyle w:val="Heading5"/>
        <w:numPr>
          <w:ilvl w:val="3"/>
          <w:numId w:val="29"/>
        </w:numPr>
        <w:ind w:left="1304" w:hanging="1077"/>
      </w:pPr>
      <w:bookmarkStart w:id="171" w:name="_Toc272414642"/>
      <w:bookmarkStart w:id="172" w:name="_Toc290888490"/>
      <w:bookmarkStart w:id="173" w:name="_Toc416353687"/>
      <w:r w:rsidRPr="005B0142">
        <w:t>Primary pharmacodynamic effects</w:t>
      </w:r>
      <w:bookmarkEnd w:id="171"/>
      <w:bookmarkEnd w:id="172"/>
      <w:bookmarkEnd w:id="173"/>
    </w:p>
    <w:p w:rsidR="0074774A" w:rsidRDefault="0074774A" w:rsidP="0074774A">
      <w:pPr>
        <w:autoSpaceDE w:val="0"/>
        <w:autoSpaceDN w:val="0"/>
        <w:adjustRightInd w:val="0"/>
        <w:spacing w:before="0" w:after="0" w:line="240" w:lineRule="auto"/>
        <w:rPr>
          <w:lang w:eastAsia="ja-JP"/>
        </w:rPr>
      </w:pPr>
      <w:bookmarkStart w:id="174" w:name="_Toc272414643"/>
      <w:bookmarkStart w:id="175" w:name="_Toc290888491"/>
      <w:bookmarkStart w:id="176" w:name="_Toc416353688"/>
      <w:r>
        <w:rPr>
          <w:lang w:eastAsia="ja-JP"/>
        </w:rPr>
        <w:t>The population PKPD study (Study SPD503-312) indicated that t</w:t>
      </w:r>
      <w:r w:rsidRPr="00DD5684">
        <w:rPr>
          <w:rFonts w:asciiTheme="minorHAnsi" w:eastAsiaTheme="minorHAnsi" w:hAnsiTheme="minorHAnsi" w:cs="Utopia-Regular"/>
          <w:lang w:val="en-NZ"/>
        </w:rPr>
        <w:t>he guanfacine exposure response time course of ADHD-RS-IV scores was best describe by a linear drug effect proportional to the placebo response trajectory.</w:t>
      </w:r>
      <w:r>
        <w:rPr>
          <w:rFonts w:asciiTheme="minorHAnsi" w:eastAsiaTheme="minorHAnsi" w:hAnsiTheme="minorHAnsi" w:cs="Utopia-Regular"/>
          <w:lang w:val="en-NZ"/>
        </w:rPr>
        <w:t xml:space="preserve"> </w:t>
      </w:r>
      <w:r>
        <w:rPr>
          <w:lang w:eastAsia="ja-JP"/>
        </w:rPr>
        <w:t>The typical (95% CI) decrease in ADHD-RS-IV score, compared to placebo, was 37.1% (32.2% to 42.0%) per 0.1 mg of guanfacine exposure.</w:t>
      </w:r>
    </w:p>
    <w:p w:rsidR="0074774A" w:rsidRPr="005B0142" w:rsidRDefault="0074774A" w:rsidP="0074774A">
      <w:pPr>
        <w:pStyle w:val="Heading5"/>
        <w:numPr>
          <w:ilvl w:val="3"/>
          <w:numId w:val="29"/>
        </w:numPr>
        <w:ind w:left="1304" w:hanging="1077"/>
      </w:pPr>
      <w:r w:rsidRPr="005B0142">
        <w:t>Secondary pharmacodynamic effects</w:t>
      </w:r>
      <w:bookmarkEnd w:id="174"/>
      <w:bookmarkEnd w:id="175"/>
      <w:bookmarkEnd w:id="176"/>
    </w:p>
    <w:p w:rsidR="0074774A" w:rsidRDefault="0074774A" w:rsidP="0074774A">
      <w:bookmarkStart w:id="177" w:name="_Toc272414644"/>
      <w:bookmarkStart w:id="178" w:name="_Toc290888492"/>
      <w:bookmarkStart w:id="179" w:name="_Toc416353689"/>
      <w:bookmarkStart w:id="180" w:name="_Toc421005256"/>
      <w:bookmarkStart w:id="181" w:name="_Toc432079138"/>
      <w:bookmarkStart w:id="182" w:name="_Toc432080711"/>
      <w:r>
        <w:rPr>
          <w:lang w:eastAsia="ja-JP"/>
        </w:rPr>
        <w:t>Following up-titration of guanfacine dose to 4 mg daily, abrupt cessation did not result in rebound hypertension or other clinically significant adverse effects in comparison with tapered cessation (</w:t>
      </w:r>
      <w:r>
        <w:t>Study SPD503-102).</w:t>
      </w:r>
    </w:p>
    <w:p w:rsidR="0074774A" w:rsidRDefault="0074774A" w:rsidP="0074774A">
      <w:r>
        <w:t>At doses titrated up to 8 mg, there was prolongation of QTcF to the threshold of regulatory concern, but there was no prolongation when QTc was calculated by QTcNi (Study SPD503-112). The mean (90% CI) for difference guanfacine-placebo, change for baseline in QTcF was 3.54 (0.78 to 6.29) at 6 hours post dose, and 7.61 (4.87 to 10.34) at 12 hours post dose. However, heart rate decreased by a mean of 20 bpm in the guanfacine group.</w:t>
      </w:r>
    </w:p>
    <w:p w:rsidR="0074774A" w:rsidRPr="00545B14" w:rsidRDefault="0074774A" w:rsidP="0074774A">
      <w:pPr>
        <w:pStyle w:val="Heading4"/>
        <w:numPr>
          <w:ilvl w:val="2"/>
          <w:numId w:val="29"/>
        </w:numPr>
      </w:pPr>
      <w:r w:rsidRPr="00545B14">
        <w:t>Time course of pharmacodynamic effects</w:t>
      </w:r>
      <w:bookmarkEnd w:id="177"/>
      <w:bookmarkEnd w:id="178"/>
      <w:bookmarkEnd w:id="179"/>
      <w:bookmarkEnd w:id="180"/>
      <w:bookmarkEnd w:id="181"/>
      <w:bookmarkEnd w:id="182"/>
    </w:p>
    <w:p w:rsidR="0074774A" w:rsidRDefault="0074774A" w:rsidP="0074774A">
      <w:pPr>
        <w:rPr>
          <w:lang w:eastAsia="ja-JP"/>
        </w:rPr>
      </w:pPr>
      <w:r>
        <w:rPr>
          <w:lang w:eastAsia="ja-JP"/>
        </w:rPr>
        <w:t>There were no new data on time course of pharmacodynamic effects.</w:t>
      </w:r>
    </w:p>
    <w:p w:rsidR="0074774A" w:rsidRPr="00545B14" w:rsidRDefault="0074774A" w:rsidP="0074774A">
      <w:pPr>
        <w:pStyle w:val="Heading4"/>
        <w:numPr>
          <w:ilvl w:val="2"/>
          <w:numId w:val="29"/>
        </w:numPr>
      </w:pPr>
      <w:bookmarkStart w:id="183" w:name="_Toc272414645"/>
      <w:bookmarkStart w:id="184" w:name="_Toc290888493"/>
      <w:bookmarkStart w:id="185" w:name="_Toc416353690"/>
      <w:bookmarkStart w:id="186" w:name="_Toc421005257"/>
      <w:bookmarkStart w:id="187" w:name="_Toc432079139"/>
      <w:bookmarkStart w:id="188" w:name="_Toc432080712"/>
      <w:r w:rsidRPr="00545B14">
        <w:t>Relationship between drug concentration and pharmacodynamic effects</w:t>
      </w:r>
      <w:bookmarkEnd w:id="183"/>
      <w:bookmarkEnd w:id="184"/>
      <w:bookmarkEnd w:id="185"/>
      <w:bookmarkEnd w:id="186"/>
      <w:bookmarkEnd w:id="187"/>
      <w:bookmarkEnd w:id="188"/>
    </w:p>
    <w:p w:rsidR="0074774A" w:rsidRDefault="0074774A" w:rsidP="0074774A">
      <w:pPr>
        <w:autoSpaceDE w:val="0"/>
        <w:autoSpaceDN w:val="0"/>
        <w:adjustRightInd w:val="0"/>
        <w:spacing w:before="0" w:after="0" w:line="240" w:lineRule="auto"/>
        <w:rPr>
          <w:lang w:eastAsia="ja-JP"/>
        </w:rPr>
      </w:pPr>
      <w:r>
        <w:rPr>
          <w:lang w:eastAsia="ja-JP"/>
        </w:rPr>
        <w:t xml:space="preserve">The population PKPD data indicated </w:t>
      </w:r>
      <w:r>
        <w:rPr>
          <w:rFonts w:asciiTheme="minorHAnsi" w:eastAsiaTheme="minorHAnsi" w:hAnsiTheme="minorHAnsi" w:cs="Utopia-Regular"/>
          <w:lang w:val="en-NZ"/>
        </w:rPr>
        <w:t>that t</w:t>
      </w:r>
      <w:r w:rsidRPr="00DD5684">
        <w:rPr>
          <w:rFonts w:asciiTheme="minorHAnsi" w:eastAsiaTheme="minorHAnsi" w:hAnsiTheme="minorHAnsi" w:cs="Utopia-Regular"/>
          <w:lang w:val="en-NZ"/>
        </w:rPr>
        <w:t>he guanfacine exposure response time course of ADHD-RS-IV scores was best describe by a linear drug effect proportional to the placebo response trajectory</w:t>
      </w:r>
      <w:r>
        <w:rPr>
          <w:rFonts w:asciiTheme="minorHAnsi" w:eastAsiaTheme="minorHAnsi" w:hAnsiTheme="minorHAnsi" w:cs="Utopia-Regular"/>
          <w:lang w:val="en-NZ"/>
        </w:rPr>
        <w:t xml:space="preserve"> (Study SPD503-312)</w:t>
      </w:r>
      <w:r w:rsidRPr="00DD5684">
        <w:rPr>
          <w:rFonts w:asciiTheme="minorHAnsi" w:eastAsiaTheme="minorHAnsi" w:hAnsiTheme="minorHAnsi" w:cs="Utopia-Regular"/>
          <w:lang w:val="en-NZ"/>
        </w:rPr>
        <w:t>.</w:t>
      </w:r>
    </w:p>
    <w:p w:rsidR="0074774A" w:rsidRDefault="0074774A" w:rsidP="0074774A">
      <w:pPr>
        <w:pStyle w:val="Heading4"/>
        <w:numPr>
          <w:ilvl w:val="2"/>
          <w:numId w:val="29"/>
        </w:numPr>
      </w:pPr>
      <w:bookmarkStart w:id="189" w:name="_Toc241374304"/>
      <w:bookmarkStart w:id="190" w:name="_Toc272414646"/>
      <w:bookmarkStart w:id="191" w:name="_Toc290888494"/>
      <w:bookmarkStart w:id="192" w:name="_Toc416353691"/>
      <w:bookmarkStart w:id="193" w:name="_Toc421005258"/>
      <w:bookmarkStart w:id="194" w:name="_Toc432079140"/>
      <w:bookmarkStart w:id="195" w:name="_Toc432080713"/>
      <w:r>
        <w:t xml:space="preserve">Genetic, gender and age </w:t>
      </w:r>
      <w:r w:rsidRPr="00545B14">
        <w:t>related differences in pharmacodynamic response</w:t>
      </w:r>
      <w:bookmarkEnd w:id="189"/>
      <w:bookmarkEnd w:id="190"/>
      <w:bookmarkEnd w:id="191"/>
      <w:bookmarkEnd w:id="192"/>
      <w:bookmarkEnd w:id="193"/>
      <w:bookmarkEnd w:id="194"/>
      <w:bookmarkEnd w:id="195"/>
    </w:p>
    <w:p w:rsidR="0074774A" w:rsidRDefault="0074774A" w:rsidP="0074774A">
      <w:pPr>
        <w:rPr>
          <w:lang w:eastAsia="ja-JP"/>
        </w:rPr>
      </w:pPr>
      <w:r>
        <w:rPr>
          <w:lang w:eastAsia="ja-JP"/>
        </w:rPr>
        <w:t>The efficacy data did not indicate any gender or age related differences in PD response.</w:t>
      </w:r>
    </w:p>
    <w:p w:rsidR="0074774A" w:rsidRPr="00545B14" w:rsidRDefault="0074774A" w:rsidP="0074774A">
      <w:pPr>
        <w:pStyle w:val="Heading4"/>
        <w:numPr>
          <w:ilvl w:val="2"/>
          <w:numId w:val="29"/>
        </w:numPr>
      </w:pPr>
      <w:bookmarkStart w:id="196" w:name="_Toc241374303"/>
      <w:bookmarkStart w:id="197" w:name="_Toc272414647"/>
      <w:bookmarkStart w:id="198" w:name="_Toc290888495"/>
      <w:bookmarkStart w:id="199" w:name="_Toc416353692"/>
      <w:bookmarkStart w:id="200" w:name="_Toc421005259"/>
      <w:bookmarkStart w:id="201" w:name="_Toc432079141"/>
      <w:bookmarkStart w:id="202" w:name="_Toc432080714"/>
      <w:r w:rsidRPr="00545B14">
        <w:t>Pharmacodynamic interactions</w:t>
      </w:r>
      <w:bookmarkEnd w:id="196"/>
      <w:bookmarkEnd w:id="197"/>
      <w:bookmarkEnd w:id="198"/>
      <w:bookmarkEnd w:id="199"/>
      <w:bookmarkEnd w:id="200"/>
      <w:bookmarkEnd w:id="201"/>
      <w:bookmarkEnd w:id="202"/>
    </w:p>
    <w:p w:rsidR="0074774A" w:rsidRDefault="0074774A" w:rsidP="0074774A">
      <w:pPr>
        <w:rPr>
          <w:lang w:eastAsia="ja-JP"/>
        </w:rPr>
      </w:pPr>
      <w:r>
        <w:rPr>
          <w:lang w:eastAsia="ja-JP"/>
        </w:rPr>
        <w:t>There were no new data on PD interactions.</w:t>
      </w:r>
    </w:p>
    <w:p w:rsidR="0074774A" w:rsidRPr="00545B14" w:rsidRDefault="0074774A" w:rsidP="0074774A">
      <w:pPr>
        <w:pStyle w:val="Heading3"/>
        <w:numPr>
          <w:ilvl w:val="1"/>
          <w:numId w:val="29"/>
        </w:numPr>
        <w:ind w:left="907" w:hanging="794"/>
      </w:pPr>
      <w:bookmarkStart w:id="203" w:name="_Ref269983272"/>
      <w:bookmarkStart w:id="204" w:name="_Toc272414648"/>
      <w:bookmarkStart w:id="205" w:name="_Toc290888496"/>
      <w:bookmarkStart w:id="206" w:name="_Toc416353693"/>
      <w:bookmarkStart w:id="207" w:name="_Toc421005260"/>
      <w:bookmarkStart w:id="208" w:name="_Toc432079142"/>
      <w:bookmarkStart w:id="209" w:name="_Toc432080715"/>
      <w:bookmarkStart w:id="210" w:name="_Toc505616981"/>
      <w:bookmarkStart w:id="211" w:name="_Toc513217695"/>
      <w:r w:rsidRPr="00545B14">
        <w:t>Evaluator’s overall conclusions on pharmacodynamics</w:t>
      </w:r>
      <w:bookmarkEnd w:id="203"/>
      <w:bookmarkEnd w:id="204"/>
      <w:bookmarkEnd w:id="205"/>
      <w:bookmarkEnd w:id="206"/>
      <w:bookmarkEnd w:id="207"/>
      <w:bookmarkEnd w:id="208"/>
      <w:bookmarkEnd w:id="209"/>
      <w:bookmarkEnd w:id="210"/>
      <w:bookmarkEnd w:id="211"/>
    </w:p>
    <w:p w:rsidR="0074774A" w:rsidRDefault="0074774A" w:rsidP="0074774A">
      <w:pPr>
        <w:rPr>
          <w:lang w:eastAsia="ja-JP"/>
        </w:rPr>
      </w:pPr>
      <w:r>
        <w:rPr>
          <w:lang w:eastAsia="ja-JP"/>
        </w:rPr>
        <w:t>In the dose range studied, the plasma concentration effect relationship was linear. There were no rebound effects on blood pressure with the extended release formulation.</w:t>
      </w:r>
    </w:p>
    <w:p w:rsidR="0074774A" w:rsidRDefault="0074774A" w:rsidP="0074774A">
      <w:pPr>
        <w:pStyle w:val="Heading2"/>
        <w:numPr>
          <w:ilvl w:val="0"/>
          <w:numId w:val="29"/>
        </w:numPr>
      </w:pPr>
      <w:bookmarkStart w:id="212" w:name="_Toc505616982"/>
      <w:bookmarkStart w:id="213" w:name="_Toc513217696"/>
      <w:r>
        <w:t>Dosage selection for the pivotal studies</w:t>
      </w:r>
      <w:bookmarkEnd w:id="212"/>
      <w:bookmarkEnd w:id="213"/>
    </w:p>
    <w:p w:rsidR="0074774A" w:rsidRPr="00545B14" w:rsidRDefault="0074774A" w:rsidP="0074774A">
      <w:pPr>
        <w:pStyle w:val="Heading3"/>
        <w:numPr>
          <w:ilvl w:val="1"/>
          <w:numId w:val="29"/>
        </w:numPr>
        <w:ind w:left="907" w:hanging="794"/>
      </w:pPr>
      <w:bookmarkStart w:id="214" w:name="_Toc416353695"/>
      <w:bookmarkStart w:id="215" w:name="_Toc421005262"/>
      <w:bookmarkStart w:id="216" w:name="_Toc432079144"/>
      <w:bookmarkStart w:id="217" w:name="_Toc432080717"/>
      <w:bookmarkStart w:id="218" w:name="_Toc505616983"/>
      <w:bookmarkStart w:id="219" w:name="_Toc513217697"/>
      <w:r w:rsidRPr="005C1900">
        <w:t>Pharmacokinetics</w:t>
      </w:r>
      <w:r>
        <w:t xml:space="preserve"> and pharmacodynamics: dos</w:t>
      </w:r>
      <w:r w:rsidRPr="00545B14">
        <w:t xml:space="preserve">e </w:t>
      </w:r>
      <w:r>
        <w:t>finding</w:t>
      </w:r>
      <w:r w:rsidRPr="00545B14">
        <w:t xml:space="preserve"> </w:t>
      </w:r>
      <w:r>
        <w:t>s</w:t>
      </w:r>
      <w:r w:rsidRPr="00545B14">
        <w:t>tudies</w:t>
      </w:r>
      <w:bookmarkEnd w:id="214"/>
      <w:bookmarkEnd w:id="215"/>
      <w:bookmarkEnd w:id="216"/>
      <w:bookmarkEnd w:id="217"/>
      <w:bookmarkEnd w:id="218"/>
      <w:bookmarkEnd w:id="219"/>
    </w:p>
    <w:p w:rsidR="0074774A" w:rsidRDefault="0074774A" w:rsidP="0074774A">
      <w:pPr>
        <w:rPr>
          <w:lang w:eastAsia="ja-JP"/>
        </w:rPr>
      </w:pPr>
      <w:r>
        <w:rPr>
          <w:lang w:eastAsia="ja-JP"/>
        </w:rPr>
        <w:t>The PK and PD studies investigated the dose range from 1 mg to 8mg per day in adults.</w:t>
      </w:r>
    </w:p>
    <w:p w:rsidR="0074774A" w:rsidRPr="00545B14" w:rsidRDefault="0074774A" w:rsidP="0074774A">
      <w:pPr>
        <w:pStyle w:val="Heading3"/>
        <w:numPr>
          <w:ilvl w:val="1"/>
          <w:numId w:val="29"/>
        </w:numPr>
        <w:ind w:left="907" w:hanging="794"/>
      </w:pPr>
      <w:bookmarkStart w:id="220" w:name="_Toc416353696"/>
      <w:bookmarkStart w:id="221" w:name="_Toc421005263"/>
      <w:bookmarkStart w:id="222" w:name="_Toc432079145"/>
      <w:bookmarkStart w:id="223" w:name="_Toc432080718"/>
      <w:bookmarkStart w:id="224" w:name="_Toc505616984"/>
      <w:bookmarkStart w:id="225" w:name="_Toc513217698"/>
      <w:r w:rsidRPr="005C1900">
        <w:t>Phase</w:t>
      </w:r>
      <w:r w:rsidRPr="00545B14">
        <w:t xml:space="preserve"> II </w:t>
      </w:r>
      <w:r>
        <w:t>d</w:t>
      </w:r>
      <w:r w:rsidRPr="00545B14">
        <w:t xml:space="preserve">ose </w:t>
      </w:r>
      <w:r>
        <w:t>finding</w:t>
      </w:r>
      <w:r w:rsidRPr="00545B14">
        <w:t xml:space="preserve"> </w:t>
      </w:r>
      <w:r>
        <w:t>s</w:t>
      </w:r>
      <w:r w:rsidRPr="00545B14">
        <w:t>tudies</w:t>
      </w:r>
      <w:bookmarkEnd w:id="220"/>
      <w:bookmarkEnd w:id="221"/>
      <w:bookmarkEnd w:id="222"/>
      <w:bookmarkEnd w:id="223"/>
      <w:bookmarkEnd w:id="224"/>
      <w:bookmarkEnd w:id="225"/>
    </w:p>
    <w:p w:rsidR="0074774A" w:rsidRDefault="0074774A" w:rsidP="0074774A">
      <w:pPr>
        <w:rPr>
          <w:lang w:eastAsia="ja-JP"/>
        </w:rPr>
      </w:pPr>
      <w:r>
        <w:rPr>
          <w:lang w:eastAsia="ja-JP"/>
        </w:rPr>
        <w:t>The Phase II studies examined the dose range 1 mg/day to 4 mg/day in the age range 6 to 17 years.</w:t>
      </w:r>
    </w:p>
    <w:p w:rsidR="0074774A" w:rsidRPr="00670FF0" w:rsidRDefault="0074774A" w:rsidP="0074774A">
      <w:pPr>
        <w:pStyle w:val="Heading3"/>
        <w:numPr>
          <w:ilvl w:val="1"/>
          <w:numId w:val="29"/>
        </w:numPr>
        <w:ind w:left="907" w:hanging="794"/>
      </w:pPr>
      <w:bookmarkStart w:id="226" w:name="_Toc416353712"/>
      <w:bookmarkStart w:id="227" w:name="_Toc421005265"/>
      <w:bookmarkStart w:id="228" w:name="_Toc432079147"/>
      <w:bookmarkStart w:id="229" w:name="_Toc432080720"/>
      <w:bookmarkStart w:id="230" w:name="_Toc505616985"/>
      <w:bookmarkStart w:id="231" w:name="_Toc513217699"/>
      <w:r w:rsidRPr="00670FF0">
        <w:lastRenderedPageBreak/>
        <w:t>Phase III pivotal studies investigating more than one dose regimen</w:t>
      </w:r>
      <w:bookmarkEnd w:id="226"/>
      <w:bookmarkEnd w:id="227"/>
      <w:bookmarkEnd w:id="228"/>
      <w:bookmarkEnd w:id="229"/>
      <w:bookmarkEnd w:id="230"/>
      <w:bookmarkEnd w:id="231"/>
    </w:p>
    <w:p w:rsidR="0074774A" w:rsidRDefault="0074774A" w:rsidP="0074774A">
      <w:pPr>
        <w:rPr>
          <w:lang w:eastAsia="ja-JP"/>
        </w:rPr>
      </w:pPr>
      <w:r>
        <w:rPr>
          <w:lang w:eastAsia="ja-JP"/>
        </w:rPr>
        <w:t>The Phase III pivotal studies investigated the dose range up to 4 mg/day in children aged 6 to 12 years and up to 7 mg/day in adolescents aged 13 to 17 years.</w:t>
      </w:r>
    </w:p>
    <w:p w:rsidR="0074774A" w:rsidRPr="00670FF0" w:rsidRDefault="0074774A" w:rsidP="0074774A">
      <w:pPr>
        <w:pStyle w:val="Heading3"/>
        <w:numPr>
          <w:ilvl w:val="1"/>
          <w:numId w:val="29"/>
        </w:numPr>
        <w:ind w:left="907" w:hanging="794"/>
      </w:pPr>
      <w:bookmarkStart w:id="232" w:name="_Toc416353713"/>
      <w:bookmarkStart w:id="233" w:name="_Toc421005266"/>
      <w:bookmarkStart w:id="234" w:name="_Toc432079148"/>
      <w:bookmarkStart w:id="235" w:name="_Toc432080721"/>
      <w:bookmarkStart w:id="236" w:name="_Toc505616986"/>
      <w:bookmarkStart w:id="237" w:name="_Toc513217700"/>
      <w:r>
        <w:t>Evaluator’s conclusions on dos</w:t>
      </w:r>
      <w:r w:rsidRPr="00670FF0">
        <w:t>e finding for the pivotal studies</w:t>
      </w:r>
      <w:bookmarkEnd w:id="232"/>
      <w:bookmarkEnd w:id="233"/>
      <w:bookmarkEnd w:id="234"/>
      <w:bookmarkEnd w:id="235"/>
      <w:bookmarkEnd w:id="236"/>
      <w:bookmarkEnd w:id="237"/>
    </w:p>
    <w:p w:rsidR="0074774A" w:rsidRDefault="0074774A" w:rsidP="0074774A">
      <w:pPr>
        <w:rPr>
          <w:lang w:eastAsia="ja-JP"/>
        </w:rPr>
      </w:pPr>
      <w:r>
        <w:rPr>
          <w:lang w:eastAsia="ja-JP"/>
        </w:rPr>
        <w:t>The sponsor has investigated tolerability, safety and efficacy in the dose range 1 mg to 7 mg per day. The final dosing used in the clinical trials was a weight-based dosing regimen that reflected the findings of the dose-finding studies. This weight-based dosing regimen supports the dosing recommendations in the Product Information document.</w:t>
      </w:r>
    </w:p>
    <w:p w:rsidR="0074774A" w:rsidRDefault="0074774A" w:rsidP="0074774A">
      <w:pPr>
        <w:pStyle w:val="Heading2"/>
        <w:numPr>
          <w:ilvl w:val="0"/>
          <w:numId w:val="29"/>
        </w:numPr>
      </w:pPr>
      <w:bookmarkStart w:id="238" w:name="_Toc505616987"/>
      <w:bookmarkStart w:id="239" w:name="_Toc513217701"/>
      <w:r>
        <w:t>Clinical efficacy</w:t>
      </w:r>
      <w:bookmarkEnd w:id="238"/>
      <w:bookmarkEnd w:id="239"/>
    </w:p>
    <w:p w:rsidR="0074774A" w:rsidRDefault="0074774A" w:rsidP="0074774A">
      <w:pPr>
        <w:pStyle w:val="Heading3"/>
        <w:numPr>
          <w:ilvl w:val="1"/>
          <w:numId w:val="29"/>
        </w:numPr>
        <w:ind w:left="907" w:hanging="794"/>
      </w:pPr>
      <w:bookmarkStart w:id="240" w:name="_Toc505616988"/>
      <w:bookmarkStart w:id="241" w:name="_Toc513217702"/>
      <w:bookmarkStart w:id="242" w:name="_Ref271037274"/>
      <w:bookmarkStart w:id="243" w:name="_Toc272414652"/>
      <w:bookmarkStart w:id="244" w:name="_Toc290888500"/>
      <w:bookmarkStart w:id="245" w:name="_Toc416353716"/>
      <w:bookmarkStart w:id="246" w:name="_Toc421005269"/>
      <w:bookmarkStart w:id="247" w:name="_Toc432079151"/>
      <w:bookmarkStart w:id="248" w:name="_Toc432080724"/>
      <w:r w:rsidRPr="00545B14">
        <w:t xml:space="preserve">Studies providing evaluable </w:t>
      </w:r>
      <w:r>
        <w:t>efficacy</w:t>
      </w:r>
      <w:r w:rsidRPr="00545B14">
        <w:t xml:space="preserve"> data</w:t>
      </w:r>
      <w:bookmarkEnd w:id="240"/>
      <w:bookmarkEnd w:id="241"/>
    </w:p>
    <w:p w:rsidR="0074774A" w:rsidRDefault="0074774A" w:rsidP="0074774A">
      <w:pPr>
        <w:rPr>
          <w:lang w:eastAsia="ja-JP"/>
        </w:rPr>
      </w:pPr>
      <w:r>
        <w:rPr>
          <w:lang w:eastAsia="ja-JP"/>
        </w:rPr>
        <w:t>There were eight pivotal efficacy studies conducted in children and adolescents with ADHD. Studies were performed as monotherapy and as co-medication with psychostimulants. A study was also conducted in children and adolescents with ADHD and oppositional features. There were five supportive efficacy studies including two long-term follow-on studies.</w:t>
      </w:r>
    </w:p>
    <w:p w:rsidR="0074774A" w:rsidRPr="005632DC" w:rsidRDefault="0074774A" w:rsidP="0074774A">
      <w:pPr>
        <w:pStyle w:val="Heading3"/>
        <w:numPr>
          <w:ilvl w:val="1"/>
          <w:numId w:val="29"/>
        </w:numPr>
        <w:ind w:left="907" w:hanging="794"/>
      </w:pPr>
      <w:bookmarkStart w:id="249" w:name="_Toc505616989"/>
      <w:bookmarkStart w:id="250" w:name="_Toc513217703"/>
      <w:r w:rsidRPr="005632DC">
        <w:t>Pivotal or main efficacy studies</w:t>
      </w:r>
      <w:bookmarkEnd w:id="242"/>
      <w:bookmarkEnd w:id="243"/>
      <w:bookmarkEnd w:id="244"/>
      <w:bookmarkEnd w:id="245"/>
      <w:bookmarkEnd w:id="246"/>
      <w:bookmarkEnd w:id="247"/>
      <w:bookmarkEnd w:id="248"/>
      <w:bookmarkEnd w:id="249"/>
      <w:bookmarkEnd w:id="250"/>
    </w:p>
    <w:p w:rsidR="0074774A" w:rsidRPr="005632DC" w:rsidRDefault="0074774A" w:rsidP="0074774A">
      <w:pPr>
        <w:pStyle w:val="Heading4"/>
        <w:numPr>
          <w:ilvl w:val="2"/>
          <w:numId w:val="29"/>
        </w:numPr>
      </w:pPr>
      <w:bookmarkStart w:id="251" w:name="_Study_SPD503-301"/>
      <w:bookmarkStart w:id="252" w:name="_Ref243301615"/>
      <w:bookmarkStart w:id="253" w:name="_Ref271040927"/>
      <w:bookmarkStart w:id="254" w:name="_Ref271040932"/>
      <w:bookmarkStart w:id="255" w:name="_Toc272414653"/>
      <w:bookmarkStart w:id="256" w:name="_Toc290888501"/>
      <w:bookmarkStart w:id="257" w:name="_Toc416353717"/>
      <w:bookmarkEnd w:id="251"/>
      <w:r w:rsidRPr="005632DC">
        <w:t xml:space="preserve">Study </w:t>
      </w:r>
      <w:bookmarkEnd w:id="252"/>
      <w:bookmarkEnd w:id="253"/>
      <w:bookmarkEnd w:id="254"/>
      <w:bookmarkEnd w:id="255"/>
      <w:bookmarkEnd w:id="256"/>
      <w:bookmarkEnd w:id="257"/>
      <w:r>
        <w:t>SPD503-301</w:t>
      </w:r>
    </w:p>
    <w:p w:rsidR="0074774A" w:rsidRPr="005632DC" w:rsidRDefault="0074774A" w:rsidP="0074774A">
      <w:pPr>
        <w:pStyle w:val="Heading5"/>
        <w:numPr>
          <w:ilvl w:val="3"/>
          <w:numId w:val="29"/>
        </w:numPr>
        <w:ind w:left="1304" w:hanging="1077"/>
      </w:pPr>
      <w:r w:rsidRPr="005632DC">
        <w:t>Study design, objectives, locations and dates</w:t>
      </w:r>
    </w:p>
    <w:p w:rsidR="0074774A" w:rsidRDefault="0074774A" w:rsidP="0074774A">
      <w:pPr>
        <w:rPr>
          <w:lang w:eastAsia="ja-JP"/>
        </w:rPr>
      </w:pPr>
      <w:r>
        <w:rPr>
          <w:lang w:eastAsia="ja-JP"/>
        </w:rPr>
        <w:t>Study SPD503-301 was a randomised, double blind, parallel group, placebo controlled, forced dose escalation, efficacy and safety study. The study was conducted at 48 centres in the US from January 2003 to August 2003.</w:t>
      </w:r>
    </w:p>
    <w:p w:rsidR="0074774A" w:rsidRPr="005632DC" w:rsidRDefault="0074774A" w:rsidP="0074774A">
      <w:pPr>
        <w:pStyle w:val="Heading5"/>
        <w:numPr>
          <w:ilvl w:val="3"/>
          <w:numId w:val="29"/>
        </w:numPr>
        <w:ind w:left="1304" w:hanging="1077"/>
      </w:pPr>
      <w:bookmarkStart w:id="258" w:name="_Inclusion_and_exclusion"/>
      <w:bookmarkEnd w:id="258"/>
      <w:r w:rsidRPr="005632DC">
        <w:t>Inclusion and exclusion criteria</w:t>
      </w:r>
    </w:p>
    <w:p w:rsidR="0074774A" w:rsidRPr="00AD62E3" w:rsidRDefault="0074774A" w:rsidP="0074774A">
      <w:pPr>
        <w:rPr>
          <w:rFonts w:asciiTheme="minorHAnsi" w:hAnsiTheme="minorHAnsi"/>
          <w:lang w:eastAsia="ja-JP"/>
        </w:rPr>
      </w:pPr>
      <w:r w:rsidRPr="00AD62E3">
        <w:rPr>
          <w:rFonts w:asciiTheme="minorHAnsi" w:hAnsiTheme="minorHAnsi"/>
          <w:lang w:eastAsia="ja-JP"/>
        </w:rPr>
        <w:t>The study included subjects with ADHD.</w:t>
      </w:r>
      <w:r>
        <w:rPr>
          <w:rFonts w:asciiTheme="minorHAnsi" w:hAnsiTheme="minorHAnsi"/>
          <w:lang w:eastAsia="ja-JP"/>
        </w:rPr>
        <w:t xml:space="preserve"> </w:t>
      </w:r>
      <w:r w:rsidRPr="00AD62E3">
        <w:rPr>
          <w:rFonts w:asciiTheme="minorHAnsi" w:hAnsiTheme="minorHAnsi"/>
          <w:lang w:eastAsia="ja-JP"/>
        </w:rPr>
        <w:t>The inclusion criteria included:</w:t>
      </w:r>
    </w:p>
    <w:p w:rsidR="0074774A" w:rsidRPr="002A1518" w:rsidRDefault="0074774A" w:rsidP="0074774A">
      <w:pPr>
        <w:pStyle w:val="ListBullet"/>
        <w:numPr>
          <w:ilvl w:val="0"/>
          <w:numId w:val="3"/>
        </w:numPr>
        <w:rPr>
          <w:lang w:val="en-NZ"/>
        </w:rPr>
      </w:pPr>
      <w:r w:rsidRPr="002A1518">
        <w:rPr>
          <w:lang w:val="en-NZ"/>
        </w:rPr>
        <w:t>Male or female subjects aged 6 to 17 inclusive.</w:t>
      </w:r>
    </w:p>
    <w:p w:rsidR="00886C19" w:rsidRDefault="0074774A" w:rsidP="0074774A">
      <w:pPr>
        <w:pStyle w:val="ListBullet"/>
        <w:numPr>
          <w:ilvl w:val="0"/>
          <w:numId w:val="3"/>
        </w:numPr>
        <w:rPr>
          <w:lang w:val="en-NZ"/>
        </w:rPr>
      </w:pPr>
      <w:r w:rsidRPr="002A1518">
        <w:rPr>
          <w:lang w:val="en-NZ"/>
        </w:rPr>
        <w:t>Females of childbearing potential must have negative pregnancy tests and must have abstained from sexual activity that could have resulted in pregnancy, or used acceptable contraceptives throughout the period of study drug exposure and for 30 days after the last dose of study drug.</w:t>
      </w:r>
    </w:p>
    <w:p w:rsidR="0074774A" w:rsidRPr="002A1518" w:rsidRDefault="0074774A" w:rsidP="0074774A">
      <w:pPr>
        <w:pStyle w:val="ListBullet"/>
        <w:numPr>
          <w:ilvl w:val="0"/>
          <w:numId w:val="3"/>
        </w:numPr>
        <w:rPr>
          <w:lang w:val="en-NZ"/>
        </w:rPr>
      </w:pPr>
      <w:r w:rsidRPr="002A1518">
        <w:rPr>
          <w:lang w:val="en-NZ"/>
        </w:rPr>
        <w:t>Subject met DSM-IV-TR</w:t>
      </w:r>
      <w:r w:rsidRPr="002A1518">
        <w:rPr>
          <w:rFonts w:eastAsia="SymbolMT" w:cs="SymbolMT"/>
          <w:lang w:val="en-NZ"/>
        </w:rPr>
        <w:t xml:space="preserve"> </w:t>
      </w:r>
      <w:r w:rsidRPr="002A1518">
        <w:rPr>
          <w:lang w:val="en-NZ"/>
        </w:rPr>
        <w:t>criteria for a primary diagnosis of ADHD (diagnostic code 314.01) combined subtype, predominantly inattentive subtype, or predominantly hyperactive-impulsive subtype based on a detailed psychiatric evaluation.</w:t>
      </w:r>
    </w:p>
    <w:p w:rsidR="0074774A" w:rsidRPr="002A1518" w:rsidRDefault="0074774A" w:rsidP="0074774A">
      <w:pPr>
        <w:pStyle w:val="ListBullet"/>
        <w:numPr>
          <w:ilvl w:val="0"/>
          <w:numId w:val="3"/>
        </w:numPr>
        <w:rPr>
          <w:lang w:val="en-NZ"/>
        </w:rPr>
      </w:pPr>
      <w:r w:rsidRPr="002A1518">
        <w:rPr>
          <w:lang w:val="en-NZ"/>
        </w:rPr>
        <w:t>Subject was intellectually functioning at age-appropriate levels, as deemed by the Investigator.</w:t>
      </w:r>
    </w:p>
    <w:p w:rsidR="0074774A" w:rsidRPr="002A1518" w:rsidRDefault="0074774A" w:rsidP="0074774A">
      <w:pPr>
        <w:pStyle w:val="ListBullet"/>
        <w:numPr>
          <w:ilvl w:val="0"/>
          <w:numId w:val="3"/>
        </w:numPr>
        <w:rPr>
          <w:lang w:val="en-NZ"/>
        </w:rPr>
      </w:pPr>
      <w:r w:rsidRPr="002A1518">
        <w:rPr>
          <w:lang w:val="en-NZ"/>
        </w:rPr>
        <w:t>Subject had no concomitant illnesses that could affect efficacy, safety, or tolerability or in any way interfere with the subject’s participation in the study.</w:t>
      </w:r>
    </w:p>
    <w:p w:rsidR="0074774A" w:rsidRPr="002A1518" w:rsidRDefault="0074774A" w:rsidP="0074774A">
      <w:pPr>
        <w:pStyle w:val="ListBullet"/>
        <w:numPr>
          <w:ilvl w:val="0"/>
          <w:numId w:val="3"/>
        </w:numPr>
        <w:rPr>
          <w:lang w:val="en-NZ"/>
        </w:rPr>
      </w:pPr>
      <w:r w:rsidRPr="002A1518">
        <w:rPr>
          <w:lang w:val="en-NZ"/>
        </w:rPr>
        <w:t>Subject had blood pressure (BP) measurements within the 95th percentile for his/her age, gender, and height.</w:t>
      </w:r>
    </w:p>
    <w:p w:rsidR="0074774A" w:rsidRPr="00F00B67" w:rsidRDefault="0074774A" w:rsidP="0074774A">
      <w:pPr>
        <w:pStyle w:val="ListBullet"/>
        <w:numPr>
          <w:ilvl w:val="0"/>
          <w:numId w:val="3"/>
        </w:numPr>
        <w:rPr>
          <w:lang w:val="en-NZ"/>
        </w:rPr>
      </w:pPr>
      <w:r w:rsidRPr="002A1518">
        <w:rPr>
          <w:lang w:val="en-NZ"/>
        </w:rPr>
        <w:lastRenderedPageBreak/>
        <w:t>Subject’s ECG results were within the normal range as judged by the Investigator in conjunction with the central reader.</w:t>
      </w:r>
    </w:p>
    <w:p w:rsidR="0074774A" w:rsidRPr="00AD62E3" w:rsidRDefault="0074774A" w:rsidP="0074774A">
      <w:pPr>
        <w:rPr>
          <w:rFonts w:asciiTheme="minorHAnsi" w:eastAsiaTheme="minorHAnsi" w:hAnsiTheme="minorHAnsi" w:cs="Arial"/>
          <w:lang w:val="en-NZ"/>
        </w:rPr>
      </w:pPr>
      <w:r w:rsidRPr="00AD62E3">
        <w:rPr>
          <w:rFonts w:asciiTheme="minorHAnsi" w:eastAsiaTheme="minorHAnsi" w:hAnsiTheme="minorHAnsi" w:cs="Arial"/>
          <w:lang w:val="en-NZ"/>
        </w:rPr>
        <w:t>The exclusion criteria included:</w:t>
      </w:r>
    </w:p>
    <w:p w:rsidR="0074774A" w:rsidRPr="002A1518" w:rsidRDefault="0074774A" w:rsidP="0074774A">
      <w:pPr>
        <w:pStyle w:val="ListBullet"/>
        <w:numPr>
          <w:ilvl w:val="0"/>
          <w:numId w:val="3"/>
        </w:numPr>
        <w:rPr>
          <w:lang w:val="en-NZ"/>
        </w:rPr>
      </w:pPr>
      <w:r w:rsidRPr="002A1518">
        <w:rPr>
          <w:lang w:val="en-NZ"/>
        </w:rPr>
        <w:t>Subject had a current, uncontrolled, comorbid psychiatric diagnosis (except oppositional defiant disorder) with significant symptoms such as any severe comorbid Axis II disorders or severe Axis I disorders, or other symptomatic manifestations that, in the opinion of the examining physician, contraindicated SPD503 treatment or confounded efficacy or safety assessments. Comorbid psychiatric diagnosis was established with select modules of the K-SADS-PL.</w:t>
      </w:r>
    </w:p>
    <w:p w:rsidR="0074774A" w:rsidRPr="002A1518" w:rsidRDefault="0074774A" w:rsidP="0074774A">
      <w:pPr>
        <w:pStyle w:val="ListBullet"/>
        <w:numPr>
          <w:ilvl w:val="0"/>
          <w:numId w:val="3"/>
        </w:numPr>
        <w:rPr>
          <w:lang w:val="en-NZ"/>
        </w:rPr>
      </w:pPr>
      <w:r w:rsidRPr="002A1518">
        <w:rPr>
          <w:lang w:val="en-NZ"/>
        </w:rPr>
        <w:t>Subject weighed less than 55lb (25kg).</w:t>
      </w:r>
    </w:p>
    <w:p w:rsidR="0074774A" w:rsidRPr="002A1518" w:rsidRDefault="0074774A" w:rsidP="0074774A">
      <w:pPr>
        <w:pStyle w:val="ListBullet"/>
        <w:numPr>
          <w:ilvl w:val="0"/>
          <w:numId w:val="3"/>
        </w:numPr>
        <w:rPr>
          <w:lang w:val="en-NZ"/>
        </w:rPr>
      </w:pPr>
      <w:r w:rsidRPr="002A1518">
        <w:rPr>
          <w:lang w:val="en-NZ"/>
        </w:rPr>
        <w:t>Subject, in the opinion of the Investigator, was morbidly overweight or obese.</w:t>
      </w:r>
    </w:p>
    <w:p w:rsidR="0074774A" w:rsidRPr="002A1518" w:rsidRDefault="0074774A" w:rsidP="0074774A">
      <w:pPr>
        <w:pStyle w:val="ListBullet"/>
        <w:numPr>
          <w:ilvl w:val="0"/>
          <w:numId w:val="3"/>
        </w:numPr>
        <w:rPr>
          <w:lang w:val="en-NZ"/>
        </w:rPr>
      </w:pPr>
      <w:r w:rsidRPr="002A1518">
        <w:rPr>
          <w:lang w:val="en-NZ"/>
        </w:rPr>
        <w:t>Subject had a QTc interval greater than 440 milliseconds at the Screening Visit.</w:t>
      </w:r>
    </w:p>
    <w:p w:rsidR="0074774A" w:rsidRPr="002A1518" w:rsidRDefault="0074774A" w:rsidP="0074774A">
      <w:pPr>
        <w:pStyle w:val="ListBullet"/>
        <w:numPr>
          <w:ilvl w:val="0"/>
          <w:numId w:val="3"/>
        </w:numPr>
        <w:rPr>
          <w:lang w:val="en-NZ"/>
        </w:rPr>
      </w:pPr>
      <w:r w:rsidRPr="002A1518">
        <w:rPr>
          <w:lang w:val="en-NZ"/>
        </w:rPr>
        <w:t>Subject had, in the opinion of the Investigator, any specific cardiac condition or family history, which required exclusion.</w:t>
      </w:r>
    </w:p>
    <w:p w:rsidR="0074774A" w:rsidRPr="002A1518" w:rsidRDefault="0074774A" w:rsidP="0074774A">
      <w:pPr>
        <w:pStyle w:val="ListBullet"/>
        <w:numPr>
          <w:ilvl w:val="0"/>
          <w:numId w:val="3"/>
        </w:numPr>
        <w:rPr>
          <w:lang w:val="en-NZ"/>
        </w:rPr>
      </w:pPr>
      <w:r w:rsidRPr="002A1518">
        <w:rPr>
          <w:lang w:val="en-NZ"/>
        </w:rPr>
        <w:t>Subject was hypertensive.</w:t>
      </w:r>
    </w:p>
    <w:p w:rsidR="0074774A" w:rsidRPr="002A1518" w:rsidRDefault="0074774A" w:rsidP="0074774A">
      <w:pPr>
        <w:pStyle w:val="ListBullet"/>
        <w:numPr>
          <w:ilvl w:val="0"/>
          <w:numId w:val="3"/>
        </w:numPr>
        <w:rPr>
          <w:lang w:val="en-NZ"/>
        </w:rPr>
      </w:pPr>
      <w:r w:rsidRPr="002A1518">
        <w:rPr>
          <w:lang w:val="en-NZ"/>
        </w:rPr>
        <w:t>Subject was taking medications that affected BP or heart rate (with the exception of subject’s current ADHD therapy).</w:t>
      </w:r>
    </w:p>
    <w:p w:rsidR="0074774A" w:rsidRPr="002A1518" w:rsidRDefault="0074774A" w:rsidP="0074774A">
      <w:pPr>
        <w:pStyle w:val="ListBullet"/>
        <w:numPr>
          <w:ilvl w:val="0"/>
          <w:numId w:val="3"/>
        </w:numPr>
        <w:rPr>
          <w:lang w:val="en-NZ"/>
        </w:rPr>
      </w:pPr>
      <w:r w:rsidRPr="002A1518">
        <w:rPr>
          <w:lang w:val="en-NZ"/>
        </w:rPr>
        <w:t>Subject had a history of seizure during the last 2 years (exclusive of febrile seizures), a tic disorder, or a family history of Tourette’s disorder. Medication induced tics were not exclusionary.</w:t>
      </w:r>
    </w:p>
    <w:p w:rsidR="0074774A" w:rsidRPr="002A1518" w:rsidRDefault="0074774A" w:rsidP="0074774A">
      <w:pPr>
        <w:pStyle w:val="ListBullet"/>
        <w:numPr>
          <w:ilvl w:val="0"/>
          <w:numId w:val="3"/>
        </w:numPr>
        <w:rPr>
          <w:lang w:val="en-NZ"/>
        </w:rPr>
      </w:pPr>
      <w:r w:rsidRPr="002A1518">
        <w:rPr>
          <w:lang w:val="en-NZ"/>
        </w:rPr>
        <w:t>Subject was taking any medication that was excluded.</w:t>
      </w:r>
    </w:p>
    <w:p w:rsidR="0074774A" w:rsidRPr="002A1518" w:rsidRDefault="0074774A" w:rsidP="0074774A">
      <w:pPr>
        <w:pStyle w:val="ListBullet"/>
        <w:numPr>
          <w:ilvl w:val="0"/>
          <w:numId w:val="3"/>
        </w:numPr>
        <w:rPr>
          <w:lang w:val="en-NZ"/>
        </w:rPr>
      </w:pPr>
      <w:r w:rsidRPr="002A1518">
        <w:rPr>
          <w:lang w:val="en-NZ"/>
        </w:rPr>
        <w:t>Subject was taking other medications that have central nervous system (CNS) effects or affected performance, such as sedating antihistamines and decongestant sympathomimetics.</w:t>
      </w:r>
      <w:r>
        <w:rPr>
          <w:lang w:val="en-NZ"/>
        </w:rPr>
        <w:t xml:space="preserve"> </w:t>
      </w:r>
      <w:r w:rsidRPr="002A1518">
        <w:rPr>
          <w:lang w:val="en-NZ"/>
        </w:rPr>
        <w:t>Bronchodilators were not exclusionary.</w:t>
      </w:r>
    </w:p>
    <w:p w:rsidR="0074774A" w:rsidRPr="002A1518" w:rsidRDefault="0074774A" w:rsidP="0074774A">
      <w:pPr>
        <w:pStyle w:val="ListBullet"/>
        <w:numPr>
          <w:ilvl w:val="0"/>
          <w:numId w:val="3"/>
        </w:numPr>
        <w:rPr>
          <w:lang w:val="en-NZ"/>
        </w:rPr>
      </w:pPr>
      <w:r w:rsidRPr="002A1518">
        <w:rPr>
          <w:lang w:val="en-NZ"/>
        </w:rPr>
        <w:t>Subject had any abnormal thyroid function that was not adequately treated in the opinion of the Investigator.</w:t>
      </w:r>
    </w:p>
    <w:p w:rsidR="0074774A" w:rsidRPr="002A1518" w:rsidRDefault="0074774A" w:rsidP="0074774A">
      <w:pPr>
        <w:pStyle w:val="ListBullet"/>
        <w:numPr>
          <w:ilvl w:val="0"/>
          <w:numId w:val="3"/>
        </w:numPr>
        <w:rPr>
          <w:lang w:val="en-NZ"/>
        </w:rPr>
      </w:pPr>
      <w:r w:rsidRPr="002A1518">
        <w:rPr>
          <w:lang w:val="en-NZ"/>
        </w:rPr>
        <w:t>Subject had any clinically significant laboratory abnormalities at Screening, in the opinion of the Investigator.</w:t>
      </w:r>
    </w:p>
    <w:p w:rsidR="0074774A" w:rsidRPr="002A1518" w:rsidRDefault="0074774A" w:rsidP="0074774A">
      <w:pPr>
        <w:pStyle w:val="ListBullet"/>
        <w:numPr>
          <w:ilvl w:val="0"/>
          <w:numId w:val="3"/>
        </w:numPr>
        <w:rPr>
          <w:lang w:val="en-NZ"/>
        </w:rPr>
      </w:pPr>
      <w:r w:rsidRPr="002A1518">
        <w:rPr>
          <w:lang w:val="en-NZ"/>
        </w:rPr>
        <w:t>Subject had a concurrent chronic or acute illness (such as allergic rhinitis or severe cold), disability, or other condition that could confound the results of safety assessments administered in the study or that could increase risk to the subject.</w:t>
      </w:r>
    </w:p>
    <w:p w:rsidR="0074774A" w:rsidRPr="002A1518" w:rsidRDefault="0074774A" w:rsidP="0074774A">
      <w:pPr>
        <w:pStyle w:val="ListBullet"/>
        <w:numPr>
          <w:ilvl w:val="0"/>
          <w:numId w:val="3"/>
        </w:numPr>
        <w:rPr>
          <w:lang w:val="en-NZ"/>
        </w:rPr>
      </w:pPr>
      <w:r w:rsidRPr="002A1518">
        <w:rPr>
          <w:lang w:val="en-NZ"/>
        </w:rPr>
        <w:t>Any additional condition(s) that, in the Investigator’s opinion, could prohibit the subject from completing the study or would not be in the best interest of the subject. This included any significant illness or unstable medic</w:t>
      </w:r>
      <w:r>
        <w:rPr>
          <w:lang w:val="en-NZ"/>
        </w:rPr>
        <w:t>al condition that could have le</w:t>
      </w:r>
      <w:r w:rsidRPr="002A1518">
        <w:rPr>
          <w:lang w:val="en-NZ"/>
        </w:rPr>
        <w:t>d to difficulty in complying with the protocol.</w:t>
      </w:r>
      <w:r>
        <w:rPr>
          <w:lang w:val="en-NZ"/>
        </w:rPr>
        <w:t xml:space="preserve"> </w:t>
      </w:r>
      <w:r w:rsidRPr="002A1518">
        <w:rPr>
          <w:lang w:val="en-NZ"/>
        </w:rPr>
        <w:t>Mild, stable asthma was not exclusionary.</w:t>
      </w:r>
    </w:p>
    <w:p w:rsidR="0074774A" w:rsidRPr="002A1518" w:rsidRDefault="0074774A" w:rsidP="0074774A">
      <w:pPr>
        <w:pStyle w:val="ListBullet"/>
        <w:numPr>
          <w:ilvl w:val="0"/>
          <w:numId w:val="3"/>
        </w:numPr>
        <w:rPr>
          <w:lang w:eastAsia="ja-JP"/>
        </w:rPr>
      </w:pPr>
      <w:r w:rsidRPr="002A1518">
        <w:rPr>
          <w:lang w:val="en-NZ"/>
        </w:rPr>
        <w:t>Female subject was pregnant or lactating.</w:t>
      </w:r>
    </w:p>
    <w:p w:rsidR="0074774A" w:rsidRPr="005632DC" w:rsidRDefault="0074774A" w:rsidP="0074774A">
      <w:pPr>
        <w:pStyle w:val="Heading5"/>
        <w:numPr>
          <w:ilvl w:val="3"/>
          <w:numId w:val="29"/>
        </w:numPr>
        <w:ind w:left="1304" w:hanging="1077"/>
      </w:pPr>
      <w:r w:rsidRPr="005632DC">
        <w:t>Study treatments</w:t>
      </w:r>
    </w:p>
    <w:p w:rsidR="0074774A" w:rsidRDefault="0074774A" w:rsidP="0074774A">
      <w:pPr>
        <w:rPr>
          <w:lang w:eastAsia="ja-JP"/>
        </w:rPr>
      </w:pPr>
      <w:r>
        <w:rPr>
          <w:lang w:eastAsia="ja-JP"/>
        </w:rPr>
        <w:t>The study treatments were:</w:t>
      </w:r>
    </w:p>
    <w:p w:rsidR="0074774A" w:rsidRDefault="0074774A" w:rsidP="0074774A">
      <w:pPr>
        <w:pStyle w:val="Numberbullet0"/>
        <w:rPr>
          <w:lang w:eastAsia="ja-JP"/>
        </w:rPr>
      </w:pPr>
      <w:r>
        <w:rPr>
          <w:lang w:eastAsia="ja-JP"/>
        </w:rPr>
        <w:t>Guanfacine extended release 2 mg daily</w:t>
      </w:r>
    </w:p>
    <w:p w:rsidR="0074774A" w:rsidRDefault="0074774A" w:rsidP="0074774A">
      <w:pPr>
        <w:pStyle w:val="Numberbullet0"/>
        <w:rPr>
          <w:lang w:eastAsia="ja-JP"/>
        </w:rPr>
      </w:pPr>
      <w:r>
        <w:rPr>
          <w:lang w:eastAsia="ja-JP"/>
        </w:rPr>
        <w:t>Guanfacine extended release 3 mg daily</w:t>
      </w:r>
    </w:p>
    <w:p w:rsidR="0074774A" w:rsidRDefault="0074774A" w:rsidP="0074774A">
      <w:pPr>
        <w:pStyle w:val="Numberbullet0"/>
        <w:rPr>
          <w:lang w:eastAsia="ja-JP"/>
        </w:rPr>
      </w:pPr>
      <w:r>
        <w:rPr>
          <w:lang w:eastAsia="ja-JP"/>
        </w:rPr>
        <w:t>Guanfacine extended release 4 mg daily</w:t>
      </w:r>
    </w:p>
    <w:p w:rsidR="0074774A" w:rsidRDefault="0074774A" w:rsidP="0074774A">
      <w:pPr>
        <w:pStyle w:val="Numberbullet0"/>
        <w:rPr>
          <w:lang w:eastAsia="ja-JP"/>
        </w:rPr>
      </w:pPr>
      <w:r>
        <w:rPr>
          <w:lang w:eastAsia="ja-JP"/>
        </w:rPr>
        <w:t>Placebo</w:t>
      </w:r>
    </w:p>
    <w:p w:rsidR="0074774A" w:rsidRDefault="0074774A" w:rsidP="0074774A">
      <w:pPr>
        <w:rPr>
          <w:lang w:eastAsia="ja-JP"/>
        </w:rPr>
      </w:pPr>
      <w:r>
        <w:rPr>
          <w:lang w:eastAsia="ja-JP"/>
        </w:rPr>
        <w:lastRenderedPageBreak/>
        <w:t>There was a washout period from all psychoactive medication lasting 1 week. The treatments were up-titrated over a 3 week period. The maintenance phase was 2 weeks in duration. There was a 3 week taper of treatment for those subjects who did not continue into the open label extension (Study SPD503 302).</w:t>
      </w:r>
    </w:p>
    <w:p w:rsidR="0074774A" w:rsidRPr="005632DC" w:rsidRDefault="0074774A" w:rsidP="0074774A">
      <w:pPr>
        <w:pStyle w:val="Heading5"/>
        <w:numPr>
          <w:ilvl w:val="3"/>
          <w:numId w:val="29"/>
        </w:numPr>
        <w:ind w:left="1304" w:hanging="1077"/>
      </w:pPr>
      <w:bookmarkStart w:id="259" w:name="_Efficacy_variables_and"/>
      <w:bookmarkEnd w:id="259"/>
      <w:r w:rsidRPr="005632DC">
        <w:t>Efficacy variables and outcomes</w:t>
      </w:r>
    </w:p>
    <w:p w:rsidR="0074774A" w:rsidRPr="008B5684" w:rsidRDefault="0074774A" w:rsidP="0074774A">
      <w:pPr>
        <w:rPr>
          <w:rFonts w:asciiTheme="minorHAnsi" w:hAnsiTheme="minorHAnsi"/>
          <w:lang w:eastAsia="ja-JP"/>
        </w:rPr>
      </w:pPr>
      <w:r w:rsidRPr="008B5684">
        <w:rPr>
          <w:rFonts w:asciiTheme="minorHAnsi" w:hAnsiTheme="minorHAnsi"/>
          <w:lang w:eastAsia="ja-JP"/>
        </w:rPr>
        <w:t xml:space="preserve">The primary efficacy outcome measure was the change from baseline in </w:t>
      </w:r>
      <w:r w:rsidRPr="008B5684">
        <w:rPr>
          <w:rFonts w:asciiTheme="minorHAnsi" w:eastAsiaTheme="minorHAnsi" w:hAnsiTheme="minorHAnsi" w:cs="Arial"/>
          <w:lang w:val="en-NZ"/>
        </w:rPr>
        <w:t>ADHD Rating Scale-IV (</w:t>
      </w:r>
      <w:r w:rsidRPr="008B5684">
        <w:rPr>
          <w:rFonts w:asciiTheme="minorHAnsi" w:hAnsiTheme="minorHAnsi"/>
          <w:lang w:eastAsia="ja-JP"/>
        </w:rPr>
        <w:t>ADHD-RS-IV) total score at endpoint.</w:t>
      </w:r>
      <w:r>
        <w:rPr>
          <w:rFonts w:asciiTheme="minorHAnsi" w:hAnsiTheme="minorHAnsi"/>
          <w:lang w:eastAsia="ja-JP"/>
        </w:rPr>
        <w:t xml:space="preserve"> </w:t>
      </w:r>
      <w:r w:rsidRPr="008B5684">
        <w:rPr>
          <w:rFonts w:asciiTheme="minorHAnsi" w:hAnsiTheme="minorHAnsi"/>
          <w:lang w:eastAsia="ja-JP"/>
        </w:rPr>
        <w:t>The secondary efficacy outcome measures were:</w:t>
      </w:r>
    </w:p>
    <w:p w:rsidR="0074774A" w:rsidRPr="008B5684" w:rsidRDefault="0074774A" w:rsidP="0074774A">
      <w:pPr>
        <w:pStyle w:val="ListBullet"/>
        <w:numPr>
          <w:ilvl w:val="0"/>
          <w:numId w:val="3"/>
        </w:numPr>
        <w:rPr>
          <w:lang w:val="en-NZ"/>
        </w:rPr>
      </w:pPr>
      <w:r w:rsidRPr="008B5684">
        <w:rPr>
          <w:lang w:val="en-NZ"/>
        </w:rPr>
        <w:t>Conners’ Parent Rating Scale-Revised: Short Form (CPRS-R) total score</w:t>
      </w:r>
    </w:p>
    <w:p w:rsidR="0074774A" w:rsidRPr="008B5684" w:rsidRDefault="0074774A" w:rsidP="0074774A">
      <w:pPr>
        <w:pStyle w:val="ListBullet"/>
        <w:numPr>
          <w:ilvl w:val="0"/>
          <w:numId w:val="3"/>
        </w:numPr>
        <w:rPr>
          <w:lang w:val="en-NZ"/>
        </w:rPr>
      </w:pPr>
      <w:r w:rsidRPr="008B5684">
        <w:rPr>
          <w:lang w:val="en-NZ"/>
        </w:rPr>
        <w:t>Conners’ Teacher Rating Scale-Revised: Short Form (CTRS-R) total score</w:t>
      </w:r>
    </w:p>
    <w:p w:rsidR="0074774A" w:rsidRPr="008B5684" w:rsidRDefault="0074774A" w:rsidP="0074774A">
      <w:pPr>
        <w:pStyle w:val="ListBullet"/>
        <w:numPr>
          <w:ilvl w:val="0"/>
          <w:numId w:val="3"/>
        </w:numPr>
        <w:rPr>
          <w:lang w:val="en-NZ"/>
        </w:rPr>
      </w:pPr>
      <w:r w:rsidRPr="008B5684">
        <w:rPr>
          <w:lang w:val="en-NZ"/>
        </w:rPr>
        <w:t>Clinical Global Impression-Improvement (CGI-I)</w:t>
      </w:r>
    </w:p>
    <w:p w:rsidR="0074774A" w:rsidRPr="008B5684" w:rsidRDefault="0074774A" w:rsidP="0074774A">
      <w:pPr>
        <w:pStyle w:val="ListBullet"/>
        <w:numPr>
          <w:ilvl w:val="0"/>
          <w:numId w:val="3"/>
        </w:numPr>
        <w:rPr>
          <w:lang w:val="en-NZ"/>
        </w:rPr>
      </w:pPr>
      <w:r w:rsidRPr="008B5684">
        <w:rPr>
          <w:lang w:val="en-NZ"/>
        </w:rPr>
        <w:t>Parent Global Assessment (PGA)</w:t>
      </w:r>
    </w:p>
    <w:p w:rsidR="0074774A" w:rsidRPr="008B5684" w:rsidRDefault="0074774A" w:rsidP="0074774A">
      <w:pPr>
        <w:pStyle w:val="ListBullet"/>
        <w:numPr>
          <w:ilvl w:val="0"/>
          <w:numId w:val="3"/>
        </w:numPr>
        <w:rPr>
          <w:lang w:val="en-NZ"/>
        </w:rPr>
      </w:pPr>
      <w:r w:rsidRPr="008B5684">
        <w:rPr>
          <w:lang w:val="en-NZ"/>
        </w:rPr>
        <w:t>Child Health Questionnaire-Parent Form (CHQ-PF50)</w:t>
      </w:r>
    </w:p>
    <w:p w:rsidR="0074774A" w:rsidRPr="008B5684" w:rsidRDefault="0074774A" w:rsidP="0074774A">
      <w:pPr>
        <w:pStyle w:val="ListBullet"/>
        <w:numPr>
          <w:ilvl w:val="0"/>
          <w:numId w:val="3"/>
        </w:numPr>
        <w:rPr>
          <w:lang w:eastAsia="ja-JP"/>
        </w:rPr>
      </w:pPr>
      <w:r w:rsidRPr="008B5684">
        <w:rPr>
          <w:lang w:val="en-NZ"/>
        </w:rPr>
        <w:t>Child Health Questionnaire-Child Form (CHQ-CF87)</w:t>
      </w:r>
    </w:p>
    <w:p w:rsidR="0074774A" w:rsidRDefault="0074774A" w:rsidP="0074774A">
      <w:pPr>
        <w:rPr>
          <w:lang w:eastAsia="ja-JP"/>
        </w:rPr>
      </w:pPr>
      <w:r>
        <w:rPr>
          <w:lang w:eastAsia="ja-JP"/>
        </w:rPr>
        <w:t>The safety outcome measures were: AEs, vital signs, physical examinations, height, weight, 12 lead ECGs, clinical laboratory tests and concomitant medications.</w:t>
      </w:r>
    </w:p>
    <w:p w:rsidR="0074774A" w:rsidRPr="005632DC" w:rsidRDefault="0074774A" w:rsidP="0074774A">
      <w:pPr>
        <w:pStyle w:val="Heading5"/>
        <w:numPr>
          <w:ilvl w:val="3"/>
          <w:numId w:val="29"/>
        </w:numPr>
        <w:ind w:left="1304" w:hanging="1077"/>
      </w:pPr>
      <w:r w:rsidRPr="005632DC">
        <w:t>Randomisation and blinding methods</w:t>
      </w:r>
    </w:p>
    <w:p w:rsidR="00886C19" w:rsidRDefault="0074774A" w:rsidP="0074774A">
      <w:pPr>
        <w:rPr>
          <w:lang w:eastAsia="ja-JP"/>
        </w:rPr>
      </w:pPr>
      <w:r>
        <w:rPr>
          <w:lang w:eastAsia="ja-JP"/>
        </w:rPr>
        <w:t>Subjects were randomised to treatment in the ratio 1:1:1:1.</w:t>
      </w:r>
    </w:p>
    <w:p w:rsidR="0074774A" w:rsidRPr="005632DC" w:rsidDel="0081373E" w:rsidRDefault="0074774A" w:rsidP="0074774A">
      <w:pPr>
        <w:pStyle w:val="Heading5"/>
        <w:numPr>
          <w:ilvl w:val="3"/>
          <w:numId w:val="29"/>
        </w:numPr>
        <w:ind w:left="1304" w:hanging="1077"/>
      </w:pPr>
      <w:r w:rsidRPr="005632DC">
        <w:t>Analysis populations</w:t>
      </w:r>
    </w:p>
    <w:p w:rsidR="0074774A" w:rsidRDefault="0074774A" w:rsidP="0074774A">
      <w:pPr>
        <w:rPr>
          <w:lang w:eastAsia="ja-JP"/>
        </w:rPr>
      </w:pPr>
      <w:r>
        <w:rPr>
          <w:lang w:eastAsia="ja-JP"/>
        </w:rPr>
        <w:t>The ITT population included all randomised subjects who had a baseline and at least one post-baseline measure for ADHD-RS-IV. The safety population included all subjects who participated or enrolled in the study.</w:t>
      </w:r>
    </w:p>
    <w:p w:rsidR="0074774A" w:rsidRPr="005632DC" w:rsidRDefault="0074774A" w:rsidP="0074774A">
      <w:pPr>
        <w:pStyle w:val="Heading5"/>
        <w:numPr>
          <w:ilvl w:val="3"/>
          <w:numId w:val="29"/>
        </w:numPr>
        <w:ind w:left="1304" w:hanging="1077"/>
      </w:pPr>
      <w:r w:rsidRPr="005632DC" w:rsidDel="0081373E">
        <w:t>S</w:t>
      </w:r>
      <w:r w:rsidRPr="005632DC">
        <w:t>ample size</w:t>
      </w:r>
    </w:p>
    <w:p w:rsidR="0074774A" w:rsidRDefault="0074774A" w:rsidP="0074774A">
      <w:pPr>
        <w:rPr>
          <w:lang w:eastAsia="ja-JP"/>
        </w:rPr>
      </w:pPr>
      <w:r>
        <w:rPr>
          <w:lang w:eastAsia="ja-JP"/>
        </w:rPr>
        <w:t>The sample size calculation was based on the primary efficacy outcome measure. An effect size of 0.50 was observed in a Phase2 study, and at an alpha of 0.05 (2-tailed), 70 subjects in each group would provide a power &gt;80% for comparisons between individual treatment groups and placebo.</w:t>
      </w:r>
    </w:p>
    <w:p w:rsidR="0074774A" w:rsidRPr="005632DC" w:rsidRDefault="0074774A" w:rsidP="0074774A">
      <w:pPr>
        <w:pStyle w:val="Heading5"/>
        <w:numPr>
          <w:ilvl w:val="3"/>
          <w:numId w:val="29"/>
        </w:numPr>
        <w:ind w:left="1304" w:hanging="1077"/>
      </w:pPr>
      <w:r w:rsidRPr="005632DC">
        <w:t>Statistical methods</w:t>
      </w:r>
    </w:p>
    <w:p w:rsidR="0074774A" w:rsidRDefault="0074774A" w:rsidP="0074774A">
      <w:pPr>
        <w:rPr>
          <w:lang w:eastAsia="ja-JP"/>
        </w:rPr>
      </w:pPr>
      <w:r>
        <w:rPr>
          <w:lang w:eastAsia="ja-JP"/>
        </w:rPr>
        <w:t>Hypothesis tests were performed using ANOVA and ANCOVA models.</w:t>
      </w:r>
    </w:p>
    <w:p w:rsidR="00886C19" w:rsidRDefault="0074774A" w:rsidP="0074774A">
      <w:pPr>
        <w:pStyle w:val="Heading5"/>
        <w:numPr>
          <w:ilvl w:val="3"/>
          <w:numId w:val="29"/>
        </w:numPr>
        <w:ind w:left="1304" w:hanging="1077"/>
      </w:pPr>
      <w:bookmarkStart w:id="260" w:name="_Participant_flow"/>
      <w:bookmarkEnd w:id="260"/>
      <w:r w:rsidRPr="005632DC">
        <w:t>Participant flow</w:t>
      </w:r>
    </w:p>
    <w:p w:rsidR="0074774A" w:rsidRDefault="0074774A" w:rsidP="0074774A">
      <w:pPr>
        <w:rPr>
          <w:lang w:eastAsia="ja-JP"/>
        </w:rPr>
      </w:pPr>
      <w:r>
        <w:rPr>
          <w:lang w:eastAsia="ja-JP"/>
        </w:rPr>
        <w:t>A total of 345 subjects enrolled in the study: 87 in the 2 mg group, 86 in the 3 mg, 86 in the 4 mg and 86 in the placebo (Table 5). A total of 215 subjects completed the study: 58 (66.7%) in the 2 mg group, 55 (64.0%) in the 3 mg, 49 (57.0%) in the 4 mg and 53 (61.6%) in the placebo. A greater proportion of subjects in the placebo group discontinued because of lack of efficacy, and dose-related greater proportions discontinued in the guanfacine groups because of AE.</w:t>
      </w:r>
    </w:p>
    <w:p w:rsidR="0074774A" w:rsidRPr="00895E67" w:rsidRDefault="0074774A" w:rsidP="0074774A">
      <w:pPr>
        <w:pStyle w:val="Tabletitle"/>
      </w:pPr>
      <w:bookmarkStart w:id="261" w:name="Table_7_2_1_2"/>
      <w:r>
        <w:lastRenderedPageBreak/>
        <w:t>Table 5</w:t>
      </w:r>
      <w:bookmarkEnd w:id="261"/>
      <w:r>
        <w:t xml:space="preserve">: </w:t>
      </w:r>
      <w:r w:rsidRPr="00895E67">
        <w:rPr>
          <w:lang w:val="en-NZ"/>
        </w:rPr>
        <w:t>Distribution and Disposition by Randomized Dose (All Subjects) (copied from Table 7, Study SPD503-301 CSR)</w:t>
      </w:r>
    </w:p>
    <w:p w:rsidR="0074774A" w:rsidRPr="00895E67" w:rsidRDefault="0074774A" w:rsidP="0074774A">
      <w:r w:rsidRPr="00895E67">
        <w:rPr>
          <w:noProof/>
          <w:lang w:eastAsia="en-AU"/>
        </w:rPr>
        <w:drawing>
          <wp:inline distT="0" distB="0" distL="0" distR="0" wp14:anchorId="5B6B3045" wp14:editId="3A27A840">
            <wp:extent cx="4340352" cy="2336743"/>
            <wp:effectExtent l="0" t="0" r="3175" b="6985"/>
            <wp:docPr id="71" name="Picture 71" descr="Table 5: Distribution and Disposition by Randomized Dose (All Subjects) (copied from Table 7, Study SPD503-3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4340587" cy="2336869"/>
                    </a:xfrm>
                    <a:prstGeom prst="rect">
                      <a:avLst/>
                    </a:prstGeom>
                    <a:noFill/>
                    <a:ln>
                      <a:noFill/>
                    </a:ln>
                  </pic:spPr>
                </pic:pic>
              </a:graphicData>
            </a:graphic>
          </wp:inline>
        </w:drawing>
      </w:r>
    </w:p>
    <w:p w:rsidR="0074774A" w:rsidRPr="00EC3AE0" w:rsidRDefault="0074774A" w:rsidP="0074774A">
      <w:pPr>
        <w:pStyle w:val="Heading5"/>
        <w:numPr>
          <w:ilvl w:val="3"/>
          <w:numId w:val="29"/>
        </w:numPr>
        <w:ind w:left="1304" w:hanging="1077"/>
      </w:pPr>
      <w:r w:rsidRPr="00EC3AE0">
        <w:t>Major protocol violations/deviations</w:t>
      </w:r>
    </w:p>
    <w:p w:rsidR="0074774A" w:rsidRDefault="0074774A" w:rsidP="0074774A">
      <w:pPr>
        <w:rPr>
          <w:lang w:eastAsia="ja-JP"/>
        </w:rPr>
      </w:pPr>
      <w:r>
        <w:rPr>
          <w:lang w:eastAsia="ja-JP"/>
        </w:rPr>
        <w:t>Withdrawal due to protocol violation was recorded for three (3.4%) subjects in the guanfacine 2 mg group and one (1.2%) in the placebo.</w:t>
      </w:r>
    </w:p>
    <w:p w:rsidR="0074774A" w:rsidRPr="00EC3AE0" w:rsidRDefault="0074774A" w:rsidP="0074774A">
      <w:pPr>
        <w:pStyle w:val="Heading5"/>
        <w:numPr>
          <w:ilvl w:val="3"/>
          <w:numId w:val="29"/>
        </w:numPr>
        <w:ind w:left="1304" w:hanging="1077"/>
      </w:pPr>
      <w:bookmarkStart w:id="262" w:name="_Baseline_data"/>
      <w:bookmarkEnd w:id="262"/>
      <w:r w:rsidRPr="00EC3AE0">
        <w:t>Baseline data</w:t>
      </w:r>
    </w:p>
    <w:p w:rsidR="0074774A" w:rsidRDefault="0074774A" w:rsidP="0074774A">
      <w:pPr>
        <w:rPr>
          <w:lang w:eastAsia="ja-JP"/>
        </w:rPr>
      </w:pPr>
      <w:r>
        <w:rPr>
          <w:lang w:eastAsia="ja-JP"/>
        </w:rPr>
        <w:t>There were 257 (74.5%) males, 88 (25.5%) females and the age range was 6 to 17 years. There were 91 (26.4%) subjects aged 6 to 8 years, 174 (50.4%) aged 9 to 12 years and 80 (23.2%) aged 13 to 17 years. There were 248 (71.9%) subjects with combined ADHD subtype, 90 (26.1%) with inattentive and seven with hyperactive-impulsive. Prior treatment with methylphenidate was recorded for 54 (15.7%) subjects and with amphetamine for 30 (8.7%). The most commonly used concomitant medications were paracetamol in 58 (16.8%) subjects and ibuprofen in 44 (12.8%). Compliance for the ITT population was reported as 97.6%. Baseline efficacy scores were similar for the four treatment groups (Table 6).</w:t>
      </w:r>
    </w:p>
    <w:p w:rsidR="0074774A" w:rsidRDefault="0074774A" w:rsidP="0074774A">
      <w:pPr>
        <w:pStyle w:val="Tabletitle"/>
      </w:pPr>
      <w:bookmarkStart w:id="263" w:name="Table_7_2_1_4"/>
      <w:r>
        <w:lastRenderedPageBreak/>
        <w:t>Table 6:</w:t>
      </w:r>
      <w:bookmarkEnd w:id="263"/>
      <w:r>
        <w:t xml:space="preserve"> Baseline efficacy outcome measure scores (copied from Tables 12 and 12, Study SPD503-301 CSR)</w:t>
      </w:r>
    </w:p>
    <w:p w:rsidR="0074774A" w:rsidRPr="00A706AD" w:rsidRDefault="0074774A" w:rsidP="0074774A">
      <w:pPr>
        <w:pStyle w:val="TableDescription"/>
        <w:keepNext/>
      </w:pPr>
      <w:r w:rsidRPr="00A706AD">
        <w:t>ADHD-RS-IV</w:t>
      </w:r>
    </w:p>
    <w:p w:rsidR="0074774A" w:rsidRDefault="0074774A" w:rsidP="0074774A">
      <w:pPr>
        <w:keepNext/>
      </w:pPr>
      <w:r w:rsidRPr="00A706AD">
        <w:rPr>
          <w:noProof/>
          <w:lang w:eastAsia="en-AU"/>
        </w:rPr>
        <w:drawing>
          <wp:inline distT="0" distB="0" distL="0" distR="0" wp14:anchorId="1E6E6948" wp14:editId="0CC9B452">
            <wp:extent cx="5731510" cy="1076750"/>
            <wp:effectExtent l="0" t="0" r="2540" b="9525"/>
            <wp:docPr id="73" name="Picture 73" descr="Table 6: Baseline efficacy outcome measure scores (copied from Tables 12 and 12, Study SPD503-301 CSR)&#10;ADHD-R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076750"/>
                    </a:xfrm>
                    <a:prstGeom prst="rect">
                      <a:avLst/>
                    </a:prstGeom>
                    <a:noFill/>
                    <a:ln>
                      <a:noFill/>
                    </a:ln>
                  </pic:spPr>
                </pic:pic>
              </a:graphicData>
            </a:graphic>
          </wp:inline>
        </w:drawing>
      </w:r>
    </w:p>
    <w:p w:rsidR="0074774A" w:rsidRPr="00A706AD" w:rsidRDefault="0074774A" w:rsidP="0074774A">
      <w:pPr>
        <w:pStyle w:val="TableDescription"/>
        <w:keepNext/>
      </w:pPr>
      <w:r w:rsidRPr="00A706AD">
        <w:t>Secondary Efficacy Measures</w:t>
      </w:r>
    </w:p>
    <w:p w:rsidR="0074774A" w:rsidRDefault="0074774A" w:rsidP="0074774A">
      <w:pPr>
        <w:keepNext/>
      </w:pPr>
      <w:r w:rsidRPr="00A706AD">
        <w:rPr>
          <w:noProof/>
          <w:lang w:eastAsia="en-AU"/>
        </w:rPr>
        <w:drawing>
          <wp:inline distT="0" distB="0" distL="0" distR="0" wp14:anchorId="31175401" wp14:editId="66FE7643">
            <wp:extent cx="4692626" cy="3741183"/>
            <wp:effectExtent l="0" t="0" r="0" b="0"/>
            <wp:docPr id="74" name="Picture 74" descr="Table 6: Baseline efficacy outcome measure scores (copied from Tables 12 and 12, Study SPD503-301 CSR)&#10;Secondary Efficacy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2880" cy="3741385"/>
                    </a:xfrm>
                    <a:prstGeom prst="rect">
                      <a:avLst/>
                    </a:prstGeom>
                    <a:noFill/>
                    <a:ln>
                      <a:noFill/>
                    </a:ln>
                  </pic:spPr>
                </pic:pic>
              </a:graphicData>
            </a:graphic>
          </wp:inline>
        </w:drawing>
      </w:r>
    </w:p>
    <w:p w:rsidR="0074774A" w:rsidRPr="00EC3AE0" w:rsidRDefault="0074774A" w:rsidP="0074774A">
      <w:pPr>
        <w:pStyle w:val="Heading5"/>
        <w:numPr>
          <w:ilvl w:val="3"/>
          <w:numId w:val="29"/>
        </w:numPr>
        <w:ind w:left="1304" w:hanging="1077"/>
      </w:pPr>
      <w:bookmarkStart w:id="264" w:name="_Results_for_the"/>
      <w:bookmarkEnd w:id="264"/>
      <w:r w:rsidRPr="00EC3AE0">
        <w:t>Results for the primary efficacy outcome</w:t>
      </w:r>
    </w:p>
    <w:p w:rsidR="0074774A" w:rsidRDefault="0074774A" w:rsidP="0074774A">
      <w:pPr>
        <w:rPr>
          <w:lang w:eastAsia="ja-JP"/>
        </w:rPr>
      </w:pPr>
      <w:r>
        <w:rPr>
          <w:lang w:eastAsia="ja-JP"/>
        </w:rPr>
        <w:t>ADHD-RS-IV improved in a dose-related manner for all guanfacine groups compared to placebo. Mean (SD) change from baseline in ADHD-RS-IV was -15.40 (12.82) for guanfacine 2 mg, -15.79 (13.00) for 3 mg, -18.96 (13.71) for 4 mg and -8.86 (12.90) for placebo (p values all &lt;0.001). When analysed by weight adjusted dose, there was a more obvious dose-dependency in the change from baseline in ADHD-RS-IV total score. Efficacy was significantly greater than placebo in the younger age groups but not in the 13 to 17 years age group (Table 7). Efficacy was demonstrated separately for ADHD-RS-IV total score for the combined type, but not for the inattentive type (Table 8). However, efficacy was demonstrated for both inattentive and hyperactive/impulsivity subscales (Table 9).</w:t>
      </w:r>
    </w:p>
    <w:bookmarkStart w:id="265" w:name="Table_7_2_1_7"/>
    <w:p w:rsidR="0074774A" w:rsidRPr="00E61B15" w:rsidRDefault="0074774A" w:rsidP="0074774A">
      <w:pPr>
        <w:pStyle w:val="Tabletitle"/>
      </w:pPr>
      <w:r>
        <w:lastRenderedPageBreak/>
        <w:fldChar w:fldCharType="begin"/>
      </w:r>
      <w:r>
        <w:instrText xml:space="preserve"> HYPERLINK  \l "_Results_for_the" </w:instrText>
      </w:r>
      <w:r>
        <w:fldChar w:fldCharType="end"/>
      </w:r>
      <w:bookmarkEnd w:id="265"/>
      <w:r>
        <w:t xml:space="preserve">Table 7: </w:t>
      </w:r>
      <w:r w:rsidRPr="00E61B15">
        <w:rPr>
          <w:lang w:val="en-NZ"/>
        </w:rPr>
        <w:t>ADHD-RS-IV Total Score at Endpoint by Randomized Dose and by Age Groups (ITT Population) (copied from Table 18, Study SPD503-301 CSR)</w:t>
      </w:r>
    </w:p>
    <w:p w:rsidR="0074774A" w:rsidRDefault="0074774A" w:rsidP="0074774A">
      <w:r w:rsidRPr="009E0918">
        <w:rPr>
          <w:noProof/>
          <w:lang w:eastAsia="en-AU"/>
        </w:rPr>
        <w:drawing>
          <wp:inline distT="0" distB="0" distL="0" distR="0" wp14:anchorId="4B0BE89E" wp14:editId="22E7CE0A">
            <wp:extent cx="5147125" cy="6314400"/>
            <wp:effectExtent l="0" t="0" r="0" b="0"/>
            <wp:docPr id="77" name="Picture 77" descr="Table 7: ADHD-RS-IV Total Score at Endpoint by Randomized Dose and by Age Groups (ITT Population) (copied from Table 18, Study SPD503-3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0138" cy="6318097"/>
                    </a:xfrm>
                    <a:prstGeom prst="rect">
                      <a:avLst/>
                    </a:prstGeom>
                    <a:noFill/>
                    <a:ln>
                      <a:noFill/>
                    </a:ln>
                  </pic:spPr>
                </pic:pic>
              </a:graphicData>
            </a:graphic>
          </wp:inline>
        </w:drawing>
      </w:r>
    </w:p>
    <w:p w:rsidR="0074774A" w:rsidRPr="000F38CE" w:rsidRDefault="0074774A" w:rsidP="0074774A">
      <w:pPr>
        <w:pStyle w:val="Tabletitle"/>
      </w:pPr>
      <w:bookmarkStart w:id="266" w:name="Table_7_2_1_8"/>
      <w:r>
        <w:lastRenderedPageBreak/>
        <w:t>Table 8</w:t>
      </w:r>
      <w:bookmarkEnd w:id="266"/>
      <w:r>
        <w:t xml:space="preserve">: </w:t>
      </w:r>
      <w:r w:rsidRPr="000F38CE">
        <w:rPr>
          <w:lang w:val="en-NZ"/>
        </w:rPr>
        <w:t>ADHD-RS-IV Total Score at Endpoint for Inattentive and Combined ADHD Subtypes by Randomized Dose (ITT Population) (copied from Table 21, Study SPD503-301 CSR)</w:t>
      </w:r>
    </w:p>
    <w:p w:rsidR="0074774A" w:rsidRDefault="0074774A" w:rsidP="0074774A">
      <w:r>
        <w:rPr>
          <w:noProof/>
          <w:lang w:eastAsia="en-AU"/>
        </w:rPr>
        <w:drawing>
          <wp:inline distT="0" distB="0" distL="0" distR="0" wp14:anchorId="31D82AE7" wp14:editId="4CF2AE84">
            <wp:extent cx="4570902" cy="3432024"/>
            <wp:effectExtent l="0" t="0" r="1270" b="0"/>
            <wp:docPr id="78" name="Picture 78" descr="Table 8: ADHD-RS-IV Total Score at Endpoint for Inattentive and Combined ADHD Subtypes by Randomized Dose (ITT Population) (copied from Table 21, Study SPD503-3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1149" cy="3432210"/>
                    </a:xfrm>
                    <a:prstGeom prst="rect">
                      <a:avLst/>
                    </a:prstGeom>
                    <a:noFill/>
                    <a:ln>
                      <a:noFill/>
                    </a:ln>
                  </pic:spPr>
                </pic:pic>
              </a:graphicData>
            </a:graphic>
          </wp:inline>
        </w:drawing>
      </w:r>
    </w:p>
    <w:p w:rsidR="0074774A" w:rsidRPr="00266084" w:rsidRDefault="0074774A" w:rsidP="0074774A">
      <w:pPr>
        <w:pStyle w:val="Tabletitle"/>
      </w:pPr>
      <w:bookmarkStart w:id="267" w:name="Table_7_2_1_9"/>
      <w:r>
        <w:t>Table 9:</w:t>
      </w:r>
      <w:bookmarkEnd w:id="267"/>
      <w:r>
        <w:t xml:space="preserve"> </w:t>
      </w:r>
      <w:r w:rsidRPr="00266084">
        <w:rPr>
          <w:lang w:val="en-NZ"/>
        </w:rPr>
        <w:t>ADHD-RS-IV Inattentiveness and Hyperactivity/Impulsivity Subscale Scores at Endpoint by Randomized Dose (ITT Population) (copied from Table 22, Study SPD503-301 CSR)</w:t>
      </w:r>
    </w:p>
    <w:p w:rsidR="0074774A" w:rsidRDefault="0074774A" w:rsidP="0074774A">
      <w:r>
        <w:rPr>
          <w:noProof/>
          <w:lang w:eastAsia="en-AU"/>
        </w:rPr>
        <w:drawing>
          <wp:inline distT="0" distB="0" distL="0" distR="0" wp14:anchorId="151DEC8D" wp14:editId="38089498">
            <wp:extent cx="4117900" cy="3712314"/>
            <wp:effectExtent l="0" t="0" r="0" b="2540"/>
            <wp:docPr id="79" name="Picture 79" descr="Table 9: ADHD-RS-IV Inattentiveness and Hyperactivity/Impulsivity Subscale Scores at Endpoint by Randomized Dose (ITT Population) (copied from Table 22, Study SPD503-3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8123" cy="3712515"/>
                    </a:xfrm>
                    <a:prstGeom prst="rect">
                      <a:avLst/>
                    </a:prstGeom>
                    <a:noFill/>
                    <a:ln>
                      <a:noFill/>
                    </a:ln>
                  </pic:spPr>
                </pic:pic>
              </a:graphicData>
            </a:graphic>
          </wp:inline>
        </w:drawing>
      </w:r>
    </w:p>
    <w:p w:rsidR="0074774A" w:rsidRPr="005632DC" w:rsidRDefault="0074774A" w:rsidP="0074774A">
      <w:pPr>
        <w:pStyle w:val="Heading5"/>
        <w:numPr>
          <w:ilvl w:val="3"/>
          <w:numId w:val="29"/>
        </w:numPr>
        <w:ind w:left="1304" w:hanging="1077"/>
      </w:pPr>
      <w:bookmarkStart w:id="268" w:name="_Results_for_other"/>
      <w:bookmarkEnd w:id="268"/>
      <w:r w:rsidRPr="005632DC">
        <w:lastRenderedPageBreak/>
        <w:t>Results for other efficacy outcomes</w:t>
      </w:r>
    </w:p>
    <w:p w:rsidR="0074774A" w:rsidRPr="008B5684" w:rsidRDefault="0074774A" w:rsidP="0074774A">
      <w:pPr>
        <w:pStyle w:val="ListParagraph"/>
        <w:numPr>
          <w:ilvl w:val="0"/>
          <w:numId w:val="37"/>
        </w:numPr>
        <w:autoSpaceDE w:val="0"/>
        <w:autoSpaceDN w:val="0"/>
        <w:adjustRightInd w:val="0"/>
        <w:spacing w:before="0" w:after="0" w:line="240" w:lineRule="auto"/>
        <w:ind w:left="567" w:hanging="567"/>
        <w:rPr>
          <w:rFonts w:asciiTheme="minorHAnsi" w:eastAsiaTheme="minorHAnsi" w:hAnsiTheme="minorHAnsi" w:cs="Arial"/>
          <w:lang w:val="en-NZ"/>
        </w:rPr>
      </w:pPr>
      <w:r>
        <w:rPr>
          <w:rFonts w:asciiTheme="minorHAnsi" w:eastAsiaTheme="minorHAnsi" w:hAnsiTheme="minorHAnsi" w:cs="Arial"/>
          <w:lang w:val="en-NZ"/>
        </w:rPr>
        <w:t>There was a significant improvement in CPRS-R</w:t>
      </w:r>
      <w:r w:rsidRPr="008B5684">
        <w:rPr>
          <w:rFonts w:asciiTheme="minorHAnsi" w:eastAsiaTheme="minorHAnsi" w:hAnsiTheme="minorHAnsi" w:cs="Arial"/>
          <w:lang w:val="en-NZ"/>
        </w:rPr>
        <w:t xml:space="preserve"> total score</w:t>
      </w:r>
      <w:r>
        <w:rPr>
          <w:rFonts w:asciiTheme="minorHAnsi" w:eastAsiaTheme="minorHAnsi" w:hAnsiTheme="minorHAnsi" w:cs="Arial"/>
          <w:lang w:val="en-NZ"/>
        </w:rPr>
        <w:t xml:space="preserve"> overall and at all time points during the day</w:t>
      </w:r>
    </w:p>
    <w:p w:rsidR="0074774A" w:rsidRPr="008B5684" w:rsidRDefault="0074774A" w:rsidP="0074774A">
      <w:pPr>
        <w:pStyle w:val="ListParagraph"/>
        <w:numPr>
          <w:ilvl w:val="0"/>
          <w:numId w:val="37"/>
        </w:numPr>
        <w:autoSpaceDE w:val="0"/>
        <w:autoSpaceDN w:val="0"/>
        <w:adjustRightInd w:val="0"/>
        <w:spacing w:before="0" w:after="0" w:line="240" w:lineRule="auto"/>
        <w:ind w:left="567" w:hanging="567"/>
        <w:rPr>
          <w:rFonts w:asciiTheme="minorHAnsi" w:eastAsiaTheme="minorHAnsi" w:hAnsiTheme="minorHAnsi" w:cs="Arial"/>
          <w:lang w:val="en-NZ"/>
        </w:rPr>
      </w:pPr>
      <w:r>
        <w:rPr>
          <w:rFonts w:asciiTheme="minorHAnsi" w:eastAsiaTheme="minorHAnsi" w:hAnsiTheme="minorHAnsi" w:cs="Arial"/>
          <w:lang w:val="en-NZ"/>
        </w:rPr>
        <w:t>There was a significant improvement in CTRS-R</w:t>
      </w:r>
      <w:r w:rsidRPr="008B5684">
        <w:rPr>
          <w:rFonts w:asciiTheme="minorHAnsi" w:eastAsiaTheme="minorHAnsi" w:hAnsiTheme="minorHAnsi" w:cs="Arial"/>
          <w:lang w:val="en-NZ"/>
        </w:rPr>
        <w:t xml:space="preserve"> total score</w:t>
      </w:r>
      <w:r>
        <w:rPr>
          <w:rFonts w:asciiTheme="minorHAnsi" w:eastAsiaTheme="minorHAnsi" w:hAnsiTheme="minorHAnsi" w:cs="Arial"/>
          <w:lang w:val="en-NZ"/>
        </w:rPr>
        <w:t xml:space="preserve"> overall and at all time points during the school day</w:t>
      </w:r>
    </w:p>
    <w:p w:rsidR="0074774A" w:rsidRPr="008B5684" w:rsidRDefault="0074774A" w:rsidP="0074774A">
      <w:pPr>
        <w:pStyle w:val="ListParagraph"/>
        <w:numPr>
          <w:ilvl w:val="0"/>
          <w:numId w:val="37"/>
        </w:numPr>
        <w:ind w:left="567" w:hanging="567"/>
        <w:rPr>
          <w:rFonts w:asciiTheme="minorHAnsi" w:eastAsiaTheme="minorHAnsi" w:hAnsiTheme="minorHAnsi" w:cs="Arial"/>
          <w:lang w:val="en-NZ"/>
        </w:rPr>
      </w:pPr>
      <w:r>
        <w:rPr>
          <w:rFonts w:asciiTheme="minorHAnsi" w:eastAsiaTheme="minorHAnsi" w:hAnsiTheme="minorHAnsi" w:cs="Arial"/>
          <w:lang w:val="en-NZ"/>
        </w:rPr>
        <w:t>A greater proportion of subjects treated with guanfacine had improvement in CGI-I: 47 (55.95%) subjects in the 2 mg group, 41 (50.0%) in the 3 mg, 45 (55.56%) in the 4 mg and 20 (25.64%) in the placebo (Table 10)</w:t>
      </w:r>
    </w:p>
    <w:p w:rsidR="0074774A" w:rsidRPr="008B5684" w:rsidRDefault="0074774A" w:rsidP="0074774A">
      <w:pPr>
        <w:pStyle w:val="ListParagraph"/>
        <w:numPr>
          <w:ilvl w:val="0"/>
          <w:numId w:val="37"/>
        </w:numPr>
        <w:ind w:left="567" w:hanging="567"/>
        <w:rPr>
          <w:rFonts w:asciiTheme="minorHAnsi" w:eastAsiaTheme="minorHAnsi" w:hAnsiTheme="minorHAnsi" w:cs="Arial"/>
          <w:lang w:val="en-NZ"/>
        </w:rPr>
      </w:pPr>
      <w:r>
        <w:rPr>
          <w:rFonts w:asciiTheme="minorHAnsi" w:eastAsiaTheme="minorHAnsi" w:hAnsiTheme="minorHAnsi" w:cs="Arial"/>
          <w:lang w:val="en-NZ"/>
        </w:rPr>
        <w:t>A greater proportion of subjects treated with guanfacine had improvement PGA: 41 (62.12%) subjects in the 2 mg group, 31 (50.82%) in the 3 mg, 39 (66.10%) in the 4 mg and 15 (23.08%) in the placebo (Table 10)</w:t>
      </w:r>
    </w:p>
    <w:p w:rsidR="0074774A" w:rsidRPr="008B5684" w:rsidRDefault="0074774A" w:rsidP="0074774A">
      <w:pPr>
        <w:pStyle w:val="ListParagraph"/>
        <w:numPr>
          <w:ilvl w:val="0"/>
          <w:numId w:val="37"/>
        </w:numPr>
        <w:ind w:left="567" w:hanging="567"/>
        <w:rPr>
          <w:rFonts w:asciiTheme="minorHAnsi" w:eastAsiaTheme="minorHAnsi" w:hAnsiTheme="minorHAnsi" w:cs="Arial"/>
          <w:lang w:val="en-NZ"/>
        </w:rPr>
      </w:pPr>
      <w:r>
        <w:rPr>
          <w:rFonts w:asciiTheme="minorHAnsi" w:eastAsiaTheme="minorHAnsi" w:hAnsiTheme="minorHAnsi" w:cs="Arial"/>
          <w:lang w:val="en-NZ"/>
        </w:rPr>
        <w:t xml:space="preserve">Consistent improvement in </w:t>
      </w:r>
      <w:r w:rsidRPr="008B5684">
        <w:rPr>
          <w:rFonts w:asciiTheme="minorHAnsi" w:eastAsiaTheme="minorHAnsi" w:hAnsiTheme="minorHAnsi" w:cs="Arial"/>
          <w:lang w:val="en-NZ"/>
        </w:rPr>
        <w:t>CHQ-PF50</w:t>
      </w:r>
      <w:r>
        <w:rPr>
          <w:rFonts w:asciiTheme="minorHAnsi" w:eastAsiaTheme="minorHAnsi" w:hAnsiTheme="minorHAnsi" w:cs="Arial"/>
          <w:lang w:val="en-NZ"/>
        </w:rPr>
        <w:t xml:space="preserve"> was only seen at the 4 mg dose level</w:t>
      </w:r>
    </w:p>
    <w:p w:rsidR="0074774A" w:rsidRPr="008C3391" w:rsidRDefault="0074774A" w:rsidP="0074774A">
      <w:pPr>
        <w:pStyle w:val="ListParagraph"/>
        <w:numPr>
          <w:ilvl w:val="0"/>
          <w:numId w:val="37"/>
        </w:numPr>
        <w:ind w:left="567" w:hanging="567"/>
        <w:rPr>
          <w:rFonts w:asciiTheme="minorHAnsi" w:hAnsiTheme="minorHAnsi"/>
          <w:lang w:eastAsia="ja-JP"/>
        </w:rPr>
      </w:pPr>
      <w:r>
        <w:rPr>
          <w:rFonts w:asciiTheme="minorHAnsi" w:eastAsiaTheme="minorHAnsi" w:hAnsiTheme="minorHAnsi" w:cs="Arial"/>
          <w:lang w:val="en-NZ"/>
        </w:rPr>
        <w:t xml:space="preserve">There was a significant improvement in </w:t>
      </w:r>
      <w:r w:rsidRPr="008B5684">
        <w:rPr>
          <w:rFonts w:asciiTheme="minorHAnsi" w:eastAsiaTheme="minorHAnsi" w:hAnsiTheme="minorHAnsi" w:cs="Arial"/>
          <w:lang w:val="en-NZ"/>
        </w:rPr>
        <w:t>CHQ-CF87</w:t>
      </w:r>
      <w:r>
        <w:rPr>
          <w:rFonts w:asciiTheme="minorHAnsi" w:eastAsiaTheme="minorHAnsi" w:hAnsiTheme="minorHAnsi" w:cs="Arial"/>
          <w:lang w:val="en-NZ"/>
        </w:rPr>
        <w:t xml:space="preserve"> only at the 4 mg dose level, and only for Family Activities: LS mean placebo adjusted difference (95% CI</w:t>
      </w:r>
      <w:r w:rsidRPr="008B5684">
        <w:rPr>
          <w:rFonts w:asciiTheme="minorHAnsi" w:eastAsiaTheme="minorHAnsi" w:hAnsiTheme="minorHAnsi" w:cs="Arial"/>
          <w:lang w:val="en-NZ"/>
        </w:rPr>
        <w:t>)</w:t>
      </w:r>
      <w:r>
        <w:rPr>
          <w:rFonts w:asciiTheme="minorHAnsi" w:eastAsiaTheme="minorHAnsi" w:hAnsiTheme="minorHAnsi" w:cs="Arial"/>
          <w:lang w:val="en-NZ"/>
        </w:rPr>
        <w:t xml:space="preserve"> 14.93 (2.89 to 26.98) p = 0.0108; and for Bodily Pain: -9.41 (-17.81 to 0.0236).</w:t>
      </w:r>
    </w:p>
    <w:p w:rsidR="0074774A" w:rsidRPr="008C3391" w:rsidRDefault="0074774A" w:rsidP="0074774A">
      <w:pPr>
        <w:pStyle w:val="Tabletitle"/>
      </w:pPr>
      <w:bookmarkStart w:id="269" w:name="Table_7_2_1_12"/>
      <w:r>
        <w:t>Table 10:</w:t>
      </w:r>
      <w:bookmarkEnd w:id="269"/>
      <w:r>
        <w:t xml:space="preserve"> </w:t>
      </w:r>
      <w:r w:rsidRPr="008C3391">
        <w:rPr>
          <w:lang w:val="en-NZ"/>
        </w:rPr>
        <w:t>Summary and Analysis of CGI-I and PGA Scores by Randomized Dose (ITT Population) (copied from Table 28, Study SPD503-301 CSR)</w:t>
      </w:r>
    </w:p>
    <w:p w:rsidR="0074774A" w:rsidRDefault="0074774A" w:rsidP="0074774A">
      <w:r>
        <w:rPr>
          <w:noProof/>
          <w:lang w:eastAsia="en-AU"/>
        </w:rPr>
        <w:drawing>
          <wp:inline distT="0" distB="0" distL="0" distR="0" wp14:anchorId="3C396DFA" wp14:editId="023CD2BC">
            <wp:extent cx="4550400" cy="2678014"/>
            <wp:effectExtent l="0" t="0" r="3175" b="8255"/>
            <wp:docPr id="83" name="Picture 83" descr="Table 10: Summary and Analysis of CGI-I and PGA Scores by Randomized Dose (ITT Population) (copied from Table 28, Study SPD503-3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558155" cy="2682578"/>
                    </a:xfrm>
                    <a:prstGeom prst="rect">
                      <a:avLst/>
                    </a:prstGeom>
                    <a:noFill/>
                    <a:ln>
                      <a:noFill/>
                    </a:ln>
                  </pic:spPr>
                </pic:pic>
              </a:graphicData>
            </a:graphic>
          </wp:inline>
        </w:drawing>
      </w:r>
    </w:p>
    <w:p w:rsidR="0074774A" w:rsidRDefault="0074774A" w:rsidP="0074774A">
      <w:pPr>
        <w:pStyle w:val="Heading5"/>
        <w:numPr>
          <w:ilvl w:val="3"/>
          <w:numId w:val="29"/>
        </w:numPr>
        <w:ind w:left="1304" w:hanging="1077"/>
      </w:pPr>
      <w:r w:rsidRPr="00EC3AE0">
        <w:t xml:space="preserve">Evaluator </w:t>
      </w:r>
      <w:r>
        <w:t>c</w:t>
      </w:r>
      <w:r w:rsidRPr="00EC3AE0">
        <w:t>ommentary</w:t>
      </w:r>
    </w:p>
    <w:p w:rsidR="0074774A" w:rsidRPr="007C2163" w:rsidRDefault="0074774A" w:rsidP="0074774A">
      <w:pPr>
        <w:rPr>
          <w:rFonts w:asciiTheme="minorHAnsi" w:hAnsiTheme="minorHAnsi"/>
          <w:lang w:eastAsia="ja-JP"/>
        </w:rPr>
      </w:pPr>
      <w:r>
        <w:rPr>
          <w:lang w:eastAsia="ja-JP"/>
        </w:rPr>
        <w:t xml:space="preserve">Study SPD503-301 demonstrated the dose range on </w:t>
      </w:r>
      <w:proofErr w:type="gramStart"/>
      <w:r>
        <w:rPr>
          <w:lang w:eastAsia="ja-JP"/>
        </w:rPr>
        <w:t>a</w:t>
      </w:r>
      <w:proofErr w:type="gramEnd"/>
      <w:r>
        <w:rPr>
          <w:lang w:eastAsia="ja-JP"/>
        </w:rPr>
        <w:t xml:space="preserve"> mg/kg basis that could be expected to have efficacy (linear response up to 0.17 mg/kg/day). The study maintenance phase was of too short a duration to establish efficacy (two weeks). Efficacy was not demonstrated for the inattentive subtype of ADHD.</w:t>
      </w:r>
    </w:p>
    <w:p w:rsidR="0074774A" w:rsidRPr="005632DC" w:rsidRDefault="0074774A" w:rsidP="0074774A">
      <w:pPr>
        <w:pStyle w:val="Heading4"/>
        <w:numPr>
          <w:ilvl w:val="2"/>
          <w:numId w:val="29"/>
        </w:numPr>
      </w:pPr>
      <w:bookmarkStart w:id="270" w:name="_Study_SPD503-304"/>
      <w:bookmarkEnd w:id="270"/>
      <w:r w:rsidRPr="005632DC">
        <w:t xml:space="preserve">Study </w:t>
      </w:r>
      <w:r>
        <w:t>SPD503-304</w:t>
      </w:r>
    </w:p>
    <w:p w:rsidR="0074774A" w:rsidRPr="005632DC" w:rsidRDefault="0074774A" w:rsidP="0074774A">
      <w:pPr>
        <w:pStyle w:val="Heading5"/>
        <w:numPr>
          <w:ilvl w:val="3"/>
          <w:numId w:val="29"/>
        </w:numPr>
        <w:ind w:left="1304" w:hanging="1077"/>
      </w:pPr>
      <w:r w:rsidRPr="005632DC">
        <w:t>Study design, objectives, locations and dates</w:t>
      </w:r>
    </w:p>
    <w:p w:rsidR="0074774A" w:rsidRDefault="0074774A" w:rsidP="0074774A">
      <w:pPr>
        <w:rPr>
          <w:lang w:eastAsia="ja-JP"/>
        </w:rPr>
      </w:pPr>
      <w:r>
        <w:rPr>
          <w:lang w:eastAsia="ja-JP"/>
        </w:rPr>
        <w:t>Study SPD503-304 was a randomised, double blind, parallel group, placebo controlled, forced dose escalation, efficacy and safety study. The study was conducted at 51 centres in the US from March 2004 to October 2004.</w:t>
      </w:r>
    </w:p>
    <w:p w:rsidR="0074774A" w:rsidRPr="005632DC" w:rsidRDefault="0074774A" w:rsidP="0074774A">
      <w:pPr>
        <w:pStyle w:val="Heading5"/>
        <w:numPr>
          <w:ilvl w:val="3"/>
          <w:numId w:val="29"/>
        </w:numPr>
        <w:ind w:left="1304" w:hanging="1077"/>
      </w:pPr>
      <w:r w:rsidRPr="005632DC">
        <w:t>Inclusion and exclusion criteria</w:t>
      </w:r>
    </w:p>
    <w:p w:rsidR="0074774A" w:rsidRDefault="0074774A" w:rsidP="0074774A">
      <w:pPr>
        <w:rPr>
          <w:lang w:eastAsia="ja-JP"/>
        </w:rPr>
      </w:pPr>
      <w:r>
        <w:rPr>
          <w:lang w:eastAsia="ja-JP"/>
        </w:rPr>
        <w:t>The study included male or female subjects with ADHD aged 6 to 17 years inclusive. The inclusion and exclusion criteria were essentially the same as for Study SPD503-301 (see above).</w:t>
      </w:r>
    </w:p>
    <w:p w:rsidR="0074774A" w:rsidRPr="005632DC" w:rsidRDefault="0074774A" w:rsidP="0074774A">
      <w:pPr>
        <w:pStyle w:val="Heading5"/>
        <w:numPr>
          <w:ilvl w:val="3"/>
          <w:numId w:val="29"/>
        </w:numPr>
        <w:ind w:left="1304" w:hanging="1077"/>
      </w:pPr>
      <w:r w:rsidRPr="005632DC">
        <w:lastRenderedPageBreak/>
        <w:t>Study treatments</w:t>
      </w:r>
    </w:p>
    <w:p w:rsidR="0074774A" w:rsidRDefault="0074774A" w:rsidP="0074774A">
      <w:pPr>
        <w:rPr>
          <w:lang w:eastAsia="ja-JP"/>
        </w:rPr>
      </w:pPr>
      <w:r>
        <w:rPr>
          <w:lang w:eastAsia="ja-JP"/>
        </w:rPr>
        <w:t>The study treatments were:</w:t>
      </w:r>
    </w:p>
    <w:p w:rsidR="0074774A" w:rsidRDefault="0074774A" w:rsidP="0074774A">
      <w:pPr>
        <w:pStyle w:val="Numberbullet0"/>
        <w:numPr>
          <w:ilvl w:val="0"/>
          <w:numId w:val="32"/>
        </w:numPr>
        <w:rPr>
          <w:lang w:eastAsia="ja-JP"/>
        </w:rPr>
      </w:pPr>
      <w:r>
        <w:rPr>
          <w:lang w:eastAsia="ja-JP"/>
        </w:rPr>
        <w:t>Guanfacine extended release 1 mg/day (only for subjects weighing &lt;110 lb [approximately 50 kg])</w:t>
      </w:r>
    </w:p>
    <w:p w:rsidR="0074774A" w:rsidRDefault="0074774A" w:rsidP="0074774A">
      <w:pPr>
        <w:pStyle w:val="Numberbullet0"/>
        <w:numPr>
          <w:ilvl w:val="0"/>
          <w:numId w:val="32"/>
        </w:numPr>
        <w:rPr>
          <w:lang w:eastAsia="ja-JP"/>
        </w:rPr>
      </w:pPr>
      <w:r>
        <w:rPr>
          <w:lang w:eastAsia="ja-JP"/>
        </w:rPr>
        <w:t>Guanfacine extended release 2 mg/day</w:t>
      </w:r>
    </w:p>
    <w:p w:rsidR="0074774A" w:rsidRDefault="0074774A" w:rsidP="0074774A">
      <w:pPr>
        <w:pStyle w:val="Numberbullet0"/>
        <w:numPr>
          <w:ilvl w:val="0"/>
          <w:numId w:val="32"/>
        </w:numPr>
        <w:rPr>
          <w:lang w:eastAsia="ja-JP"/>
        </w:rPr>
      </w:pPr>
      <w:r>
        <w:rPr>
          <w:lang w:eastAsia="ja-JP"/>
        </w:rPr>
        <w:t>Guanfacine extended release 3 mg/day</w:t>
      </w:r>
    </w:p>
    <w:p w:rsidR="0074774A" w:rsidRDefault="0074774A" w:rsidP="0074774A">
      <w:pPr>
        <w:pStyle w:val="Numberbullet0"/>
        <w:numPr>
          <w:ilvl w:val="0"/>
          <w:numId w:val="32"/>
        </w:numPr>
        <w:rPr>
          <w:lang w:eastAsia="ja-JP"/>
        </w:rPr>
      </w:pPr>
      <w:r>
        <w:rPr>
          <w:lang w:eastAsia="ja-JP"/>
        </w:rPr>
        <w:t>Guanfacine extended release 4 mg/day</w:t>
      </w:r>
    </w:p>
    <w:p w:rsidR="0074774A" w:rsidRDefault="0074774A" w:rsidP="0074774A">
      <w:pPr>
        <w:pStyle w:val="Numberbullet0"/>
        <w:numPr>
          <w:ilvl w:val="0"/>
          <w:numId w:val="32"/>
        </w:numPr>
        <w:rPr>
          <w:lang w:eastAsia="ja-JP"/>
        </w:rPr>
      </w:pPr>
      <w:r>
        <w:rPr>
          <w:lang w:eastAsia="ja-JP"/>
        </w:rPr>
        <w:t>Placebo</w:t>
      </w:r>
    </w:p>
    <w:p w:rsidR="0074774A" w:rsidRDefault="0074774A" w:rsidP="0074774A">
      <w:pPr>
        <w:rPr>
          <w:lang w:eastAsia="ja-JP"/>
        </w:rPr>
      </w:pPr>
      <w:r>
        <w:rPr>
          <w:lang w:eastAsia="ja-JP"/>
        </w:rPr>
        <w:t xml:space="preserve">There was a 3 week forced titration to the randomised dose, a 3 week maintenance phase and a 3 week taper of dose. </w:t>
      </w:r>
      <w:proofErr w:type="gramStart"/>
      <w:r>
        <w:rPr>
          <w:lang w:eastAsia="ja-JP"/>
        </w:rPr>
        <w:t>Each active strength</w:t>
      </w:r>
      <w:proofErr w:type="gramEnd"/>
      <w:r>
        <w:rPr>
          <w:lang w:eastAsia="ja-JP"/>
        </w:rPr>
        <w:t xml:space="preserve"> had a matching placebo and each subject took four tablets each morning: no more than one active and no less than three placebo.</w:t>
      </w:r>
    </w:p>
    <w:p w:rsidR="0074774A" w:rsidRDefault="0074774A" w:rsidP="0074774A">
      <w:pPr>
        <w:rPr>
          <w:lang w:eastAsia="ja-JP"/>
        </w:rPr>
      </w:pPr>
      <w:r>
        <w:rPr>
          <w:lang w:eastAsia="ja-JP"/>
        </w:rPr>
        <w:t>There was a washout period of 7 days for psychostimulants. Psychostimulants and other psychoactive drugs were prohibited during the study: for example, tricyclic antidepressants, sedating antihistamines, Strattera®, clonidine, benzodiazepines, neuroleptics, anticonvulsants. Cardiac and vascular (antihypertensive medications) were also prohibited.</w:t>
      </w:r>
    </w:p>
    <w:p w:rsidR="0074774A" w:rsidRPr="005632DC" w:rsidRDefault="0074774A" w:rsidP="0074774A">
      <w:pPr>
        <w:pStyle w:val="Heading5"/>
        <w:numPr>
          <w:ilvl w:val="3"/>
          <w:numId w:val="29"/>
        </w:numPr>
        <w:ind w:left="1304" w:hanging="1077"/>
      </w:pPr>
      <w:r w:rsidRPr="005632DC">
        <w:t>Efficacy variables and outcomes</w:t>
      </w:r>
    </w:p>
    <w:p w:rsidR="0074774A" w:rsidRPr="008B5684" w:rsidRDefault="0074774A" w:rsidP="0074774A">
      <w:pPr>
        <w:rPr>
          <w:rFonts w:asciiTheme="minorHAnsi" w:hAnsiTheme="minorHAnsi"/>
          <w:lang w:eastAsia="ja-JP"/>
        </w:rPr>
      </w:pPr>
      <w:r w:rsidRPr="008B5684">
        <w:rPr>
          <w:rFonts w:asciiTheme="minorHAnsi" w:hAnsiTheme="minorHAnsi"/>
          <w:lang w:eastAsia="ja-JP"/>
        </w:rPr>
        <w:t xml:space="preserve">The primary efficacy outcome measure was the change from baseline in </w:t>
      </w:r>
      <w:r w:rsidRPr="008B5684">
        <w:rPr>
          <w:rFonts w:asciiTheme="minorHAnsi" w:eastAsiaTheme="minorHAnsi" w:hAnsiTheme="minorHAnsi" w:cs="Arial"/>
          <w:lang w:val="en-NZ"/>
        </w:rPr>
        <w:t>ADHD Rating Scale-IV (</w:t>
      </w:r>
      <w:r w:rsidRPr="008B5684">
        <w:rPr>
          <w:rFonts w:asciiTheme="minorHAnsi" w:hAnsiTheme="minorHAnsi"/>
          <w:lang w:eastAsia="ja-JP"/>
        </w:rPr>
        <w:t>ADHD-RS-IV) total score at endpoint.</w:t>
      </w:r>
      <w:r>
        <w:rPr>
          <w:rFonts w:asciiTheme="minorHAnsi" w:hAnsiTheme="minorHAnsi"/>
          <w:lang w:eastAsia="ja-JP"/>
        </w:rPr>
        <w:t xml:space="preserve"> </w:t>
      </w:r>
      <w:r w:rsidRPr="008B5684">
        <w:rPr>
          <w:rFonts w:asciiTheme="minorHAnsi" w:hAnsiTheme="minorHAnsi"/>
          <w:lang w:eastAsia="ja-JP"/>
        </w:rPr>
        <w:t>The secondary efficacy outcome measures were:</w:t>
      </w:r>
    </w:p>
    <w:p w:rsidR="0074774A" w:rsidRPr="008B5684" w:rsidRDefault="0074774A" w:rsidP="0074774A">
      <w:pPr>
        <w:pStyle w:val="ListBullet"/>
        <w:numPr>
          <w:ilvl w:val="0"/>
          <w:numId w:val="3"/>
        </w:numPr>
        <w:rPr>
          <w:lang w:val="en-NZ"/>
        </w:rPr>
      </w:pPr>
      <w:r>
        <w:rPr>
          <w:lang w:val="en-NZ"/>
        </w:rPr>
        <w:t>CPRS-R</w:t>
      </w:r>
      <w:r w:rsidRPr="008B5684">
        <w:rPr>
          <w:lang w:val="en-NZ"/>
        </w:rPr>
        <w:t xml:space="preserve"> total score</w:t>
      </w:r>
    </w:p>
    <w:p w:rsidR="0074774A" w:rsidRDefault="0074774A" w:rsidP="0074774A">
      <w:pPr>
        <w:pStyle w:val="ListBullet"/>
        <w:numPr>
          <w:ilvl w:val="0"/>
          <w:numId w:val="3"/>
        </w:numPr>
        <w:rPr>
          <w:lang w:val="en-NZ"/>
        </w:rPr>
      </w:pPr>
      <w:r w:rsidRPr="008B5684">
        <w:rPr>
          <w:lang w:val="en-NZ"/>
        </w:rPr>
        <w:t>Clinical Global Impression-</w:t>
      </w:r>
      <w:r>
        <w:rPr>
          <w:lang w:val="en-NZ"/>
        </w:rPr>
        <w:t>Severity (CGI-S</w:t>
      </w:r>
      <w:r w:rsidRPr="008B5684">
        <w:rPr>
          <w:lang w:val="en-NZ"/>
        </w:rPr>
        <w:t>)</w:t>
      </w:r>
    </w:p>
    <w:p w:rsidR="0074774A" w:rsidRPr="00E27A60" w:rsidRDefault="0074774A" w:rsidP="0074774A">
      <w:pPr>
        <w:pStyle w:val="ListBullet"/>
        <w:numPr>
          <w:ilvl w:val="0"/>
          <w:numId w:val="3"/>
        </w:numPr>
        <w:rPr>
          <w:lang w:val="en-NZ"/>
        </w:rPr>
      </w:pPr>
      <w:r>
        <w:rPr>
          <w:lang w:val="en-NZ"/>
        </w:rPr>
        <w:t>CGI-I</w:t>
      </w:r>
    </w:p>
    <w:p w:rsidR="0074774A" w:rsidRPr="008B5684" w:rsidRDefault="0074774A" w:rsidP="0074774A">
      <w:pPr>
        <w:pStyle w:val="ListBullet"/>
        <w:numPr>
          <w:ilvl w:val="0"/>
          <w:numId w:val="3"/>
        </w:numPr>
        <w:rPr>
          <w:lang w:val="en-NZ"/>
        </w:rPr>
      </w:pPr>
      <w:r>
        <w:rPr>
          <w:lang w:val="en-NZ"/>
        </w:rPr>
        <w:t>PGA</w:t>
      </w:r>
    </w:p>
    <w:p w:rsidR="0074774A" w:rsidRPr="008B5684" w:rsidRDefault="0074774A" w:rsidP="0074774A">
      <w:pPr>
        <w:pStyle w:val="ListBullet"/>
        <w:numPr>
          <w:ilvl w:val="0"/>
          <w:numId w:val="3"/>
        </w:numPr>
        <w:rPr>
          <w:lang w:val="en-NZ"/>
        </w:rPr>
      </w:pPr>
      <w:r>
        <w:rPr>
          <w:lang w:val="en-NZ"/>
        </w:rPr>
        <w:t>CHQ-PF50</w:t>
      </w:r>
    </w:p>
    <w:p w:rsidR="0074774A" w:rsidRDefault="0074774A" w:rsidP="0074774A">
      <w:pPr>
        <w:rPr>
          <w:lang w:eastAsia="ja-JP"/>
        </w:rPr>
      </w:pPr>
      <w:r>
        <w:rPr>
          <w:lang w:eastAsia="ja-JP"/>
        </w:rPr>
        <w:t>The safety outcome measures were: AEs, vital signs, physical examinations, height, weight, 12 lead ECGs, clinical laboratory tests and Pediatric Daytime Sleepiness Scale (PDSS).</w:t>
      </w:r>
    </w:p>
    <w:p w:rsidR="0074774A" w:rsidRDefault="0074774A" w:rsidP="0074774A">
      <w:pPr>
        <w:rPr>
          <w:lang w:eastAsia="ja-JP"/>
        </w:rPr>
      </w:pPr>
      <w:r>
        <w:rPr>
          <w:lang w:eastAsia="ja-JP"/>
        </w:rPr>
        <w:t>The schedule of study visits was similar to that for Study SPD503-301.</w:t>
      </w:r>
    </w:p>
    <w:p w:rsidR="0074774A" w:rsidRPr="005632DC" w:rsidRDefault="0074774A" w:rsidP="0074774A">
      <w:pPr>
        <w:pStyle w:val="Heading5"/>
        <w:numPr>
          <w:ilvl w:val="3"/>
          <w:numId w:val="29"/>
        </w:numPr>
        <w:ind w:left="1304" w:hanging="1077"/>
      </w:pPr>
      <w:r w:rsidRPr="005632DC">
        <w:t>Randomisation and blinding methods</w:t>
      </w:r>
    </w:p>
    <w:p w:rsidR="0074774A" w:rsidRDefault="0074774A" w:rsidP="0074774A">
      <w:pPr>
        <w:rPr>
          <w:lang w:eastAsia="ja-JP"/>
        </w:rPr>
      </w:pPr>
      <w:r>
        <w:rPr>
          <w:lang w:eastAsia="ja-JP"/>
        </w:rPr>
        <w:t xml:space="preserve">Randomisation was by IVRS, and stratified by weight (&lt;75 lb, 75 to &lt;110 lb and </w:t>
      </w:r>
      <w:r>
        <w:rPr>
          <w:rFonts w:ascii="Times New Roman" w:hAnsi="Times New Roman"/>
          <w:lang w:eastAsia="ja-JP"/>
        </w:rPr>
        <w:t xml:space="preserve">≥ </w:t>
      </w:r>
      <w:r>
        <w:rPr>
          <w:lang w:eastAsia="ja-JP"/>
        </w:rPr>
        <w:t>110 lb). Blinding was maintained by matching placebo for each dose level.</w:t>
      </w:r>
    </w:p>
    <w:p w:rsidR="0074774A" w:rsidRPr="005632DC" w:rsidDel="0081373E" w:rsidRDefault="0074774A" w:rsidP="0074774A">
      <w:pPr>
        <w:pStyle w:val="Heading5"/>
        <w:numPr>
          <w:ilvl w:val="3"/>
          <w:numId w:val="29"/>
        </w:numPr>
        <w:ind w:left="1304" w:hanging="1077"/>
      </w:pPr>
      <w:r w:rsidRPr="005632DC">
        <w:t>Analysis populations</w:t>
      </w:r>
    </w:p>
    <w:p w:rsidR="0074774A" w:rsidRDefault="0074774A" w:rsidP="0074774A">
      <w:pPr>
        <w:rPr>
          <w:lang w:eastAsia="ja-JP"/>
        </w:rPr>
      </w:pPr>
      <w:r>
        <w:rPr>
          <w:lang w:eastAsia="ja-JP"/>
        </w:rPr>
        <w:t>The ITT population included all randomised subjects who had a baseline and at least one post-baseline measure for ADHD-RS-IV. The safety population included all subjects who received at least one dose of study drug.</w:t>
      </w:r>
    </w:p>
    <w:p w:rsidR="0074774A" w:rsidRPr="005632DC" w:rsidRDefault="0074774A" w:rsidP="0074774A">
      <w:pPr>
        <w:pStyle w:val="Heading5"/>
        <w:numPr>
          <w:ilvl w:val="3"/>
          <w:numId w:val="29"/>
        </w:numPr>
        <w:ind w:left="1304" w:hanging="1077"/>
      </w:pPr>
      <w:r w:rsidRPr="005632DC" w:rsidDel="0081373E">
        <w:t>S</w:t>
      </w:r>
      <w:r w:rsidRPr="005632DC">
        <w:t>ample size</w:t>
      </w:r>
    </w:p>
    <w:p w:rsidR="0074774A" w:rsidRDefault="0074774A" w:rsidP="0074774A">
      <w:pPr>
        <w:rPr>
          <w:lang w:eastAsia="ja-JP"/>
        </w:rPr>
      </w:pPr>
      <w:r>
        <w:rPr>
          <w:lang w:eastAsia="ja-JP"/>
        </w:rPr>
        <w:t>The sample size calculation was based on the primary efficacy outcome measure, assumed an effect size of 0.6 in the active treatment groups, and calculated a sample size of 60 subjects in each group to provide 90% power at a 2-sided alpha of 0.05 (for tests between active and placebo groups).</w:t>
      </w:r>
    </w:p>
    <w:p w:rsidR="0074774A" w:rsidRPr="005632DC" w:rsidRDefault="0074774A" w:rsidP="0074774A">
      <w:pPr>
        <w:pStyle w:val="Heading5"/>
        <w:numPr>
          <w:ilvl w:val="3"/>
          <w:numId w:val="29"/>
        </w:numPr>
        <w:ind w:left="1304" w:hanging="1077"/>
      </w:pPr>
      <w:r w:rsidRPr="005632DC">
        <w:t>Statistical methods</w:t>
      </w:r>
    </w:p>
    <w:p w:rsidR="0074774A" w:rsidRDefault="0074774A" w:rsidP="0074774A">
      <w:pPr>
        <w:rPr>
          <w:lang w:eastAsia="ja-JP"/>
        </w:rPr>
      </w:pPr>
      <w:r>
        <w:rPr>
          <w:lang w:eastAsia="ja-JP"/>
        </w:rPr>
        <w:t>Hypothesis tests were performed using ANOVA and ANCOVA models.</w:t>
      </w:r>
    </w:p>
    <w:p w:rsidR="00886C19" w:rsidRDefault="0074774A" w:rsidP="0074774A">
      <w:pPr>
        <w:pStyle w:val="Heading5"/>
        <w:numPr>
          <w:ilvl w:val="3"/>
          <w:numId w:val="29"/>
        </w:numPr>
        <w:ind w:left="1304" w:hanging="1077"/>
      </w:pPr>
      <w:bookmarkStart w:id="271" w:name="_Participant_flow_1"/>
      <w:bookmarkEnd w:id="271"/>
      <w:r w:rsidRPr="005632DC">
        <w:lastRenderedPageBreak/>
        <w:t>Participant flow</w:t>
      </w:r>
    </w:p>
    <w:p w:rsidR="0074774A" w:rsidRDefault="0074774A" w:rsidP="0074774A">
      <w:pPr>
        <w:rPr>
          <w:lang w:eastAsia="ja-JP"/>
        </w:rPr>
      </w:pPr>
      <w:r>
        <w:rPr>
          <w:lang w:eastAsia="ja-JP"/>
        </w:rPr>
        <w:t>A total of 329 subjects were enrolled and 324 were randomised to treatment: 62 to 1 mg, 65 to 2 mg, 65 to 3 mg, 66 to 4 mg and 66 to placebo (Table 11). A total of 211 (65.1%) subjects completed the study: 17 (27.4%) subjects in the 1 mg group, 18 (27.7%) in the 2 mg, 27 (41.5%) in the 3 mg, 26 (39.4%) in the 4 mg and 25 (37.9%) in the placebo discontinued. There were 306 (94.4%) subjects included in the ITT population and 322 (99.4%) in the safety population.</w:t>
      </w:r>
    </w:p>
    <w:p w:rsidR="0074774A" w:rsidRPr="00260D7A" w:rsidRDefault="0074774A" w:rsidP="0074774A">
      <w:pPr>
        <w:pStyle w:val="Tabletitle"/>
      </w:pPr>
      <w:bookmarkStart w:id="272" w:name="Table_7_2_2_1"/>
      <w:r>
        <w:t>Table 11:</w:t>
      </w:r>
      <w:bookmarkEnd w:id="272"/>
      <w:r>
        <w:t xml:space="preserve"> </w:t>
      </w:r>
      <w:r w:rsidRPr="00260D7A">
        <w:rPr>
          <w:lang w:val="en-NZ"/>
        </w:rPr>
        <w:t>Distribution and Disposition by Randomized Dose (All Enrolled Subjects) (copied from Table 8, Study SPD503-304 CSR)</w:t>
      </w:r>
    </w:p>
    <w:p w:rsidR="0074774A" w:rsidRDefault="0074774A" w:rsidP="0074774A">
      <w:r>
        <w:rPr>
          <w:noProof/>
          <w:lang w:eastAsia="en-AU"/>
        </w:rPr>
        <w:drawing>
          <wp:inline distT="0" distB="0" distL="0" distR="0" wp14:anchorId="726D31A3" wp14:editId="62163506">
            <wp:extent cx="4548416" cy="3765531"/>
            <wp:effectExtent l="0" t="0" r="5080" b="6985"/>
            <wp:docPr id="86" name="Picture 86" descr="Table 11: Distribution and Disposition by Randomized Dose (All Enrolled Subjects) (copied from Table 8, Study SPD503-304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8662" cy="3765735"/>
                    </a:xfrm>
                    <a:prstGeom prst="rect">
                      <a:avLst/>
                    </a:prstGeom>
                    <a:noFill/>
                    <a:ln>
                      <a:noFill/>
                    </a:ln>
                  </pic:spPr>
                </pic:pic>
              </a:graphicData>
            </a:graphic>
          </wp:inline>
        </w:drawing>
      </w:r>
    </w:p>
    <w:p w:rsidR="0074774A" w:rsidRPr="00EC3AE0" w:rsidRDefault="0074774A" w:rsidP="0074774A">
      <w:pPr>
        <w:pStyle w:val="Heading5"/>
        <w:numPr>
          <w:ilvl w:val="3"/>
          <w:numId w:val="29"/>
        </w:numPr>
        <w:ind w:left="1304" w:hanging="1077"/>
      </w:pPr>
      <w:r w:rsidRPr="00EC3AE0">
        <w:t>Major protocol violations/deviations</w:t>
      </w:r>
    </w:p>
    <w:p w:rsidR="0074774A" w:rsidRDefault="0074774A" w:rsidP="0074774A">
      <w:pPr>
        <w:rPr>
          <w:lang w:eastAsia="ja-JP"/>
        </w:rPr>
      </w:pPr>
      <w:r>
        <w:rPr>
          <w:lang w:eastAsia="ja-JP"/>
        </w:rPr>
        <w:t>Two (0.6%) subjects terminated the study because of protocol violations.</w:t>
      </w:r>
    </w:p>
    <w:p w:rsidR="0074774A" w:rsidRPr="00EC3AE0" w:rsidRDefault="0074774A" w:rsidP="0074774A">
      <w:pPr>
        <w:pStyle w:val="Heading5"/>
        <w:numPr>
          <w:ilvl w:val="3"/>
          <w:numId w:val="29"/>
        </w:numPr>
        <w:ind w:left="1304" w:hanging="1077"/>
      </w:pPr>
      <w:bookmarkStart w:id="273" w:name="_Baseline_data_1"/>
      <w:bookmarkEnd w:id="273"/>
      <w:r w:rsidRPr="00EC3AE0">
        <w:t>Baseline data</w:t>
      </w:r>
    </w:p>
    <w:p w:rsidR="0074774A" w:rsidRDefault="0074774A" w:rsidP="0074774A">
      <w:pPr>
        <w:rPr>
          <w:lang w:eastAsia="ja-JP"/>
        </w:rPr>
      </w:pPr>
      <w:r>
        <w:rPr>
          <w:lang w:eastAsia="ja-JP"/>
        </w:rPr>
        <w:t>There were 233 (72.4%) males, 89 (27.6%) females and the age range was 5 to 17 years. There were 241 (74.8%) subjects aged 6 to 12 years and 80 (24.8%) aged 13 to 17 years. The treatment groups were similar in demographic and physical characteristics. However, there were a higher proportion of subjects with inattentive type ADHD in the placebo group: 34.8% compared with 25.5% for the total study population. ADHD-RS-IV total score at baseline was slightly higher in the 1 mg dose group (Table 12). The baseline scores for the secondary efficacy outcome measures were similar for the five treatment groups.</w:t>
      </w:r>
    </w:p>
    <w:p w:rsidR="0074774A" w:rsidRPr="00204E43" w:rsidRDefault="0074774A" w:rsidP="0074774A">
      <w:pPr>
        <w:pStyle w:val="Tabletitle"/>
      </w:pPr>
      <w:bookmarkStart w:id="274" w:name="Table_7_2_2_3"/>
      <w:r>
        <w:t>Table 12</w:t>
      </w:r>
      <w:bookmarkEnd w:id="274"/>
      <w:r>
        <w:t xml:space="preserve">: </w:t>
      </w:r>
      <w:r w:rsidRPr="00204E43">
        <w:rPr>
          <w:lang w:val="en-NZ"/>
        </w:rPr>
        <w:t>ADHD-RS-IV Total Score at Baseline by Randomized Dose (ITT Population) (copied from Table 13, Study SPD503-304 CSR)</w:t>
      </w:r>
    </w:p>
    <w:p w:rsidR="0074774A" w:rsidRDefault="0074774A" w:rsidP="0074774A">
      <w:pPr>
        <w:spacing w:before="0" w:after="0"/>
      </w:pPr>
      <w:r>
        <w:rPr>
          <w:noProof/>
          <w:lang w:eastAsia="en-AU"/>
        </w:rPr>
        <w:drawing>
          <wp:inline distT="0" distB="0" distL="0" distR="0" wp14:anchorId="08FD0CDC" wp14:editId="6EE31A0D">
            <wp:extent cx="4708800" cy="871450"/>
            <wp:effectExtent l="0" t="0" r="0" b="5080"/>
            <wp:docPr id="96" name="Picture 96" descr="Table 12: ADHD-RS-IV Total Score at Baseline by Randomized Dose (ITT Population) (copied from Table 13, Study SPD503-304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9126" cy="873361"/>
                    </a:xfrm>
                    <a:prstGeom prst="rect">
                      <a:avLst/>
                    </a:prstGeom>
                    <a:noFill/>
                    <a:ln>
                      <a:noFill/>
                    </a:ln>
                  </pic:spPr>
                </pic:pic>
              </a:graphicData>
            </a:graphic>
          </wp:inline>
        </w:drawing>
      </w:r>
    </w:p>
    <w:p w:rsidR="0074774A" w:rsidRPr="00EC3AE0" w:rsidRDefault="0074774A" w:rsidP="0074774A">
      <w:pPr>
        <w:pStyle w:val="Heading5"/>
        <w:numPr>
          <w:ilvl w:val="3"/>
          <w:numId w:val="29"/>
        </w:numPr>
        <w:ind w:left="1304" w:hanging="1077"/>
      </w:pPr>
      <w:bookmarkStart w:id="275" w:name="_Results_for_the_1"/>
      <w:bookmarkEnd w:id="275"/>
      <w:r w:rsidRPr="00EC3AE0">
        <w:lastRenderedPageBreak/>
        <w:t>Results for the primary efficacy outcome</w:t>
      </w:r>
    </w:p>
    <w:p w:rsidR="0074774A" w:rsidRDefault="0074774A" w:rsidP="0074774A">
      <w:pPr>
        <w:rPr>
          <w:lang w:eastAsia="ja-JP"/>
        </w:rPr>
      </w:pPr>
      <w:r>
        <w:rPr>
          <w:lang w:eastAsia="ja-JP"/>
        </w:rPr>
        <w:t>All the active treatment groups were superior to placebo in the reduction in ADHD-RS-IV score from baseline. The LS mean (95%) placebo adjusted difference was -6.75 (-11.3 to -2.2) for 1 mg, -5.41 (-9.9 to -0.9) for 2 mg, -7.31 (-11.8 to -2.8) for 3 mg and -7.88 (-12.3 to -3.4) for 4 mg. When analysed by weight adjusted dose, there was a clear dose effect relationship with greatest effect at the highest dose: 0.13 to 0.16 mg/kg/day (Table 13). Efficacy was demonstrated in the 6 to 12 years age group but not in the 13 to 17 years age group (Table 14). Efficacy was demonstrated by inattentive subscale scores (Table 15). Efficacy was demonstrated by hyperactivity/impulsivity subscale scores (Table 16). A subgroup analysis by ADHD type was not presented.</w:t>
      </w:r>
    </w:p>
    <w:p w:rsidR="0074774A" w:rsidRPr="00DB393F" w:rsidRDefault="0074774A" w:rsidP="0074774A">
      <w:pPr>
        <w:pStyle w:val="Tabletitle"/>
      </w:pPr>
      <w:bookmarkStart w:id="276" w:name="Table_7_2_2_6"/>
      <w:r>
        <w:t>Table 13</w:t>
      </w:r>
      <w:bookmarkEnd w:id="276"/>
      <w:r>
        <w:t xml:space="preserve">: </w:t>
      </w:r>
      <w:r w:rsidRPr="00DB393F">
        <w:rPr>
          <w:lang w:val="en-NZ"/>
        </w:rPr>
        <w:t>ADHD-RS-IV Total Score by Weight-adjusted Actual Dose at Endpoint (ITT Population) (copied from Table 17, Study SPD503-304 CSR)</w:t>
      </w:r>
    </w:p>
    <w:p w:rsidR="0074774A" w:rsidRDefault="0074774A" w:rsidP="0074774A">
      <w:pPr>
        <w:spacing w:before="0" w:after="0"/>
      </w:pPr>
      <w:r>
        <w:rPr>
          <w:b/>
          <w:noProof/>
          <w:lang w:eastAsia="en-AU"/>
        </w:rPr>
        <w:drawing>
          <wp:inline distT="0" distB="0" distL="0" distR="0" wp14:anchorId="196B6587" wp14:editId="4822A8CF">
            <wp:extent cx="4903910" cy="3009600"/>
            <wp:effectExtent l="0" t="0" r="0" b="635"/>
            <wp:docPr id="100" name="Picture 100" descr="Table 13: ADHD-RS-IV Total Score by Weight-adjusted Actual Dose at Endpoint (ITT Population) (copied from Table 17, Study SPD503-304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9367" cy="3012949"/>
                    </a:xfrm>
                    <a:prstGeom prst="rect">
                      <a:avLst/>
                    </a:prstGeom>
                    <a:noFill/>
                    <a:ln>
                      <a:noFill/>
                    </a:ln>
                  </pic:spPr>
                </pic:pic>
              </a:graphicData>
            </a:graphic>
          </wp:inline>
        </w:drawing>
      </w:r>
    </w:p>
    <w:p w:rsidR="0074774A" w:rsidRPr="00DB393F" w:rsidRDefault="0074774A" w:rsidP="0074774A">
      <w:pPr>
        <w:pStyle w:val="Tabletitle"/>
      </w:pPr>
      <w:bookmarkStart w:id="277" w:name="Table_7_2_2_7"/>
      <w:r>
        <w:lastRenderedPageBreak/>
        <w:t>Table 14:</w:t>
      </w:r>
      <w:bookmarkEnd w:id="277"/>
      <w:r>
        <w:t xml:space="preserve"> </w:t>
      </w:r>
      <w:r w:rsidRPr="00DB393F">
        <w:rPr>
          <w:lang w:val="en-NZ"/>
        </w:rPr>
        <w:t>ADHD-RS-IV Total Score at Endpoint by Randomized Dose and Age Subgroups (ITT Population) (copied from Table 18, Study SPD503-304 CSR)</w:t>
      </w:r>
    </w:p>
    <w:p w:rsidR="0074774A" w:rsidRDefault="0074774A" w:rsidP="0074774A">
      <w:pPr>
        <w:spacing w:before="0" w:after="0"/>
      </w:pPr>
      <w:r>
        <w:rPr>
          <w:noProof/>
          <w:lang w:eastAsia="en-AU"/>
        </w:rPr>
        <w:drawing>
          <wp:inline distT="0" distB="0" distL="0" distR="0" wp14:anchorId="74B2F2F3" wp14:editId="101F47BF">
            <wp:extent cx="4866820" cy="4216056"/>
            <wp:effectExtent l="0" t="0" r="0" b="0"/>
            <wp:docPr id="101" name="Picture 101" descr="Table 14: ADHD-RS-IV Total Score at Endpoint by Randomized Dose and Age Subgroups (ITT Population) (copied from Table 18, Study SPD503-304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083" cy="4216284"/>
                    </a:xfrm>
                    <a:prstGeom prst="rect">
                      <a:avLst/>
                    </a:prstGeom>
                    <a:noFill/>
                    <a:ln>
                      <a:noFill/>
                    </a:ln>
                  </pic:spPr>
                </pic:pic>
              </a:graphicData>
            </a:graphic>
          </wp:inline>
        </w:drawing>
      </w:r>
    </w:p>
    <w:p w:rsidR="0074774A" w:rsidRPr="00E5348B" w:rsidRDefault="0074774A" w:rsidP="0074774A">
      <w:pPr>
        <w:pStyle w:val="Tabletitle"/>
      </w:pPr>
      <w:bookmarkStart w:id="278" w:name="Table_7_2_2_8"/>
      <w:r>
        <w:t>Table 15:</w:t>
      </w:r>
      <w:bookmarkEnd w:id="278"/>
      <w:r>
        <w:t xml:space="preserve"> </w:t>
      </w:r>
      <w:r w:rsidRPr="00E5348B">
        <w:rPr>
          <w:lang w:val="en-NZ"/>
        </w:rPr>
        <w:t>ADHD-RS-IV Inattentive Subscale Scores by Randomized Dose at Endpoint (ITT Population) (copied from Table 19, Study SPD503-304 CSR).</w:t>
      </w:r>
    </w:p>
    <w:p w:rsidR="0074774A" w:rsidRDefault="0074774A" w:rsidP="0074774A">
      <w:pPr>
        <w:spacing w:before="0" w:after="0"/>
      </w:pPr>
      <w:r>
        <w:rPr>
          <w:noProof/>
          <w:lang w:eastAsia="en-AU"/>
        </w:rPr>
        <w:drawing>
          <wp:inline distT="0" distB="0" distL="0" distR="0" wp14:anchorId="1B101A6B" wp14:editId="53D23EE8">
            <wp:extent cx="4854291" cy="2577600"/>
            <wp:effectExtent l="0" t="0" r="3810" b="0"/>
            <wp:docPr id="102" name="Picture 102" descr="Table 15: ADHD-RS-IV Inattentive Subscale Scores by Randomized Dose at Endpoint (ITT Population) (copied from Table 19, Study SPD503-304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2276" cy="2581840"/>
                    </a:xfrm>
                    <a:prstGeom prst="rect">
                      <a:avLst/>
                    </a:prstGeom>
                    <a:noFill/>
                    <a:ln>
                      <a:noFill/>
                    </a:ln>
                  </pic:spPr>
                </pic:pic>
              </a:graphicData>
            </a:graphic>
          </wp:inline>
        </w:drawing>
      </w:r>
    </w:p>
    <w:p w:rsidR="0074774A" w:rsidRPr="00B42B39" w:rsidRDefault="0074774A" w:rsidP="0074774A">
      <w:pPr>
        <w:pStyle w:val="Tabletitle"/>
      </w:pPr>
      <w:bookmarkStart w:id="279" w:name="Table_7_2_2_9"/>
      <w:r>
        <w:lastRenderedPageBreak/>
        <w:t>Table 16:</w:t>
      </w:r>
      <w:bookmarkEnd w:id="279"/>
      <w:r>
        <w:t xml:space="preserve"> </w:t>
      </w:r>
      <w:r w:rsidRPr="00B42B39">
        <w:rPr>
          <w:lang w:val="en-NZ"/>
        </w:rPr>
        <w:t>ADHD-RS-IV Hyperactivity/Impulsivity by Randomized Dose at Endpoint (ITT Population) (copied from Table 21, Study SPD503-304 CSR)</w:t>
      </w:r>
    </w:p>
    <w:p w:rsidR="0074774A" w:rsidRDefault="0074774A" w:rsidP="0074774A">
      <w:pPr>
        <w:spacing w:before="0" w:after="0"/>
      </w:pPr>
      <w:r>
        <w:rPr>
          <w:noProof/>
          <w:lang w:eastAsia="en-AU"/>
        </w:rPr>
        <w:drawing>
          <wp:inline distT="0" distB="0" distL="0" distR="0" wp14:anchorId="43C4216C" wp14:editId="56430F97">
            <wp:extent cx="4443975" cy="2411133"/>
            <wp:effectExtent l="0" t="0" r="0" b="8255"/>
            <wp:docPr id="97" name="Picture 97" descr="Table 16: ADHD-RS-IV Hyperactivity/Impulsivity by Randomized Dose at Endpoint (ITT Population) (copied from Table 21, Study SPD503-304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4215" cy="2411263"/>
                    </a:xfrm>
                    <a:prstGeom prst="rect">
                      <a:avLst/>
                    </a:prstGeom>
                    <a:noFill/>
                    <a:ln>
                      <a:noFill/>
                    </a:ln>
                  </pic:spPr>
                </pic:pic>
              </a:graphicData>
            </a:graphic>
          </wp:inline>
        </w:drawing>
      </w:r>
    </w:p>
    <w:p w:rsidR="0074774A" w:rsidRPr="005632DC" w:rsidRDefault="0074774A" w:rsidP="0074774A">
      <w:pPr>
        <w:pStyle w:val="Heading5"/>
        <w:numPr>
          <w:ilvl w:val="3"/>
          <w:numId w:val="29"/>
        </w:numPr>
        <w:ind w:left="1304" w:hanging="1077"/>
      </w:pPr>
      <w:bookmarkStart w:id="280" w:name="_Results_for_other_1"/>
      <w:bookmarkEnd w:id="280"/>
      <w:r w:rsidRPr="005632DC">
        <w:t>Results for other efficacy outcomes</w:t>
      </w:r>
    </w:p>
    <w:p w:rsidR="0074774A" w:rsidRPr="008B5684" w:rsidRDefault="0074774A" w:rsidP="0074774A">
      <w:pPr>
        <w:pStyle w:val="ListParagraph"/>
        <w:numPr>
          <w:ilvl w:val="0"/>
          <w:numId w:val="37"/>
        </w:numPr>
        <w:autoSpaceDE w:val="0"/>
        <w:autoSpaceDN w:val="0"/>
        <w:adjustRightInd w:val="0"/>
        <w:spacing w:before="0" w:after="0" w:line="240" w:lineRule="auto"/>
        <w:ind w:left="567" w:hanging="567"/>
        <w:rPr>
          <w:rFonts w:asciiTheme="minorHAnsi" w:eastAsiaTheme="minorHAnsi" w:hAnsiTheme="minorHAnsi" w:cs="Arial"/>
          <w:lang w:val="en-NZ"/>
        </w:rPr>
      </w:pPr>
      <w:r>
        <w:rPr>
          <w:rFonts w:asciiTheme="minorHAnsi" w:eastAsiaTheme="minorHAnsi" w:hAnsiTheme="minorHAnsi" w:cs="Arial"/>
          <w:lang w:val="en-NZ"/>
        </w:rPr>
        <w:t>In comparison with placebo there was a greater improvement in CPRS-R</w:t>
      </w:r>
      <w:r w:rsidRPr="008B5684">
        <w:rPr>
          <w:rFonts w:asciiTheme="minorHAnsi" w:eastAsiaTheme="minorHAnsi" w:hAnsiTheme="minorHAnsi" w:cs="Arial"/>
          <w:lang w:val="en-NZ"/>
        </w:rPr>
        <w:t xml:space="preserve"> total score</w:t>
      </w:r>
      <w:r>
        <w:rPr>
          <w:rFonts w:asciiTheme="minorHAnsi" w:eastAsiaTheme="minorHAnsi" w:hAnsiTheme="minorHAnsi" w:cs="Arial"/>
          <w:lang w:val="en-NZ"/>
        </w:rPr>
        <w:t xml:space="preserve"> overall for all treatment groups. However, in the 2 mg group there were several time points when efficacy was not demonstrated: 4 hours, 12 hours and 14 hours post-dose.</w:t>
      </w:r>
    </w:p>
    <w:p w:rsidR="0074774A" w:rsidRDefault="0074774A" w:rsidP="0074774A">
      <w:pPr>
        <w:pStyle w:val="ListParagraph"/>
        <w:numPr>
          <w:ilvl w:val="0"/>
          <w:numId w:val="37"/>
        </w:numPr>
        <w:ind w:left="567" w:hanging="567"/>
        <w:rPr>
          <w:rFonts w:asciiTheme="minorHAnsi" w:eastAsiaTheme="minorHAnsi" w:hAnsiTheme="minorHAnsi" w:cs="Arial"/>
          <w:lang w:val="en-NZ"/>
        </w:rPr>
      </w:pPr>
      <w:r w:rsidRPr="008B5684">
        <w:rPr>
          <w:rFonts w:asciiTheme="minorHAnsi" w:eastAsiaTheme="minorHAnsi" w:hAnsiTheme="minorHAnsi" w:cs="Arial"/>
          <w:lang w:val="en-NZ"/>
        </w:rPr>
        <w:t>Clinical Global Impression-</w:t>
      </w:r>
      <w:r>
        <w:rPr>
          <w:rFonts w:asciiTheme="minorHAnsi" w:eastAsiaTheme="minorHAnsi" w:hAnsiTheme="minorHAnsi" w:cs="Arial"/>
          <w:lang w:val="en-NZ"/>
        </w:rPr>
        <w:t>Severity (CGI-S</w:t>
      </w:r>
      <w:r w:rsidRPr="008B5684">
        <w:rPr>
          <w:rFonts w:asciiTheme="minorHAnsi" w:eastAsiaTheme="minorHAnsi" w:hAnsiTheme="minorHAnsi" w:cs="Arial"/>
          <w:lang w:val="en-NZ"/>
        </w:rPr>
        <w:t>)</w:t>
      </w:r>
      <w:r>
        <w:rPr>
          <w:rFonts w:asciiTheme="minorHAnsi" w:eastAsiaTheme="minorHAnsi" w:hAnsiTheme="minorHAnsi" w:cs="Arial"/>
          <w:lang w:val="en-NZ"/>
        </w:rPr>
        <w:t xml:space="preserve"> was not reported as an efficacy outcome.</w:t>
      </w:r>
    </w:p>
    <w:p w:rsidR="0074774A" w:rsidRPr="00E27A60" w:rsidRDefault="0074774A" w:rsidP="0074774A">
      <w:pPr>
        <w:pStyle w:val="ListParagraph"/>
        <w:numPr>
          <w:ilvl w:val="0"/>
          <w:numId w:val="37"/>
        </w:numPr>
        <w:ind w:left="567" w:hanging="567"/>
        <w:rPr>
          <w:rFonts w:asciiTheme="minorHAnsi" w:eastAsiaTheme="minorHAnsi" w:hAnsiTheme="minorHAnsi" w:cs="Arial"/>
          <w:lang w:val="en-NZ"/>
        </w:rPr>
      </w:pPr>
      <w:r>
        <w:rPr>
          <w:rFonts w:asciiTheme="minorHAnsi" w:eastAsiaTheme="minorHAnsi" w:hAnsiTheme="minorHAnsi" w:cs="Arial"/>
          <w:lang w:val="en-NZ"/>
        </w:rPr>
        <w:t>There was a significant improvement in CGI-I compared to placebo for the 1 mg, 3 mg and 4 mg dose groups but not for the 2 mg. Improvement in CGI was reported for 31 (54.4%) subjects in the 1 mg group, 27 (42.9%) in the 2 mg, 33 (55.0%) in the 3 mg, 35 (55.6%) in the 4 mg and 19 (30.2%) in the placebo.</w:t>
      </w:r>
    </w:p>
    <w:p w:rsidR="0074774A" w:rsidRPr="00E27A60" w:rsidRDefault="0074774A" w:rsidP="0074774A">
      <w:pPr>
        <w:pStyle w:val="ListParagraph"/>
        <w:numPr>
          <w:ilvl w:val="0"/>
          <w:numId w:val="37"/>
        </w:numPr>
        <w:ind w:left="567" w:hanging="567"/>
        <w:rPr>
          <w:rFonts w:asciiTheme="minorHAnsi" w:eastAsiaTheme="minorHAnsi" w:hAnsiTheme="minorHAnsi" w:cs="Arial"/>
          <w:lang w:val="en-NZ"/>
        </w:rPr>
      </w:pPr>
      <w:r>
        <w:rPr>
          <w:rFonts w:asciiTheme="minorHAnsi" w:eastAsiaTheme="minorHAnsi" w:hAnsiTheme="minorHAnsi" w:cs="Arial"/>
          <w:lang w:val="en-NZ"/>
        </w:rPr>
        <w:t>There was a significant improvement in PGA compared to placebo for the 1 mg, 3 mg and 4 mg dose groups but not for the 2 mg. Improvement in PGA was reported for 27 (50.9%) subjects in the 1 mg group, 20 (36.4%) in the 2 mg, 29 (61.7%) in the 3 mg, 30 (56.6%) in the 4 mg and 16 (30.2%) in the placebo.</w:t>
      </w:r>
    </w:p>
    <w:p w:rsidR="0074774A" w:rsidRDefault="0074774A" w:rsidP="0074774A">
      <w:pPr>
        <w:pStyle w:val="ListParagraph"/>
        <w:numPr>
          <w:ilvl w:val="0"/>
          <w:numId w:val="37"/>
        </w:numPr>
        <w:ind w:left="567" w:hanging="567"/>
        <w:rPr>
          <w:rFonts w:asciiTheme="minorHAnsi" w:eastAsiaTheme="minorHAnsi" w:hAnsiTheme="minorHAnsi" w:cs="Arial"/>
          <w:lang w:val="en-NZ"/>
        </w:rPr>
      </w:pPr>
      <w:r>
        <w:rPr>
          <w:rFonts w:asciiTheme="minorHAnsi" w:eastAsiaTheme="minorHAnsi" w:hAnsiTheme="minorHAnsi" w:cs="Arial"/>
          <w:lang w:val="en-NZ"/>
        </w:rPr>
        <w:t>In comparison with placebo there was no consistent improvement in CHQ-PF50 scores for any active treatment group.</w:t>
      </w:r>
    </w:p>
    <w:p w:rsidR="0074774A" w:rsidRDefault="0074774A" w:rsidP="0074774A">
      <w:pPr>
        <w:pStyle w:val="Heading5"/>
        <w:numPr>
          <w:ilvl w:val="3"/>
          <w:numId w:val="29"/>
        </w:numPr>
        <w:ind w:left="1304" w:hanging="1077"/>
      </w:pPr>
      <w:r w:rsidRPr="00EC3AE0">
        <w:t xml:space="preserve">Evaluator </w:t>
      </w:r>
      <w:r>
        <w:t>c</w:t>
      </w:r>
      <w:r w:rsidRPr="00EC3AE0">
        <w:t>ommentary</w:t>
      </w:r>
    </w:p>
    <w:p w:rsidR="0074774A" w:rsidRPr="007C2163" w:rsidRDefault="0074774A" w:rsidP="0074774A">
      <w:pPr>
        <w:rPr>
          <w:rFonts w:asciiTheme="minorHAnsi" w:eastAsiaTheme="minorHAnsi" w:hAnsiTheme="minorHAnsi" w:cs="Arial"/>
          <w:lang w:val="en-NZ"/>
        </w:rPr>
      </w:pPr>
      <w:r>
        <w:rPr>
          <w:lang w:eastAsia="ja-JP"/>
        </w:rPr>
        <w:t>Study SPD503-304 confirmed the findings of Study SPD503-301. There was a clear linear relationship between dose and efficacy up to 0.16 mg/kg/day. The study maintenance phase was of too short a duration to demonstrate efficacy.</w:t>
      </w:r>
    </w:p>
    <w:p w:rsidR="0074774A" w:rsidRPr="005632DC" w:rsidRDefault="0074774A" w:rsidP="0074774A">
      <w:pPr>
        <w:pStyle w:val="Heading4"/>
        <w:numPr>
          <w:ilvl w:val="2"/>
          <w:numId w:val="29"/>
        </w:numPr>
      </w:pPr>
      <w:bookmarkStart w:id="281" w:name="_Study_SPD503-307"/>
      <w:bookmarkEnd w:id="281"/>
      <w:r w:rsidRPr="005632DC">
        <w:t xml:space="preserve">Study </w:t>
      </w:r>
      <w:r>
        <w:t>SPD503-307</w:t>
      </w:r>
    </w:p>
    <w:p w:rsidR="0074774A" w:rsidRPr="005632DC" w:rsidRDefault="0074774A" w:rsidP="0074774A">
      <w:pPr>
        <w:pStyle w:val="Heading5"/>
        <w:numPr>
          <w:ilvl w:val="3"/>
          <w:numId w:val="29"/>
        </w:numPr>
        <w:ind w:left="1304" w:hanging="1077"/>
      </w:pPr>
      <w:r w:rsidRPr="005632DC">
        <w:t>Study design, objectives, locations and dates</w:t>
      </w:r>
    </w:p>
    <w:p w:rsidR="0074774A" w:rsidRDefault="0074774A" w:rsidP="0074774A">
      <w:pPr>
        <w:rPr>
          <w:lang w:eastAsia="ja-JP"/>
        </w:rPr>
      </w:pPr>
      <w:r>
        <w:rPr>
          <w:lang w:eastAsia="ja-JP"/>
        </w:rPr>
        <w:t>Study SPD503-307 was a randomised, double blind, placebo controlled dose optimisation study conducted in subjects with ADHD and oppositional symptoms. The study was conducted at 33 centres in the US from December 2006 to January 2008.</w:t>
      </w:r>
    </w:p>
    <w:p w:rsidR="0074774A" w:rsidRPr="005632DC" w:rsidRDefault="0074774A" w:rsidP="0074774A">
      <w:pPr>
        <w:pStyle w:val="Heading5"/>
        <w:numPr>
          <w:ilvl w:val="3"/>
          <w:numId w:val="29"/>
        </w:numPr>
        <w:ind w:left="1304" w:hanging="1077"/>
      </w:pPr>
      <w:r w:rsidRPr="005632DC">
        <w:t>Inclusion and exclusion criteria</w:t>
      </w:r>
    </w:p>
    <w:p w:rsidR="0074774A" w:rsidRPr="00B811A4" w:rsidRDefault="0074774A" w:rsidP="0074774A">
      <w:pPr>
        <w:rPr>
          <w:rFonts w:asciiTheme="minorHAnsi" w:hAnsiTheme="minorHAnsi"/>
          <w:lang w:eastAsia="ja-JP"/>
        </w:rPr>
      </w:pPr>
      <w:r w:rsidRPr="00B811A4">
        <w:rPr>
          <w:rFonts w:asciiTheme="minorHAnsi" w:hAnsiTheme="minorHAnsi"/>
          <w:lang w:eastAsia="ja-JP"/>
        </w:rPr>
        <w:t>The inclusion criteria included:</w:t>
      </w:r>
    </w:p>
    <w:p w:rsidR="0074774A" w:rsidRPr="000B2FCA" w:rsidRDefault="0074774A" w:rsidP="0074774A">
      <w:pPr>
        <w:pStyle w:val="ListBullet"/>
        <w:numPr>
          <w:ilvl w:val="0"/>
          <w:numId w:val="3"/>
        </w:numPr>
        <w:rPr>
          <w:lang w:val="en-NZ"/>
        </w:rPr>
      </w:pPr>
      <w:r w:rsidRPr="000B2FCA">
        <w:rPr>
          <w:lang w:val="en-NZ"/>
        </w:rPr>
        <w:t>Male or female, aged 6-12 years</w:t>
      </w:r>
    </w:p>
    <w:p w:rsidR="0074774A" w:rsidRPr="000B2FCA" w:rsidRDefault="0074774A" w:rsidP="0074774A">
      <w:pPr>
        <w:pStyle w:val="ListBullet"/>
        <w:numPr>
          <w:ilvl w:val="0"/>
          <w:numId w:val="3"/>
        </w:numPr>
        <w:rPr>
          <w:lang w:val="en-NZ"/>
        </w:rPr>
      </w:pPr>
      <w:r w:rsidRPr="000B2FCA">
        <w:rPr>
          <w:lang w:val="en-NZ"/>
        </w:rPr>
        <w:t>DSM-IV-TR</w:t>
      </w:r>
      <w:r w:rsidRPr="000B2FCA">
        <w:rPr>
          <w:rFonts w:cs="Symbol"/>
          <w:lang w:val="en-NZ"/>
        </w:rPr>
        <w:t xml:space="preserve">™ </w:t>
      </w:r>
      <w:r w:rsidRPr="000B2FCA">
        <w:rPr>
          <w:lang w:val="en-NZ"/>
        </w:rPr>
        <w:t>criteria for a primary diagnosis of ADHD, any sub-type, based on a detailed psychiatric evaluation using the K-SADS-PL</w:t>
      </w:r>
    </w:p>
    <w:p w:rsidR="0074774A" w:rsidRPr="000B2FCA" w:rsidRDefault="0074774A" w:rsidP="0074774A">
      <w:pPr>
        <w:pStyle w:val="ListBullet"/>
        <w:numPr>
          <w:ilvl w:val="0"/>
          <w:numId w:val="3"/>
        </w:numPr>
        <w:rPr>
          <w:lang w:val="en-NZ"/>
        </w:rPr>
      </w:pPr>
      <w:r w:rsidRPr="000B2FCA">
        <w:rPr>
          <w:lang w:val="en-NZ"/>
        </w:rPr>
        <w:lastRenderedPageBreak/>
        <w:t>A minimum Oppositional subscale of the CPRS-R:L score of 14 for males and 12 for females at the Baseline Visit</w:t>
      </w:r>
    </w:p>
    <w:p w:rsidR="0074774A" w:rsidRPr="000B2FCA" w:rsidRDefault="0074774A" w:rsidP="0074774A">
      <w:pPr>
        <w:pStyle w:val="ListBullet"/>
        <w:numPr>
          <w:ilvl w:val="0"/>
          <w:numId w:val="3"/>
        </w:numPr>
        <w:rPr>
          <w:lang w:val="en-NZ"/>
        </w:rPr>
      </w:pPr>
      <w:r w:rsidRPr="000B2FCA">
        <w:rPr>
          <w:lang w:val="en-NZ"/>
        </w:rPr>
        <w:t>A minimum ADHD-RS-IV score of 24 at the Baseline Visit</w:t>
      </w:r>
    </w:p>
    <w:p w:rsidR="0074774A" w:rsidRPr="000B2FCA" w:rsidRDefault="0074774A" w:rsidP="0074774A">
      <w:pPr>
        <w:pStyle w:val="ListBullet"/>
        <w:numPr>
          <w:ilvl w:val="0"/>
          <w:numId w:val="3"/>
        </w:numPr>
        <w:rPr>
          <w:lang w:val="en-NZ"/>
        </w:rPr>
      </w:pPr>
      <w:r w:rsidRPr="000B2FCA">
        <w:rPr>
          <w:lang w:val="en-NZ"/>
        </w:rPr>
        <w:t xml:space="preserve">A CGI-S score </w:t>
      </w:r>
      <w:r>
        <w:rPr>
          <w:rFonts w:cs="Symbol"/>
          <w:lang w:val="en-NZ"/>
        </w:rPr>
        <w:t xml:space="preserve">≥ </w:t>
      </w:r>
      <w:r w:rsidRPr="000B2FCA">
        <w:rPr>
          <w:lang w:val="en-NZ"/>
        </w:rPr>
        <w:t>4 at the Baseline Visit</w:t>
      </w:r>
    </w:p>
    <w:p w:rsidR="00886C19" w:rsidRDefault="0074774A" w:rsidP="0074774A">
      <w:pPr>
        <w:pStyle w:val="ListBullet"/>
        <w:numPr>
          <w:ilvl w:val="0"/>
          <w:numId w:val="3"/>
        </w:numPr>
        <w:rPr>
          <w:lang w:val="en-NZ"/>
        </w:rPr>
      </w:pPr>
      <w:r w:rsidRPr="000B2FCA">
        <w:rPr>
          <w:lang w:val="en-NZ"/>
        </w:rPr>
        <w:t>Normal or clinically insignificant Screening ECG findings</w:t>
      </w:r>
    </w:p>
    <w:p w:rsidR="0074774A" w:rsidRPr="000B2FCA" w:rsidRDefault="0074774A" w:rsidP="0074774A">
      <w:pPr>
        <w:pStyle w:val="ListBullet"/>
        <w:numPr>
          <w:ilvl w:val="0"/>
          <w:numId w:val="3"/>
        </w:numPr>
        <w:rPr>
          <w:lang w:val="en-NZ"/>
        </w:rPr>
      </w:pPr>
      <w:r w:rsidRPr="000B2FCA">
        <w:rPr>
          <w:lang w:val="en-NZ"/>
        </w:rPr>
        <w:t>Intellectual function at age-appropriate levels as deemed by the investigator</w:t>
      </w:r>
    </w:p>
    <w:p w:rsidR="0074774A" w:rsidRPr="000B2FCA" w:rsidRDefault="0074774A" w:rsidP="0074774A">
      <w:pPr>
        <w:pStyle w:val="ListBullet"/>
        <w:numPr>
          <w:ilvl w:val="0"/>
          <w:numId w:val="3"/>
        </w:numPr>
        <w:rPr>
          <w:lang w:val="en-NZ"/>
        </w:rPr>
      </w:pPr>
      <w:r w:rsidRPr="000B2FCA">
        <w:rPr>
          <w:lang w:val="en-NZ"/>
        </w:rPr>
        <w:t>Blood pressure measurements within the 95th percentile for age, gender, and height</w:t>
      </w:r>
    </w:p>
    <w:p w:rsidR="0074774A" w:rsidRPr="000B2FCA" w:rsidRDefault="0074774A" w:rsidP="0074774A">
      <w:pPr>
        <w:pStyle w:val="ListBullet"/>
        <w:numPr>
          <w:ilvl w:val="0"/>
          <w:numId w:val="3"/>
        </w:numPr>
        <w:rPr>
          <w:lang w:val="en-NZ"/>
        </w:rPr>
      </w:pPr>
      <w:r w:rsidRPr="000B2FCA">
        <w:rPr>
          <w:lang w:val="en-NZ"/>
        </w:rPr>
        <w:t>Able to swallow intact tablets</w:t>
      </w:r>
    </w:p>
    <w:p w:rsidR="0074774A" w:rsidRPr="000B2FCA" w:rsidRDefault="0074774A" w:rsidP="0074774A">
      <w:pPr>
        <w:pStyle w:val="ListBullet"/>
        <w:numPr>
          <w:ilvl w:val="0"/>
          <w:numId w:val="3"/>
        </w:numPr>
        <w:rPr>
          <w:lang w:val="en-NZ"/>
        </w:rPr>
      </w:pPr>
      <w:r w:rsidRPr="000B2FCA">
        <w:rPr>
          <w:lang w:val="en-NZ"/>
        </w:rPr>
        <w:t>Females of child-bearing potential (FOCP) were to have a negative serum beta human chorionic gonadotropin (HCG) pregnancy test at Screening, a negative urine pregnancy test at Baseline and were to use or agree to use acceptable methods of contraception.</w:t>
      </w:r>
    </w:p>
    <w:p w:rsidR="0074774A" w:rsidRPr="00B811A4" w:rsidRDefault="0074774A" w:rsidP="0074774A">
      <w:pPr>
        <w:rPr>
          <w:rFonts w:asciiTheme="minorHAnsi" w:eastAsiaTheme="minorHAnsi" w:hAnsiTheme="minorHAnsi" w:cs="Arial"/>
          <w:lang w:val="en-NZ"/>
        </w:rPr>
      </w:pPr>
      <w:r w:rsidRPr="00B811A4">
        <w:rPr>
          <w:rFonts w:asciiTheme="minorHAnsi" w:eastAsiaTheme="minorHAnsi" w:hAnsiTheme="minorHAnsi" w:cs="Arial"/>
          <w:lang w:val="en-NZ"/>
        </w:rPr>
        <w:t>The exclusion criteria included:</w:t>
      </w:r>
    </w:p>
    <w:p w:rsidR="0074774A" w:rsidRPr="000B2FCA" w:rsidRDefault="0074774A" w:rsidP="0074774A">
      <w:pPr>
        <w:pStyle w:val="ListBullet"/>
        <w:numPr>
          <w:ilvl w:val="0"/>
          <w:numId w:val="3"/>
        </w:numPr>
        <w:rPr>
          <w:lang w:val="en-NZ"/>
        </w:rPr>
      </w:pPr>
      <w:r w:rsidRPr="000B2FCA">
        <w:rPr>
          <w:lang w:val="en-NZ"/>
        </w:rPr>
        <w:t>Any current, controlled (requiring a prohibited medication) or uncontrolled, comorbid psychiatric diagnosis (except ODD), including all anxiety disorders (except simple phobias), all major depressive disorders (dysthymia allowed unless medication required), and any severe comorbid Axis II disorders or severe Axis I disorders such as post-traumatic stress disorder, bipolar illness, psychosis, pervasive developmental disorder, obsessive-compulsive disorder, substance abuse disorder, or other symptomatic manifestations that, in the opinion of the investigator, would contraindicate guanfacine treatment or confound efficacy or safety assessments</w:t>
      </w:r>
    </w:p>
    <w:p w:rsidR="0074774A" w:rsidRPr="000B2FCA" w:rsidRDefault="0074774A" w:rsidP="0074774A">
      <w:pPr>
        <w:pStyle w:val="ListBullet"/>
        <w:numPr>
          <w:ilvl w:val="0"/>
          <w:numId w:val="3"/>
        </w:numPr>
        <w:rPr>
          <w:lang w:val="en-NZ"/>
        </w:rPr>
      </w:pPr>
      <w:r w:rsidRPr="000B2FCA">
        <w:rPr>
          <w:lang w:val="en-NZ"/>
        </w:rPr>
        <w:t>History or presence of planned predatory aggression as indicated by DSM-IV symptoms of conduct disorder</w:t>
      </w:r>
    </w:p>
    <w:p w:rsidR="0074774A" w:rsidRPr="00F04918" w:rsidRDefault="0074774A" w:rsidP="0074774A">
      <w:pPr>
        <w:pStyle w:val="ListBullet"/>
        <w:numPr>
          <w:ilvl w:val="0"/>
          <w:numId w:val="3"/>
        </w:numPr>
      </w:pPr>
      <w:r w:rsidRPr="000B2FCA">
        <w:rPr>
          <w:lang w:val="en-NZ"/>
        </w:rPr>
        <w:t xml:space="preserve">Baseline (Visit 2) rating of pretty much or very much for Questions 8, 18-22, 25, 29, 31, 33, or 35 on the 40-item Conduct Problem Scale </w:t>
      </w:r>
      <w:r w:rsidRPr="00F04918">
        <w:t>of the New York Parent’s Rating Scale – School-aged (NYPRS-S)</w:t>
      </w:r>
    </w:p>
    <w:p w:rsidR="0074774A" w:rsidRPr="000B2FCA" w:rsidRDefault="0074774A" w:rsidP="0074774A">
      <w:pPr>
        <w:pStyle w:val="ListBullet"/>
        <w:numPr>
          <w:ilvl w:val="0"/>
          <w:numId w:val="3"/>
        </w:numPr>
        <w:rPr>
          <w:lang w:val="en-NZ"/>
        </w:rPr>
      </w:pPr>
      <w:r w:rsidRPr="000B2FCA">
        <w:rPr>
          <w:lang w:val="en-NZ"/>
        </w:rPr>
        <w:t>Any condition or illness (including clinically significant abnormal laboratory values) which, in the opinion of the investigator, represented an inappropriate risk to the subject and/or could confound the interpretation of the study</w:t>
      </w:r>
    </w:p>
    <w:p w:rsidR="0074774A" w:rsidRPr="000B2FCA" w:rsidRDefault="0074774A" w:rsidP="0074774A">
      <w:pPr>
        <w:pStyle w:val="ListBullet"/>
        <w:numPr>
          <w:ilvl w:val="0"/>
          <w:numId w:val="3"/>
        </w:numPr>
        <w:rPr>
          <w:lang w:val="en-NZ"/>
        </w:rPr>
      </w:pPr>
      <w:r w:rsidRPr="000B2FCA">
        <w:rPr>
          <w:lang w:val="en-NZ"/>
        </w:rPr>
        <w:t xml:space="preserve">History or presence of known structural cardiac abnormalities, syncope, cardiac conduction problems, exercise-related cardiac events, or bradycardia (resting heart rate </w:t>
      </w:r>
      <w:r>
        <w:rPr>
          <w:rFonts w:cs="Symbol"/>
          <w:lang w:val="en-NZ"/>
        </w:rPr>
        <w:t xml:space="preserve">≤ </w:t>
      </w:r>
      <w:r w:rsidRPr="000B2FCA">
        <w:rPr>
          <w:lang w:val="en-NZ"/>
        </w:rPr>
        <w:t>50bpm)</w:t>
      </w:r>
    </w:p>
    <w:p w:rsidR="0074774A" w:rsidRPr="000B2FCA" w:rsidRDefault="0074774A" w:rsidP="0074774A">
      <w:pPr>
        <w:pStyle w:val="ListBullet"/>
        <w:numPr>
          <w:ilvl w:val="0"/>
          <w:numId w:val="3"/>
        </w:numPr>
        <w:rPr>
          <w:lang w:val="en-NZ"/>
        </w:rPr>
      </w:pPr>
      <w:r w:rsidRPr="000B2FCA">
        <w:rPr>
          <w:lang w:val="en-NZ"/>
        </w:rPr>
        <w:t>A decrease of &gt;20mmHg in systolic and/or &gt;10mmHg diastolic blood pressure between supine and standing blood pressure measurements at Screening or Baseline</w:t>
      </w:r>
    </w:p>
    <w:p w:rsidR="0074774A" w:rsidRPr="000B2FCA" w:rsidRDefault="0074774A" w:rsidP="0074774A">
      <w:pPr>
        <w:pStyle w:val="ListBullet"/>
        <w:numPr>
          <w:ilvl w:val="0"/>
          <w:numId w:val="3"/>
        </w:numPr>
        <w:rPr>
          <w:lang w:val="en-NZ"/>
        </w:rPr>
      </w:pPr>
      <w:r w:rsidRPr="000B2FCA">
        <w:rPr>
          <w:lang w:val="en-NZ"/>
        </w:rPr>
        <w:t>History of controlled or uncontrolled hypertension</w:t>
      </w:r>
    </w:p>
    <w:p w:rsidR="0074774A" w:rsidRPr="000B2FCA" w:rsidRDefault="0074774A" w:rsidP="0074774A">
      <w:pPr>
        <w:pStyle w:val="ListBullet"/>
        <w:numPr>
          <w:ilvl w:val="0"/>
          <w:numId w:val="3"/>
        </w:numPr>
        <w:rPr>
          <w:lang w:val="en-NZ"/>
        </w:rPr>
      </w:pPr>
      <w:r w:rsidRPr="000B2FCA">
        <w:rPr>
          <w:lang w:val="en-NZ"/>
        </w:rPr>
        <w:t>Current use of any prohibited medication or other medications, including herbal supplements, that had central nervous system (CNS) effects or affected cognitive performance, such as sedating antihistamines and decongestant sympathomimetics (bronchodilators were permitted)</w:t>
      </w:r>
    </w:p>
    <w:p w:rsidR="0074774A" w:rsidRPr="000B2FCA" w:rsidRDefault="0074774A" w:rsidP="0074774A">
      <w:pPr>
        <w:pStyle w:val="ListBullet"/>
        <w:numPr>
          <w:ilvl w:val="0"/>
          <w:numId w:val="3"/>
        </w:numPr>
        <w:rPr>
          <w:lang w:val="en-NZ"/>
        </w:rPr>
      </w:pPr>
      <w:r w:rsidRPr="000B2FCA">
        <w:rPr>
          <w:lang w:val="en-NZ"/>
        </w:rPr>
        <w:t>Current use of any medication, including herbal supplements, that affects blood pressure or heart rate (excluding the subject's current ADHD medication)</w:t>
      </w:r>
    </w:p>
    <w:p w:rsidR="0074774A" w:rsidRPr="000B2FCA" w:rsidRDefault="0074774A" w:rsidP="0074774A">
      <w:pPr>
        <w:pStyle w:val="ListBullet"/>
        <w:numPr>
          <w:ilvl w:val="0"/>
          <w:numId w:val="3"/>
        </w:numPr>
        <w:rPr>
          <w:lang w:val="en-NZ"/>
        </w:rPr>
      </w:pPr>
      <w:r w:rsidRPr="000B2FCA">
        <w:rPr>
          <w:lang w:val="en-NZ"/>
        </w:rPr>
        <w:t>Body mass index (BMI) for age &gt;90th percentile per Center for Disease Control</w:t>
      </w:r>
    </w:p>
    <w:p w:rsidR="0074774A" w:rsidRPr="000B2FCA" w:rsidRDefault="0074774A" w:rsidP="0074774A">
      <w:pPr>
        <w:pStyle w:val="ListBullet"/>
        <w:numPr>
          <w:ilvl w:val="0"/>
          <w:numId w:val="3"/>
        </w:numPr>
        <w:rPr>
          <w:lang w:val="en-NZ"/>
        </w:rPr>
      </w:pPr>
      <w:r w:rsidRPr="000B2FCA">
        <w:rPr>
          <w:lang w:val="en-NZ"/>
        </w:rPr>
        <w:t>Body weight of less than 55 lbs (25kg)</w:t>
      </w:r>
    </w:p>
    <w:p w:rsidR="0074774A" w:rsidRPr="000B2FCA" w:rsidRDefault="0074774A" w:rsidP="0074774A">
      <w:pPr>
        <w:pStyle w:val="ListBullet"/>
        <w:numPr>
          <w:ilvl w:val="0"/>
          <w:numId w:val="3"/>
        </w:numPr>
        <w:rPr>
          <w:lang w:val="en-NZ"/>
        </w:rPr>
      </w:pPr>
      <w:r w:rsidRPr="000B2FCA">
        <w:rPr>
          <w:lang w:val="en-NZ"/>
        </w:rPr>
        <w:t>Known or suspected allergy, hypersensitivity, or clinically significant intolerance to guanfacine or any components found in SPD503</w:t>
      </w:r>
    </w:p>
    <w:p w:rsidR="0074774A" w:rsidRPr="000B2FCA" w:rsidRDefault="0074774A" w:rsidP="0074774A">
      <w:pPr>
        <w:pStyle w:val="ListBullet"/>
        <w:numPr>
          <w:ilvl w:val="0"/>
          <w:numId w:val="3"/>
        </w:numPr>
        <w:rPr>
          <w:lang w:val="en-NZ"/>
        </w:rPr>
      </w:pPr>
      <w:r w:rsidRPr="000B2FCA">
        <w:rPr>
          <w:lang w:val="en-NZ"/>
        </w:rPr>
        <w:lastRenderedPageBreak/>
        <w:t>Clinically important abnormality on urine drug and alcohol screen (with the exception of the subject's current ADHD stimulant, if applicable) at Screening</w:t>
      </w:r>
    </w:p>
    <w:p w:rsidR="0074774A" w:rsidRPr="000B2FCA" w:rsidRDefault="0074774A" w:rsidP="0074774A">
      <w:pPr>
        <w:pStyle w:val="ListBullet"/>
        <w:numPr>
          <w:ilvl w:val="0"/>
          <w:numId w:val="3"/>
        </w:numPr>
        <w:rPr>
          <w:lang w:val="en-NZ"/>
        </w:rPr>
      </w:pPr>
      <w:r w:rsidRPr="000B2FCA">
        <w:rPr>
          <w:lang w:val="en-NZ"/>
        </w:rPr>
        <w:t>Pregnant or currently lactating</w:t>
      </w:r>
    </w:p>
    <w:p w:rsidR="0074774A" w:rsidRPr="000B2FCA" w:rsidRDefault="0074774A" w:rsidP="0074774A">
      <w:pPr>
        <w:pStyle w:val="ListBullet"/>
        <w:numPr>
          <w:ilvl w:val="0"/>
          <w:numId w:val="3"/>
        </w:numPr>
        <w:rPr>
          <w:lang w:eastAsia="ja-JP"/>
        </w:rPr>
      </w:pPr>
      <w:r w:rsidRPr="000B2FCA">
        <w:rPr>
          <w:lang w:val="en-NZ"/>
        </w:rPr>
        <w:t>History of alcohol or other substance abuse or dependence, as defined by DSM-IV-TR (with the exceptions of caffeine or nicotine) within the last year.</w:t>
      </w:r>
    </w:p>
    <w:p w:rsidR="0074774A" w:rsidRPr="005632DC" w:rsidRDefault="0074774A" w:rsidP="0074774A">
      <w:pPr>
        <w:pStyle w:val="Heading5"/>
        <w:numPr>
          <w:ilvl w:val="3"/>
          <w:numId w:val="29"/>
        </w:numPr>
        <w:ind w:left="1304" w:hanging="1077"/>
      </w:pPr>
      <w:bookmarkStart w:id="282" w:name="_Study_treatments"/>
      <w:bookmarkEnd w:id="282"/>
      <w:r w:rsidRPr="005632DC">
        <w:t>Study treatments</w:t>
      </w:r>
    </w:p>
    <w:p w:rsidR="0074774A" w:rsidRDefault="0074774A" w:rsidP="0074774A">
      <w:pPr>
        <w:rPr>
          <w:lang w:eastAsia="ja-JP"/>
        </w:rPr>
      </w:pPr>
      <w:r>
        <w:rPr>
          <w:lang w:eastAsia="ja-JP"/>
        </w:rPr>
        <w:t>The study treatments were:</w:t>
      </w:r>
    </w:p>
    <w:p w:rsidR="0074774A" w:rsidRDefault="0074774A" w:rsidP="0074774A">
      <w:pPr>
        <w:pStyle w:val="ListBullet"/>
        <w:numPr>
          <w:ilvl w:val="0"/>
          <w:numId w:val="3"/>
        </w:numPr>
        <w:rPr>
          <w:lang w:eastAsia="ja-JP"/>
        </w:rPr>
      </w:pPr>
      <w:r>
        <w:rPr>
          <w:lang w:eastAsia="ja-JP"/>
        </w:rPr>
        <w:t>Guanfacine extended release 1 mg to 4 mg</w:t>
      </w:r>
    </w:p>
    <w:p w:rsidR="0074774A" w:rsidRDefault="0074774A" w:rsidP="0074774A">
      <w:pPr>
        <w:pStyle w:val="ListBullet"/>
        <w:numPr>
          <w:ilvl w:val="0"/>
          <w:numId w:val="3"/>
        </w:numPr>
        <w:rPr>
          <w:lang w:eastAsia="ja-JP"/>
        </w:rPr>
      </w:pPr>
      <w:r>
        <w:rPr>
          <w:lang w:eastAsia="ja-JP"/>
        </w:rPr>
        <w:t>Placebo</w:t>
      </w:r>
    </w:p>
    <w:p w:rsidR="0074774A" w:rsidRPr="00173148" w:rsidRDefault="0074774A" w:rsidP="0074774A">
      <w:pPr>
        <w:autoSpaceDE w:val="0"/>
        <w:autoSpaceDN w:val="0"/>
        <w:adjustRightInd w:val="0"/>
        <w:spacing w:before="0" w:after="0" w:line="240" w:lineRule="auto"/>
        <w:rPr>
          <w:rFonts w:asciiTheme="minorHAnsi" w:hAnsiTheme="minorHAnsi"/>
          <w:lang w:eastAsia="ja-JP"/>
        </w:rPr>
      </w:pPr>
      <w:r w:rsidRPr="00173148">
        <w:rPr>
          <w:rFonts w:asciiTheme="minorHAnsi" w:eastAsiaTheme="minorHAnsi" w:hAnsiTheme="minorHAnsi" w:cs="Arial"/>
          <w:lang w:val="en-NZ"/>
        </w:rPr>
        <w:t>Subjects were titrated in 1mg weekly increments to their optimal dose based upon tolerance and response.</w:t>
      </w:r>
      <w:r>
        <w:rPr>
          <w:rFonts w:asciiTheme="minorHAnsi" w:eastAsiaTheme="minorHAnsi" w:hAnsiTheme="minorHAnsi" w:cs="Arial"/>
          <w:lang w:val="en-NZ"/>
        </w:rPr>
        <w:t xml:space="preserve"> </w:t>
      </w:r>
      <w:r w:rsidRPr="00173148">
        <w:rPr>
          <w:rFonts w:asciiTheme="minorHAnsi" w:eastAsiaTheme="minorHAnsi" w:hAnsiTheme="minorHAnsi" w:cs="Arial"/>
          <w:lang w:val="en-NZ"/>
        </w:rPr>
        <w:t xml:space="preserve">Subjects who achieved a CGI-S score </w:t>
      </w:r>
      <w:r>
        <w:rPr>
          <w:rFonts w:asciiTheme="minorHAnsi" w:eastAsiaTheme="minorHAnsi" w:hAnsiTheme="minorHAnsi"/>
          <w:lang w:val="en-NZ"/>
        </w:rPr>
        <w:t xml:space="preserve">≤ </w:t>
      </w:r>
      <w:r w:rsidRPr="00173148">
        <w:rPr>
          <w:rFonts w:asciiTheme="minorHAnsi" w:eastAsiaTheme="minorHAnsi" w:hAnsiTheme="minorHAnsi" w:cs="Arial"/>
          <w:lang w:val="en-NZ"/>
        </w:rPr>
        <w:t>2 at a given tolerated dose were considered to be at an optimal dose.</w:t>
      </w:r>
      <w:r>
        <w:rPr>
          <w:rFonts w:asciiTheme="minorHAnsi" w:eastAsiaTheme="minorHAnsi" w:hAnsiTheme="minorHAnsi" w:cs="Arial"/>
          <w:lang w:val="en-NZ"/>
        </w:rPr>
        <w:t xml:space="preserve"> </w:t>
      </w:r>
      <w:r w:rsidRPr="00173148">
        <w:rPr>
          <w:rFonts w:asciiTheme="minorHAnsi" w:eastAsiaTheme="minorHAnsi" w:hAnsiTheme="minorHAnsi" w:cs="Arial"/>
          <w:lang w:val="en-NZ"/>
        </w:rPr>
        <w:t>Subjects with a CGI-S score of 2 at a given tolerated dose could be titrated to a higher dose based on the investigator's discretion.</w:t>
      </w:r>
      <w:r>
        <w:rPr>
          <w:rFonts w:asciiTheme="minorHAnsi" w:eastAsiaTheme="minorHAnsi" w:hAnsiTheme="minorHAnsi" w:cs="Arial"/>
          <w:lang w:val="en-NZ"/>
        </w:rPr>
        <w:t xml:space="preserve"> </w:t>
      </w:r>
      <w:r w:rsidRPr="00173148">
        <w:rPr>
          <w:rFonts w:asciiTheme="minorHAnsi" w:eastAsiaTheme="minorHAnsi" w:hAnsiTheme="minorHAnsi" w:cs="Arial"/>
          <w:lang w:val="en-NZ"/>
        </w:rPr>
        <w:t>The dose optimisation period was for 5 weeks, subjects were maintained at optimal dose for 3 weeks and there was a 1 week tapering period.</w:t>
      </w:r>
      <w:r>
        <w:rPr>
          <w:rFonts w:asciiTheme="minorHAnsi" w:eastAsiaTheme="minorHAnsi" w:hAnsiTheme="minorHAnsi" w:cs="Arial"/>
          <w:lang w:val="en-NZ"/>
        </w:rPr>
        <w:t xml:space="preserve"> </w:t>
      </w:r>
      <w:r w:rsidRPr="00173148">
        <w:rPr>
          <w:rFonts w:asciiTheme="minorHAnsi" w:eastAsiaTheme="minorHAnsi" w:hAnsiTheme="minorHAnsi" w:cs="Arial"/>
          <w:lang w:val="en-NZ"/>
        </w:rPr>
        <w:t>There was a washout period for previous psychoactive medications.</w:t>
      </w:r>
      <w:r>
        <w:rPr>
          <w:rFonts w:asciiTheme="minorHAnsi" w:eastAsiaTheme="minorHAnsi" w:hAnsiTheme="minorHAnsi" w:cs="Arial"/>
          <w:lang w:val="en-NZ"/>
        </w:rPr>
        <w:t xml:space="preserve"> </w:t>
      </w:r>
      <w:r w:rsidRPr="00173148">
        <w:rPr>
          <w:rFonts w:asciiTheme="minorHAnsi" w:eastAsiaTheme="minorHAnsi" w:hAnsiTheme="minorHAnsi" w:cs="Arial"/>
          <w:lang w:val="en-NZ"/>
        </w:rPr>
        <w:t>Tricyclic antidepressants, selective serotonin reuptake inhibitors, selective norepinephrine reuptake inhibitors including atomoxetine (Strattera</w:t>
      </w:r>
      <w:r w:rsidRPr="00173148">
        <w:rPr>
          <w:rFonts w:asciiTheme="minorHAnsi" w:eastAsiaTheme="minorHAnsi" w:hAnsiTheme="minorHAnsi" w:cs="Symbol"/>
          <w:lang w:val="en-NZ"/>
        </w:rPr>
        <w:t>®</w:t>
      </w:r>
      <w:r w:rsidRPr="00173148">
        <w:rPr>
          <w:rFonts w:asciiTheme="minorHAnsi" w:eastAsiaTheme="minorHAnsi" w:hAnsiTheme="minorHAnsi" w:cs="Arial"/>
          <w:lang w:val="en-NZ"/>
        </w:rPr>
        <w:t>), antipsychotics, neuroleptics, anxiolytics, benzodiazepines or benzodiazepine derivatives, psychostimulants, methylphenidate, amphetamines (including sympathomimetics, appetite suppressants, modafinil, and pemoline), cough/cold preparations containing stimulants, other medications containing amphetamine or pemoline, clonidine and guanfacine, monoamine oxidase inhibitors, anticonvulsant medications, sedatives, sedative-hypnotics such as zopiclone, sedating antihistamines (as a single preparation or in combination), all investigational medications, any herbal preparations that have CNS effect, affect cognitive performance, and/or affect BP or heart rate, and antihypertensives were prohibited.</w:t>
      </w:r>
    </w:p>
    <w:p w:rsidR="0074774A" w:rsidRPr="005632DC" w:rsidRDefault="0074774A" w:rsidP="0074774A">
      <w:pPr>
        <w:pStyle w:val="Heading5"/>
        <w:numPr>
          <w:ilvl w:val="3"/>
          <w:numId w:val="29"/>
        </w:numPr>
        <w:ind w:left="1304" w:hanging="1077"/>
      </w:pPr>
      <w:bookmarkStart w:id="283" w:name="_Efficacy_variables_and_1"/>
      <w:bookmarkEnd w:id="283"/>
      <w:r w:rsidRPr="005632DC">
        <w:t>Efficacy variables and outcomes</w:t>
      </w:r>
    </w:p>
    <w:p w:rsidR="0074774A" w:rsidRPr="00173148" w:rsidRDefault="0074774A" w:rsidP="0074774A">
      <w:r w:rsidRPr="00173148">
        <w:t>The primary efficacy outcome measure was the Oppositional Subscale of the Conners' Parent Rating Scale-Revised: Long Form (CPRS-R</w:t>
      </w:r>
      <w:proofErr w:type="gramStart"/>
      <w:r w:rsidRPr="00173148">
        <w:t>:L</w:t>
      </w:r>
      <w:proofErr w:type="gramEnd"/>
      <w:r w:rsidRPr="00173148">
        <w:t>).</w:t>
      </w:r>
      <w:r>
        <w:t xml:space="preserve"> </w:t>
      </w:r>
      <w:r w:rsidRPr="00173148">
        <w:t>The secondary efficacy outcome measures were:</w:t>
      </w:r>
    </w:p>
    <w:p w:rsidR="0074774A" w:rsidRPr="00173148" w:rsidRDefault="0074774A" w:rsidP="0074774A">
      <w:pPr>
        <w:pStyle w:val="ListBullet"/>
        <w:numPr>
          <w:ilvl w:val="0"/>
          <w:numId w:val="3"/>
        </w:numPr>
      </w:pPr>
      <w:r w:rsidRPr="00173148">
        <w:t>ADHD-RS-IV</w:t>
      </w:r>
    </w:p>
    <w:p w:rsidR="0074774A" w:rsidRPr="00173148" w:rsidRDefault="0074774A" w:rsidP="0074774A">
      <w:pPr>
        <w:pStyle w:val="ListBullet"/>
        <w:numPr>
          <w:ilvl w:val="0"/>
          <w:numId w:val="3"/>
        </w:numPr>
      </w:pPr>
      <w:r w:rsidRPr="00173148">
        <w:t>CGI-I</w:t>
      </w:r>
    </w:p>
    <w:p w:rsidR="0074774A" w:rsidRPr="00173148" w:rsidRDefault="0074774A" w:rsidP="0074774A">
      <w:pPr>
        <w:pStyle w:val="ListBullet"/>
        <w:numPr>
          <w:ilvl w:val="0"/>
          <w:numId w:val="3"/>
        </w:numPr>
      </w:pPr>
      <w:r w:rsidRPr="00173148">
        <w:t>40-item Conduct Problem Scale of the New York Parent's Rating Scale – School- Aged (NYPRS-S</w:t>
      </w:r>
      <w:r>
        <w:t>)</w:t>
      </w:r>
    </w:p>
    <w:p w:rsidR="0074774A" w:rsidRPr="00173148" w:rsidRDefault="0074774A" w:rsidP="0074774A">
      <w:pPr>
        <w:pStyle w:val="ListBullet"/>
        <w:numPr>
          <w:ilvl w:val="0"/>
          <w:numId w:val="3"/>
        </w:numPr>
      </w:pPr>
      <w:r w:rsidRPr="00173148">
        <w:t>Parent Stress Index – Short Form (PSI/SF)</w:t>
      </w:r>
    </w:p>
    <w:p w:rsidR="0074774A" w:rsidRPr="00173148" w:rsidRDefault="0074774A" w:rsidP="0074774A">
      <w:pPr>
        <w:pStyle w:val="ListBullet"/>
        <w:numPr>
          <w:ilvl w:val="0"/>
          <w:numId w:val="3"/>
        </w:numPr>
      </w:pPr>
      <w:r w:rsidRPr="00173148">
        <w:t>Medication Satisfaction Survey (MSS)</w:t>
      </w:r>
    </w:p>
    <w:p w:rsidR="0074774A" w:rsidRDefault="0074774A" w:rsidP="0074774A">
      <w:r>
        <w:t>The safety outcome measures were AEs, clinical laboratory tests, vital signs, physical examination and ECGs.</w:t>
      </w:r>
    </w:p>
    <w:p w:rsidR="0074774A" w:rsidRPr="005632DC" w:rsidRDefault="0074774A" w:rsidP="0074774A">
      <w:pPr>
        <w:pStyle w:val="Heading5"/>
        <w:numPr>
          <w:ilvl w:val="3"/>
          <w:numId w:val="29"/>
        </w:numPr>
        <w:ind w:left="1304" w:hanging="1077"/>
      </w:pPr>
      <w:r w:rsidRPr="005632DC">
        <w:t>Randomisation and blinding methods</w:t>
      </w:r>
    </w:p>
    <w:p w:rsidR="0074774A" w:rsidRDefault="0074774A" w:rsidP="0074774A">
      <w:pPr>
        <w:rPr>
          <w:lang w:eastAsia="ja-JP"/>
        </w:rPr>
      </w:pPr>
      <w:r>
        <w:rPr>
          <w:lang w:eastAsia="ja-JP"/>
        </w:rPr>
        <w:t>Subjects were randomised to treatment using IVRS. Randomisation was in the ratio 2:1 for gaunfacine: placebo. There were matching placebos for the 1 mg, 2 mg, 3 mg and 4 mg tablets.</w:t>
      </w:r>
    </w:p>
    <w:p w:rsidR="0074774A" w:rsidRPr="005632DC" w:rsidDel="0081373E" w:rsidRDefault="0074774A" w:rsidP="0074774A">
      <w:pPr>
        <w:pStyle w:val="Heading5"/>
        <w:numPr>
          <w:ilvl w:val="3"/>
          <w:numId w:val="29"/>
        </w:numPr>
        <w:ind w:left="1304" w:hanging="1077"/>
      </w:pPr>
      <w:r w:rsidRPr="005632DC">
        <w:t>Analysis populations</w:t>
      </w:r>
    </w:p>
    <w:p w:rsidR="0074774A" w:rsidRDefault="0074774A" w:rsidP="0074774A">
      <w:pPr>
        <w:rPr>
          <w:lang w:eastAsia="ja-JP"/>
        </w:rPr>
      </w:pPr>
      <w:r>
        <w:rPr>
          <w:lang w:eastAsia="ja-JP"/>
        </w:rPr>
        <w:t>The full analysis set (FAS) and the safety population included all randomised subjects who received at least one dose of study treatment.</w:t>
      </w:r>
    </w:p>
    <w:p w:rsidR="0074774A" w:rsidRPr="005632DC" w:rsidRDefault="0074774A" w:rsidP="0074774A">
      <w:pPr>
        <w:pStyle w:val="Heading5"/>
        <w:numPr>
          <w:ilvl w:val="3"/>
          <w:numId w:val="29"/>
        </w:numPr>
        <w:ind w:left="1304" w:hanging="1077"/>
      </w:pPr>
      <w:r w:rsidRPr="005632DC" w:rsidDel="0081373E">
        <w:lastRenderedPageBreak/>
        <w:t>S</w:t>
      </w:r>
      <w:r w:rsidRPr="005632DC">
        <w:t>ample size</w:t>
      </w:r>
    </w:p>
    <w:p w:rsidR="0074774A" w:rsidRDefault="0074774A" w:rsidP="0074774A">
      <w:pPr>
        <w:rPr>
          <w:lang w:eastAsia="ja-JP"/>
        </w:rPr>
      </w:pPr>
      <w:r>
        <w:rPr>
          <w:lang w:eastAsia="ja-JP"/>
        </w:rPr>
        <w:t>The sample size calculation was based on the primary efficacy outcome measure, an effect size of 0.5 (a difference between active and placebo group of 3.5 points, and a SD of 7 points), power of 90% and an alpha of 0.05. This resulted in 128 subjects in the guanfacine group and 64 in the placebo. To account for dropouts, a total of 210 subjects were required.</w:t>
      </w:r>
    </w:p>
    <w:p w:rsidR="0074774A" w:rsidRPr="005632DC" w:rsidRDefault="0074774A" w:rsidP="0074774A">
      <w:pPr>
        <w:pStyle w:val="Heading5"/>
        <w:numPr>
          <w:ilvl w:val="3"/>
          <w:numId w:val="29"/>
        </w:numPr>
        <w:ind w:left="1304" w:hanging="1077"/>
      </w:pPr>
      <w:r w:rsidRPr="005632DC">
        <w:t>Statistical methods</w:t>
      </w:r>
    </w:p>
    <w:p w:rsidR="0074774A" w:rsidRDefault="0074774A" w:rsidP="0074774A">
      <w:pPr>
        <w:rPr>
          <w:lang w:eastAsia="ja-JP"/>
        </w:rPr>
      </w:pPr>
      <w:r>
        <w:rPr>
          <w:lang w:eastAsia="ja-JP"/>
        </w:rPr>
        <w:t>Hypothesis tests were performed using ANCOVA and expressed as LS means and 95% CI. Imputation was performed using LOCF.</w:t>
      </w:r>
    </w:p>
    <w:p w:rsidR="00886C19" w:rsidRDefault="0074774A" w:rsidP="0074774A">
      <w:pPr>
        <w:pStyle w:val="Heading5"/>
        <w:numPr>
          <w:ilvl w:val="3"/>
          <w:numId w:val="29"/>
        </w:numPr>
        <w:ind w:left="1304" w:hanging="1077"/>
      </w:pPr>
      <w:bookmarkStart w:id="284" w:name="_Participant_flow_2"/>
      <w:bookmarkEnd w:id="284"/>
      <w:r w:rsidRPr="005632DC">
        <w:t>Participant flow</w:t>
      </w:r>
    </w:p>
    <w:p w:rsidR="0074774A" w:rsidRDefault="0074774A" w:rsidP="0074774A">
      <w:pPr>
        <w:rPr>
          <w:lang w:eastAsia="ja-JP"/>
        </w:rPr>
      </w:pPr>
      <w:r>
        <w:rPr>
          <w:lang w:eastAsia="ja-JP"/>
        </w:rPr>
        <w:t>There were 217 subjects randomised to treatment: 138 to guanfacine and 79 to placebo. A total of 157 subjects completed the study: 109 (79.0%) in the guanfacine group and 48 (60.8%) in the placebo (Table 17). There were 14 (10.1%) subjects in the guanfacine group who terminated because of AE and one (1.3%) in the placebo. There were three (2.2%) subjects in the guanfacine group who terminated because of lack of efficacy and twelve (15.2%) in the placebo.</w:t>
      </w:r>
    </w:p>
    <w:p w:rsidR="0074774A" w:rsidRPr="001D534B" w:rsidRDefault="0074774A" w:rsidP="0074774A">
      <w:pPr>
        <w:pStyle w:val="Tabletitle"/>
      </w:pPr>
      <w:bookmarkStart w:id="285" w:name="Table_7_2_3_2"/>
      <w:r>
        <w:t>Table 17:</w:t>
      </w:r>
      <w:bookmarkEnd w:id="285"/>
      <w:r>
        <w:t xml:space="preserve"> </w:t>
      </w:r>
      <w:r w:rsidRPr="001D534B">
        <w:rPr>
          <w:lang w:val="en-NZ"/>
        </w:rPr>
        <w:t>Summary of Subject Disposition (All Subjects) (copied from Table 6, Study SPD503-307 CSR)</w:t>
      </w:r>
    </w:p>
    <w:p w:rsidR="0074774A" w:rsidRDefault="0074774A" w:rsidP="0074774A">
      <w:pPr>
        <w:spacing w:before="0" w:after="0"/>
      </w:pPr>
      <w:r>
        <w:rPr>
          <w:noProof/>
          <w:lang w:eastAsia="en-AU"/>
        </w:rPr>
        <w:drawing>
          <wp:inline distT="0" distB="0" distL="0" distR="0" wp14:anchorId="65B9E826" wp14:editId="280BE0E8">
            <wp:extent cx="5647763" cy="3024000"/>
            <wp:effectExtent l="0" t="0" r="0" b="5080"/>
            <wp:docPr id="112" name="Picture 112" descr="Table 17: Summary of Subject Disposition (All Subjects) (copied from Table 6, Study SPD503-307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659318" cy="3030187"/>
                    </a:xfrm>
                    <a:prstGeom prst="rect">
                      <a:avLst/>
                    </a:prstGeom>
                    <a:noFill/>
                    <a:ln>
                      <a:noFill/>
                    </a:ln>
                  </pic:spPr>
                </pic:pic>
              </a:graphicData>
            </a:graphic>
          </wp:inline>
        </w:drawing>
      </w:r>
    </w:p>
    <w:p w:rsidR="0074774A" w:rsidRPr="00EC3AE0" w:rsidRDefault="0074774A" w:rsidP="0074774A">
      <w:pPr>
        <w:pStyle w:val="Heading5"/>
        <w:numPr>
          <w:ilvl w:val="3"/>
          <w:numId w:val="29"/>
        </w:numPr>
        <w:ind w:left="1304" w:hanging="1077"/>
      </w:pPr>
      <w:r w:rsidRPr="00EC3AE0">
        <w:t>Major protocol violations/deviations</w:t>
      </w:r>
    </w:p>
    <w:p w:rsidR="0074774A" w:rsidRDefault="0074774A" w:rsidP="0074774A">
      <w:pPr>
        <w:rPr>
          <w:lang w:eastAsia="ja-JP"/>
        </w:rPr>
      </w:pPr>
      <w:r>
        <w:rPr>
          <w:lang w:eastAsia="ja-JP"/>
        </w:rPr>
        <w:t>There was one (0.7%) subjects in the guanfacine group who terminated because of protocol violation and seven (8.9%) in the placebo.</w:t>
      </w:r>
    </w:p>
    <w:p w:rsidR="0074774A" w:rsidRPr="00EC3AE0" w:rsidRDefault="0074774A" w:rsidP="0074774A">
      <w:pPr>
        <w:pStyle w:val="Heading5"/>
        <w:numPr>
          <w:ilvl w:val="3"/>
          <w:numId w:val="29"/>
        </w:numPr>
        <w:ind w:left="1304" w:hanging="1077"/>
      </w:pPr>
      <w:bookmarkStart w:id="286" w:name="_Baseline_data_2"/>
      <w:bookmarkEnd w:id="286"/>
      <w:r w:rsidRPr="00EC3AE0">
        <w:t>Baseline data</w:t>
      </w:r>
    </w:p>
    <w:p w:rsidR="0074774A" w:rsidRDefault="0074774A" w:rsidP="0074774A">
      <w:pPr>
        <w:rPr>
          <w:lang w:eastAsia="ja-JP"/>
        </w:rPr>
      </w:pPr>
      <w:r>
        <w:rPr>
          <w:lang w:eastAsia="ja-JP"/>
        </w:rPr>
        <w:t xml:space="preserve">There were 147 (68.7%) males, 67 (31.3%) females and the age range was 6 to 13 years. There </w:t>
      </w:r>
      <w:proofErr w:type="gramStart"/>
      <w:r>
        <w:rPr>
          <w:lang w:eastAsia="ja-JP"/>
        </w:rPr>
        <w:t>was</w:t>
      </w:r>
      <w:proofErr w:type="gramEnd"/>
      <w:r>
        <w:rPr>
          <w:lang w:eastAsia="ja-JP"/>
        </w:rPr>
        <w:t xml:space="preserve"> a higher proportion of females in the guanfacine group, 36.0%, compared to the placebo, 23.1%. Otherwise the treatment groups were similar in demographic characteristics. The treatment groups were similar in disease characteristics. Overall, there were 180 (84.1%) subjects with combined type ADHD, 27 (12.6%) with inattentive, seven with hyperactive/impulsive and 143 (66.8%) with a diagnosis of Oppositional Defiant Disorder (ODD). A total of 145 (67.8%) subjects had received prior psychoactive medication, </w:t>
      </w:r>
      <w:r>
        <w:rPr>
          <w:lang w:eastAsia="ja-JP"/>
        </w:rPr>
        <w:lastRenderedPageBreak/>
        <w:t>predominantly with psychostimulants. Three subjects used prohibited medication during the study. Mean treatment compliance rates were 97.2% for guanfacine and 96.7% for placebo.</w:t>
      </w:r>
    </w:p>
    <w:p w:rsidR="0074774A" w:rsidRPr="00EC3AE0" w:rsidRDefault="0074774A" w:rsidP="0074774A">
      <w:pPr>
        <w:pStyle w:val="Heading5"/>
        <w:numPr>
          <w:ilvl w:val="3"/>
          <w:numId w:val="29"/>
        </w:numPr>
        <w:ind w:left="1304" w:hanging="1077"/>
      </w:pPr>
      <w:bookmarkStart w:id="287" w:name="_Results_for_the_2"/>
      <w:bookmarkEnd w:id="287"/>
      <w:r w:rsidRPr="00EC3AE0">
        <w:t>Results for the primary efficacy outcome</w:t>
      </w:r>
    </w:p>
    <w:p w:rsidR="0074774A" w:rsidRDefault="0074774A" w:rsidP="0074774A">
      <w:pPr>
        <w:rPr>
          <w:lang w:eastAsia="ja-JP"/>
        </w:rPr>
      </w:pPr>
      <w:r>
        <w:rPr>
          <w:lang w:eastAsia="ja-JP"/>
        </w:rPr>
        <w:t>There was a significant improvement in the oppositional subscale of CPRS-R</w:t>
      </w:r>
      <w:proofErr w:type="gramStart"/>
      <w:r>
        <w:rPr>
          <w:lang w:eastAsia="ja-JP"/>
        </w:rPr>
        <w:t>:L</w:t>
      </w:r>
      <w:proofErr w:type="gramEnd"/>
      <w:r>
        <w:rPr>
          <w:lang w:eastAsia="ja-JP"/>
        </w:rPr>
        <w:t xml:space="preserve"> in the guanfacine group compared to placebo. The LS mean change from baseline was -10.9 in the guanfacine group and -6.8 in the placebo, LS mean difference (95% CI) -4.1 (-6.1 to -2.1) p &lt;0.001. At endpoint there was a mean reduction of 56.2% in the guanfacine group and 33.7% in the placebo. At endpoint, there were 86 (67.2%) responders in the guanfacine group and 21 (28.4%) in the placebo, p &lt;0.001. In females, at endpoint the LS mean change from baseline was -12.4 in the guanfacine group and -5.1 in the placebo, p &lt;0.001. There was no difference in efficacy by race. A subgroup analysis was not presented by ADHD type.</w:t>
      </w:r>
    </w:p>
    <w:p w:rsidR="0074774A" w:rsidRDefault="0074774A" w:rsidP="0074774A">
      <w:pPr>
        <w:pStyle w:val="Heading5"/>
        <w:numPr>
          <w:ilvl w:val="3"/>
          <w:numId w:val="29"/>
        </w:numPr>
        <w:ind w:left="1304" w:hanging="1077"/>
      </w:pPr>
      <w:r w:rsidRPr="005632DC">
        <w:t>Results for other efficacy outcomes</w:t>
      </w:r>
    </w:p>
    <w:p w:rsidR="0074774A" w:rsidRDefault="0074774A" w:rsidP="0074774A">
      <w:r>
        <w:t>There was improvement in the guanfacine group compared to placebo for all secondary endpoints.</w:t>
      </w:r>
    </w:p>
    <w:p w:rsidR="0074774A" w:rsidRDefault="0074774A" w:rsidP="0074774A">
      <w:pPr>
        <w:pStyle w:val="ListBullet"/>
        <w:numPr>
          <w:ilvl w:val="0"/>
          <w:numId w:val="3"/>
        </w:numPr>
      </w:pPr>
      <w:r>
        <w:t xml:space="preserve">For </w:t>
      </w:r>
      <w:r w:rsidRPr="00173148">
        <w:t>ADHD-RS-IV</w:t>
      </w:r>
      <w:r>
        <w:t xml:space="preserve">, at endpoint </w:t>
      </w:r>
      <w:r>
        <w:rPr>
          <w:lang w:eastAsia="ja-JP"/>
        </w:rPr>
        <w:t>the LS mean change from baseline was -23.8 in the guanfacine group and -11.5 in the placebo, LS mean difference (95% CI) -12.3 (-16.1 to -8.5) p &lt;0.001. There was a 56.7% reduction in ADHD-RS-IV score in the guanfacine group and 26.5% reduction in the placebo.</w:t>
      </w:r>
    </w:p>
    <w:p w:rsidR="0074774A" w:rsidRPr="00173148" w:rsidRDefault="0074774A" w:rsidP="0074774A">
      <w:pPr>
        <w:pStyle w:val="ListBullet"/>
        <w:numPr>
          <w:ilvl w:val="0"/>
          <w:numId w:val="3"/>
        </w:numPr>
      </w:pPr>
      <w:r>
        <w:t xml:space="preserve">For </w:t>
      </w:r>
      <w:r w:rsidRPr="00173148">
        <w:t>CGI-I</w:t>
      </w:r>
      <w:r>
        <w:t>, at endpoint there was improvement in 93 (71.5%) subjects in the guanfacine group and 24 (32.0%) in the placebo, p &lt;0.001.</w:t>
      </w:r>
    </w:p>
    <w:p w:rsidR="00886C19" w:rsidRDefault="0074774A" w:rsidP="0074774A">
      <w:pPr>
        <w:pStyle w:val="ListBullet"/>
        <w:numPr>
          <w:ilvl w:val="0"/>
          <w:numId w:val="3"/>
        </w:numPr>
        <w:rPr>
          <w:lang w:eastAsia="ja-JP"/>
        </w:rPr>
      </w:pPr>
      <w:r>
        <w:t xml:space="preserve">For </w:t>
      </w:r>
      <w:r w:rsidRPr="00173148">
        <w:t>NYPRS-S</w:t>
      </w:r>
      <w:r>
        <w:t xml:space="preserve">, at endpoint </w:t>
      </w:r>
      <w:r>
        <w:rPr>
          <w:lang w:eastAsia="ja-JP"/>
        </w:rPr>
        <w:t>the LS mean change from baseline was -16.0 in the guanfacine group and -9.6 in the placebo, LS mean difference (95% CI) -6.5 (-9.6 to -3.3) p &lt;0.001.</w:t>
      </w:r>
    </w:p>
    <w:p w:rsidR="00886C19" w:rsidRDefault="0074774A" w:rsidP="0074774A">
      <w:pPr>
        <w:pStyle w:val="ListBullet"/>
        <w:numPr>
          <w:ilvl w:val="0"/>
          <w:numId w:val="3"/>
        </w:numPr>
        <w:rPr>
          <w:lang w:eastAsia="ja-JP"/>
        </w:rPr>
      </w:pPr>
      <w:r>
        <w:t xml:space="preserve">For </w:t>
      </w:r>
      <w:r w:rsidRPr="00173148">
        <w:t>PSI/SF</w:t>
      </w:r>
      <w:r>
        <w:t xml:space="preserve">, at endpoint </w:t>
      </w:r>
      <w:r>
        <w:rPr>
          <w:lang w:eastAsia="ja-JP"/>
        </w:rPr>
        <w:t>the LS mean change from baseline was 17.0 in the guanfacine group and 7.7 in the placebo, LS mean difference (95% CI) 9.2 (3.4 to 15.1) p &lt;0.001.</w:t>
      </w:r>
    </w:p>
    <w:p w:rsidR="0074774A" w:rsidRDefault="0074774A" w:rsidP="0074774A">
      <w:pPr>
        <w:pStyle w:val="ListBullet"/>
        <w:numPr>
          <w:ilvl w:val="0"/>
          <w:numId w:val="3"/>
        </w:numPr>
      </w:pPr>
      <w:r>
        <w:t xml:space="preserve">For </w:t>
      </w:r>
      <w:r w:rsidRPr="00173148">
        <w:t>MSS</w:t>
      </w:r>
      <w:r>
        <w:t xml:space="preserve"> a higher proportion of parents in the guanfacine group were satisfied with their child’s behaviour, social interactions and attention while they were taking the medication; were happy with duration of effect but felt their child was sleepier during the day p&lt;0.001. Overall satisfaction was higher with guanfacine than placebo.</w:t>
      </w:r>
    </w:p>
    <w:p w:rsidR="0074774A" w:rsidRPr="007C2163" w:rsidRDefault="0074774A" w:rsidP="0074774A">
      <w:pPr>
        <w:pStyle w:val="Heading5"/>
        <w:numPr>
          <w:ilvl w:val="3"/>
          <w:numId w:val="29"/>
        </w:numPr>
        <w:ind w:left="1304" w:hanging="1077"/>
      </w:pPr>
      <w:r w:rsidRPr="007C2163">
        <w:t>Evaluator commentary</w:t>
      </w:r>
    </w:p>
    <w:p w:rsidR="0074774A" w:rsidRDefault="0074774A" w:rsidP="0074774A">
      <w:pPr>
        <w:rPr>
          <w:lang w:eastAsia="ja-JP"/>
        </w:rPr>
      </w:pPr>
      <w:r>
        <w:rPr>
          <w:lang w:eastAsia="ja-JP"/>
        </w:rPr>
        <w:t>Study SPD503-307 demonstrated clinically and statistically significant improvement in oppositional features in children and adolescents aged 6 to 17 years with ADHD. The maintenance phase was of too short a duration to establish efficacy (3 weeks).</w:t>
      </w:r>
    </w:p>
    <w:p w:rsidR="0074774A" w:rsidRPr="005632DC" w:rsidRDefault="0074774A" w:rsidP="0074774A">
      <w:pPr>
        <w:pStyle w:val="Heading4"/>
        <w:numPr>
          <w:ilvl w:val="2"/>
          <w:numId w:val="29"/>
        </w:numPr>
      </w:pPr>
      <w:bookmarkStart w:id="288" w:name="_Study_SPD503-312_1"/>
      <w:bookmarkEnd w:id="288"/>
      <w:r w:rsidRPr="005632DC">
        <w:t xml:space="preserve">Study </w:t>
      </w:r>
      <w:r>
        <w:t>SPD503-312</w:t>
      </w:r>
    </w:p>
    <w:p w:rsidR="0074774A" w:rsidRPr="005632DC" w:rsidRDefault="0074774A" w:rsidP="0074774A">
      <w:pPr>
        <w:pStyle w:val="Heading5"/>
        <w:numPr>
          <w:ilvl w:val="3"/>
          <w:numId w:val="29"/>
        </w:numPr>
        <w:ind w:left="1304" w:hanging="1077"/>
      </w:pPr>
      <w:r w:rsidRPr="005632DC">
        <w:t>Study design, objectives, locations and dates</w:t>
      </w:r>
    </w:p>
    <w:p w:rsidR="0074774A" w:rsidRDefault="0074774A" w:rsidP="0074774A">
      <w:pPr>
        <w:rPr>
          <w:lang w:eastAsia="ja-JP"/>
        </w:rPr>
      </w:pPr>
      <w:r>
        <w:rPr>
          <w:lang w:eastAsia="ja-JP"/>
        </w:rPr>
        <w:t>Study SPD503-312 was a randomised, double blind, placebo controlled, dose optimisation study of the efficacy and safety of guanfacine in adolescents aged 13 to 17 years with ADHD. The study was conducted at 48 centres in the US from September 2011 to May 2013.</w:t>
      </w:r>
    </w:p>
    <w:p w:rsidR="0074774A" w:rsidRPr="005632DC" w:rsidRDefault="0074774A" w:rsidP="0074774A">
      <w:pPr>
        <w:pStyle w:val="Heading5"/>
        <w:numPr>
          <w:ilvl w:val="3"/>
          <w:numId w:val="29"/>
        </w:numPr>
        <w:ind w:left="1304" w:hanging="1077"/>
      </w:pPr>
      <w:r w:rsidRPr="005632DC">
        <w:t>Inclusion and exclusion criteria</w:t>
      </w:r>
    </w:p>
    <w:p w:rsidR="0074774A" w:rsidRPr="002F65BC" w:rsidRDefault="0074774A" w:rsidP="0074774A">
      <w:r>
        <w:rPr>
          <w:lang w:eastAsia="ja-JP"/>
        </w:rPr>
        <w:t xml:space="preserve">The </w:t>
      </w:r>
      <w:r w:rsidRPr="002F65BC">
        <w:t>inclusion criteria included:</w:t>
      </w:r>
    </w:p>
    <w:p w:rsidR="0074774A" w:rsidRPr="002F65BC" w:rsidRDefault="0074774A" w:rsidP="0074774A">
      <w:pPr>
        <w:pStyle w:val="ListBullet"/>
        <w:numPr>
          <w:ilvl w:val="0"/>
          <w:numId w:val="3"/>
        </w:numPr>
      </w:pPr>
      <w:r>
        <w:t>M</w:t>
      </w:r>
      <w:r w:rsidRPr="002F65BC">
        <w:t>ale or female, aged 13-17 years.</w:t>
      </w:r>
    </w:p>
    <w:p w:rsidR="0074774A" w:rsidRPr="002F65BC" w:rsidRDefault="0074774A" w:rsidP="0074774A">
      <w:pPr>
        <w:pStyle w:val="ListBullet"/>
        <w:numPr>
          <w:ilvl w:val="0"/>
          <w:numId w:val="3"/>
        </w:numPr>
      </w:pPr>
      <w:r w:rsidRPr="002F65BC">
        <w:t>Subject met DSM-IV-TR criteria for a primary diagnosis of ADHD, combined subtype,</w:t>
      </w:r>
      <w:r>
        <w:t xml:space="preserve"> </w:t>
      </w:r>
      <w:r w:rsidRPr="002F65BC">
        <w:t>hyperactive/impulsive subtype, or inattentive subtype, based on a detailed psychiatric</w:t>
      </w:r>
      <w:r>
        <w:t xml:space="preserve"> </w:t>
      </w:r>
      <w:r w:rsidRPr="002F65BC">
        <w:t>evaluation using the K-SADS-PL.</w:t>
      </w:r>
    </w:p>
    <w:p w:rsidR="0074774A" w:rsidRPr="002F65BC" w:rsidRDefault="0074774A" w:rsidP="0074774A">
      <w:pPr>
        <w:pStyle w:val="ListBullet"/>
        <w:numPr>
          <w:ilvl w:val="0"/>
          <w:numId w:val="3"/>
        </w:numPr>
      </w:pPr>
      <w:r>
        <w:t>M</w:t>
      </w:r>
      <w:r w:rsidRPr="002F65BC">
        <w:t>inim</w:t>
      </w:r>
      <w:r>
        <w:t>um ADHD-RS-IV total score of 32</w:t>
      </w:r>
      <w:r w:rsidRPr="002F65BC">
        <w:t>.</w:t>
      </w:r>
    </w:p>
    <w:p w:rsidR="0074774A" w:rsidRPr="002F65BC" w:rsidRDefault="0074774A" w:rsidP="0074774A">
      <w:pPr>
        <w:pStyle w:val="ListBullet"/>
        <w:numPr>
          <w:ilvl w:val="0"/>
          <w:numId w:val="3"/>
        </w:numPr>
      </w:pPr>
      <w:r>
        <w:lastRenderedPageBreak/>
        <w:t>Minimum CGI-S score of 4</w:t>
      </w:r>
      <w:r w:rsidRPr="002F65BC">
        <w:t>.</w:t>
      </w:r>
    </w:p>
    <w:p w:rsidR="0074774A" w:rsidRPr="002F65BC" w:rsidRDefault="0074774A" w:rsidP="0074774A">
      <w:pPr>
        <w:pStyle w:val="ListBullet"/>
        <w:numPr>
          <w:ilvl w:val="0"/>
          <w:numId w:val="3"/>
        </w:numPr>
      </w:pPr>
      <w:r>
        <w:t>F</w:t>
      </w:r>
      <w:r w:rsidRPr="002F65BC">
        <w:t>unctioning at an age-appropriate level intellectually, as deemed by the</w:t>
      </w:r>
      <w:r>
        <w:t xml:space="preserve"> I</w:t>
      </w:r>
      <w:r w:rsidRPr="002F65BC">
        <w:t>nvestigator.</w:t>
      </w:r>
    </w:p>
    <w:p w:rsidR="0074774A" w:rsidRPr="002F65BC" w:rsidRDefault="0074774A" w:rsidP="0074774A">
      <w:pPr>
        <w:pStyle w:val="ListBullet"/>
        <w:numPr>
          <w:ilvl w:val="0"/>
          <w:numId w:val="3"/>
        </w:numPr>
      </w:pPr>
      <w:r w:rsidRPr="002F65BC">
        <w:t xml:space="preserve">All female subjects had to have a negative </w:t>
      </w:r>
      <w:r>
        <w:t>β</w:t>
      </w:r>
      <w:r w:rsidRPr="002F65BC">
        <w:t>-hCG and a</w:t>
      </w:r>
      <w:r>
        <w:t xml:space="preserve"> </w:t>
      </w:r>
      <w:r w:rsidRPr="002F65BC">
        <w:t>negative urine pregnancy test and agree to abstain from</w:t>
      </w:r>
      <w:r>
        <w:t xml:space="preserve"> </w:t>
      </w:r>
      <w:r w:rsidRPr="002F65BC">
        <w:t>sexual activity or comply with any applicable contraceptive requirements of the protocol.</w:t>
      </w:r>
    </w:p>
    <w:p w:rsidR="0074774A" w:rsidRPr="002F65BC" w:rsidRDefault="0074774A" w:rsidP="0074774A">
      <w:pPr>
        <w:pStyle w:val="ListBullet"/>
        <w:numPr>
          <w:ilvl w:val="0"/>
          <w:numId w:val="3"/>
        </w:numPr>
      </w:pPr>
      <w:r>
        <w:t>S</w:t>
      </w:r>
      <w:r w:rsidRPr="002F65BC">
        <w:t>upine and standing blood pressure measurement within the 95th percentile</w:t>
      </w:r>
      <w:r>
        <w:t xml:space="preserve"> </w:t>
      </w:r>
      <w:r w:rsidRPr="002F65BC">
        <w:t>for age, sex, and height.</w:t>
      </w:r>
    </w:p>
    <w:p w:rsidR="0074774A" w:rsidRPr="002F65BC" w:rsidRDefault="0074774A" w:rsidP="0074774A">
      <w:r w:rsidRPr="002F65BC">
        <w:t>The exclusion criteria included:</w:t>
      </w:r>
    </w:p>
    <w:p w:rsidR="0074774A" w:rsidRPr="002F65BC" w:rsidRDefault="0074774A" w:rsidP="0074774A">
      <w:pPr>
        <w:pStyle w:val="ListBullet"/>
        <w:numPr>
          <w:ilvl w:val="0"/>
          <w:numId w:val="3"/>
        </w:numPr>
      </w:pPr>
      <w:r>
        <w:t>C</w:t>
      </w:r>
      <w:r w:rsidRPr="002F65BC">
        <w:t>urrent, controlled (requiring a prohibited medication or behavioural</w:t>
      </w:r>
      <w:r>
        <w:t xml:space="preserve"> </w:t>
      </w:r>
      <w:r w:rsidRPr="002F65BC">
        <w:t>modification program) or uncontrolled, comorbid psychiatric diagnosis (except ODD),</w:t>
      </w:r>
      <w:r>
        <w:t xml:space="preserve"> </w:t>
      </w:r>
      <w:r w:rsidRPr="002F65BC">
        <w:t>including any severe comorbid Axis II disorders or severe Axis I disorders such as</w:t>
      </w:r>
      <w:r>
        <w:t xml:space="preserve"> </w:t>
      </w:r>
      <w:r w:rsidRPr="002F65BC">
        <w:t>post-traumatic stress disorder, bipolar illness, psychosis, pervasive developmental</w:t>
      </w:r>
      <w:r>
        <w:t xml:space="preserve"> </w:t>
      </w:r>
      <w:r w:rsidRPr="002F65BC">
        <w:t>disorder, obsessive compulsive disorder, substance abuse disorder, or other symptomatic</w:t>
      </w:r>
      <w:r>
        <w:t xml:space="preserve"> </w:t>
      </w:r>
      <w:r w:rsidRPr="002F65BC">
        <w:t>manifestations or lifetime history of bipolar illness, psychosis, or conduct disorder that, in</w:t>
      </w:r>
      <w:r>
        <w:t xml:space="preserve"> </w:t>
      </w:r>
      <w:r w:rsidRPr="002F65BC">
        <w:t>the opinion of the investigator, would contraindicate SPD503 treatment or confound</w:t>
      </w:r>
      <w:r>
        <w:t xml:space="preserve"> </w:t>
      </w:r>
      <w:r w:rsidRPr="002F65BC">
        <w:t>efficacy or safety assessments.</w:t>
      </w:r>
    </w:p>
    <w:p w:rsidR="0074774A" w:rsidRPr="002F65BC" w:rsidRDefault="0074774A" w:rsidP="0074774A">
      <w:pPr>
        <w:pStyle w:val="ListBullet"/>
        <w:numPr>
          <w:ilvl w:val="0"/>
          <w:numId w:val="3"/>
        </w:numPr>
      </w:pPr>
      <w:r>
        <w:t>A</w:t>
      </w:r>
      <w:r w:rsidRPr="002F65BC">
        <w:t>ny condition or illness including clinically significant abnormal Screening</w:t>
      </w:r>
      <w:r>
        <w:t xml:space="preserve"> </w:t>
      </w:r>
      <w:r w:rsidRPr="002F65BC">
        <w:t>Visit (Visit 1) laboratory values which, in the opinion of the investigator, represented an</w:t>
      </w:r>
      <w:r>
        <w:t xml:space="preserve"> </w:t>
      </w:r>
      <w:r w:rsidRPr="002F65BC">
        <w:t>inappropriate risk to the subject and/or could have confounded the interpretation of the</w:t>
      </w:r>
      <w:r>
        <w:t xml:space="preserve"> </w:t>
      </w:r>
      <w:r w:rsidRPr="002F65BC">
        <w:t>study.</w:t>
      </w:r>
    </w:p>
    <w:p w:rsidR="0074774A" w:rsidRPr="002F65BC" w:rsidRDefault="0074774A" w:rsidP="0074774A">
      <w:pPr>
        <w:pStyle w:val="ListBullet"/>
        <w:numPr>
          <w:ilvl w:val="0"/>
          <w:numId w:val="3"/>
        </w:numPr>
      </w:pPr>
      <w:r>
        <w:t>K</w:t>
      </w:r>
      <w:r w:rsidRPr="002F65BC">
        <w:t>nown history or presence of structural cardiac abnormalities, serious heart</w:t>
      </w:r>
      <w:r>
        <w:t xml:space="preserve"> </w:t>
      </w:r>
      <w:r w:rsidRPr="002F65BC">
        <w:t>rhythm abnormalities, syncope, cardiac conduction problems (</w:t>
      </w:r>
      <w:r>
        <w:t>for example,</w:t>
      </w:r>
      <w:r w:rsidRPr="002F65BC">
        <w:t xml:space="preserve"> clinically significant</w:t>
      </w:r>
      <w:r>
        <w:t xml:space="preserve"> </w:t>
      </w:r>
      <w:r w:rsidRPr="002F65BC">
        <w:t>heart block), exercise-related cardiac events including syncope and pre-syncope, or</w:t>
      </w:r>
      <w:r>
        <w:t xml:space="preserve"> </w:t>
      </w:r>
      <w:r w:rsidRPr="002F65BC">
        <w:t>clinically significant bradycardia.</w:t>
      </w:r>
    </w:p>
    <w:p w:rsidR="0074774A" w:rsidRPr="002F65BC" w:rsidRDefault="0074774A" w:rsidP="0074774A">
      <w:pPr>
        <w:pStyle w:val="ListBullet"/>
        <w:numPr>
          <w:ilvl w:val="0"/>
          <w:numId w:val="3"/>
        </w:numPr>
      </w:pPr>
      <w:r>
        <w:t>O</w:t>
      </w:r>
      <w:r w:rsidRPr="002F65BC">
        <w:t>rthostatic hypotension or a known history of controlled or uncontrolled</w:t>
      </w:r>
      <w:r>
        <w:t xml:space="preserve"> </w:t>
      </w:r>
      <w:r w:rsidRPr="002F65BC">
        <w:t>hypertension.</w:t>
      </w:r>
    </w:p>
    <w:p w:rsidR="0074774A" w:rsidRPr="002F65BC" w:rsidRDefault="0074774A" w:rsidP="0074774A">
      <w:pPr>
        <w:pStyle w:val="ListBullet"/>
        <w:numPr>
          <w:ilvl w:val="0"/>
          <w:numId w:val="3"/>
        </w:numPr>
      </w:pPr>
      <w:r>
        <w:t>C</w:t>
      </w:r>
      <w:r w:rsidRPr="002F65BC">
        <w:t>linically significant ECG findings as judged by the investigator with</w:t>
      </w:r>
      <w:r>
        <w:t xml:space="preserve"> </w:t>
      </w:r>
      <w:r w:rsidRPr="002F65BC">
        <w:t>consideration of the central ECG interpretation.</w:t>
      </w:r>
    </w:p>
    <w:p w:rsidR="0074774A" w:rsidRPr="002F65BC" w:rsidRDefault="0074774A" w:rsidP="0074774A">
      <w:pPr>
        <w:pStyle w:val="ListBullet"/>
        <w:numPr>
          <w:ilvl w:val="0"/>
          <w:numId w:val="3"/>
        </w:numPr>
      </w:pPr>
      <w:r w:rsidRPr="002F65BC">
        <w:t>Subject used any prohibited medication or other medications, including herbal</w:t>
      </w:r>
      <w:r>
        <w:t xml:space="preserve"> </w:t>
      </w:r>
      <w:r w:rsidRPr="002F65BC">
        <w:t>supplements, that affect blood pressure, heart rate, have central nervous system effects, or</w:t>
      </w:r>
      <w:r>
        <w:t xml:space="preserve"> </w:t>
      </w:r>
      <w:r w:rsidRPr="002F65BC">
        <w:t>affect cognitive performance, such as sedating antihistamines and decongestant</w:t>
      </w:r>
      <w:r>
        <w:t xml:space="preserve"> </w:t>
      </w:r>
      <w:r w:rsidRPr="002F65BC">
        <w:t>sympathomimetics (inhaled bronchodilators were permitted) or a history of chronic use of</w:t>
      </w:r>
      <w:r>
        <w:t xml:space="preserve"> </w:t>
      </w:r>
      <w:r w:rsidRPr="002F65BC">
        <w:t>sedating medications (</w:t>
      </w:r>
      <w:r>
        <w:t>that is,</w:t>
      </w:r>
      <w:r w:rsidRPr="002F65BC">
        <w:t xml:space="preserve"> antihistamines) at the Baseline Visit (Visit 2).</w:t>
      </w:r>
    </w:p>
    <w:p w:rsidR="0074774A" w:rsidRPr="002F65BC" w:rsidRDefault="0074774A" w:rsidP="0074774A">
      <w:pPr>
        <w:pStyle w:val="ListBullet"/>
        <w:numPr>
          <w:ilvl w:val="0"/>
          <w:numId w:val="3"/>
        </w:numPr>
      </w:pPr>
      <w:r>
        <w:t>H</w:t>
      </w:r>
      <w:r w:rsidRPr="002F65BC">
        <w:t>istory of alcohol or other substance abuse or dependence, as defined by</w:t>
      </w:r>
      <w:r>
        <w:t xml:space="preserve"> </w:t>
      </w:r>
      <w:r w:rsidRPr="002F65BC">
        <w:t>DSM-IV-TR (with the exception of nicotine), within the last 6 months.</w:t>
      </w:r>
    </w:p>
    <w:p w:rsidR="0074774A" w:rsidRPr="002F65BC" w:rsidRDefault="0074774A" w:rsidP="0074774A">
      <w:pPr>
        <w:pStyle w:val="ListBullet"/>
        <w:numPr>
          <w:ilvl w:val="0"/>
          <w:numId w:val="3"/>
        </w:numPr>
      </w:pPr>
      <w:r w:rsidRPr="002F65BC">
        <w:t>Subject was significantly overweight based on Centers for Disease Control and Prevention</w:t>
      </w:r>
      <w:r>
        <w:t xml:space="preserve"> </w:t>
      </w:r>
      <w:r w:rsidRPr="002F65BC">
        <w:t>BMI-for-age sex-specific charts at the Screening Visit (Visit 1).</w:t>
      </w:r>
      <w:r>
        <w:t xml:space="preserve"> </w:t>
      </w:r>
      <w:r w:rsidRPr="002F65BC">
        <w:t>Significantly overweight</w:t>
      </w:r>
      <w:r>
        <w:t xml:space="preserve"> </w:t>
      </w:r>
      <w:r w:rsidRPr="002F65BC">
        <w:t>was defined as a BMI &gt;95th percentile for this study.</w:t>
      </w:r>
    </w:p>
    <w:p w:rsidR="0074774A" w:rsidRPr="002F65BC" w:rsidRDefault="0074774A" w:rsidP="0074774A">
      <w:pPr>
        <w:pStyle w:val="ListBullet"/>
        <w:numPr>
          <w:ilvl w:val="0"/>
          <w:numId w:val="3"/>
        </w:numPr>
      </w:pPr>
      <w:r>
        <w:t>B</w:t>
      </w:r>
      <w:r w:rsidRPr="002F65BC">
        <w:t>ody weight of &lt;34.0kg or &gt;91.0kg at the Screening Visit (Visit 1).</w:t>
      </w:r>
    </w:p>
    <w:p w:rsidR="0074774A" w:rsidRPr="002F65BC" w:rsidRDefault="0074774A" w:rsidP="0074774A">
      <w:pPr>
        <w:pStyle w:val="ListBullet"/>
        <w:numPr>
          <w:ilvl w:val="0"/>
          <w:numId w:val="3"/>
        </w:numPr>
      </w:pPr>
      <w:r>
        <w:t>K</w:t>
      </w:r>
      <w:r w:rsidRPr="002F65BC">
        <w:t>nown or suspected allergy, hypersensitivity, or clinically significant</w:t>
      </w:r>
      <w:r>
        <w:t xml:space="preserve"> </w:t>
      </w:r>
      <w:r w:rsidRPr="002F65BC">
        <w:t>intolerance to guanfacine hydrochloride or any components found in SPD503.</w:t>
      </w:r>
    </w:p>
    <w:p w:rsidR="0074774A" w:rsidRPr="002F65BC" w:rsidRDefault="0074774A" w:rsidP="0074774A">
      <w:pPr>
        <w:pStyle w:val="ListBullet"/>
        <w:numPr>
          <w:ilvl w:val="0"/>
          <w:numId w:val="3"/>
        </w:numPr>
      </w:pPr>
      <w:r>
        <w:t>C</w:t>
      </w:r>
      <w:r w:rsidRPr="002F65BC">
        <w:t>linically important abnormality on the urine drug and/or alcohol screen</w:t>
      </w:r>
      <w:r>
        <w:t xml:space="preserve"> </w:t>
      </w:r>
      <w:r w:rsidRPr="002F65BC">
        <w:t>(excluding the subject</w:t>
      </w:r>
      <w:r>
        <w:t>’</w:t>
      </w:r>
      <w:r w:rsidRPr="002F65BC">
        <w:t>s current ADHD stimulant if applicable).</w:t>
      </w:r>
    </w:p>
    <w:p w:rsidR="0074774A" w:rsidRPr="002F65BC" w:rsidRDefault="0074774A" w:rsidP="0074774A">
      <w:pPr>
        <w:pStyle w:val="ListBullet"/>
        <w:numPr>
          <w:ilvl w:val="0"/>
          <w:numId w:val="3"/>
        </w:numPr>
      </w:pPr>
      <w:r w:rsidRPr="002F65BC">
        <w:t>Subject was female and was pregnant or currently lactating.</w:t>
      </w:r>
    </w:p>
    <w:p w:rsidR="0074774A" w:rsidRPr="002F65BC" w:rsidRDefault="0074774A" w:rsidP="0074774A">
      <w:pPr>
        <w:pStyle w:val="ListBullet"/>
        <w:numPr>
          <w:ilvl w:val="0"/>
          <w:numId w:val="3"/>
        </w:numPr>
      </w:pPr>
      <w:r w:rsidRPr="002F65BC">
        <w:t>Subject was considered a suicide risk in the opinion of the investigator, had previously</w:t>
      </w:r>
      <w:r>
        <w:t xml:space="preserve"> </w:t>
      </w:r>
      <w:r w:rsidRPr="002F65BC">
        <w:t>made a suicide attempt, or had a prior history of, or was demonstrating active suicide</w:t>
      </w:r>
      <w:r>
        <w:t xml:space="preserve"> </w:t>
      </w:r>
      <w:r w:rsidRPr="002F65BC">
        <w:t xml:space="preserve">ideation. </w:t>
      </w:r>
      <w:r w:rsidRPr="002F65BC">
        <w:lastRenderedPageBreak/>
        <w:t>Subjects with intermittent passive suicidal ideation were not necessarily</w:t>
      </w:r>
      <w:r>
        <w:t xml:space="preserve"> </w:t>
      </w:r>
      <w:r w:rsidRPr="002F65BC">
        <w:t>excluded based on the assessment of the investigator.</w:t>
      </w:r>
    </w:p>
    <w:p w:rsidR="0074774A" w:rsidRPr="002F65BC" w:rsidRDefault="0074774A" w:rsidP="0074774A">
      <w:pPr>
        <w:pStyle w:val="ListBullet"/>
        <w:numPr>
          <w:ilvl w:val="0"/>
          <w:numId w:val="3"/>
        </w:numPr>
      </w:pPr>
      <w:r>
        <w:t>H</w:t>
      </w:r>
      <w:r w:rsidRPr="002F65BC">
        <w:t>istory of failure to respond to an adequate trial (consisting of an</w:t>
      </w:r>
      <w:r>
        <w:t xml:space="preserve"> </w:t>
      </w:r>
      <w:r w:rsidRPr="002F65BC">
        <w:t>appropriate dose and adequate duration of therapy), in the opinion of the investigator, of</w:t>
      </w:r>
      <w:r>
        <w:t xml:space="preserve"> </w:t>
      </w:r>
      <w:proofErr w:type="gramStart"/>
      <w:r w:rsidRPr="002F65BC">
        <w:t>an</w:t>
      </w:r>
      <w:proofErr w:type="gramEnd"/>
      <w:r w:rsidRPr="002F65BC">
        <w:t xml:space="preserve"> </w:t>
      </w:r>
      <w:r>
        <w:t>α</w:t>
      </w:r>
      <w:r w:rsidRPr="002F65BC">
        <w:t>2-agonist for the treatment of ADHD.</w:t>
      </w:r>
    </w:p>
    <w:p w:rsidR="0074774A" w:rsidRDefault="0074774A" w:rsidP="0074774A">
      <w:pPr>
        <w:pStyle w:val="ListBullet"/>
        <w:numPr>
          <w:ilvl w:val="0"/>
          <w:numId w:val="3"/>
        </w:numPr>
      </w:pPr>
      <w:r>
        <w:t>H</w:t>
      </w:r>
      <w:r w:rsidRPr="002F65BC">
        <w:t>istory of a seizure disorder (other than a single childhood febrile seizure</w:t>
      </w:r>
      <w:r>
        <w:t xml:space="preserve"> </w:t>
      </w:r>
      <w:r w:rsidRPr="002F65BC">
        <w:t>occurring before the age of 3 years) or the presence of a serious tic disorder (including</w:t>
      </w:r>
      <w:r>
        <w:t xml:space="preserve"> </w:t>
      </w:r>
      <w:proofErr w:type="gramStart"/>
      <w:r w:rsidRPr="002F65BC">
        <w:t>Tourette</w:t>
      </w:r>
      <w:r>
        <w:t>’</w:t>
      </w:r>
      <w:r w:rsidRPr="002F65BC">
        <w:t>s Syndrome</w:t>
      </w:r>
      <w:proofErr w:type="gramEnd"/>
      <w:r w:rsidRPr="002F65BC">
        <w:t>).</w:t>
      </w:r>
    </w:p>
    <w:p w:rsidR="0074774A" w:rsidRPr="005632DC" w:rsidRDefault="0074774A" w:rsidP="0074774A">
      <w:pPr>
        <w:pStyle w:val="Heading5"/>
        <w:numPr>
          <w:ilvl w:val="3"/>
          <w:numId w:val="29"/>
        </w:numPr>
        <w:ind w:left="1304" w:hanging="1077"/>
      </w:pPr>
      <w:r w:rsidRPr="005632DC">
        <w:t>Study treatments</w:t>
      </w:r>
    </w:p>
    <w:p w:rsidR="0074774A" w:rsidRDefault="0074774A" w:rsidP="0074774A">
      <w:pPr>
        <w:rPr>
          <w:lang w:eastAsia="ja-JP"/>
        </w:rPr>
      </w:pPr>
      <w:r>
        <w:rPr>
          <w:lang w:eastAsia="ja-JP"/>
        </w:rPr>
        <w:t>The Study treatments were:</w:t>
      </w:r>
    </w:p>
    <w:p w:rsidR="0074774A" w:rsidRDefault="0074774A" w:rsidP="00877865">
      <w:pPr>
        <w:pStyle w:val="Numberbullet0"/>
        <w:numPr>
          <w:ilvl w:val="0"/>
          <w:numId w:val="39"/>
        </w:numPr>
        <w:rPr>
          <w:lang w:eastAsia="ja-JP"/>
        </w:rPr>
      </w:pPr>
      <w:r>
        <w:rPr>
          <w:lang w:eastAsia="ja-JP"/>
        </w:rPr>
        <w:t>Guanfacine 1 to 7 mg daily</w:t>
      </w:r>
    </w:p>
    <w:p w:rsidR="0074774A" w:rsidRDefault="0074774A" w:rsidP="0074774A">
      <w:pPr>
        <w:pStyle w:val="Numberbullet0"/>
        <w:numPr>
          <w:ilvl w:val="0"/>
          <w:numId w:val="32"/>
        </w:numPr>
        <w:rPr>
          <w:lang w:eastAsia="ja-JP"/>
        </w:rPr>
      </w:pPr>
      <w:r>
        <w:rPr>
          <w:lang w:eastAsia="ja-JP"/>
        </w:rPr>
        <w:t>Placebo</w:t>
      </w:r>
    </w:p>
    <w:p w:rsidR="0074774A" w:rsidRPr="001F2718" w:rsidRDefault="0074774A" w:rsidP="0074774A">
      <w:r>
        <w:rPr>
          <w:lang w:eastAsia="ja-JP"/>
        </w:rPr>
        <w:t>There was a 7 week optimisation phase, a 6 week maintenance phase and a 2 week taper. The d</w:t>
      </w:r>
      <w:r w:rsidRPr="001F2718">
        <w:t>ose was considered optimal if a subject achieved at least a 30% reduction from Baseline in ADHD-RS-IV total score and a CGI-S score of 1 or 2 with tolerable side effects.</w:t>
      </w:r>
      <w:r>
        <w:t xml:space="preserve"> Maximum dose was based on weight, and subjects in the 58.5 to 91.0 kg group could be titrated up to 7 mg/day. The prohibited medications were the same as for Study SPD503-307.</w:t>
      </w:r>
    </w:p>
    <w:p w:rsidR="0074774A" w:rsidRPr="005632DC" w:rsidRDefault="0074774A" w:rsidP="0074774A">
      <w:pPr>
        <w:pStyle w:val="Heading5"/>
        <w:numPr>
          <w:ilvl w:val="3"/>
          <w:numId w:val="29"/>
        </w:numPr>
        <w:ind w:left="1304" w:hanging="1077"/>
      </w:pPr>
      <w:bookmarkStart w:id="289" w:name="_Efficacy_variables_and_2"/>
      <w:bookmarkEnd w:id="289"/>
      <w:r w:rsidRPr="005632DC">
        <w:t>Efficacy variables and outcomes</w:t>
      </w:r>
    </w:p>
    <w:p w:rsidR="0074774A" w:rsidRDefault="0074774A" w:rsidP="0074774A">
      <w:pPr>
        <w:rPr>
          <w:lang w:eastAsia="ja-JP"/>
        </w:rPr>
      </w:pPr>
      <w:r>
        <w:rPr>
          <w:lang w:eastAsia="ja-JP"/>
        </w:rPr>
        <w:t>The primary efficacy outcome measure was ADHD-RS-IV. The secondary efficacy outcome measures were:</w:t>
      </w:r>
    </w:p>
    <w:p w:rsidR="0074774A" w:rsidRDefault="0074774A" w:rsidP="0074774A">
      <w:pPr>
        <w:pStyle w:val="ListBullet"/>
        <w:numPr>
          <w:ilvl w:val="0"/>
          <w:numId w:val="3"/>
        </w:numPr>
        <w:rPr>
          <w:lang w:eastAsia="ja-JP"/>
        </w:rPr>
      </w:pPr>
      <w:r>
        <w:rPr>
          <w:lang w:eastAsia="ja-JP"/>
        </w:rPr>
        <w:t>CGI-S</w:t>
      </w:r>
    </w:p>
    <w:p w:rsidR="0074774A" w:rsidRDefault="0074774A" w:rsidP="0074774A">
      <w:pPr>
        <w:pStyle w:val="ListBullet"/>
        <w:numPr>
          <w:ilvl w:val="0"/>
          <w:numId w:val="3"/>
        </w:numPr>
        <w:rPr>
          <w:lang w:eastAsia="ja-JP"/>
        </w:rPr>
      </w:pPr>
      <w:r>
        <w:rPr>
          <w:lang w:eastAsia="ja-JP"/>
        </w:rPr>
        <w:t>CGI-I</w:t>
      </w:r>
    </w:p>
    <w:p w:rsidR="0074774A" w:rsidRDefault="0074774A" w:rsidP="0074774A">
      <w:pPr>
        <w:pStyle w:val="ListBullet"/>
        <w:numPr>
          <w:ilvl w:val="0"/>
          <w:numId w:val="3"/>
        </w:numPr>
        <w:rPr>
          <w:lang w:eastAsia="ja-JP"/>
        </w:rPr>
      </w:pPr>
      <w:r>
        <w:rPr>
          <w:lang w:eastAsia="ja-JP"/>
        </w:rPr>
        <w:t>WFIRS-P</w:t>
      </w:r>
    </w:p>
    <w:p w:rsidR="0074774A" w:rsidRDefault="0074774A" w:rsidP="0074774A">
      <w:pPr>
        <w:pStyle w:val="ListBullet"/>
        <w:numPr>
          <w:ilvl w:val="0"/>
          <w:numId w:val="3"/>
        </w:numPr>
        <w:rPr>
          <w:lang w:eastAsia="ja-JP"/>
        </w:rPr>
      </w:pPr>
      <w:r>
        <w:rPr>
          <w:lang w:eastAsia="ja-JP"/>
        </w:rPr>
        <w:t>BRIEF-Parent Form</w:t>
      </w:r>
    </w:p>
    <w:p w:rsidR="0074774A" w:rsidRPr="00810A5E" w:rsidRDefault="0074774A" w:rsidP="0074774A">
      <w:r w:rsidRPr="00810A5E">
        <w:t>The safety outcome measures were: AEs, clinical laboratory tests, vital signs, physical examinations, ECGs, BPRS-C, SSEQ, C-SSRS, and PDSS.</w:t>
      </w:r>
    </w:p>
    <w:p w:rsidR="0074774A" w:rsidRPr="005632DC" w:rsidRDefault="0074774A" w:rsidP="0074774A">
      <w:pPr>
        <w:pStyle w:val="Heading5"/>
        <w:numPr>
          <w:ilvl w:val="3"/>
          <w:numId w:val="29"/>
        </w:numPr>
        <w:ind w:left="1304" w:hanging="1077"/>
      </w:pPr>
      <w:r w:rsidRPr="005632DC">
        <w:t>Randomisation and blinding methods</w:t>
      </w:r>
    </w:p>
    <w:p w:rsidR="0074774A" w:rsidRDefault="0074774A" w:rsidP="0074774A">
      <w:pPr>
        <w:rPr>
          <w:lang w:eastAsia="ja-JP"/>
        </w:rPr>
      </w:pPr>
      <w:r>
        <w:rPr>
          <w:lang w:eastAsia="ja-JP"/>
        </w:rPr>
        <w:t xml:space="preserve">Subjects were randomised 1:1 to treatment group by interactive response technology. Randomisation was stratified by weight groupings. Blinding was maintained by using corresponding placebo </w:t>
      </w:r>
      <w:proofErr w:type="gramStart"/>
      <w:r>
        <w:rPr>
          <w:lang w:eastAsia="ja-JP"/>
        </w:rPr>
        <w:t>for each tablet strength</w:t>
      </w:r>
      <w:proofErr w:type="gramEnd"/>
      <w:r>
        <w:rPr>
          <w:lang w:eastAsia="ja-JP"/>
        </w:rPr>
        <w:t>.</w:t>
      </w:r>
    </w:p>
    <w:p w:rsidR="0074774A" w:rsidRPr="005632DC" w:rsidDel="0081373E" w:rsidRDefault="0074774A" w:rsidP="0074774A">
      <w:pPr>
        <w:pStyle w:val="Heading5"/>
        <w:numPr>
          <w:ilvl w:val="3"/>
          <w:numId w:val="29"/>
        </w:numPr>
        <w:ind w:left="1304" w:hanging="1077"/>
      </w:pPr>
      <w:r w:rsidRPr="005632DC">
        <w:t>Analysis populations</w:t>
      </w:r>
    </w:p>
    <w:p w:rsidR="00886C19" w:rsidRDefault="0074774A" w:rsidP="0074774A">
      <w:pPr>
        <w:rPr>
          <w:lang w:eastAsia="ja-JP"/>
        </w:rPr>
      </w:pPr>
      <w:r>
        <w:rPr>
          <w:lang w:eastAsia="ja-JP"/>
        </w:rPr>
        <w:t>The FAS and safety populations included all randomised subjects who took at least one dose of study treatment.</w:t>
      </w:r>
    </w:p>
    <w:p w:rsidR="0074774A" w:rsidRPr="005632DC" w:rsidRDefault="0074774A" w:rsidP="0074774A">
      <w:pPr>
        <w:pStyle w:val="Heading5"/>
        <w:numPr>
          <w:ilvl w:val="3"/>
          <w:numId w:val="29"/>
        </w:numPr>
        <w:ind w:left="1304" w:hanging="1077"/>
      </w:pPr>
      <w:r w:rsidRPr="005632DC" w:rsidDel="0081373E">
        <w:t>S</w:t>
      </w:r>
      <w:r w:rsidRPr="005632DC">
        <w:t>ample size</w:t>
      </w:r>
    </w:p>
    <w:p w:rsidR="0074774A" w:rsidRDefault="0074774A" w:rsidP="0074774A">
      <w:pPr>
        <w:rPr>
          <w:lang w:eastAsia="ja-JP"/>
        </w:rPr>
      </w:pPr>
      <w:r>
        <w:rPr>
          <w:lang w:eastAsia="ja-JP"/>
        </w:rPr>
        <w:t>The sample size calculation was based on the primary efficacy outcome measure. In order to detect a 4 point difference, assuming a SD of 10 points, for 90% power at an alpha of 0.05, and a 5% drop-out rate, 140 subjects were required in each treatment group.</w:t>
      </w:r>
    </w:p>
    <w:p w:rsidR="0074774A" w:rsidRPr="005632DC" w:rsidRDefault="0074774A" w:rsidP="0074774A">
      <w:pPr>
        <w:pStyle w:val="Heading5"/>
        <w:numPr>
          <w:ilvl w:val="3"/>
          <w:numId w:val="29"/>
        </w:numPr>
        <w:ind w:left="1304" w:hanging="1077"/>
      </w:pPr>
      <w:r w:rsidRPr="005632DC">
        <w:t>Statistical methods</w:t>
      </w:r>
    </w:p>
    <w:p w:rsidR="0074774A" w:rsidRDefault="0074774A" w:rsidP="0074774A">
      <w:pPr>
        <w:rPr>
          <w:lang w:eastAsia="ja-JP"/>
        </w:rPr>
      </w:pPr>
      <w:r>
        <w:rPr>
          <w:lang w:eastAsia="ja-JP"/>
        </w:rPr>
        <w:t>Hypothesis tests were performed using ANCOVA. Missing data were imputed using multiple imputations based on the placebo data.</w:t>
      </w:r>
    </w:p>
    <w:p w:rsidR="00886C19" w:rsidRDefault="0074774A" w:rsidP="0074774A">
      <w:pPr>
        <w:pStyle w:val="Heading5"/>
        <w:numPr>
          <w:ilvl w:val="3"/>
          <w:numId w:val="29"/>
        </w:numPr>
        <w:ind w:left="1304" w:hanging="1077"/>
      </w:pPr>
      <w:bookmarkStart w:id="290" w:name="_Participant_flow_3"/>
      <w:bookmarkEnd w:id="290"/>
      <w:r w:rsidRPr="005632DC">
        <w:t>Participant flow</w:t>
      </w:r>
    </w:p>
    <w:p w:rsidR="0074774A" w:rsidRDefault="0074774A" w:rsidP="0074774A">
      <w:pPr>
        <w:rPr>
          <w:lang w:eastAsia="ja-JP"/>
        </w:rPr>
      </w:pPr>
      <w:r>
        <w:rPr>
          <w:lang w:eastAsia="ja-JP"/>
        </w:rPr>
        <w:t xml:space="preserve">A total of 314 subjects were enrolled and randomised, 157 to guanfacine and 157 to placebo. A total of 207 (65.9%) subjects completed: 105 (66.9%) in the guanfacine group and 102 (65.0%) </w:t>
      </w:r>
      <w:r>
        <w:rPr>
          <w:lang w:eastAsia="ja-JP"/>
        </w:rPr>
        <w:lastRenderedPageBreak/>
        <w:t>in the placebo. The commonest reason for withdrawal was lack of efficacy: nine (5.7%) subjects in the guanfacine group and 25 (15.9%) in the placebo.</w:t>
      </w:r>
    </w:p>
    <w:p w:rsidR="0074774A" w:rsidRPr="00EC3AE0" w:rsidRDefault="0074774A" w:rsidP="0074774A">
      <w:pPr>
        <w:pStyle w:val="Heading5"/>
        <w:numPr>
          <w:ilvl w:val="3"/>
          <w:numId w:val="29"/>
        </w:numPr>
        <w:ind w:left="1304" w:hanging="1077"/>
      </w:pPr>
      <w:r w:rsidRPr="00EC3AE0">
        <w:t>Major protocol violations/deviations</w:t>
      </w:r>
    </w:p>
    <w:p w:rsidR="00886C19" w:rsidRDefault="0074774A" w:rsidP="0074774A">
      <w:pPr>
        <w:rPr>
          <w:lang w:eastAsia="ja-JP"/>
        </w:rPr>
      </w:pPr>
      <w:r>
        <w:rPr>
          <w:lang w:eastAsia="ja-JP"/>
        </w:rPr>
        <w:t>There was one (0.6%) subject in the guanfacine group and three (1.9%) in the placebo who were withdrawn because of protocol violation.</w:t>
      </w:r>
    </w:p>
    <w:p w:rsidR="0074774A" w:rsidRPr="00EC3AE0" w:rsidRDefault="0074774A" w:rsidP="0074774A">
      <w:pPr>
        <w:pStyle w:val="Heading5"/>
        <w:numPr>
          <w:ilvl w:val="3"/>
          <w:numId w:val="29"/>
        </w:numPr>
        <w:ind w:left="1304" w:hanging="1077"/>
      </w:pPr>
      <w:bookmarkStart w:id="291" w:name="_Baseline_data_3"/>
      <w:bookmarkEnd w:id="291"/>
      <w:r w:rsidRPr="00EC3AE0">
        <w:t>Baseline data</w:t>
      </w:r>
    </w:p>
    <w:p w:rsidR="0074774A" w:rsidRDefault="0074774A" w:rsidP="0074774A">
      <w:pPr>
        <w:rPr>
          <w:lang w:eastAsia="ja-JP"/>
        </w:rPr>
      </w:pPr>
      <w:r>
        <w:rPr>
          <w:lang w:eastAsia="ja-JP"/>
        </w:rPr>
        <w:t>There were 202 (64.7%) males, 110 (35.3%) males and the age range was 13 to 17 years. The treatment groups were similar in demographic characteristics. The treatment groups were similar in ADHD characteristics (Table 18). There was prior psychostimulant use by 110 (70.1%) subjects in the guanfacine group and 120 (77.4%) in the placebo. Mean compliance was 98.86% in the guanfacine group and 99.19% in the placebo.</w:t>
      </w:r>
    </w:p>
    <w:p w:rsidR="0074774A" w:rsidRPr="00501F44" w:rsidRDefault="0074774A" w:rsidP="0074774A">
      <w:pPr>
        <w:pStyle w:val="Tabletitle"/>
      </w:pPr>
      <w:bookmarkStart w:id="292" w:name="Table_7_2_4_4"/>
      <w:r>
        <w:t>Table 18:</w:t>
      </w:r>
      <w:bookmarkEnd w:id="292"/>
      <w:r>
        <w:t xml:space="preserve"> </w:t>
      </w:r>
      <w:r w:rsidRPr="00501F44">
        <w:t>Summary of Disease Characteristics (Safety Population) (copied from Table 9, Study SPD503-312 CSR)</w:t>
      </w:r>
    </w:p>
    <w:p w:rsidR="0074774A" w:rsidRDefault="0074774A" w:rsidP="0074774A">
      <w:pPr>
        <w:spacing w:before="0" w:after="0"/>
      </w:pPr>
      <w:r>
        <w:rPr>
          <w:noProof/>
          <w:lang w:eastAsia="en-AU"/>
        </w:rPr>
        <w:drawing>
          <wp:inline distT="0" distB="0" distL="0" distR="0" wp14:anchorId="6ABFFBB8" wp14:editId="6228C112">
            <wp:extent cx="4399445" cy="5205600"/>
            <wp:effectExtent l="0" t="0" r="1270" b="0"/>
            <wp:docPr id="129" name="Picture 129" descr="Table 18: Summary of Disease Characteristics (Safety Population) (copied from Table 9, Study SPD503-31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9683" cy="5205882"/>
                    </a:xfrm>
                    <a:prstGeom prst="rect">
                      <a:avLst/>
                    </a:prstGeom>
                    <a:noFill/>
                    <a:ln>
                      <a:noFill/>
                    </a:ln>
                  </pic:spPr>
                </pic:pic>
              </a:graphicData>
            </a:graphic>
          </wp:inline>
        </w:drawing>
      </w:r>
    </w:p>
    <w:p w:rsidR="0074774A" w:rsidRPr="00EC3AE0" w:rsidRDefault="0074774A" w:rsidP="0074774A">
      <w:pPr>
        <w:pStyle w:val="Heading5"/>
        <w:numPr>
          <w:ilvl w:val="3"/>
          <w:numId w:val="29"/>
        </w:numPr>
        <w:ind w:left="1304" w:hanging="1077"/>
      </w:pPr>
      <w:bookmarkStart w:id="293" w:name="_Results_for_the_3"/>
      <w:bookmarkEnd w:id="293"/>
      <w:r w:rsidRPr="00EC3AE0">
        <w:t>Results for the primary efficacy outcome</w:t>
      </w:r>
    </w:p>
    <w:p w:rsidR="0074774A" w:rsidRDefault="0074774A" w:rsidP="0074774A">
      <w:pPr>
        <w:rPr>
          <w:lang w:eastAsia="ja-JP"/>
        </w:rPr>
      </w:pPr>
      <w:r>
        <w:rPr>
          <w:lang w:eastAsia="ja-JP"/>
        </w:rPr>
        <w:t xml:space="preserve">There was a significant improvement in the primary efficacy outcome measure, ADHD-RS-IV, in the guanfacine group compared to placebo (Table 19). The mean (SD) change (improvement) from baseline in the guanfacine group was -25.7 (10.09) and in the placebo was -19.5 (12.63), </w:t>
      </w:r>
      <w:r>
        <w:rPr>
          <w:lang w:eastAsia="ja-JP"/>
        </w:rPr>
        <w:lastRenderedPageBreak/>
        <w:t>LS mean difference (95% CI) was -6.026 (-8.865 to -3.187) p &lt;0.001. Efficacy was not influenced by weight adjusted dose, sex or race.</w:t>
      </w:r>
    </w:p>
    <w:p w:rsidR="0074774A" w:rsidRPr="002911BC" w:rsidRDefault="0074774A" w:rsidP="0074774A">
      <w:pPr>
        <w:pStyle w:val="Tabletitle"/>
      </w:pPr>
      <w:bookmarkStart w:id="294" w:name="Table_7_2_4_5"/>
      <w:r>
        <w:t>Table 19:</w:t>
      </w:r>
      <w:bookmarkEnd w:id="294"/>
      <w:r>
        <w:t xml:space="preserve"> </w:t>
      </w:r>
      <w:r w:rsidRPr="002911BC">
        <w:t xml:space="preserve">Summary of MMRM Analysis of ADHD-RS-IV Total Score and Change from Baseline in ADHD-RS-IV Total Score at Week 13 </w:t>
      </w:r>
      <w:r w:rsidRPr="002911BC">
        <w:rPr>
          <w:rFonts w:hint="eastAsia"/>
        </w:rPr>
        <w:t>–</w:t>
      </w:r>
      <w:r w:rsidRPr="002911BC">
        <w:t xml:space="preserve"> (FAS) (copied from Table 11, Study SPD503-312 CSR)</w:t>
      </w:r>
    </w:p>
    <w:p w:rsidR="0074774A" w:rsidRDefault="0074774A" w:rsidP="0074774A">
      <w:pPr>
        <w:spacing w:before="0" w:after="0"/>
      </w:pPr>
      <w:r>
        <w:rPr>
          <w:noProof/>
          <w:lang w:eastAsia="en-AU"/>
        </w:rPr>
        <w:drawing>
          <wp:inline distT="0" distB="0" distL="0" distR="0" wp14:anchorId="5083B9B6" wp14:editId="687863B7">
            <wp:extent cx="4714527" cy="2871360"/>
            <wp:effectExtent l="0" t="0" r="0" b="5715"/>
            <wp:docPr id="131" name="Picture 131" descr="Table 19: Summary of MMRM Analysis of ADHD-RS-IV Total Score and Change from Baseline in ADHD-RS-IV Total Score at Week 13 – (FAS) (copied from Table 11, Study SPD503-31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782" cy="2871515"/>
                    </a:xfrm>
                    <a:prstGeom prst="rect">
                      <a:avLst/>
                    </a:prstGeom>
                    <a:noFill/>
                    <a:ln>
                      <a:noFill/>
                    </a:ln>
                  </pic:spPr>
                </pic:pic>
              </a:graphicData>
            </a:graphic>
          </wp:inline>
        </w:drawing>
      </w:r>
    </w:p>
    <w:p w:rsidR="0074774A" w:rsidRPr="005632DC" w:rsidRDefault="0074774A" w:rsidP="0074774A">
      <w:pPr>
        <w:pStyle w:val="Heading5"/>
        <w:numPr>
          <w:ilvl w:val="3"/>
          <w:numId w:val="29"/>
        </w:numPr>
        <w:ind w:left="1304" w:hanging="1077"/>
      </w:pPr>
      <w:r w:rsidRPr="005632DC">
        <w:t>Results for other efficacy outcomes</w:t>
      </w:r>
    </w:p>
    <w:p w:rsidR="0074774A" w:rsidRDefault="0074774A" w:rsidP="0074774A">
      <w:pPr>
        <w:pStyle w:val="ListBullet"/>
        <w:numPr>
          <w:ilvl w:val="0"/>
          <w:numId w:val="3"/>
        </w:numPr>
        <w:rPr>
          <w:lang w:eastAsia="ja-JP"/>
        </w:rPr>
      </w:pPr>
      <w:r>
        <w:rPr>
          <w:lang w:eastAsia="ja-JP"/>
        </w:rPr>
        <w:t>For CGI-S, there were 78 (50.6%) subjects in the guanfacine group and 56 (36.1%) in the placebo who were normal or borderline mentally ill, p = 0.010</w:t>
      </w:r>
    </w:p>
    <w:p w:rsidR="0074774A" w:rsidRDefault="0074774A" w:rsidP="0074774A">
      <w:pPr>
        <w:pStyle w:val="ListBullet"/>
        <w:numPr>
          <w:ilvl w:val="0"/>
          <w:numId w:val="3"/>
        </w:numPr>
        <w:rPr>
          <w:lang w:eastAsia="ja-JP"/>
        </w:rPr>
      </w:pPr>
      <w:r>
        <w:rPr>
          <w:lang w:eastAsia="ja-JP"/>
        </w:rPr>
        <w:t>CGI-I improved in 104 (67.5%) subjects in the guanfacine group and 71 (45.8%) in the placebo, p &lt;0.001.</w:t>
      </w:r>
    </w:p>
    <w:p w:rsidR="0074774A" w:rsidRDefault="0074774A" w:rsidP="0074774A">
      <w:pPr>
        <w:pStyle w:val="ListBullet"/>
        <w:numPr>
          <w:ilvl w:val="0"/>
          <w:numId w:val="3"/>
        </w:numPr>
        <w:rPr>
          <w:lang w:eastAsia="ja-JP"/>
        </w:rPr>
      </w:pPr>
      <w:r>
        <w:rPr>
          <w:lang w:eastAsia="ja-JP"/>
        </w:rPr>
        <w:t>There was no significant difference between the treatment groups in WFIRS-P learning and school domain, family domain or global scores.</w:t>
      </w:r>
    </w:p>
    <w:p w:rsidR="0074774A" w:rsidRDefault="0074774A" w:rsidP="0074774A">
      <w:pPr>
        <w:pStyle w:val="ListBullet"/>
        <w:numPr>
          <w:ilvl w:val="0"/>
          <w:numId w:val="3"/>
        </w:numPr>
        <w:rPr>
          <w:lang w:eastAsia="ja-JP"/>
        </w:rPr>
      </w:pPr>
      <w:r>
        <w:rPr>
          <w:lang w:eastAsia="ja-JP"/>
        </w:rPr>
        <w:t xml:space="preserve">There was no significant difference between the </w:t>
      </w:r>
      <w:proofErr w:type="gramStart"/>
      <w:r>
        <w:rPr>
          <w:lang w:eastAsia="ja-JP"/>
        </w:rPr>
        <w:t>treatment</w:t>
      </w:r>
      <w:proofErr w:type="gramEnd"/>
      <w:r>
        <w:rPr>
          <w:lang w:eastAsia="ja-JP"/>
        </w:rPr>
        <w:t xml:space="preserve"> groups in BRIEF-Parent Form, change from baseline.</w:t>
      </w:r>
    </w:p>
    <w:p w:rsidR="0074774A" w:rsidRDefault="0074774A" w:rsidP="0074774A">
      <w:pPr>
        <w:pStyle w:val="Heading5"/>
        <w:numPr>
          <w:ilvl w:val="3"/>
          <w:numId w:val="29"/>
        </w:numPr>
        <w:ind w:left="1304" w:hanging="1077"/>
        <w:rPr>
          <w:lang w:eastAsia="ja-JP"/>
        </w:rPr>
      </w:pPr>
      <w:r>
        <w:rPr>
          <w:lang w:eastAsia="ja-JP"/>
        </w:rPr>
        <w:t>Evaluator Commentary</w:t>
      </w:r>
    </w:p>
    <w:p w:rsidR="0074774A" w:rsidRDefault="0074774A" w:rsidP="0074774A">
      <w:pPr>
        <w:rPr>
          <w:lang w:eastAsia="ja-JP"/>
        </w:rPr>
      </w:pPr>
      <w:r>
        <w:rPr>
          <w:lang w:eastAsia="ja-JP"/>
        </w:rPr>
        <w:t>Study SPD503-312 demonstrated efficacy in the 13 to 17 years age group. The primary efficacy outcome measure was ADHD-RS-IV which was also used in the inclusion criteria, was measured at baseline and the change from baseline to endpoint was analysed. Response by ADHD-RS-IV was not used as an outcome measure. The maintenance phase was of 6 weeks duration.</w:t>
      </w:r>
    </w:p>
    <w:p w:rsidR="0074774A" w:rsidRPr="005632DC" w:rsidRDefault="0074774A" w:rsidP="0074774A">
      <w:pPr>
        <w:pStyle w:val="Heading4"/>
        <w:numPr>
          <w:ilvl w:val="2"/>
          <w:numId w:val="29"/>
        </w:numPr>
      </w:pPr>
      <w:bookmarkStart w:id="295" w:name="_Study_SPD503-313"/>
      <w:bookmarkEnd w:id="295"/>
      <w:r w:rsidRPr="005632DC">
        <w:t xml:space="preserve">Study </w:t>
      </w:r>
      <w:r>
        <w:t>SPD503-313</w:t>
      </w:r>
    </w:p>
    <w:p w:rsidR="0074774A" w:rsidRPr="005632DC" w:rsidRDefault="0074774A" w:rsidP="0074774A">
      <w:pPr>
        <w:pStyle w:val="Heading5"/>
        <w:numPr>
          <w:ilvl w:val="3"/>
          <w:numId w:val="29"/>
        </w:numPr>
        <w:ind w:left="1304" w:hanging="1077"/>
      </w:pPr>
      <w:r w:rsidRPr="005632DC">
        <w:t>Study design, objectives, locations and dates</w:t>
      </w:r>
    </w:p>
    <w:p w:rsidR="0074774A" w:rsidRDefault="0074774A" w:rsidP="0074774A">
      <w:pPr>
        <w:rPr>
          <w:lang w:eastAsia="ja-JP"/>
        </w:rPr>
      </w:pPr>
      <w:r>
        <w:rPr>
          <w:lang w:eastAsia="ja-JP"/>
        </w:rPr>
        <w:t>Study SPD503-313 was a double blind, randomised, placebo controlled trial of guanfacine extended release in subjects with ADHD on psychostimulant treatment. The study was conducted at 59 centres in the US from September 2008 to December 2009.</w:t>
      </w:r>
    </w:p>
    <w:p w:rsidR="0074774A" w:rsidRPr="005632DC" w:rsidRDefault="0074774A" w:rsidP="0074774A">
      <w:pPr>
        <w:pStyle w:val="Heading5"/>
        <w:numPr>
          <w:ilvl w:val="3"/>
          <w:numId w:val="29"/>
        </w:numPr>
        <w:ind w:left="1304" w:hanging="1077"/>
      </w:pPr>
      <w:r w:rsidRPr="005632DC">
        <w:t>Inclusion and exclusion criteria</w:t>
      </w:r>
    </w:p>
    <w:p w:rsidR="00886C19" w:rsidRDefault="0074774A" w:rsidP="0074774A">
      <w:pPr>
        <w:rPr>
          <w:rFonts w:asciiTheme="minorHAnsi" w:hAnsiTheme="minorHAnsi"/>
        </w:rPr>
      </w:pPr>
      <w:r w:rsidRPr="001D1829">
        <w:rPr>
          <w:rFonts w:asciiTheme="minorHAnsi" w:hAnsiTheme="minorHAnsi"/>
        </w:rPr>
        <w:t>The inclusion criteria included:</w:t>
      </w:r>
    </w:p>
    <w:p w:rsidR="0074774A" w:rsidRPr="001D1829" w:rsidRDefault="0074774A" w:rsidP="0074774A">
      <w:pPr>
        <w:pStyle w:val="ListBullet"/>
        <w:numPr>
          <w:ilvl w:val="0"/>
          <w:numId w:val="3"/>
        </w:numPr>
      </w:pPr>
      <w:r w:rsidRPr="001D1829">
        <w:t>Male or female, aged 6-17 years.</w:t>
      </w:r>
    </w:p>
    <w:p w:rsidR="0074774A" w:rsidRPr="001D1829" w:rsidRDefault="0074774A" w:rsidP="0074774A">
      <w:pPr>
        <w:pStyle w:val="ListBullet"/>
        <w:numPr>
          <w:ilvl w:val="0"/>
          <w:numId w:val="3"/>
        </w:numPr>
      </w:pPr>
      <w:r w:rsidRPr="001D1829">
        <w:lastRenderedPageBreak/>
        <w:t>DSM-IV-TR criteria for a primary diagnosis of ADHD, any sub-type, based on a detailed psychiatric evaluation using the K-SADS-PL.</w:t>
      </w:r>
    </w:p>
    <w:p w:rsidR="0074774A" w:rsidRPr="001D1829" w:rsidRDefault="0074774A" w:rsidP="0074774A">
      <w:pPr>
        <w:pStyle w:val="ListBullet"/>
        <w:numPr>
          <w:ilvl w:val="0"/>
          <w:numId w:val="3"/>
        </w:numPr>
      </w:pPr>
      <w:r w:rsidRPr="001D1829">
        <w:t>A minimum ADHD-RS-IV score of 24.</w:t>
      </w:r>
    </w:p>
    <w:p w:rsidR="0074774A" w:rsidRPr="001D1829" w:rsidRDefault="0074774A" w:rsidP="0074774A">
      <w:pPr>
        <w:pStyle w:val="ListBullet"/>
        <w:numPr>
          <w:ilvl w:val="0"/>
          <w:numId w:val="3"/>
        </w:numPr>
      </w:pPr>
      <w:r w:rsidRPr="001D1829">
        <w:t xml:space="preserve">A CGI-S score </w:t>
      </w:r>
      <w:r>
        <w:t xml:space="preserve">≥ </w:t>
      </w:r>
      <w:r w:rsidRPr="001D1829">
        <w:t>3.</w:t>
      </w:r>
    </w:p>
    <w:p w:rsidR="0074774A" w:rsidRPr="001D1829" w:rsidRDefault="0074774A" w:rsidP="0074774A">
      <w:pPr>
        <w:pStyle w:val="ListBullet"/>
        <w:numPr>
          <w:ilvl w:val="0"/>
          <w:numId w:val="3"/>
        </w:numPr>
      </w:pPr>
      <w:r w:rsidRPr="001D1829">
        <w:t>Receiving a stable, once-daily dose, consistent with the package insert, of one of the following long-acting psychostimulants, approved for the treatment of ADHD, for at least 4 weeks prior to Screening:</w:t>
      </w:r>
    </w:p>
    <w:p w:rsidR="0074774A" w:rsidRPr="001D1829" w:rsidRDefault="0074774A" w:rsidP="0074774A">
      <w:pPr>
        <w:pStyle w:val="ListBullet2"/>
        <w:numPr>
          <w:ilvl w:val="1"/>
          <w:numId w:val="3"/>
        </w:numPr>
      </w:pPr>
      <w:r w:rsidRPr="001D1829">
        <w:t>Subjects aged 6-17 years receiving Adderall XR® (mixed salts of a single-entity amphetamine product).</w:t>
      </w:r>
    </w:p>
    <w:p w:rsidR="0074774A" w:rsidRPr="001D1829" w:rsidRDefault="0074774A" w:rsidP="0074774A">
      <w:pPr>
        <w:pStyle w:val="ListBullet2"/>
        <w:numPr>
          <w:ilvl w:val="1"/>
          <w:numId w:val="3"/>
        </w:numPr>
      </w:pPr>
      <w:r w:rsidRPr="001D1829">
        <w:t>Subjects aged 6-12 years only receiving Vyvanse™ (lisdexamfetamine dimesylate)</w:t>
      </w:r>
    </w:p>
    <w:p w:rsidR="0074774A" w:rsidRPr="001D1829" w:rsidRDefault="0074774A" w:rsidP="0074774A">
      <w:pPr>
        <w:pStyle w:val="ListBullet2"/>
        <w:numPr>
          <w:ilvl w:val="1"/>
          <w:numId w:val="3"/>
        </w:numPr>
      </w:pPr>
      <w:r w:rsidRPr="001D1829">
        <w:t>Subjects aged 6-17 years receiving Concerta® (methylphenidate HCl)</w:t>
      </w:r>
    </w:p>
    <w:p w:rsidR="0074774A" w:rsidRPr="001D1829" w:rsidRDefault="0074774A" w:rsidP="0074774A">
      <w:pPr>
        <w:pStyle w:val="ListBullet2"/>
        <w:numPr>
          <w:ilvl w:val="1"/>
          <w:numId w:val="3"/>
        </w:numPr>
      </w:pPr>
      <w:r w:rsidRPr="001D1829">
        <w:t>Subjects aged 6-17 years receiving Focalin XR® (dexmethylphenidate hydrochloride)</w:t>
      </w:r>
    </w:p>
    <w:p w:rsidR="0074774A" w:rsidRPr="001D1829" w:rsidRDefault="0074774A" w:rsidP="0074774A">
      <w:pPr>
        <w:pStyle w:val="ListBullet2"/>
        <w:numPr>
          <w:ilvl w:val="1"/>
          <w:numId w:val="3"/>
        </w:numPr>
      </w:pPr>
      <w:r w:rsidRPr="001D1829">
        <w:t>Subjects aged 6-12 years only receiving Ritalin LA® (methylphenidate hydrochloride extended-release)</w:t>
      </w:r>
    </w:p>
    <w:p w:rsidR="0074774A" w:rsidRPr="001D1829" w:rsidRDefault="0074774A" w:rsidP="0074774A">
      <w:pPr>
        <w:pStyle w:val="ListBullet2"/>
        <w:numPr>
          <w:ilvl w:val="1"/>
          <w:numId w:val="3"/>
        </w:numPr>
      </w:pPr>
      <w:r w:rsidRPr="001D1829">
        <w:t>Subjects aged 6-15 years only receiving Metadate CD™ (methylphenidate hydrochloride, USP)</w:t>
      </w:r>
    </w:p>
    <w:p w:rsidR="0074774A" w:rsidRPr="001D1829" w:rsidRDefault="0074774A" w:rsidP="0074774A">
      <w:pPr>
        <w:pStyle w:val="ListBullet2"/>
        <w:numPr>
          <w:ilvl w:val="1"/>
          <w:numId w:val="3"/>
        </w:numPr>
      </w:pPr>
      <w:r w:rsidRPr="001D1829">
        <w:t>FDA-approved generic equivalents of the above psychostimulants with the same dose and age ranges.</w:t>
      </w:r>
    </w:p>
    <w:p w:rsidR="0074774A" w:rsidRPr="001D1829" w:rsidRDefault="0074774A" w:rsidP="0074774A">
      <w:pPr>
        <w:pStyle w:val="ListBullet"/>
        <w:numPr>
          <w:ilvl w:val="0"/>
          <w:numId w:val="3"/>
        </w:numPr>
      </w:pPr>
      <w:r w:rsidRPr="001D1829">
        <w:t>Demonstrated a partial but sub-optimal response to subject’s current stimulant medication; in the Investigator’s opinion, need for additional treatment.</w:t>
      </w:r>
    </w:p>
    <w:p w:rsidR="0074774A" w:rsidRPr="001D1829" w:rsidRDefault="0074774A" w:rsidP="0074774A">
      <w:pPr>
        <w:pStyle w:val="ListBullet"/>
        <w:numPr>
          <w:ilvl w:val="0"/>
          <w:numId w:val="3"/>
        </w:numPr>
      </w:pPr>
      <w:r w:rsidRPr="001D1829">
        <w:t>Normal or clinically insignificant Screening ECG findings</w:t>
      </w:r>
    </w:p>
    <w:p w:rsidR="0074774A" w:rsidRPr="001D1829" w:rsidRDefault="0074774A" w:rsidP="0074774A">
      <w:pPr>
        <w:pStyle w:val="ListBullet"/>
        <w:numPr>
          <w:ilvl w:val="0"/>
          <w:numId w:val="3"/>
        </w:numPr>
      </w:pPr>
      <w:r w:rsidRPr="001D1829">
        <w:t>Intellectual function at age-appropriate levels as deemed by the Investigator.</w:t>
      </w:r>
    </w:p>
    <w:p w:rsidR="0074774A" w:rsidRPr="001D1829" w:rsidRDefault="0074774A" w:rsidP="0074774A">
      <w:pPr>
        <w:pStyle w:val="ListBullet"/>
        <w:numPr>
          <w:ilvl w:val="0"/>
          <w:numId w:val="3"/>
        </w:numPr>
      </w:pPr>
      <w:r w:rsidRPr="001D1829">
        <w:t>Blood pressure measurements within the 95th percentile for age, gender, and height.</w:t>
      </w:r>
    </w:p>
    <w:p w:rsidR="00886C19" w:rsidRDefault="0074774A" w:rsidP="0074774A">
      <w:pPr>
        <w:pStyle w:val="ListBullet"/>
        <w:numPr>
          <w:ilvl w:val="0"/>
          <w:numId w:val="3"/>
        </w:numPr>
      </w:pPr>
      <w:r w:rsidRPr="001D1829">
        <w:t>FOCP must have a negative serum beta Human Chorionic Gonadotropin (HCG) pregnancy test at Screening, a negative urine pregnancy test at Baseline and must use or agree to use acceptable methods of contraception.</w:t>
      </w:r>
    </w:p>
    <w:p w:rsidR="0074774A" w:rsidRPr="001D1829" w:rsidRDefault="0074774A" w:rsidP="0074774A">
      <w:pPr>
        <w:rPr>
          <w:rFonts w:asciiTheme="minorHAnsi" w:hAnsiTheme="minorHAnsi"/>
        </w:rPr>
      </w:pPr>
      <w:r w:rsidRPr="001D1829">
        <w:rPr>
          <w:rFonts w:asciiTheme="minorHAnsi" w:hAnsiTheme="minorHAnsi"/>
        </w:rPr>
        <w:t>The exclusion criteria included:</w:t>
      </w:r>
    </w:p>
    <w:p w:rsidR="0074774A" w:rsidRPr="00BE6FD1" w:rsidRDefault="0074774A" w:rsidP="0074774A">
      <w:pPr>
        <w:pStyle w:val="ListBullet"/>
        <w:numPr>
          <w:ilvl w:val="0"/>
          <w:numId w:val="3"/>
        </w:numPr>
      </w:pPr>
      <w:r w:rsidRPr="00BE6FD1">
        <w:t>Any current, controlled (requiring a prohibited medication or behavioural modification program) or uncontrolled, co-morbid psychiatric diagnosis (except ODD), including any severe co-morbid Axis II disorders or severe Axis I disorders such as Post Traumatic Stress Disorder (PTSD), bipolar illness, psychosis, pervasive developmental disorder, obsessive-compulsive disorder (OCD), substance abuse disorder, or other symptomatic manifestations or lifetime history of bipolar illness, psychosis or conduct disorder that, in the opinion of the Investigator, contraindicate SPD503 treatment or confound efficacy or safety assessments.</w:t>
      </w:r>
    </w:p>
    <w:p w:rsidR="0074774A" w:rsidRPr="00BE6FD1" w:rsidRDefault="0074774A" w:rsidP="0074774A">
      <w:pPr>
        <w:pStyle w:val="ListBullet"/>
        <w:numPr>
          <w:ilvl w:val="0"/>
          <w:numId w:val="3"/>
        </w:numPr>
      </w:pPr>
      <w:r w:rsidRPr="00BE6FD1">
        <w:t>Subjects who are at suicide risk, any subject who has previously made a suicide attempt or those who are currently demonstrating active suicide ideation.</w:t>
      </w:r>
    </w:p>
    <w:p w:rsidR="0074774A" w:rsidRPr="00BE6FD1" w:rsidRDefault="0074774A" w:rsidP="0074774A">
      <w:pPr>
        <w:pStyle w:val="ListBullet"/>
        <w:numPr>
          <w:ilvl w:val="0"/>
          <w:numId w:val="3"/>
        </w:numPr>
      </w:pPr>
      <w:r w:rsidRPr="00BE6FD1">
        <w:t>Any condition or illness (including clinically significant abnormal Screening laboratory values) which, in the opinion of the Investigator, represents an inappropriate risk to the subject and/or could confound the interpretation of the study.</w:t>
      </w:r>
    </w:p>
    <w:p w:rsidR="0074774A" w:rsidRPr="00BE6FD1" w:rsidRDefault="0074774A" w:rsidP="0074774A">
      <w:pPr>
        <w:pStyle w:val="ListBullet"/>
        <w:numPr>
          <w:ilvl w:val="0"/>
          <w:numId w:val="3"/>
        </w:numPr>
      </w:pPr>
      <w:r w:rsidRPr="00BE6FD1">
        <w:t>Subject has a history of seizure disorder (other than a single childhood febrile seizure occurring before the age of 3 years).</w:t>
      </w:r>
    </w:p>
    <w:p w:rsidR="0074774A" w:rsidRPr="00BE6FD1" w:rsidRDefault="0074774A" w:rsidP="0074774A">
      <w:pPr>
        <w:pStyle w:val="ListBullet"/>
        <w:numPr>
          <w:ilvl w:val="0"/>
          <w:numId w:val="3"/>
        </w:numPr>
      </w:pPr>
      <w:r w:rsidRPr="00BE6FD1">
        <w:t xml:space="preserve">History or presence of known structural cardiac abnormalities, symptomatic cardiovascular disease, advanced arteriosclerosis, cardiomyopathy, serious heart rhythm abnormalities, </w:t>
      </w:r>
      <w:r w:rsidRPr="00BE6FD1">
        <w:lastRenderedPageBreak/>
        <w:t>coronary artery disease, syncope, cardiac conduction problems (</w:t>
      </w:r>
      <w:r>
        <w:t>for example,</w:t>
      </w:r>
      <w:r w:rsidRPr="00BE6FD1">
        <w:t xml:space="preserve"> clinically significant heart block or clinically significant abnormality in QT or QTc interval, etc.), exercise-related cardiac events including syncope and pre-syncope, clinically significant bradycardia or any other serious cardiac problem that may place a subject at increased vulnerability to the effects of a stimulant and/or α2-agonist medication.</w:t>
      </w:r>
    </w:p>
    <w:p w:rsidR="0074774A" w:rsidRPr="00BE6FD1" w:rsidRDefault="0074774A" w:rsidP="0074774A">
      <w:pPr>
        <w:pStyle w:val="ListBullet"/>
        <w:numPr>
          <w:ilvl w:val="0"/>
          <w:numId w:val="3"/>
        </w:numPr>
      </w:pPr>
      <w:r w:rsidRPr="00BE6FD1">
        <w:t>Subject has a family history of sudden cardiac death or ventricular arrhythmia.</w:t>
      </w:r>
    </w:p>
    <w:p w:rsidR="0074774A" w:rsidRPr="00BE6FD1" w:rsidRDefault="0074774A" w:rsidP="0074774A">
      <w:pPr>
        <w:pStyle w:val="ListBullet"/>
        <w:numPr>
          <w:ilvl w:val="0"/>
          <w:numId w:val="3"/>
        </w:numPr>
      </w:pPr>
      <w:r w:rsidRPr="00BE6FD1">
        <w:t>Subject has symptomatic or clinically meaningful orthostatic hypotension based on clinical judgment.</w:t>
      </w:r>
    </w:p>
    <w:p w:rsidR="0074774A" w:rsidRPr="00BE6FD1" w:rsidRDefault="0074774A" w:rsidP="0074774A">
      <w:pPr>
        <w:pStyle w:val="ListBullet"/>
        <w:numPr>
          <w:ilvl w:val="0"/>
          <w:numId w:val="3"/>
        </w:numPr>
      </w:pPr>
      <w:r w:rsidRPr="00BE6FD1">
        <w:t>History of controlled or uncontrolled hypertension.</w:t>
      </w:r>
    </w:p>
    <w:p w:rsidR="0074774A" w:rsidRPr="00BE6FD1" w:rsidRDefault="0074774A" w:rsidP="0074774A">
      <w:pPr>
        <w:pStyle w:val="ListBullet"/>
        <w:numPr>
          <w:ilvl w:val="0"/>
          <w:numId w:val="3"/>
        </w:numPr>
      </w:pPr>
      <w:r w:rsidRPr="00BE6FD1">
        <w:t>Current use of any prohibited medication or other medications, including herbal supplements, that have central nervous system (CNS) effects or affect cognitive performance, such as sedating antihistamines and decongestant sympathomimetics (bronchodilators are permitted).</w:t>
      </w:r>
    </w:p>
    <w:p w:rsidR="00886C19" w:rsidRDefault="0074774A" w:rsidP="0074774A">
      <w:pPr>
        <w:pStyle w:val="ListBullet"/>
        <w:numPr>
          <w:ilvl w:val="0"/>
          <w:numId w:val="3"/>
        </w:numPr>
      </w:pPr>
      <w:r w:rsidRPr="00BE6FD1">
        <w:t xml:space="preserve">Current use of any </w:t>
      </w:r>
      <w:proofErr w:type="gramStart"/>
      <w:r w:rsidRPr="00BE6FD1">
        <w:t>medication including herbal supplements that affects BP or HR or are</w:t>
      </w:r>
      <w:proofErr w:type="gramEnd"/>
      <w:r w:rsidRPr="00BE6FD1">
        <w:t xml:space="preserve"> known to prolong the QT/QTc interval (excluding the subject’s current ADHD medication).</w:t>
      </w:r>
    </w:p>
    <w:p w:rsidR="00886C19" w:rsidRDefault="0074774A" w:rsidP="0074774A">
      <w:pPr>
        <w:pStyle w:val="ListBullet"/>
        <w:numPr>
          <w:ilvl w:val="0"/>
          <w:numId w:val="3"/>
        </w:numPr>
      </w:pPr>
      <w:r w:rsidRPr="00BE6FD1">
        <w:t>Morbidly overweight or obese, as defined by a BMI &gt;95</w:t>
      </w:r>
      <w:r w:rsidRPr="00BE6FD1">
        <w:rPr>
          <w:vertAlign w:val="superscript"/>
        </w:rPr>
        <w:t>th</w:t>
      </w:r>
      <w:r w:rsidRPr="00BE6FD1">
        <w:t xml:space="preserve"> percentile.</w:t>
      </w:r>
    </w:p>
    <w:p w:rsidR="0074774A" w:rsidRPr="00BE6FD1" w:rsidRDefault="0074774A" w:rsidP="0074774A">
      <w:pPr>
        <w:pStyle w:val="ListBullet"/>
        <w:numPr>
          <w:ilvl w:val="0"/>
          <w:numId w:val="3"/>
        </w:numPr>
      </w:pPr>
      <w:r w:rsidRPr="00BE6FD1">
        <w:t>Weight less than 55 lbs (25kg).</w:t>
      </w:r>
    </w:p>
    <w:p w:rsidR="0074774A" w:rsidRPr="00BE6FD1" w:rsidRDefault="0074774A" w:rsidP="0074774A">
      <w:pPr>
        <w:pStyle w:val="ListBullet"/>
        <w:numPr>
          <w:ilvl w:val="0"/>
          <w:numId w:val="3"/>
        </w:numPr>
      </w:pPr>
      <w:r w:rsidRPr="00BE6FD1">
        <w:t>Weight greater than 176 lbs (80kg).</w:t>
      </w:r>
    </w:p>
    <w:p w:rsidR="0074774A" w:rsidRPr="00FF7CF0" w:rsidRDefault="0074774A" w:rsidP="0074774A">
      <w:pPr>
        <w:pStyle w:val="ListBullet"/>
        <w:numPr>
          <w:ilvl w:val="0"/>
          <w:numId w:val="3"/>
        </w:numPr>
      </w:pPr>
      <w:r w:rsidRPr="00FF7CF0">
        <w:t>Clinically important abnormality on urine drug and alcohol screen (UDS) (excluding the subject’s current ADHD stimulant) at Screening</w:t>
      </w:r>
    </w:p>
    <w:p w:rsidR="0074774A" w:rsidRPr="00BE6FD1" w:rsidRDefault="0074774A" w:rsidP="0074774A">
      <w:pPr>
        <w:pStyle w:val="ListBullet"/>
        <w:numPr>
          <w:ilvl w:val="0"/>
          <w:numId w:val="3"/>
        </w:numPr>
      </w:pPr>
      <w:r w:rsidRPr="00BE6FD1">
        <w:t>Pregnancy or currently lactating.</w:t>
      </w:r>
    </w:p>
    <w:p w:rsidR="0074774A" w:rsidRPr="00BE6FD1" w:rsidRDefault="0074774A" w:rsidP="0074774A">
      <w:pPr>
        <w:pStyle w:val="ListBullet"/>
        <w:numPr>
          <w:ilvl w:val="0"/>
          <w:numId w:val="3"/>
        </w:numPr>
      </w:pPr>
      <w:r w:rsidRPr="00BE6FD1">
        <w:t>History of alcohol or other substance abuse or dependence, as defined by DSM-IV (with the exceptions of caffeine or nicotine) within the last year.</w:t>
      </w:r>
    </w:p>
    <w:p w:rsidR="0074774A" w:rsidRPr="005632DC" w:rsidRDefault="0074774A" w:rsidP="0074774A">
      <w:pPr>
        <w:pStyle w:val="Heading5"/>
        <w:numPr>
          <w:ilvl w:val="3"/>
          <w:numId w:val="29"/>
        </w:numPr>
        <w:ind w:left="1304" w:hanging="1077"/>
      </w:pPr>
      <w:r w:rsidRPr="005632DC">
        <w:t>Study treatments</w:t>
      </w:r>
    </w:p>
    <w:p w:rsidR="0074774A" w:rsidRDefault="0074774A" w:rsidP="0074774A">
      <w:pPr>
        <w:rPr>
          <w:lang w:eastAsia="ja-JP"/>
        </w:rPr>
      </w:pPr>
      <w:r>
        <w:rPr>
          <w:lang w:eastAsia="ja-JP"/>
        </w:rPr>
        <w:t xml:space="preserve">The study </w:t>
      </w:r>
      <w:proofErr w:type="gramStart"/>
      <w:r>
        <w:rPr>
          <w:lang w:eastAsia="ja-JP"/>
        </w:rPr>
        <w:t>treatment were</w:t>
      </w:r>
      <w:proofErr w:type="gramEnd"/>
      <w:r>
        <w:rPr>
          <w:lang w:eastAsia="ja-JP"/>
        </w:rPr>
        <w:t>:</w:t>
      </w:r>
    </w:p>
    <w:p w:rsidR="0074774A" w:rsidRDefault="0074774A" w:rsidP="00877865">
      <w:pPr>
        <w:pStyle w:val="Numberbullet0"/>
        <w:numPr>
          <w:ilvl w:val="0"/>
          <w:numId w:val="40"/>
        </w:numPr>
        <w:rPr>
          <w:lang w:eastAsia="ja-JP"/>
        </w:rPr>
      </w:pPr>
      <w:r>
        <w:rPr>
          <w:lang w:eastAsia="ja-JP"/>
        </w:rPr>
        <w:t>Guanfacine extended release 1 to 4 mg in the morning</w:t>
      </w:r>
    </w:p>
    <w:p w:rsidR="0074774A" w:rsidRDefault="0074774A" w:rsidP="0074774A">
      <w:pPr>
        <w:pStyle w:val="Numberbullet0"/>
        <w:numPr>
          <w:ilvl w:val="0"/>
          <w:numId w:val="32"/>
        </w:numPr>
        <w:rPr>
          <w:lang w:eastAsia="ja-JP"/>
        </w:rPr>
      </w:pPr>
      <w:r>
        <w:rPr>
          <w:lang w:eastAsia="ja-JP"/>
        </w:rPr>
        <w:t>Guanfacine extended release 1 to 4 mg in the evening</w:t>
      </w:r>
    </w:p>
    <w:p w:rsidR="0074774A" w:rsidRDefault="0074774A" w:rsidP="0074774A">
      <w:pPr>
        <w:pStyle w:val="Numberbullet0"/>
        <w:numPr>
          <w:ilvl w:val="0"/>
          <w:numId w:val="32"/>
        </w:numPr>
        <w:rPr>
          <w:lang w:eastAsia="ja-JP"/>
        </w:rPr>
      </w:pPr>
      <w:r>
        <w:rPr>
          <w:lang w:eastAsia="ja-JP"/>
        </w:rPr>
        <w:t>Placebo</w:t>
      </w:r>
    </w:p>
    <w:p w:rsidR="0074774A" w:rsidRDefault="0074774A" w:rsidP="0074774A">
      <w:pPr>
        <w:rPr>
          <w:lang w:eastAsia="ja-JP"/>
        </w:rPr>
      </w:pPr>
      <w:r>
        <w:rPr>
          <w:lang w:eastAsia="ja-JP"/>
        </w:rPr>
        <w:t>There was a five week dose optimisation phase, a three week maintenance phase and a 9 day taper.</w:t>
      </w:r>
    </w:p>
    <w:p w:rsidR="0074774A" w:rsidRDefault="0074774A" w:rsidP="0074774A">
      <w:pPr>
        <w:rPr>
          <w:lang w:eastAsia="ja-JP"/>
        </w:rPr>
      </w:pPr>
      <w:r>
        <w:rPr>
          <w:lang w:eastAsia="ja-JP"/>
        </w:rPr>
        <w:t xml:space="preserve">Subjects continued to take their usual dose of psychostimulant. The following medications were </w:t>
      </w:r>
      <w:r w:rsidRPr="00B81E63">
        <w:t>prohibited: any antihypertensives, tricyclic antidepressants, selective</w:t>
      </w:r>
      <w:r>
        <w:t xml:space="preserve"> </w:t>
      </w:r>
      <w:r w:rsidRPr="00B81E63">
        <w:t>serotonin reuptake inhibitors, selective norepinephrine reuptake inhibitors including</w:t>
      </w:r>
      <w:r>
        <w:t xml:space="preserve"> </w:t>
      </w:r>
      <w:r w:rsidRPr="00B81E63">
        <w:t>Strattera</w:t>
      </w:r>
      <w:r w:rsidRPr="00B81E63">
        <w:rPr>
          <w:rFonts w:hint="eastAsia"/>
        </w:rPr>
        <w:t>®</w:t>
      </w:r>
      <w:r w:rsidRPr="00B81E63">
        <w:t>, antipsychotics, neuroleptics, anxiolytics, benzodiazepines or benzodiazepine</w:t>
      </w:r>
      <w:r>
        <w:t xml:space="preserve"> </w:t>
      </w:r>
      <w:r w:rsidRPr="00B81E63">
        <w:t>derivatives, psychostimulants (other than entry defined use of certain pre-specified long</w:t>
      </w:r>
      <w:r>
        <w:t xml:space="preserve"> </w:t>
      </w:r>
      <w:r w:rsidRPr="00B81E63">
        <w:t>acting oral psychostimulants), including sympathomimetics, appetite suppressants, modafinil,</w:t>
      </w:r>
      <w:r>
        <w:t xml:space="preserve"> </w:t>
      </w:r>
      <w:r w:rsidRPr="00B81E63">
        <w:t>and pemoline, cough/cold preparations containing stimulants, other medications containing</w:t>
      </w:r>
      <w:r>
        <w:t xml:space="preserve"> </w:t>
      </w:r>
      <w:r w:rsidRPr="00B81E63">
        <w:t>amphetamine or pemoline, clonidine and guanfacine, monoamine oxidase inhibitors,</w:t>
      </w:r>
      <w:r>
        <w:t xml:space="preserve"> </w:t>
      </w:r>
      <w:r w:rsidRPr="00B81E63">
        <w:t>anticonvulsant medications, sedatives, sedative hypnotics such as zopiclone, sedating</w:t>
      </w:r>
      <w:r>
        <w:t xml:space="preserve"> </w:t>
      </w:r>
      <w:r w:rsidRPr="00B81E63">
        <w:t>antihistamines (as a single preparation or in combination), and melatonin</w:t>
      </w:r>
      <w:r>
        <w:t>.</w:t>
      </w:r>
    </w:p>
    <w:p w:rsidR="0074774A" w:rsidRPr="005632DC" w:rsidRDefault="0074774A" w:rsidP="0074774A">
      <w:pPr>
        <w:pStyle w:val="Heading5"/>
        <w:numPr>
          <w:ilvl w:val="3"/>
          <w:numId w:val="29"/>
        </w:numPr>
        <w:ind w:left="1304" w:hanging="1077"/>
      </w:pPr>
      <w:bookmarkStart w:id="296" w:name="_Efficacy_variables_and_3"/>
      <w:bookmarkEnd w:id="296"/>
      <w:r w:rsidRPr="005632DC">
        <w:t>Efficacy variables and outcomes</w:t>
      </w:r>
    </w:p>
    <w:p w:rsidR="0074774A" w:rsidRDefault="0074774A" w:rsidP="0074774A">
      <w:pPr>
        <w:rPr>
          <w:lang w:eastAsia="ja-JP"/>
        </w:rPr>
      </w:pPr>
      <w:r>
        <w:rPr>
          <w:lang w:eastAsia="ja-JP"/>
        </w:rPr>
        <w:t>The primary efficacy outcome variable was ADHD-RS-IV. The secondary efficacy outcome variables were:</w:t>
      </w:r>
    </w:p>
    <w:p w:rsidR="0074774A" w:rsidRDefault="0074774A" w:rsidP="0074774A">
      <w:pPr>
        <w:pStyle w:val="ListBullet"/>
        <w:numPr>
          <w:ilvl w:val="0"/>
          <w:numId w:val="3"/>
        </w:numPr>
        <w:rPr>
          <w:lang w:eastAsia="ja-JP"/>
        </w:rPr>
      </w:pPr>
      <w:r>
        <w:rPr>
          <w:lang w:eastAsia="ja-JP"/>
        </w:rPr>
        <w:lastRenderedPageBreak/>
        <w:t>CGI-I</w:t>
      </w:r>
    </w:p>
    <w:p w:rsidR="0074774A" w:rsidRDefault="0074774A" w:rsidP="0074774A">
      <w:pPr>
        <w:pStyle w:val="ListBullet"/>
        <w:numPr>
          <w:ilvl w:val="0"/>
          <w:numId w:val="3"/>
        </w:numPr>
        <w:rPr>
          <w:lang w:eastAsia="ja-JP"/>
        </w:rPr>
      </w:pPr>
      <w:r>
        <w:rPr>
          <w:lang w:eastAsia="ja-JP"/>
        </w:rPr>
        <w:t>Connor’s Global Index – Parent (CGI-P)</w:t>
      </w:r>
    </w:p>
    <w:p w:rsidR="0074774A" w:rsidRDefault="0074774A" w:rsidP="0074774A">
      <w:pPr>
        <w:pStyle w:val="ListBullet"/>
        <w:numPr>
          <w:ilvl w:val="0"/>
          <w:numId w:val="3"/>
        </w:numPr>
        <w:rPr>
          <w:lang w:eastAsia="ja-JP"/>
        </w:rPr>
      </w:pPr>
      <w:r>
        <w:rPr>
          <w:lang w:eastAsia="ja-JP"/>
        </w:rPr>
        <w:t>Before-school Functioning Questionnaire (Wil-Hammer) (BSFQ)</w:t>
      </w:r>
    </w:p>
    <w:p w:rsidR="0074774A" w:rsidRDefault="0074774A" w:rsidP="0074774A">
      <w:pPr>
        <w:pStyle w:val="ListBullet"/>
        <w:numPr>
          <w:ilvl w:val="0"/>
          <w:numId w:val="3"/>
        </w:numPr>
        <w:rPr>
          <w:lang w:eastAsia="ja-JP"/>
        </w:rPr>
      </w:pPr>
      <w:r>
        <w:rPr>
          <w:lang w:eastAsia="ja-JP"/>
        </w:rPr>
        <w:t>CPRS-R:L</w:t>
      </w:r>
    </w:p>
    <w:p w:rsidR="0074774A" w:rsidRDefault="0074774A" w:rsidP="0074774A">
      <w:pPr>
        <w:pStyle w:val="ListBullet"/>
        <w:numPr>
          <w:ilvl w:val="0"/>
          <w:numId w:val="3"/>
        </w:numPr>
        <w:rPr>
          <w:lang w:eastAsia="ja-JP"/>
        </w:rPr>
      </w:pPr>
      <w:r>
        <w:rPr>
          <w:lang w:eastAsia="ja-JP"/>
        </w:rPr>
        <w:t>Post-Sleep Questionnaire</w:t>
      </w:r>
    </w:p>
    <w:p w:rsidR="0074774A" w:rsidRDefault="0074774A" w:rsidP="0074774A">
      <w:pPr>
        <w:rPr>
          <w:lang w:eastAsia="ja-JP"/>
        </w:rPr>
      </w:pPr>
      <w:r>
        <w:rPr>
          <w:lang w:eastAsia="ja-JP"/>
        </w:rPr>
        <w:t>The safety outcome measures were: AEs clinical laboratory tests, vital signs, height, weight, ECGs and physical examination findings.</w:t>
      </w:r>
    </w:p>
    <w:p w:rsidR="0074774A" w:rsidRPr="005632DC" w:rsidRDefault="0074774A" w:rsidP="0074774A">
      <w:pPr>
        <w:pStyle w:val="Heading5"/>
        <w:numPr>
          <w:ilvl w:val="3"/>
          <w:numId w:val="29"/>
        </w:numPr>
        <w:ind w:left="1304" w:hanging="1077"/>
      </w:pPr>
      <w:r w:rsidRPr="005632DC">
        <w:t>Randomisation and blinding methods</w:t>
      </w:r>
    </w:p>
    <w:p w:rsidR="0074774A" w:rsidRDefault="0074774A" w:rsidP="0074774A">
      <w:pPr>
        <w:rPr>
          <w:lang w:eastAsia="ja-JP"/>
        </w:rPr>
      </w:pPr>
      <w:r>
        <w:rPr>
          <w:lang w:eastAsia="ja-JP"/>
        </w:rPr>
        <w:t>Randomisation was by IVRS in the ratio 1:1:1. There were matching placebo tablets that were used for the evening or morning dose and in the placebo group.</w:t>
      </w:r>
    </w:p>
    <w:p w:rsidR="0074774A" w:rsidRPr="005632DC" w:rsidDel="0081373E" w:rsidRDefault="0074774A" w:rsidP="0074774A">
      <w:pPr>
        <w:pStyle w:val="Heading5"/>
        <w:numPr>
          <w:ilvl w:val="3"/>
          <w:numId w:val="29"/>
        </w:numPr>
        <w:ind w:left="1304" w:hanging="1077"/>
      </w:pPr>
      <w:r w:rsidRPr="005632DC">
        <w:t>Analysis populations</w:t>
      </w:r>
    </w:p>
    <w:p w:rsidR="0074774A" w:rsidRDefault="0074774A" w:rsidP="0074774A">
      <w:pPr>
        <w:rPr>
          <w:lang w:eastAsia="ja-JP"/>
        </w:rPr>
      </w:pPr>
      <w:r>
        <w:rPr>
          <w:lang w:eastAsia="ja-JP"/>
        </w:rPr>
        <w:t>The FAS and safety populations included all subjects who received at least one dose of study treatment.</w:t>
      </w:r>
    </w:p>
    <w:p w:rsidR="0074774A" w:rsidRPr="005632DC" w:rsidRDefault="0074774A" w:rsidP="0074774A">
      <w:pPr>
        <w:pStyle w:val="Heading5"/>
        <w:numPr>
          <w:ilvl w:val="3"/>
          <w:numId w:val="29"/>
        </w:numPr>
        <w:ind w:left="1304" w:hanging="1077"/>
      </w:pPr>
      <w:r w:rsidRPr="005632DC" w:rsidDel="0081373E">
        <w:t>S</w:t>
      </w:r>
      <w:r w:rsidRPr="005632DC">
        <w:t>ample size</w:t>
      </w:r>
    </w:p>
    <w:p w:rsidR="0074774A" w:rsidRDefault="0074774A" w:rsidP="0074774A">
      <w:pPr>
        <w:rPr>
          <w:lang w:eastAsia="ja-JP"/>
        </w:rPr>
      </w:pPr>
      <w:r>
        <w:rPr>
          <w:lang w:eastAsia="ja-JP"/>
        </w:rPr>
        <w:t>The sample size was based on the primary efficacy outcome measure and comparisons with placebo. To detect an effect size of 0.4, equivalent to a 4 point difference, assuming a SD of 10, at a power of 90% and alpha of 0.05 a samples size of 133 per treatment group was required. To account for dropouts a sample size of 147 subjects per group was required.</w:t>
      </w:r>
    </w:p>
    <w:p w:rsidR="0074774A" w:rsidRPr="005632DC" w:rsidRDefault="0074774A" w:rsidP="0074774A">
      <w:pPr>
        <w:pStyle w:val="Heading5"/>
        <w:numPr>
          <w:ilvl w:val="3"/>
          <w:numId w:val="29"/>
        </w:numPr>
        <w:ind w:left="1304" w:hanging="1077"/>
      </w:pPr>
      <w:r w:rsidRPr="005632DC">
        <w:t>Statistical methods</w:t>
      </w:r>
    </w:p>
    <w:p w:rsidR="0074774A" w:rsidRDefault="0074774A" w:rsidP="0074774A">
      <w:pPr>
        <w:rPr>
          <w:lang w:eastAsia="ja-JP"/>
        </w:rPr>
      </w:pPr>
      <w:r>
        <w:rPr>
          <w:lang w:eastAsia="ja-JP"/>
        </w:rPr>
        <w:t>Hypothesis tests were performed using ANCOVA and CMH. Missing data were imputed using LOCF. Dunnett’s adjustment for multiplicity was used.</w:t>
      </w:r>
    </w:p>
    <w:p w:rsidR="00886C19" w:rsidRDefault="0074774A" w:rsidP="0074774A">
      <w:pPr>
        <w:pStyle w:val="Heading5"/>
        <w:numPr>
          <w:ilvl w:val="3"/>
          <w:numId w:val="29"/>
        </w:numPr>
        <w:ind w:left="1304" w:hanging="1077"/>
      </w:pPr>
      <w:bookmarkStart w:id="297" w:name="_Participant_flow_4"/>
      <w:bookmarkEnd w:id="297"/>
      <w:r w:rsidRPr="005632DC">
        <w:t>Participant flow</w:t>
      </w:r>
    </w:p>
    <w:p w:rsidR="0074774A" w:rsidRDefault="0074774A" w:rsidP="0074774A">
      <w:pPr>
        <w:rPr>
          <w:lang w:eastAsia="ja-JP"/>
        </w:rPr>
      </w:pPr>
      <w:r>
        <w:rPr>
          <w:lang w:eastAsia="ja-JP"/>
        </w:rPr>
        <w:t>There were 461 subjects randomised to treatment: 154 in the guanfacine morning (AM) group, 153 in the guanfacine evening (PM) group and 154 in the placebo (Table 20). Six subjects did not receive study treatment. The FAS and safety analysis included 150 (97.4%) subjects in the AM group, 152 (99.3%) in the PM and 153 (99.4%) in the placebo. There were 121(78.6%) subjects in the AM group, 128 (83.7%) in the PM and 129 (83.8%) in the placebo who completed the study.</w:t>
      </w:r>
    </w:p>
    <w:p w:rsidR="0074774A" w:rsidRPr="009D5A29" w:rsidRDefault="0074774A" w:rsidP="0074774A">
      <w:pPr>
        <w:pStyle w:val="Tabletitle"/>
      </w:pPr>
      <w:bookmarkStart w:id="298" w:name="Table_7_2_5_2"/>
      <w:r>
        <w:lastRenderedPageBreak/>
        <w:t>Table 20:</w:t>
      </w:r>
      <w:bookmarkEnd w:id="298"/>
      <w:r>
        <w:t xml:space="preserve"> </w:t>
      </w:r>
      <w:r w:rsidRPr="009D5A29">
        <w:t>Summary of Subject Disposition (copied from Table 2, Study SPD503-313 CSR)</w:t>
      </w:r>
    </w:p>
    <w:p w:rsidR="0074774A" w:rsidRDefault="0074774A" w:rsidP="0074774A">
      <w:pPr>
        <w:spacing w:before="0" w:after="0"/>
      </w:pPr>
      <w:r>
        <w:rPr>
          <w:noProof/>
          <w:lang w:eastAsia="en-AU"/>
        </w:rPr>
        <w:drawing>
          <wp:inline distT="0" distB="0" distL="0" distR="0" wp14:anchorId="6D965332" wp14:editId="3B029EB3">
            <wp:extent cx="4474334" cy="3916800"/>
            <wp:effectExtent l="0" t="0" r="2540" b="7620"/>
            <wp:docPr id="135" name="Picture 135" descr="Table 20: Summary of Subject Disposition (copied from Table 2, Study SPD503-313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4576" cy="3917012"/>
                    </a:xfrm>
                    <a:prstGeom prst="rect">
                      <a:avLst/>
                    </a:prstGeom>
                    <a:noFill/>
                    <a:ln>
                      <a:noFill/>
                    </a:ln>
                  </pic:spPr>
                </pic:pic>
              </a:graphicData>
            </a:graphic>
          </wp:inline>
        </w:drawing>
      </w:r>
    </w:p>
    <w:p w:rsidR="0074774A" w:rsidRPr="00EC3AE0" w:rsidRDefault="0074774A" w:rsidP="0074774A">
      <w:pPr>
        <w:pStyle w:val="Heading5"/>
        <w:numPr>
          <w:ilvl w:val="3"/>
          <w:numId w:val="29"/>
        </w:numPr>
        <w:ind w:left="1304" w:hanging="1077"/>
      </w:pPr>
      <w:r w:rsidRPr="00EC3AE0">
        <w:t>Major protocol violations/deviations</w:t>
      </w:r>
    </w:p>
    <w:p w:rsidR="0074774A" w:rsidRDefault="0074774A" w:rsidP="0074774A">
      <w:pPr>
        <w:rPr>
          <w:lang w:eastAsia="ja-JP"/>
        </w:rPr>
      </w:pPr>
      <w:r>
        <w:rPr>
          <w:lang w:eastAsia="ja-JP"/>
        </w:rPr>
        <w:t>A total of 17 (3.7%) subjects were withdrawn because of protocol violation: eight (5.2%) in the AM group, six (3.9%) in the PM and three (1.9%) in the placebo.</w:t>
      </w:r>
    </w:p>
    <w:p w:rsidR="0074774A" w:rsidRPr="00EC3AE0" w:rsidRDefault="0074774A" w:rsidP="0074774A">
      <w:pPr>
        <w:pStyle w:val="Heading5"/>
        <w:numPr>
          <w:ilvl w:val="3"/>
          <w:numId w:val="29"/>
        </w:numPr>
        <w:ind w:left="1304" w:hanging="1077"/>
      </w:pPr>
      <w:bookmarkStart w:id="299" w:name="_Baseline_data_4"/>
      <w:bookmarkEnd w:id="299"/>
      <w:r w:rsidRPr="00EC3AE0">
        <w:t>Baseline data</w:t>
      </w:r>
    </w:p>
    <w:p w:rsidR="0074774A" w:rsidRDefault="0074774A" w:rsidP="0074774A">
      <w:pPr>
        <w:rPr>
          <w:lang w:eastAsia="ja-JP"/>
        </w:rPr>
      </w:pPr>
      <w:r>
        <w:rPr>
          <w:lang w:eastAsia="ja-JP"/>
        </w:rPr>
        <w:t>There were 326 (71.6%) males, 129 (28.4%) females and the age range was 6 to 17 years. The treatment groups were similar in demographic characteristics and psychostimulant treatment, but the PM group had a lower mean weight: mean (SD) weight 90.76 (29.7) lb in the AM group, 85.40 (26.5) lb in the PM and 89.14 (27.9) lb in the placebo. The treatment groups were similar in disease characteristics (Table 21). Compliance was 98.8% for the AM dose and 96.65 for the PM.</w:t>
      </w:r>
    </w:p>
    <w:p w:rsidR="0074774A" w:rsidRPr="002A3976" w:rsidRDefault="0074774A" w:rsidP="0074774A">
      <w:pPr>
        <w:pStyle w:val="Tabletitle"/>
      </w:pPr>
      <w:bookmarkStart w:id="300" w:name="Table_7_2_5_4"/>
      <w:r>
        <w:lastRenderedPageBreak/>
        <w:t>Table 21</w:t>
      </w:r>
      <w:bookmarkEnd w:id="300"/>
      <w:r>
        <w:t xml:space="preserve">: </w:t>
      </w:r>
      <w:r w:rsidRPr="002A3976">
        <w:t>Summary of Disease Characteristics (copied from Table 4, Study SPD503-313 CSR)</w:t>
      </w:r>
    </w:p>
    <w:p w:rsidR="0074774A" w:rsidRDefault="0074774A" w:rsidP="0074774A">
      <w:pPr>
        <w:spacing w:before="0" w:after="0"/>
      </w:pPr>
      <w:r>
        <w:rPr>
          <w:noProof/>
          <w:lang w:eastAsia="en-AU"/>
        </w:rPr>
        <w:drawing>
          <wp:inline distT="0" distB="0" distL="0" distR="0" wp14:anchorId="6E8F0454" wp14:editId="7FA5F968">
            <wp:extent cx="5105876" cy="5996500"/>
            <wp:effectExtent l="0" t="0" r="0" b="4445"/>
            <wp:docPr id="138" name="Picture 138" descr="Table 21: Summary of Disease Characteristics (copied from Table 4, Study SPD503-313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6152" cy="5996824"/>
                    </a:xfrm>
                    <a:prstGeom prst="rect">
                      <a:avLst/>
                    </a:prstGeom>
                    <a:noFill/>
                    <a:ln>
                      <a:noFill/>
                    </a:ln>
                  </pic:spPr>
                </pic:pic>
              </a:graphicData>
            </a:graphic>
          </wp:inline>
        </w:drawing>
      </w:r>
    </w:p>
    <w:p w:rsidR="0074774A" w:rsidRPr="00EC3AE0" w:rsidRDefault="0074774A" w:rsidP="0074774A">
      <w:pPr>
        <w:pStyle w:val="Heading5"/>
        <w:numPr>
          <w:ilvl w:val="3"/>
          <w:numId w:val="29"/>
        </w:numPr>
        <w:ind w:left="1304" w:hanging="1077"/>
      </w:pPr>
      <w:bookmarkStart w:id="301" w:name="_Results_for_the_4"/>
      <w:bookmarkEnd w:id="301"/>
      <w:r w:rsidRPr="00EC3AE0">
        <w:t>Results for the primary efficacy outcome</w:t>
      </w:r>
    </w:p>
    <w:p w:rsidR="0074774A" w:rsidRDefault="0074774A" w:rsidP="0074774A">
      <w:pPr>
        <w:rPr>
          <w:lang w:eastAsia="ja-JP"/>
        </w:rPr>
      </w:pPr>
      <w:r>
        <w:rPr>
          <w:lang w:eastAsia="ja-JP"/>
        </w:rPr>
        <w:t>Both guanfacine treatment groups had a greater improvement in ADHD-RS-IV score than placebo, but there was a slightly greater improvement in the PM group (Table 22). The LS mean (95%) difference from placebo was -4.5 (-7.5 to -1.4) p = 0.002 in the AM group and -5.3 (-8.3 to -2.3) p &lt;0.001 in the PM group. There were 118 (79.2%) subjects coded as responders in the AM group, 123 (83.1%) in the PM group and 106 (69.7%) in the placebo. The effect size was similar for the subgroups of males and females and by race. The effect size was also similar for inattentiveness and hyperactivity/impulsiveness subscales.</w:t>
      </w:r>
    </w:p>
    <w:p w:rsidR="0074774A" w:rsidRPr="00194BDF" w:rsidRDefault="0074774A" w:rsidP="0074774A">
      <w:pPr>
        <w:pStyle w:val="Tabletitle"/>
      </w:pPr>
      <w:bookmarkStart w:id="302" w:name="Table_7_2_5_5"/>
      <w:r>
        <w:lastRenderedPageBreak/>
        <w:t>Table 22</w:t>
      </w:r>
      <w:bookmarkEnd w:id="302"/>
      <w:r>
        <w:t xml:space="preserve">: </w:t>
      </w:r>
      <w:r w:rsidRPr="00194BDF">
        <w:t>Summary of Change from Baseline in ADHD-RS-IV Total Score at Endpoint - LOCF (FAS) (copied from Table 5, Study SPD503-313 CSR)</w:t>
      </w:r>
    </w:p>
    <w:p w:rsidR="0074774A" w:rsidRDefault="0074774A" w:rsidP="0074774A">
      <w:pPr>
        <w:spacing w:before="0" w:after="0"/>
      </w:pPr>
      <w:r>
        <w:rPr>
          <w:noProof/>
          <w:lang w:eastAsia="en-AU"/>
        </w:rPr>
        <w:drawing>
          <wp:inline distT="0" distB="0" distL="0" distR="0" wp14:anchorId="1D5E0464" wp14:editId="3ADB42AD">
            <wp:extent cx="4826869" cy="2459520"/>
            <wp:effectExtent l="0" t="0" r="0" b="0"/>
            <wp:docPr id="123" name="Picture 123" descr="Table 22: Summary of Change from Baseline in ADHD-RS-IV Total Score at Endpoint - LOCF (FAS) (copied from Table 5, Study SPD503-313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7130" cy="2459653"/>
                    </a:xfrm>
                    <a:prstGeom prst="rect">
                      <a:avLst/>
                    </a:prstGeom>
                    <a:noFill/>
                    <a:ln>
                      <a:noFill/>
                    </a:ln>
                  </pic:spPr>
                </pic:pic>
              </a:graphicData>
            </a:graphic>
          </wp:inline>
        </w:drawing>
      </w:r>
    </w:p>
    <w:p w:rsidR="0074774A" w:rsidRPr="005632DC" w:rsidRDefault="0074774A" w:rsidP="0074774A">
      <w:pPr>
        <w:pStyle w:val="Heading5"/>
        <w:numPr>
          <w:ilvl w:val="3"/>
          <w:numId w:val="29"/>
        </w:numPr>
        <w:ind w:left="1304" w:hanging="1077"/>
      </w:pPr>
      <w:bookmarkStart w:id="303" w:name="_Results_for_other_2"/>
      <w:bookmarkEnd w:id="303"/>
      <w:r w:rsidRPr="005632DC">
        <w:t>Results for other efficacy outcomes</w:t>
      </w:r>
    </w:p>
    <w:p w:rsidR="0074774A" w:rsidRDefault="0074774A" w:rsidP="0074774A">
      <w:pPr>
        <w:pStyle w:val="ListBullet"/>
        <w:numPr>
          <w:ilvl w:val="0"/>
          <w:numId w:val="3"/>
        </w:numPr>
        <w:rPr>
          <w:lang w:eastAsia="ja-JP"/>
        </w:rPr>
      </w:pPr>
      <w:r>
        <w:rPr>
          <w:lang w:eastAsia="ja-JP"/>
        </w:rPr>
        <w:t xml:space="preserve">For CGI-I there was improvement compared to placebo in both guanfacine groups: 105 (70.5%) subjects in the AM group, p = 0.024, 110 (74.2%) in the PM, p = </w:t>
      </w:r>
      <w:proofErr w:type="gramStart"/>
      <w:r>
        <w:rPr>
          <w:lang w:eastAsia="ja-JP"/>
        </w:rPr>
        <w:t>0.003,</w:t>
      </w:r>
      <w:proofErr w:type="gramEnd"/>
      <w:r>
        <w:rPr>
          <w:lang w:eastAsia="ja-JP"/>
        </w:rPr>
        <w:t xml:space="preserve"> and 88 (57.9%) in the placebo.</w:t>
      </w:r>
    </w:p>
    <w:p w:rsidR="0074774A" w:rsidRDefault="0074774A" w:rsidP="0074774A">
      <w:pPr>
        <w:pStyle w:val="ListBullet"/>
        <w:numPr>
          <w:ilvl w:val="0"/>
          <w:numId w:val="3"/>
        </w:numPr>
        <w:rPr>
          <w:lang w:eastAsia="ja-JP"/>
        </w:rPr>
      </w:pPr>
      <w:r>
        <w:rPr>
          <w:lang w:eastAsia="ja-JP"/>
        </w:rPr>
        <w:t>For CGI-S there was significantly less severity in the guanfacine groups at endpoint (Table 23).</w:t>
      </w:r>
    </w:p>
    <w:p w:rsidR="0074774A" w:rsidRPr="001C4603" w:rsidRDefault="0074774A" w:rsidP="0074774A">
      <w:pPr>
        <w:pStyle w:val="Tabletitle"/>
      </w:pPr>
      <w:bookmarkStart w:id="304" w:name="Table_7_2_5_6"/>
      <w:r>
        <w:t>Table 23:</w:t>
      </w:r>
      <w:bookmarkEnd w:id="304"/>
      <w:r>
        <w:t xml:space="preserve"> </w:t>
      </w:r>
      <w:r w:rsidRPr="001C4603">
        <w:t>Summary and Analysis of CGI-S (FAS) (copied from Table 10, Study SPD503-313 CSR)</w:t>
      </w:r>
    </w:p>
    <w:p w:rsidR="0074774A" w:rsidRDefault="0074774A" w:rsidP="0074774A">
      <w:r>
        <w:rPr>
          <w:noProof/>
          <w:lang w:eastAsia="en-AU"/>
        </w:rPr>
        <w:drawing>
          <wp:inline distT="0" distB="0" distL="0" distR="0" wp14:anchorId="0899B23B" wp14:editId="0B572A93">
            <wp:extent cx="4517562" cy="3765600"/>
            <wp:effectExtent l="0" t="0" r="0" b="6350"/>
            <wp:docPr id="133" name="Picture 133" descr="Table 23: Summary and Analysis of CGI-S (FAS) (copied from Table 10, Study SPD503-313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21237" cy="3768663"/>
                    </a:xfrm>
                    <a:prstGeom prst="rect">
                      <a:avLst/>
                    </a:prstGeom>
                  </pic:spPr>
                </pic:pic>
              </a:graphicData>
            </a:graphic>
          </wp:inline>
        </w:drawing>
      </w:r>
    </w:p>
    <w:p w:rsidR="00886C19" w:rsidRDefault="0074774A" w:rsidP="0074774A">
      <w:pPr>
        <w:pStyle w:val="ListBullet"/>
        <w:numPr>
          <w:ilvl w:val="0"/>
          <w:numId w:val="3"/>
        </w:numPr>
        <w:rPr>
          <w:lang w:eastAsia="ja-JP"/>
        </w:rPr>
      </w:pPr>
      <w:r>
        <w:rPr>
          <w:lang w:eastAsia="ja-JP"/>
        </w:rPr>
        <w:lastRenderedPageBreak/>
        <w:t>For Connor’s Global Index – Parent (CGI-P), both guanfacine treatment groups had a greater improvement than placebo, but there was a slightly greater improvement in the PM group. The LS mean (95%) difference from placebo was -1.7 (-3.2 to –0.3) p = 0.019 in the AM group and -2.6 (-4.0 to -1.1) p &lt;0.001 in the PM group.</w:t>
      </w:r>
    </w:p>
    <w:p w:rsidR="00886C19" w:rsidRDefault="0074774A" w:rsidP="0074774A">
      <w:pPr>
        <w:pStyle w:val="ListBullet"/>
        <w:numPr>
          <w:ilvl w:val="0"/>
          <w:numId w:val="3"/>
        </w:numPr>
        <w:rPr>
          <w:lang w:eastAsia="ja-JP"/>
        </w:rPr>
      </w:pPr>
      <w:r>
        <w:rPr>
          <w:lang w:eastAsia="ja-JP"/>
        </w:rPr>
        <w:t>For the Before-school Functioning Questionnaire (Wil-Hammer) (BSFQ) there was similar benefit compared to placebo for both active treatment groups. The LS mean (95%) difference from placebo was -5.1 (-8.0 to –2.2) p &lt;0.001 in the AM group and -4.7 (-7.6 to -1.7) p = 0.002 in the PM group.</w:t>
      </w:r>
    </w:p>
    <w:p w:rsidR="0074774A" w:rsidRDefault="0074774A" w:rsidP="0074774A">
      <w:pPr>
        <w:pStyle w:val="ListBullet"/>
        <w:numPr>
          <w:ilvl w:val="0"/>
          <w:numId w:val="3"/>
        </w:numPr>
        <w:rPr>
          <w:lang w:eastAsia="ja-JP"/>
        </w:rPr>
      </w:pPr>
      <w:r>
        <w:rPr>
          <w:lang w:eastAsia="ja-JP"/>
        </w:rPr>
        <w:t>For PGA there was improvement compared to placebo in both guanfacine groups: 90 (69.8%) subjects in the AM group, p &lt;0.001, 90 (67.7%) in the PM, p &lt;</w:t>
      </w:r>
      <w:proofErr w:type="gramStart"/>
      <w:r>
        <w:rPr>
          <w:lang w:eastAsia="ja-JP"/>
        </w:rPr>
        <w:t>0.001,</w:t>
      </w:r>
      <w:proofErr w:type="gramEnd"/>
      <w:r>
        <w:rPr>
          <w:lang w:eastAsia="ja-JP"/>
        </w:rPr>
        <w:t xml:space="preserve"> and 67 (47.5%) in the placebo.</w:t>
      </w:r>
    </w:p>
    <w:p w:rsidR="00886C19" w:rsidRDefault="0074774A" w:rsidP="0074774A">
      <w:pPr>
        <w:pStyle w:val="ListBullet"/>
        <w:numPr>
          <w:ilvl w:val="0"/>
          <w:numId w:val="3"/>
        </w:numPr>
        <w:rPr>
          <w:lang w:eastAsia="ja-JP"/>
        </w:rPr>
      </w:pPr>
      <w:r>
        <w:rPr>
          <w:lang w:eastAsia="ja-JP"/>
        </w:rPr>
        <w:t>For CPRS-R</w:t>
      </w:r>
      <w:proofErr w:type="gramStart"/>
      <w:r>
        <w:rPr>
          <w:lang w:eastAsia="ja-JP"/>
        </w:rPr>
        <w:t>:L</w:t>
      </w:r>
      <w:proofErr w:type="gramEnd"/>
      <w:r>
        <w:rPr>
          <w:lang w:eastAsia="ja-JP"/>
        </w:rPr>
        <w:t xml:space="preserve"> both guanfacine treatment groups had a greater improvement than placebo, but there was a slightly greater improvement in the PM group. The LS mean (95%) difference from placebo was -2.4 (-3.9 to –0.9) p = 0.001 in the AM group and -2.2 (-3.6 to -0.7) p = 0.003 in the PM group.</w:t>
      </w:r>
    </w:p>
    <w:p w:rsidR="0074774A" w:rsidRDefault="0074774A" w:rsidP="0074774A">
      <w:pPr>
        <w:pStyle w:val="ListBullet"/>
        <w:numPr>
          <w:ilvl w:val="0"/>
          <w:numId w:val="3"/>
        </w:numPr>
        <w:rPr>
          <w:lang w:eastAsia="ja-JP"/>
        </w:rPr>
      </w:pPr>
      <w:r>
        <w:rPr>
          <w:lang w:eastAsia="ja-JP"/>
        </w:rPr>
        <w:t>Post-Sleep Questionnaire there was no significant difference in quality of sleep between the treatment groups: mean (SD) change from baseline -6.6 (6.7) for AM, -6.3 (7.05) for PM and -4.2 (6.79) for placebo.</w:t>
      </w:r>
    </w:p>
    <w:p w:rsidR="0074774A" w:rsidRDefault="0074774A" w:rsidP="0074774A">
      <w:pPr>
        <w:pStyle w:val="Heading5"/>
        <w:numPr>
          <w:ilvl w:val="3"/>
          <w:numId w:val="29"/>
        </w:numPr>
        <w:ind w:left="1304" w:hanging="1077"/>
        <w:rPr>
          <w:lang w:eastAsia="ja-JP"/>
        </w:rPr>
      </w:pPr>
      <w:r>
        <w:rPr>
          <w:lang w:eastAsia="ja-JP"/>
        </w:rPr>
        <w:t>Evaluator Commentary</w:t>
      </w:r>
    </w:p>
    <w:p w:rsidR="0074774A" w:rsidRDefault="0074774A" w:rsidP="0074774A">
      <w:pPr>
        <w:rPr>
          <w:lang w:eastAsia="ja-JP"/>
        </w:rPr>
      </w:pPr>
      <w:r>
        <w:rPr>
          <w:lang w:eastAsia="ja-JP"/>
        </w:rPr>
        <w:t>Study SPD503-313 indicates efficacy guanfacine in subjects aged 6 to 17 years with ADHD and co-medicated with psychostimulants. The study maintenance phase was not of sufficient duration to demonstrate efficacy (3 weeks). The primary efficacy outcome measure was ADHD-RS-IV, which was used in the inclusion criteria and measured at baseline and endpoint. The study did not examine doses higher than 4 mg/day in subjects co-medicated with psychostimulants. There was no clinically significant difference between morning and evening dosing.</w:t>
      </w:r>
    </w:p>
    <w:p w:rsidR="0074774A" w:rsidRPr="005632DC" w:rsidRDefault="0074774A" w:rsidP="0074774A">
      <w:pPr>
        <w:pStyle w:val="Heading4"/>
        <w:numPr>
          <w:ilvl w:val="2"/>
          <w:numId w:val="29"/>
        </w:numPr>
      </w:pPr>
      <w:bookmarkStart w:id="305" w:name="_Study_SPD503-314"/>
      <w:bookmarkEnd w:id="305"/>
      <w:r w:rsidRPr="005632DC">
        <w:t xml:space="preserve">Study </w:t>
      </w:r>
      <w:r>
        <w:t>SPD503-314</w:t>
      </w:r>
    </w:p>
    <w:p w:rsidR="0074774A" w:rsidRPr="005632DC" w:rsidRDefault="0074774A" w:rsidP="0074774A">
      <w:pPr>
        <w:pStyle w:val="Heading5"/>
        <w:numPr>
          <w:ilvl w:val="3"/>
          <w:numId w:val="29"/>
        </w:numPr>
        <w:ind w:left="1304" w:hanging="1077"/>
      </w:pPr>
      <w:r w:rsidRPr="005632DC">
        <w:t>Study design, objectives, locations and dates</w:t>
      </w:r>
    </w:p>
    <w:p w:rsidR="0074774A" w:rsidRDefault="0074774A" w:rsidP="0074774A">
      <w:pPr>
        <w:rPr>
          <w:lang w:eastAsia="ja-JP"/>
        </w:rPr>
      </w:pPr>
      <w:r>
        <w:rPr>
          <w:lang w:eastAsia="ja-JP"/>
        </w:rPr>
        <w:t>Study SPD503-314 was a double blind, randomised, placebo controlled dose optimisation study of guanfacine in children with ADHD aged 6 to 12 years, comparing morning dosing with evening dosing and with placebo. The study was conducted at 47 centres in the US and Canada from November 2009 to September 2010.</w:t>
      </w:r>
    </w:p>
    <w:p w:rsidR="0074774A" w:rsidRPr="005632DC" w:rsidRDefault="0074774A" w:rsidP="0074774A">
      <w:pPr>
        <w:pStyle w:val="Heading5"/>
        <w:numPr>
          <w:ilvl w:val="3"/>
          <w:numId w:val="29"/>
        </w:numPr>
        <w:ind w:left="1304" w:hanging="1077"/>
      </w:pPr>
      <w:r w:rsidRPr="005632DC">
        <w:t>Inclusion and exclusion criteria</w:t>
      </w:r>
    </w:p>
    <w:p w:rsidR="0074774A" w:rsidRDefault="0074774A" w:rsidP="0074774A">
      <w:pPr>
        <w:rPr>
          <w:lang w:eastAsia="ja-JP"/>
        </w:rPr>
      </w:pPr>
      <w:r>
        <w:rPr>
          <w:lang w:eastAsia="ja-JP"/>
        </w:rPr>
        <w:t>The inclusion criteria included:</w:t>
      </w:r>
    </w:p>
    <w:p w:rsidR="0074774A" w:rsidRPr="00C77B65" w:rsidRDefault="0074774A" w:rsidP="0074774A">
      <w:pPr>
        <w:pStyle w:val="ListBullet"/>
        <w:numPr>
          <w:ilvl w:val="0"/>
          <w:numId w:val="3"/>
        </w:numPr>
      </w:pPr>
      <w:r>
        <w:t>Male or female, aged 6-12 years.</w:t>
      </w:r>
    </w:p>
    <w:p w:rsidR="0074774A" w:rsidRPr="00C77B65" w:rsidRDefault="0074774A" w:rsidP="0074774A">
      <w:pPr>
        <w:pStyle w:val="ListBullet"/>
        <w:numPr>
          <w:ilvl w:val="0"/>
          <w:numId w:val="3"/>
        </w:numPr>
      </w:pPr>
      <w:r w:rsidRPr="00C77B65">
        <w:t>DSM-IV-TR criteria for a primary diagnosis of ADHD, combined</w:t>
      </w:r>
      <w:r>
        <w:t xml:space="preserve"> </w:t>
      </w:r>
      <w:r w:rsidRPr="00C77B65">
        <w:t>sub-type or hyperactive/</w:t>
      </w:r>
      <w:r>
        <w:t xml:space="preserve"> </w:t>
      </w:r>
      <w:r w:rsidRPr="00C77B65">
        <w:t>impulsive sub-type, based on a detailed psychiatric evaluation</w:t>
      </w:r>
      <w:r>
        <w:t xml:space="preserve"> K-SADS-PL</w:t>
      </w:r>
      <w:r w:rsidRPr="00C77B65">
        <w:t>.</w:t>
      </w:r>
    </w:p>
    <w:p w:rsidR="0074774A" w:rsidRDefault="0074774A" w:rsidP="0074774A">
      <w:pPr>
        <w:pStyle w:val="ListBullet"/>
        <w:numPr>
          <w:ilvl w:val="0"/>
          <w:numId w:val="3"/>
        </w:numPr>
      </w:pPr>
      <w:r>
        <w:t>M</w:t>
      </w:r>
      <w:r w:rsidRPr="00C77B65">
        <w:t>inimum ADHD-RS-IV total score of 28</w:t>
      </w:r>
      <w:r>
        <w:t>.</w:t>
      </w:r>
    </w:p>
    <w:p w:rsidR="0074774A" w:rsidRPr="00C77B65" w:rsidRDefault="0074774A" w:rsidP="0074774A">
      <w:pPr>
        <w:pStyle w:val="ListBullet"/>
        <w:numPr>
          <w:ilvl w:val="0"/>
          <w:numId w:val="3"/>
        </w:numPr>
      </w:pPr>
      <w:r w:rsidRPr="00C77B65">
        <w:t xml:space="preserve">CGI-S score </w:t>
      </w:r>
      <w:r>
        <w:rPr>
          <w:rFonts w:hint="eastAsia"/>
        </w:rPr>
        <w:t xml:space="preserve">≥ </w:t>
      </w:r>
      <w:r w:rsidRPr="00C77B65">
        <w:t>4.</w:t>
      </w:r>
    </w:p>
    <w:p w:rsidR="0074774A" w:rsidRPr="00C77B65" w:rsidRDefault="0074774A" w:rsidP="0074774A">
      <w:pPr>
        <w:pStyle w:val="ListBullet"/>
        <w:numPr>
          <w:ilvl w:val="0"/>
          <w:numId w:val="3"/>
        </w:numPr>
      </w:pPr>
      <w:r>
        <w:t>N</w:t>
      </w:r>
      <w:r w:rsidRPr="00C77B65">
        <w:t>ormal or clin</w:t>
      </w:r>
      <w:r>
        <w:t xml:space="preserve">ically insignificant screening </w:t>
      </w:r>
      <w:r w:rsidRPr="00C77B65">
        <w:t>ECG findings as judged</w:t>
      </w:r>
      <w:r>
        <w:t xml:space="preserve"> </w:t>
      </w:r>
      <w:r w:rsidRPr="00C77B65">
        <w:t>by the Investigator with consideration of the central ECG laboratory’s interpretation.</w:t>
      </w:r>
    </w:p>
    <w:p w:rsidR="0074774A" w:rsidRPr="00C77B65" w:rsidRDefault="0074774A" w:rsidP="0074774A">
      <w:pPr>
        <w:pStyle w:val="ListBullet"/>
        <w:numPr>
          <w:ilvl w:val="0"/>
          <w:numId w:val="3"/>
        </w:numPr>
      </w:pPr>
      <w:r>
        <w:t>F</w:t>
      </w:r>
      <w:r w:rsidRPr="00C77B65">
        <w:t>unctioning at an age-appropriate level intellectually, as deemed by the</w:t>
      </w:r>
      <w:r>
        <w:t xml:space="preserve"> </w:t>
      </w:r>
      <w:r w:rsidRPr="00C77B65">
        <w:t>Investigator.</w:t>
      </w:r>
    </w:p>
    <w:p w:rsidR="0074774A" w:rsidRPr="00C77B65" w:rsidRDefault="0074774A" w:rsidP="0074774A">
      <w:pPr>
        <w:pStyle w:val="ListBullet"/>
        <w:numPr>
          <w:ilvl w:val="0"/>
          <w:numId w:val="3"/>
        </w:numPr>
      </w:pPr>
      <w:r>
        <w:t>S</w:t>
      </w:r>
      <w:r w:rsidRPr="00C77B65">
        <w:t>upine and standing BP measurement within the 95th percentile for age,</w:t>
      </w:r>
      <w:r>
        <w:t xml:space="preserve"> </w:t>
      </w:r>
      <w:r w:rsidRPr="00C77B65">
        <w:t>gender, and height.</w:t>
      </w:r>
    </w:p>
    <w:p w:rsidR="0074774A" w:rsidRPr="00C77B65" w:rsidRDefault="0074774A" w:rsidP="0074774A">
      <w:pPr>
        <w:pStyle w:val="ListBullet"/>
        <w:numPr>
          <w:ilvl w:val="0"/>
          <w:numId w:val="3"/>
        </w:numPr>
      </w:pPr>
      <w:r w:rsidRPr="00C77B65">
        <w:lastRenderedPageBreak/>
        <w:t>FOCP must have a negative serum beta Human</w:t>
      </w:r>
      <w:r>
        <w:t xml:space="preserve"> </w:t>
      </w:r>
      <w:r w:rsidRPr="00C77B65">
        <w:t>Chorionic Gonadotropin (HCG) pregnancy test at screening (Visit 1), a negative urine</w:t>
      </w:r>
      <w:r>
        <w:t xml:space="preserve"> </w:t>
      </w:r>
      <w:r w:rsidRPr="00C77B65">
        <w:t>pregnancy test at baseline (Visit 2)</w:t>
      </w:r>
      <w:r>
        <w:t xml:space="preserve"> and </w:t>
      </w:r>
      <w:r w:rsidRPr="00C77B65">
        <w:t>must abstain</w:t>
      </w:r>
      <w:r>
        <w:t xml:space="preserve"> </w:t>
      </w:r>
      <w:r w:rsidRPr="00C77B65">
        <w:t>from sexual activity that could result in pregnancy or agree to use acceptable methods</w:t>
      </w:r>
      <w:r>
        <w:t xml:space="preserve"> </w:t>
      </w:r>
      <w:r w:rsidRPr="00C77B65">
        <w:t>of contraception.</w:t>
      </w:r>
    </w:p>
    <w:p w:rsidR="0074774A" w:rsidRDefault="0074774A" w:rsidP="0074774A">
      <w:pPr>
        <w:rPr>
          <w:lang w:eastAsia="ja-JP"/>
        </w:rPr>
      </w:pPr>
      <w:r>
        <w:rPr>
          <w:lang w:eastAsia="ja-JP"/>
        </w:rPr>
        <w:t>The exclusion criteria were similar to those for Study SPD503-313.</w:t>
      </w:r>
    </w:p>
    <w:p w:rsidR="0074774A" w:rsidRPr="005632DC" w:rsidRDefault="0074774A" w:rsidP="0074774A">
      <w:pPr>
        <w:pStyle w:val="Heading5"/>
        <w:numPr>
          <w:ilvl w:val="3"/>
          <w:numId w:val="29"/>
        </w:numPr>
        <w:ind w:left="1304" w:hanging="1077"/>
      </w:pPr>
      <w:r w:rsidRPr="005632DC">
        <w:t>Study treatments</w:t>
      </w:r>
    </w:p>
    <w:p w:rsidR="0074774A" w:rsidRDefault="0074774A" w:rsidP="0074774A">
      <w:pPr>
        <w:rPr>
          <w:lang w:eastAsia="ja-JP"/>
        </w:rPr>
      </w:pPr>
      <w:r>
        <w:rPr>
          <w:lang w:eastAsia="ja-JP"/>
        </w:rPr>
        <w:t>The study treatments were:</w:t>
      </w:r>
    </w:p>
    <w:p w:rsidR="0074774A" w:rsidRDefault="0074774A" w:rsidP="00877865">
      <w:pPr>
        <w:pStyle w:val="Numberbullet0"/>
        <w:numPr>
          <w:ilvl w:val="0"/>
          <w:numId w:val="41"/>
        </w:numPr>
        <w:rPr>
          <w:lang w:eastAsia="ja-JP"/>
        </w:rPr>
      </w:pPr>
      <w:r>
        <w:rPr>
          <w:lang w:eastAsia="ja-JP"/>
        </w:rPr>
        <w:t>Guanfacine extended release 1 to 4 mg in the morning (AM)</w:t>
      </w:r>
    </w:p>
    <w:p w:rsidR="0074774A" w:rsidRDefault="0074774A" w:rsidP="0074774A">
      <w:pPr>
        <w:pStyle w:val="Numberbullet0"/>
        <w:numPr>
          <w:ilvl w:val="0"/>
          <w:numId w:val="32"/>
        </w:numPr>
        <w:rPr>
          <w:lang w:eastAsia="ja-JP"/>
        </w:rPr>
      </w:pPr>
      <w:r>
        <w:rPr>
          <w:lang w:eastAsia="ja-JP"/>
        </w:rPr>
        <w:t>Guanfacine extended release 1 to 4 mg in the evening (PM)</w:t>
      </w:r>
    </w:p>
    <w:p w:rsidR="0074774A" w:rsidRDefault="0074774A" w:rsidP="0074774A">
      <w:pPr>
        <w:pStyle w:val="Numberbullet0"/>
        <w:numPr>
          <w:ilvl w:val="0"/>
          <w:numId w:val="32"/>
        </w:numPr>
        <w:rPr>
          <w:lang w:eastAsia="ja-JP"/>
        </w:rPr>
      </w:pPr>
      <w:r>
        <w:rPr>
          <w:lang w:eastAsia="ja-JP"/>
        </w:rPr>
        <w:t>Placebo</w:t>
      </w:r>
    </w:p>
    <w:p w:rsidR="0074774A" w:rsidRDefault="0074774A" w:rsidP="0074774A">
      <w:pPr>
        <w:rPr>
          <w:lang w:eastAsia="ja-JP"/>
        </w:rPr>
      </w:pPr>
      <w:r>
        <w:rPr>
          <w:lang w:eastAsia="ja-JP"/>
        </w:rPr>
        <w:t>There was a three week dose titration, 5 weeks of maintenance and two weeks for tapering.</w:t>
      </w:r>
    </w:p>
    <w:p w:rsidR="0074774A" w:rsidRPr="005632DC" w:rsidRDefault="0074774A" w:rsidP="0074774A">
      <w:pPr>
        <w:pStyle w:val="Heading5"/>
        <w:numPr>
          <w:ilvl w:val="3"/>
          <w:numId w:val="29"/>
        </w:numPr>
        <w:ind w:left="1304" w:hanging="1077"/>
      </w:pPr>
      <w:bookmarkStart w:id="306" w:name="_Efficacy_variables_and_4"/>
      <w:bookmarkEnd w:id="306"/>
      <w:r w:rsidRPr="005632DC">
        <w:t>Efficacy variables and outcomes</w:t>
      </w:r>
    </w:p>
    <w:p w:rsidR="0074774A" w:rsidRDefault="0074774A" w:rsidP="0074774A">
      <w:pPr>
        <w:rPr>
          <w:lang w:eastAsia="ja-JP"/>
        </w:rPr>
      </w:pPr>
      <w:r>
        <w:rPr>
          <w:lang w:eastAsia="ja-JP"/>
        </w:rPr>
        <w:t>The primary efficacy outcome measure was the change in ADHD-RS-IV from baseline. Secondary efficacy outcome measures were:</w:t>
      </w:r>
    </w:p>
    <w:p w:rsidR="0074774A" w:rsidRDefault="0074774A" w:rsidP="0074774A">
      <w:pPr>
        <w:pStyle w:val="ListBullet"/>
        <w:numPr>
          <w:ilvl w:val="0"/>
          <w:numId w:val="3"/>
        </w:numPr>
      </w:pPr>
      <w:r>
        <w:t>CGI-I</w:t>
      </w:r>
    </w:p>
    <w:p w:rsidR="0074774A" w:rsidRDefault="0074774A" w:rsidP="0074774A">
      <w:pPr>
        <w:pStyle w:val="ListBullet"/>
        <w:numPr>
          <w:ilvl w:val="0"/>
          <w:numId w:val="3"/>
        </w:numPr>
      </w:pPr>
      <w:r w:rsidRPr="007168BB">
        <w:t>CGI-S</w:t>
      </w:r>
    </w:p>
    <w:p w:rsidR="0074774A" w:rsidRDefault="0074774A" w:rsidP="0074774A">
      <w:pPr>
        <w:pStyle w:val="ListBullet"/>
        <w:numPr>
          <w:ilvl w:val="0"/>
          <w:numId w:val="3"/>
        </w:numPr>
      </w:pPr>
      <w:r w:rsidRPr="007168BB">
        <w:t>CPRS-R:S</w:t>
      </w:r>
    </w:p>
    <w:p w:rsidR="0074774A" w:rsidRDefault="0074774A" w:rsidP="0074774A">
      <w:pPr>
        <w:pStyle w:val="ListBullet"/>
        <w:numPr>
          <w:ilvl w:val="0"/>
          <w:numId w:val="3"/>
        </w:numPr>
      </w:pPr>
      <w:r w:rsidRPr="007168BB">
        <w:t>HUI2/3</w:t>
      </w:r>
    </w:p>
    <w:p w:rsidR="0074774A" w:rsidRDefault="0074774A" w:rsidP="0074774A">
      <w:pPr>
        <w:pStyle w:val="ListBullet"/>
        <w:numPr>
          <w:ilvl w:val="0"/>
          <w:numId w:val="3"/>
        </w:numPr>
      </w:pPr>
      <w:r w:rsidRPr="007168BB">
        <w:t>WFIRS-P</w:t>
      </w:r>
    </w:p>
    <w:p w:rsidR="0074774A" w:rsidRDefault="0074774A" w:rsidP="0074774A">
      <w:pPr>
        <w:pStyle w:val="ListBullet"/>
        <w:numPr>
          <w:ilvl w:val="0"/>
          <w:numId w:val="3"/>
        </w:numPr>
      </w:pPr>
      <w:r w:rsidRPr="007168BB">
        <w:t>Bedtime</w:t>
      </w:r>
      <w:r>
        <w:t xml:space="preserve"> </w:t>
      </w:r>
      <w:r w:rsidRPr="007168BB">
        <w:t>R</w:t>
      </w:r>
      <w:r>
        <w:t>esistance subscale of the CSHQ</w:t>
      </w:r>
    </w:p>
    <w:p w:rsidR="0074774A" w:rsidRPr="007168BB" w:rsidRDefault="0074774A" w:rsidP="0074774A">
      <w:pPr>
        <w:pStyle w:val="ListBullet"/>
        <w:numPr>
          <w:ilvl w:val="0"/>
          <w:numId w:val="3"/>
        </w:numPr>
      </w:pPr>
      <w:r w:rsidRPr="007168BB">
        <w:t>PSQ</w:t>
      </w:r>
    </w:p>
    <w:p w:rsidR="0074774A" w:rsidRDefault="0074774A" w:rsidP="0074774A">
      <w:pPr>
        <w:rPr>
          <w:lang w:eastAsia="ja-JP"/>
        </w:rPr>
      </w:pPr>
      <w:r>
        <w:rPr>
          <w:lang w:eastAsia="ja-JP"/>
        </w:rPr>
        <w:t>The safety outcome measures were: AEs, clinical laboratory tests, vital signs, clinical examination, ECGs, PDSS and C-SSRS.</w:t>
      </w:r>
    </w:p>
    <w:p w:rsidR="0074774A" w:rsidRPr="005632DC" w:rsidRDefault="0074774A" w:rsidP="0074774A">
      <w:pPr>
        <w:pStyle w:val="Heading5"/>
        <w:numPr>
          <w:ilvl w:val="3"/>
          <w:numId w:val="29"/>
        </w:numPr>
        <w:ind w:left="1304" w:hanging="1077"/>
      </w:pPr>
      <w:r w:rsidRPr="005632DC">
        <w:t>Randomisation and blinding methods</w:t>
      </w:r>
    </w:p>
    <w:p w:rsidR="0074774A" w:rsidRDefault="0074774A" w:rsidP="0074774A">
      <w:pPr>
        <w:rPr>
          <w:lang w:eastAsia="ja-JP"/>
        </w:rPr>
      </w:pPr>
      <w:r>
        <w:rPr>
          <w:lang w:eastAsia="ja-JP"/>
        </w:rPr>
        <w:t>Subjects were randomised to treatment using IVRS/IWRS. Subjects were randomised in the ratio 1:1:1. Blinding was maintained by using identical placebos for each dose level.</w:t>
      </w:r>
    </w:p>
    <w:p w:rsidR="0074774A" w:rsidRPr="005632DC" w:rsidDel="0081373E" w:rsidRDefault="0074774A" w:rsidP="0074774A">
      <w:pPr>
        <w:pStyle w:val="Heading5"/>
        <w:numPr>
          <w:ilvl w:val="3"/>
          <w:numId w:val="29"/>
        </w:numPr>
        <w:ind w:left="1304" w:hanging="1077"/>
      </w:pPr>
      <w:r w:rsidRPr="005632DC">
        <w:t>Analysis populations</w:t>
      </w:r>
    </w:p>
    <w:p w:rsidR="0074774A" w:rsidRPr="00D00B48" w:rsidRDefault="0074774A" w:rsidP="0074774A">
      <w:r w:rsidRPr="00D00B48">
        <w:t>The FAS and safety populations included all subjects randomised and who took at least one dose of study treatment.</w:t>
      </w:r>
    </w:p>
    <w:p w:rsidR="0074774A" w:rsidRPr="005632DC" w:rsidRDefault="0074774A" w:rsidP="0074774A">
      <w:pPr>
        <w:pStyle w:val="Heading5"/>
        <w:numPr>
          <w:ilvl w:val="3"/>
          <w:numId w:val="29"/>
        </w:numPr>
        <w:ind w:left="1304" w:hanging="1077"/>
      </w:pPr>
      <w:r w:rsidRPr="005632DC" w:rsidDel="0081373E">
        <w:t>S</w:t>
      </w:r>
      <w:r w:rsidRPr="005632DC">
        <w:t>ample size</w:t>
      </w:r>
    </w:p>
    <w:p w:rsidR="0074774A" w:rsidRDefault="0074774A" w:rsidP="0074774A">
      <w:pPr>
        <w:rPr>
          <w:lang w:eastAsia="ja-JP"/>
        </w:rPr>
      </w:pPr>
      <w:r>
        <w:rPr>
          <w:lang w:eastAsia="ja-JP"/>
        </w:rPr>
        <w:t>The sample size calculation was based on the primary efficacy outcome measure. To detect an effect size of 0.4, with 90% power at an alpha of 0.05, 105 subjects would be required for each treatment group. To allow for dropouts, 111 subjects would be required in each treatment group.</w:t>
      </w:r>
    </w:p>
    <w:p w:rsidR="0074774A" w:rsidRPr="005632DC" w:rsidRDefault="0074774A" w:rsidP="0074774A">
      <w:pPr>
        <w:pStyle w:val="Heading5"/>
        <w:numPr>
          <w:ilvl w:val="3"/>
          <w:numId w:val="29"/>
        </w:numPr>
        <w:ind w:left="1304" w:hanging="1077"/>
      </w:pPr>
      <w:r w:rsidRPr="005632DC">
        <w:t>Statistical methods</w:t>
      </w:r>
    </w:p>
    <w:p w:rsidR="0074774A" w:rsidRDefault="0074774A" w:rsidP="0074774A">
      <w:pPr>
        <w:rPr>
          <w:lang w:eastAsia="ja-JP"/>
        </w:rPr>
      </w:pPr>
      <w:r>
        <w:rPr>
          <w:lang w:eastAsia="ja-JP"/>
        </w:rPr>
        <w:t>Hypothesis tests were performed using ANCOVA and CMH. Imputation was performed using LOCF. A sequential process for hypothesis testing was used to account for multiplicity.</w:t>
      </w:r>
    </w:p>
    <w:p w:rsidR="00886C19" w:rsidRDefault="0074774A" w:rsidP="0074774A">
      <w:pPr>
        <w:pStyle w:val="Heading5"/>
        <w:numPr>
          <w:ilvl w:val="3"/>
          <w:numId w:val="29"/>
        </w:numPr>
        <w:ind w:left="1304" w:hanging="1077"/>
      </w:pPr>
      <w:bookmarkStart w:id="307" w:name="_Participant_flow_5"/>
      <w:bookmarkEnd w:id="307"/>
      <w:r w:rsidRPr="005632DC">
        <w:t>Participant flow</w:t>
      </w:r>
    </w:p>
    <w:p w:rsidR="0074774A" w:rsidRDefault="0074774A" w:rsidP="0074774A">
      <w:pPr>
        <w:rPr>
          <w:lang w:eastAsia="ja-JP"/>
        </w:rPr>
      </w:pPr>
      <w:r>
        <w:rPr>
          <w:lang w:eastAsia="ja-JP"/>
        </w:rPr>
        <w:t xml:space="preserve">A total of 340 subjects were randomised to treatment: 113 to AM, 114 to PM and 113 to placebo. Seven subjects did not receive treatment and there were 107 (94.7%) subjects in the AM </w:t>
      </w:r>
      <w:r>
        <w:rPr>
          <w:lang w:eastAsia="ja-JP"/>
        </w:rPr>
        <w:lastRenderedPageBreak/>
        <w:t>FAS/safety populations, 114 (100%) in the PM and 112 (99.1%) in the placebo. There were 243 (71.5%) subjects who completed the study: 79 (69.6%) in the AM group, 88 (77.2%) in the PM and 76 (67.3%) in the placebo. Adverse event was a commoner reason for termination in the guanfacine group, and lack of efficacy in the placebo.</w:t>
      </w:r>
    </w:p>
    <w:p w:rsidR="0074774A" w:rsidRPr="00EC3AE0" w:rsidRDefault="0074774A" w:rsidP="0074774A">
      <w:pPr>
        <w:pStyle w:val="Heading5"/>
        <w:numPr>
          <w:ilvl w:val="3"/>
          <w:numId w:val="29"/>
        </w:numPr>
        <w:ind w:left="1304" w:hanging="1077"/>
      </w:pPr>
      <w:r w:rsidRPr="00EC3AE0">
        <w:t>Major protocol violations/deviations</w:t>
      </w:r>
    </w:p>
    <w:p w:rsidR="0074774A" w:rsidRDefault="0074774A" w:rsidP="0074774A">
      <w:pPr>
        <w:rPr>
          <w:lang w:eastAsia="ja-JP"/>
        </w:rPr>
      </w:pPr>
      <w:r>
        <w:rPr>
          <w:lang w:eastAsia="ja-JP"/>
        </w:rPr>
        <w:t>Three (1.3%) subjects in the guanfacine group and one (0.9%) in the placebo discontinued due to protocol violation.</w:t>
      </w:r>
    </w:p>
    <w:p w:rsidR="0074774A" w:rsidRPr="00EC3AE0" w:rsidRDefault="0074774A" w:rsidP="0074774A">
      <w:pPr>
        <w:pStyle w:val="Heading5"/>
        <w:numPr>
          <w:ilvl w:val="3"/>
          <w:numId w:val="29"/>
        </w:numPr>
        <w:ind w:left="1304" w:hanging="1077"/>
      </w:pPr>
      <w:bookmarkStart w:id="308" w:name="_Baseline_data_5"/>
      <w:bookmarkEnd w:id="308"/>
      <w:r w:rsidRPr="00EC3AE0">
        <w:t>Baseline data</w:t>
      </w:r>
    </w:p>
    <w:p w:rsidR="0074774A" w:rsidRDefault="0074774A" w:rsidP="0074774A">
      <w:pPr>
        <w:rPr>
          <w:lang w:eastAsia="ja-JP"/>
        </w:rPr>
      </w:pPr>
      <w:r>
        <w:rPr>
          <w:lang w:eastAsia="ja-JP"/>
        </w:rPr>
        <w:t>There were 235 (70.6%) males, 98 (29.4%) females and the age range was 6 to 12 years. There were fewer females in the placebo group than the guanfacine groups. Otherwise the treatment groups were similar in demographic characteristics. The treatment groups were similar in baseline disease characteristics. Prior psychoactive use was recorded for 50 (46.7%) subjects in the AM group, 66 (57.9%) in the PM and 51 (45.5%) in the placebo. Compliance was 99.2% in the AM group and 99.3% in the PM.</w:t>
      </w:r>
    </w:p>
    <w:p w:rsidR="0074774A" w:rsidRPr="00EC3AE0" w:rsidRDefault="0074774A" w:rsidP="0074774A">
      <w:pPr>
        <w:pStyle w:val="Heading5"/>
        <w:numPr>
          <w:ilvl w:val="3"/>
          <w:numId w:val="29"/>
        </w:numPr>
        <w:ind w:left="1304" w:hanging="1077"/>
      </w:pPr>
      <w:bookmarkStart w:id="309" w:name="_Results_for_the_5"/>
      <w:bookmarkEnd w:id="309"/>
      <w:r w:rsidRPr="00EC3AE0">
        <w:t>Results for the primary efficacy outcome</w:t>
      </w:r>
    </w:p>
    <w:p w:rsidR="00886C19" w:rsidRDefault="0074774A" w:rsidP="0074774A">
      <w:pPr>
        <w:rPr>
          <w:lang w:eastAsia="ja-JP"/>
        </w:rPr>
      </w:pPr>
      <w:r>
        <w:rPr>
          <w:lang w:eastAsia="ja-JP"/>
        </w:rPr>
        <w:t>Both guanfacine groups were superior to placebo, with a similar effect size in the two guanfacine groups. The LS mean (95%) difference from placebo was -9.4 (-12.8 to -6.0) p &lt;0.001 in the AM group and -9.8 (-13.1 to -6.4) p &lt;0.001 in the PM group. There was a similar effect size for the subgroups of sex, race and presence of ODD. Improvement was demonstrated for guanfacine relative to placebo for both hyperactivity/impulsivity and inattentive subscores. There were 65 (62.5%) subjects coded as responders in the AM group, 67 (60.4%) in the PM group and 34 (30.9%) in the placebo.</w:t>
      </w:r>
    </w:p>
    <w:p w:rsidR="0074774A" w:rsidRPr="005632DC" w:rsidRDefault="0074774A" w:rsidP="0074774A">
      <w:pPr>
        <w:pStyle w:val="Heading5"/>
        <w:numPr>
          <w:ilvl w:val="3"/>
          <w:numId w:val="29"/>
        </w:numPr>
        <w:ind w:left="1304" w:hanging="1077"/>
      </w:pPr>
      <w:bookmarkStart w:id="310" w:name="_Results_for_other_3"/>
      <w:bookmarkEnd w:id="310"/>
      <w:r w:rsidRPr="005632DC">
        <w:t>Results for other efficacy outcomes</w:t>
      </w:r>
    </w:p>
    <w:p w:rsidR="0074774A" w:rsidRDefault="0074774A" w:rsidP="0074774A">
      <w:pPr>
        <w:pStyle w:val="ListBullet"/>
        <w:numPr>
          <w:ilvl w:val="0"/>
          <w:numId w:val="3"/>
        </w:numPr>
      </w:pPr>
      <w:r>
        <w:t>For CGI-I, there was improvement in 69 (66.3%) subjects in the AM group, p &lt;0.001, 75 (67.0%) in the PM, p &lt;0.001, and 35 (31.8%) in the placebo.</w:t>
      </w:r>
    </w:p>
    <w:p w:rsidR="0074774A" w:rsidRDefault="0074774A" w:rsidP="0074774A">
      <w:pPr>
        <w:pStyle w:val="ListBullet"/>
        <w:numPr>
          <w:ilvl w:val="0"/>
          <w:numId w:val="3"/>
        </w:numPr>
      </w:pPr>
      <w:r>
        <w:t xml:space="preserve">For </w:t>
      </w:r>
      <w:r w:rsidRPr="007168BB">
        <w:t>CGI-S</w:t>
      </w:r>
      <w:r>
        <w:t>, there was lesser severity at endpoint in both of the guanfacine groups (</w:t>
      </w:r>
      <w:r w:rsidR="00877865">
        <w:t>Table 24</w:t>
      </w:r>
      <w:r>
        <w:t>). CGI-S category 1 or 2 was recorded for 33 (31.7%) subjects in the AM group, 41 (36.6%) in the PM and 14 (12.7%) in the placebo.</w:t>
      </w:r>
    </w:p>
    <w:p w:rsidR="0074774A" w:rsidRPr="00824CB3" w:rsidRDefault="0074774A" w:rsidP="0074774A">
      <w:pPr>
        <w:pStyle w:val="Tabletitle"/>
      </w:pPr>
      <w:bookmarkStart w:id="311" w:name="Table_7_2_6_6"/>
      <w:r>
        <w:t>Table 24:</w:t>
      </w:r>
      <w:bookmarkEnd w:id="311"/>
      <w:r>
        <w:t xml:space="preserve"> </w:t>
      </w:r>
      <w:r w:rsidRPr="00824CB3">
        <w:t>Summary and Analysis of CGI-S at Endpoint (FAS) (copied from Table 11, Study SPD503-314 CSR)</w:t>
      </w:r>
    </w:p>
    <w:p w:rsidR="0074774A" w:rsidRDefault="0074774A" w:rsidP="0074774A">
      <w:r>
        <w:rPr>
          <w:noProof/>
          <w:lang w:eastAsia="en-AU"/>
        </w:rPr>
        <w:drawing>
          <wp:inline distT="0" distB="0" distL="0" distR="0" wp14:anchorId="2A08F22A" wp14:editId="343F07E8">
            <wp:extent cx="4671148" cy="2411252"/>
            <wp:effectExtent l="0" t="0" r="0" b="8255"/>
            <wp:docPr id="152" name="Picture 152" descr="Table 24: Summary and Analysis of CGI-S at Endpoint (FAS) (copied from Table 11, Study SPD503-314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1401" cy="2411382"/>
                    </a:xfrm>
                    <a:prstGeom prst="rect">
                      <a:avLst/>
                    </a:prstGeom>
                    <a:noFill/>
                    <a:ln>
                      <a:noFill/>
                    </a:ln>
                  </pic:spPr>
                </pic:pic>
              </a:graphicData>
            </a:graphic>
          </wp:inline>
        </w:drawing>
      </w:r>
    </w:p>
    <w:p w:rsidR="00886C19" w:rsidRDefault="0074774A" w:rsidP="0074774A">
      <w:pPr>
        <w:pStyle w:val="ListBullet"/>
        <w:numPr>
          <w:ilvl w:val="0"/>
          <w:numId w:val="3"/>
        </w:numPr>
        <w:rPr>
          <w:lang w:eastAsia="ja-JP"/>
        </w:rPr>
      </w:pPr>
      <w:r>
        <w:t xml:space="preserve">For </w:t>
      </w:r>
      <w:r w:rsidRPr="007168BB">
        <w:t>CPRS-R</w:t>
      </w:r>
      <w:proofErr w:type="gramStart"/>
      <w:r w:rsidRPr="007168BB">
        <w:t>:S</w:t>
      </w:r>
      <w:proofErr w:type="gramEnd"/>
      <w:r>
        <w:t xml:space="preserve"> there was significant improvement in both guanfacine groups relative to placebo. </w:t>
      </w:r>
      <w:r>
        <w:rPr>
          <w:lang w:eastAsia="ja-JP"/>
        </w:rPr>
        <w:t xml:space="preserve">The LS mean (95%) difference from placebo was -12.5 (-17.8 to -7.3) p &lt;0.001 in the AM group and -10.8 (-16.0 to -5.6) p &lt;0.001 in the PM group. There was a similar effect </w:t>
      </w:r>
      <w:r>
        <w:rPr>
          <w:lang w:eastAsia="ja-JP"/>
        </w:rPr>
        <w:lastRenderedPageBreak/>
        <w:t>size for both morning and evening assessments. There was improvement in the CPRS-R</w:t>
      </w:r>
      <w:proofErr w:type="gramStart"/>
      <w:r>
        <w:rPr>
          <w:lang w:eastAsia="ja-JP"/>
        </w:rPr>
        <w:t>:S</w:t>
      </w:r>
      <w:proofErr w:type="gramEnd"/>
      <w:r>
        <w:rPr>
          <w:lang w:eastAsia="ja-JP"/>
        </w:rPr>
        <w:t xml:space="preserve"> cognitive problems subscale: the LS mean (95%) difference from placebo was -2.7 (-4.2 to -1.2) p &lt;0.001 in the AM group and -2.7 (-4.1 to -1.2) p &lt;0.001 in the PM group.</w:t>
      </w:r>
    </w:p>
    <w:p w:rsidR="0074774A" w:rsidRDefault="0074774A" w:rsidP="0074774A">
      <w:pPr>
        <w:pStyle w:val="ListBullet"/>
        <w:numPr>
          <w:ilvl w:val="0"/>
          <w:numId w:val="3"/>
        </w:numPr>
      </w:pPr>
      <w:r>
        <w:t xml:space="preserve">There was no significant difference between the treatment groups in </w:t>
      </w:r>
      <w:r w:rsidRPr="007168BB">
        <w:t>HUI2/3</w:t>
      </w:r>
      <w:r>
        <w:t>.</w:t>
      </w:r>
    </w:p>
    <w:p w:rsidR="00886C19" w:rsidRDefault="0074774A" w:rsidP="0074774A">
      <w:pPr>
        <w:pStyle w:val="ListBullet"/>
        <w:numPr>
          <w:ilvl w:val="0"/>
          <w:numId w:val="3"/>
        </w:numPr>
        <w:rPr>
          <w:lang w:eastAsia="ja-JP"/>
        </w:rPr>
      </w:pPr>
      <w:r>
        <w:t xml:space="preserve">For </w:t>
      </w:r>
      <w:r w:rsidRPr="007168BB">
        <w:t>WFIRS-P</w:t>
      </w:r>
      <w:r>
        <w:t xml:space="preserve"> there was significant improvement in both guanfacine groups relative to placebo. </w:t>
      </w:r>
      <w:r>
        <w:rPr>
          <w:lang w:eastAsia="ja-JP"/>
        </w:rPr>
        <w:t>The LS mean (95%) difference from placebo was -0.15 (-0.26 to -0.05) p = 0.004 in the AM group and -0.18 (-0.28 to -0.07) p = 0.001 in the PM group.</w:t>
      </w:r>
    </w:p>
    <w:p w:rsidR="0074774A" w:rsidRDefault="0074774A" w:rsidP="0074774A">
      <w:pPr>
        <w:pStyle w:val="ListBullet"/>
        <w:numPr>
          <w:ilvl w:val="0"/>
          <w:numId w:val="3"/>
        </w:numPr>
      </w:pPr>
      <w:r>
        <w:t xml:space="preserve">There was no significant difference between guanfacine and placebo for </w:t>
      </w:r>
      <w:r w:rsidRPr="007168BB">
        <w:t>Bedtime</w:t>
      </w:r>
      <w:r>
        <w:t xml:space="preserve"> </w:t>
      </w:r>
      <w:r w:rsidRPr="007168BB">
        <w:t>R</w:t>
      </w:r>
      <w:r>
        <w:t>esistance subscale of the CSHQ.</w:t>
      </w:r>
    </w:p>
    <w:p w:rsidR="0074774A" w:rsidRDefault="0074774A" w:rsidP="0074774A">
      <w:pPr>
        <w:pStyle w:val="ListBullet"/>
        <w:numPr>
          <w:ilvl w:val="0"/>
          <w:numId w:val="3"/>
        </w:numPr>
        <w:rPr>
          <w:lang w:eastAsia="ja-JP"/>
        </w:rPr>
      </w:pPr>
      <w:r>
        <w:t xml:space="preserve">At endpoint, there was no significant difference between guanfacine and placebo for </w:t>
      </w:r>
      <w:r w:rsidRPr="007168BB">
        <w:t>PSQ</w:t>
      </w:r>
      <w:r>
        <w:t>.</w:t>
      </w:r>
    </w:p>
    <w:p w:rsidR="0074774A" w:rsidRDefault="0074774A" w:rsidP="0074774A">
      <w:pPr>
        <w:pStyle w:val="Heading5"/>
        <w:numPr>
          <w:ilvl w:val="3"/>
          <w:numId w:val="29"/>
        </w:numPr>
        <w:ind w:left="1304" w:hanging="1077"/>
        <w:rPr>
          <w:lang w:eastAsia="ja-JP"/>
        </w:rPr>
      </w:pPr>
      <w:r>
        <w:rPr>
          <w:lang w:eastAsia="ja-JP"/>
        </w:rPr>
        <w:t>Evaluator Commentary</w:t>
      </w:r>
    </w:p>
    <w:p w:rsidR="00886C19" w:rsidRDefault="0074774A" w:rsidP="0074774A">
      <w:pPr>
        <w:rPr>
          <w:lang w:eastAsia="ja-JP"/>
        </w:rPr>
      </w:pPr>
      <w:r>
        <w:rPr>
          <w:lang w:eastAsia="ja-JP"/>
        </w:rPr>
        <w:t>In Study SPD503-314 there was no clinically significant difference in efficacy between morning and evening doses. The maintenance phase was of too short a duration to establish efficacy (5 weeks). The primary efficacy outcome measure was ADHD-RS-IV, which was used in the inclusion criteria and measured at baseline and endpoint.</w:t>
      </w:r>
    </w:p>
    <w:p w:rsidR="0074774A" w:rsidRPr="005632DC" w:rsidRDefault="0074774A" w:rsidP="0074774A">
      <w:pPr>
        <w:pStyle w:val="Heading4"/>
        <w:numPr>
          <w:ilvl w:val="2"/>
          <w:numId w:val="29"/>
        </w:numPr>
      </w:pPr>
      <w:bookmarkStart w:id="312" w:name="_Study_SPD503-315"/>
      <w:bookmarkEnd w:id="312"/>
      <w:r w:rsidRPr="005632DC">
        <w:t xml:space="preserve">Study </w:t>
      </w:r>
      <w:r>
        <w:t>SPD503-315</w:t>
      </w:r>
    </w:p>
    <w:p w:rsidR="0074774A" w:rsidRPr="005632DC" w:rsidRDefault="0074774A" w:rsidP="0074774A">
      <w:pPr>
        <w:pStyle w:val="Heading5"/>
        <w:numPr>
          <w:ilvl w:val="3"/>
          <w:numId w:val="29"/>
        </w:numPr>
        <w:ind w:left="1304" w:hanging="1077"/>
      </w:pPr>
      <w:r w:rsidRPr="005632DC">
        <w:t>Study design, objectives, locations and dates</w:t>
      </w:r>
    </w:p>
    <w:p w:rsidR="0074774A" w:rsidRDefault="0074774A" w:rsidP="0074774A">
      <w:pPr>
        <w:rPr>
          <w:lang w:eastAsia="ja-JP"/>
        </w:rPr>
      </w:pPr>
      <w:r>
        <w:rPr>
          <w:lang w:eastAsia="ja-JP"/>
        </w:rPr>
        <w:t>Study SPD503-315 was a randomised, placebo controlled, long-term, responder trial of guanfacine in children and adolescents aged 6 to 17 years with ADHD. The study comprised a 7 week dose optimisation phase, a six week maintenance open label phase and a 26 week placebo controlled, randomised withdrawal phase. The study was conducted at 67 centres in the US, Canada and the EU from May 2010 to June 2013.</w:t>
      </w:r>
    </w:p>
    <w:p w:rsidR="0074774A" w:rsidRPr="005632DC" w:rsidRDefault="0074774A" w:rsidP="0074774A">
      <w:pPr>
        <w:pStyle w:val="Heading5"/>
        <w:numPr>
          <w:ilvl w:val="3"/>
          <w:numId w:val="29"/>
        </w:numPr>
        <w:ind w:left="1304" w:hanging="1077"/>
      </w:pPr>
      <w:r w:rsidRPr="005632DC">
        <w:t>Inclusion and exclusion criteria</w:t>
      </w:r>
    </w:p>
    <w:p w:rsidR="0074774A" w:rsidRPr="0033241F" w:rsidRDefault="0074774A" w:rsidP="0074774A">
      <w:r w:rsidRPr="0033241F">
        <w:t>The inclusion criteria included:</w:t>
      </w:r>
    </w:p>
    <w:p w:rsidR="0074774A" w:rsidRPr="0033241F" w:rsidRDefault="0074774A" w:rsidP="0074774A">
      <w:pPr>
        <w:pStyle w:val="ListBullet"/>
        <w:numPr>
          <w:ilvl w:val="0"/>
          <w:numId w:val="3"/>
        </w:numPr>
      </w:pPr>
      <w:r>
        <w:t>M</w:t>
      </w:r>
      <w:r w:rsidRPr="0033241F">
        <w:t>ale or female aged 6-17 years</w:t>
      </w:r>
    </w:p>
    <w:p w:rsidR="0074774A" w:rsidRPr="0033241F" w:rsidRDefault="0074774A" w:rsidP="0074774A">
      <w:pPr>
        <w:pStyle w:val="ListBullet"/>
        <w:numPr>
          <w:ilvl w:val="0"/>
          <w:numId w:val="3"/>
        </w:numPr>
      </w:pPr>
      <w:r w:rsidRPr="0033241F">
        <w:t>DSM-IV-TR criteria for a primary diagnosis of ADHD, combined subtype,</w:t>
      </w:r>
      <w:r>
        <w:t xml:space="preserve"> </w:t>
      </w:r>
      <w:r w:rsidRPr="0033241F">
        <w:t>hyperactive/impulsive subtype, or inattentive subtype based on a detailed psychiatric</w:t>
      </w:r>
      <w:r>
        <w:t xml:space="preserve"> </w:t>
      </w:r>
      <w:r w:rsidRPr="0033241F">
        <w:t>evaluation using the K-SADS-PL.</w:t>
      </w:r>
    </w:p>
    <w:p w:rsidR="0074774A" w:rsidRPr="0033241F" w:rsidRDefault="0074774A" w:rsidP="0074774A">
      <w:pPr>
        <w:pStyle w:val="ListBullet"/>
        <w:numPr>
          <w:ilvl w:val="0"/>
          <w:numId w:val="3"/>
        </w:numPr>
      </w:pPr>
      <w:r>
        <w:t>M</w:t>
      </w:r>
      <w:r w:rsidRPr="0033241F">
        <w:t>inimum ADHD-RS-IV total score of 32.</w:t>
      </w:r>
    </w:p>
    <w:p w:rsidR="0074774A" w:rsidRPr="0033241F" w:rsidRDefault="0074774A" w:rsidP="0074774A">
      <w:pPr>
        <w:pStyle w:val="ListBullet"/>
        <w:numPr>
          <w:ilvl w:val="0"/>
          <w:numId w:val="3"/>
        </w:numPr>
      </w:pPr>
      <w:r>
        <w:t>Minimum CGI-S score of 4.</w:t>
      </w:r>
    </w:p>
    <w:p w:rsidR="0074774A" w:rsidRPr="0033241F" w:rsidRDefault="0074774A" w:rsidP="0074774A">
      <w:pPr>
        <w:pStyle w:val="ListBullet"/>
        <w:numPr>
          <w:ilvl w:val="0"/>
          <w:numId w:val="3"/>
        </w:numPr>
      </w:pPr>
      <w:r>
        <w:t>F</w:t>
      </w:r>
      <w:r w:rsidRPr="0033241F">
        <w:t>unctioning at an age-appropriate level intellectually, as deemed by the</w:t>
      </w:r>
      <w:r>
        <w:t xml:space="preserve"> </w:t>
      </w:r>
      <w:r w:rsidRPr="0033241F">
        <w:t>investigator.</w:t>
      </w:r>
    </w:p>
    <w:p w:rsidR="0074774A" w:rsidRPr="0033241F" w:rsidRDefault="0074774A" w:rsidP="0074774A">
      <w:pPr>
        <w:pStyle w:val="ListBullet"/>
        <w:numPr>
          <w:ilvl w:val="0"/>
          <w:numId w:val="3"/>
        </w:numPr>
      </w:pPr>
      <w:r>
        <w:t>FOCP had a negative serum β</w:t>
      </w:r>
      <w:r w:rsidRPr="0033241F">
        <w:t xml:space="preserve">-hCG pregnancy test and </w:t>
      </w:r>
      <w:r>
        <w:t xml:space="preserve">a negative urine pregnancy test </w:t>
      </w:r>
      <w:r w:rsidRPr="0033241F">
        <w:t>and agreed to comply with any applicable contraceptive</w:t>
      </w:r>
      <w:r>
        <w:t xml:space="preserve"> </w:t>
      </w:r>
      <w:r w:rsidRPr="0033241F">
        <w:t>requirements of the protocol.</w:t>
      </w:r>
    </w:p>
    <w:p w:rsidR="0074774A" w:rsidRPr="0033241F" w:rsidRDefault="0074774A" w:rsidP="0074774A">
      <w:pPr>
        <w:pStyle w:val="ListBullet"/>
        <w:numPr>
          <w:ilvl w:val="0"/>
          <w:numId w:val="3"/>
        </w:numPr>
      </w:pPr>
      <w:r>
        <w:t>S</w:t>
      </w:r>
      <w:r w:rsidRPr="0033241F">
        <w:t>upine and standing blood pressure measurement within the 95</w:t>
      </w:r>
      <w:r w:rsidRPr="00DB64AE">
        <w:rPr>
          <w:vertAlign w:val="superscript"/>
        </w:rPr>
        <w:t>th</w:t>
      </w:r>
      <w:r>
        <w:t xml:space="preserve"> </w:t>
      </w:r>
      <w:r w:rsidRPr="0033241F">
        <w:t>percentile for age, sex, and height.</w:t>
      </w:r>
    </w:p>
    <w:p w:rsidR="0074774A" w:rsidRPr="0033241F" w:rsidRDefault="0074774A" w:rsidP="0074774A">
      <w:r w:rsidRPr="0033241F">
        <w:t>The exclusion criteria included:</w:t>
      </w:r>
    </w:p>
    <w:p w:rsidR="0074774A" w:rsidRPr="0033241F" w:rsidRDefault="0074774A" w:rsidP="0074774A">
      <w:pPr>
        <w:pStyle w:val="ListBullet"/>
        <w:numPr>
          <w:ilvl w:val="0"/>
          <w:numId w:val="3"/>
        </w:numPr>
      </w:pPr>
      <w:r>
        <w:t>C</w:t>
      </w:r>
      <w:r w:rsidRPr="0033241F">
        <w:t>urrent, controlled (requiring a prohibited medication or behavioural</w:t>
      </w:r>
      <w:r>
        <w:t xml:space="preserve"> </w:t>
      </w:r>
      <w:r w:rsidRPr="0033241F">
        <w:t>modification program) or uncontrolled, comorbid psychiatric diagnosis except ODD,</w:t>
      </w:r>
      <w:r>
        <w:t xml:space="preserve"> </w:t>
      </w:r>
      <w:r w:rsidRPr="0033241F">
        <w:t>including any severe comorbid Axis II disorders or severe Axis I disorders such as</w:t>
      </w:r>
      <w:r>
        <w:t xml:space="preserve"> </w:t>
      </w:r>
      <w:r w:rsidRPr="0033241F">
        <w:t>post-traumatic stress disorder, bipolar illness, psychosis, pervasive developmental</w:t>
      </w:r>
      <w:r>
        <w:t xml:space="preserve"> </w:t>
      </w:r>
      <w:r w:rsidRPr="0033241F">
        <w:t>disorder, obsessive-compulsive disorder, substance abuse disorder, or other symptomatic</w:t>
      </w:r>
      <w:r>
        <w:t xml:space="preserve"> </w:t>
      </w:r>
      <w:r w:rsidRPr="0033241F">
        <w:t>manifestations or lifetime history of bipolar illness, psychosis, or conduct disorder that, in</w:t>
      </w:r>
      <w:r>
        <w:t xml:space="preserve"> </w:t>
      </w:r>
      <w:r w:rsidRPr="0033241F">
        <w:t>the opinion of the investigator, contraindicated SPD503 treatment or confounded efficacy</w:t>
      </w:r>
      <w:r>
        <w:t xml:space="preserve"> </w:t>
      </w:r>
      <w:r w:rsidRPr="0033241F">
        <w:t>or safety assessments.</w:t>
      </w:r>
    </w:p>
    <w:p w:rsidR="0074774A" w:rsidRPr="0033241F" w:rsidRDefault="0074774A" w:rsidP="0074774A">
      <w:pPr>
        <w:pStyle w:val="ListBullet"/>
        <w:numPr>
          <w:ilvl w:val="0"/>
          <w:numId w:val="3"/>
        </w:numPr>
      </w:pPr>
      <w:r>
        <w:lastRenderedPageBreak/>
        <w:t>S</w:t>
      </w:r>
      <w:r w:rsidRPr="0033241F">
        <w:t>ubject was well controlled on their current ADHD medication with acceptable tolerability and</w:t>
      </w:r>
      <w:r>
        <w:t xml:space="preserve"> </w:t>
      </w:r>
      <w:r w:rsidRPr="0033241F">
        <w:t>the parent/caregiver did not object to the current ADHD medication.</w:t>
      </w:r>
    </w:p>
    <w:p w:rsidR="0074774A" w:rsidRPr="0033241F" w:rsidRDefault="0074774A" w:rsidP="0074774A">
      <w:pPr>
        <w:pStyle w:val="ListBullet"/>
        <w:numPr>
          <w:ilvl w:val="0"/>
          <w:numId w:val="3"/>
        </w:numPr>
      </w:pPr>
      <w:r>
        <w:t>A</w:t>
      </w:r>
      <w:r w:rsidRPr="0033241F">
        <w:t>ny condition or illness including clinically significant abnormal laboratory values.</w:t>
      </w:r>
    </w:p>
    <w:p w:rsidR="0074774A" w:rsidRPr="0033241F" w:rsidRDefault="0074774A" w:rsidP="0074774A">
      <w:pPr>
        <w:pStyle w:val="ListBullet"/>
        <w:numPr>
          <w:ilvl w:val="0"/>
          <w:numId w:val="3"/>
        </w:numPr>
      </w:pPr>
      <w:r>
        <w:t>K</w:t>
      </w:r>
      <w:r w:rsidRPr="0033241F">
        <w:t>nown history or presence of structural cardiac abnormalities, serious heart</w:t>
      </w:r>
      <w:r>
        <w:t xml:space="preserve"> </w:t>
      </w:r>
      <w:r w:rsidRPr="0033241F">
        <w:t>rhythm abnormalities, syncope, cardiac conduction problems (</w:t>
      </w:r>
      <w:r>
        <w:t>for example,</w:t>
      </w:r>
      <w:r w:rsidRPr="0033241F">
        <w:t xml:space="preserve"> clinically significant</w:t>
      </w:r>
      <w:r>
        <w:t xml:space="preserve"> </w:t>
      </w:r>
      <w:r w:rsidRPr="0033241F">
        <w:t>heart block), exercise-related cardiac events including syncope and pre-syncope, or</w:t>
      </w:r>
      <w:r>
        <w:t xml:space="preserve"> </w:t>
      </w:r>
      <w:r w:rsidRPr="0033241F">
        <w:t>clinically significant bradycardia.</w:t>
      </w:r>
    </w:p>
    <w:p w:rsidR="0074774A" w:rsidRPr="0033241F" w:rsidRDefault="0074774A" w:rsidP="0074774A">
      <w:pPr>
        <w:pStyle w:val="ListBullet"/>
        <w:numPr>
          <w:ilvl w:val="0"/>
          <w:numId w:val="3"/>
        </w:numPr>
      </w:pPr>
      <w:r w:rsidRPr="0033241F">
        <w:t>Subject had orthostatic hypotension or a known history of controlled or uncontrolled</w:t>
      </w:r>
      <w:r>
        <w:t xml:space="preserve"> </w:t>
      </w:r>
      <w:r w:rsidRPr="0033241F">
        <w:t>hypertension.</w:t>
      </w:r>
    </w:p>
    <w:p w:rsidR="0074774A" w:rsidRPr="0033241F" w:rsidRDefault="0074774A" w:rsidP="0074774A">
      <w:pPr>
        <w:pStyle w:val="ListBullet"/>
        <w:numPr>
          <w:ilvl w:val="0"/>
          <w:numId w:val="3"/>
        </w:numPr>
      </w:pPr>
      <w:r>
        <w:t>C</w:t>
      </w:r>
      <w:r w:rsidRPr="0033241F">
        <w:t>linically significant ECG findings as judged by the investigator with</w:t>
      </w:r>
      <w:r>
        <w:t xml:space="preserve"> </w:t>
      </w:r>
      <w:r w:rsidRPr="0033241F">
        <w:t>consideration of the central ECG laboratory’s interpretation.</w:t>
      </w:r>
    </w:p>
    <w:p w:rsidR="0074774A" w:rsidRPr="0033241F" w:rsidRDefault="0074774A" w:rsidP="0074774A">
      <w:pPr>
        <w:pStyle w:val="ListBullet"/>
        <w:numPr>
          <w:ilvl w:val="0"/>
          <w:numId w:val="3"/>
        </w:numPr>
      </w:pPr>
      <w:r w:rsidRPr="0033241F">
        <w:t>Subject used any prohibited medication or other medications, including herbal</w:t>
      </w:r>
      <w:r>
        <w:t xml:space="preserve"> </w:t>
      </w:r>
      <w:r w:rsidRPr="0033241F">
        <w:t>supplements, that affect blood pressure or heart rate or that have CNS effects or affect</w:t>
      </w:r>
      <w:r>
        <w:t xml:space="preserve"> </w:t>
      </w:r>
      <w:r w:rsidRPr="0033241F">
        <w:t>cognitive performance, such as sedating antihistamines and decongestant</w:t>
      </w:r>
      <w:r>
        <w:t xml:space="preserve"> </w:t>
      </w:r>
      <w:r w:rsidRPr="0033241F">
        <w:t>sympathomimetics (inhaled bronchodilators were permitted) or had a history of chronic</w:t>
      </w:r>
      <w:r>
        <w:t xml:space="preserve"> </w:t>
      </w:r>
      <w:r w:rsidRPr="0033241F">
        <w:t>use of sedating medications [</w:t>
      </w:r>
      <w:r>
        <w:t>that is,</w:t>
      </w:r>
      <w:r w:rsidRPr="0033241F">
        <w:t xml:space="preserve"> antihistamines]) in violation of the protocol-specified</w:t>
      </w:r>
      <w:r>
        <w:t xml:space="preserve"> </w:t>
      </w:r>
      <w:r w:rsidRPr="0033241F">
        <w:t>washout criteria at the Enrolment Visit (Visit 2/Week 0).</w:t>
      </w:r>
    </w:p>
    <w:p w:rsidR="0074774A" w:rsidRPr="0033241F" w:rsidRDefault="0074774A" w:rsidP="0074774A">
      <w:pPr>
        <w:pStyle w:val="ListBullet"/>
        <w:numPr>
          <w:ilvl w:val="0"/>
          <w:numId w:val="3"/>
        </w:numPr>
      </w:pPr>
      <w:r w:rsidRPr="0033241F">
        <w:t>Subject was significantly overweight based on Centers for Disease Control and Prevention</w:t>
      </w:r>
      <w:r>
        <w:t xml:space="preserve"> </w:t>
      </w:r>
      <w:r w:rsidRPr="0033241F">
        <w:t>BMI-for-age sex specific charts. Significantly overweight was defined as a BMI &gt;95</w:t>
      </w:r>
      <w:r w:rsidRPr="00DB64AE">
        <w:rPr>
          <w:vertAlign w:val="superscript"/>
        </w:rPr>
        <w:t>th</w:t>
      </w:r>
      <w:r>
        <w:t xml:space="preserve"> </w:t>
      </w:r>
      <w:r w:rsidRPr="0033241F">
        <w:t>percentile.</w:t>
      </w:r>
    </w:p>
    <w:p w:rsidR="0074774A" w:rsidRPr="0033241F" w:rsidRDefault="0074774A" w:rsidP="0074774A">
      <w:pPr>
        <w:pStyle w:val="ListBullet"/>
        <w:numPr>
          <w:ilvl w:val="0"/>
          <w:numId w:val="3"/>
        </w:numPr>
      </w:pPr>
      <w:r w:rsidRPr="0033241F">
        <w:t>Children aged 6-12 years who had a body weight of &lt;25.0kg or adolescents aged</w:t>
      </w:r>
      <w:r>
        <w:t xml:space="preserve"> </w:t>
      </w:r>
      <w:r w:rsidRPr="0033241F">
        <w:t>13-17 years who had a bo</w:t>
      </w:r>
      <w:r>
        <w:t>dy weight of &lt;34.0kg or &gt;91.0kg.</w:t>
      </w:r>
    </w:p>
    <w:p w:rsidR="0074774A" w:rsidRPr="0033241F" w:rsidRDefault="0074774A" w:rsidP="0074774A">
      <w:pPr>
        <w:pStyle w:val="ListBullet"/>
        <w:numPr>
          <w:ilvl w:val="0"/>
          <w:numId w:val="3"/>
        </w:numPr>
      </w:pPr>
      <w:r w:rsidRPr="0033241F">
        <w:t>Subject had a clinically important abnormality on the urine drug and alcohol screen</w:t>
      </w:r>
      <w:r>
        <w:t xml:space="preserve"> </w:t>
      </w:r>
      <w:r w:rsidRPr="0033241F">
        <w:t>(excluding the subject’s current ADHD stimulant if applicable) at the Screening</w:t>
      </w:r>
      <w:r>
        <w:t xml:space="preserve"> </w:t>
      </w:r>
      <w:r w:rsidRPr="0033241F">
        <w:t>Visit (Visit 1).</w:t>
      </w:r>
    </w:p>
    <w:p w:rsidR="0074774A" w:rsidRPr="0033241F" w:rsidRDefault="0074774A" w:rsidP="0074774A">
      <w:pPr>
        <w:pStyle w:val="ListBullet"/>
        <w:numPr>
          <w:ilvl w:val="0"/>
          <w:numId w:val="3"/>
        </w:numPr>
      </w:pPr>
      <w:r>
        <w:t>H</w:t>
      </w:r>
      <w:r w:rsidRPr="0033241F">
        <w:t>istory of alcohol or other substance abuse or dependence, as defined by</w:t>
      </w:r>
      <w:r>
        <w:t xml:space="preserve"> </w:t>
      </w:r>
      <w:r w:rsidRPr="0033241F">
        <w:t>DSM-IV-TR (with the exception of nicotine), within the last 6 months.</w:t>
      </w:r>
    </w:p>
    <w:p w:rsidR="0074774A" w:rsidRPr="0033241F" w:rsidRDefault="0074774A" w:rsidP="0074774A">
      <w:pPr>
        <w:pStyle w:val="ListBullet"/>
        <w:numPr>
          <w:ilvl w:val="0"/>
          <w:numId w:val="3"/>
        </w:numPr>
      </w:pPr>
      <w:r w:rsidRPr="0033241F">
        <w:t>Subject was female and pregnant or currently lactating.</w:t>
      </w:r>
    </w:p>
    <w:p w:rsidR="0074774A" w:rsidRPr="0033241F" w:rsidRDefault="0074774A" w:rsidP="0074774A">
      <w:pPr>
        <w:pStyle w:val="ListBullet"/>
        <w:numPr>
          <w:ilvl w:val="0"/>
          <w:numId w:val="3"/>
        </w:numPr>
      </w:pPr>
      <w:r w:rsidRPr="0033241F">
        <w:t>Subject was currently considered a suicide risk, in the opinion of the investigator, had</w:t>
      </w:r>
      <w:r>
        <w:t xml:space="preserve"> </w:t>
      </w:r>
      <w:r w:rsidRPr="0033241F">
        <w:t>previously made a suicide attempt, or had a prior history of, or was currently</w:t>
      </w:r>
      <w:r>
        <w:t xml:space="preserve"> </w:t>
      </w:r>
      <w:r w:rsidRPr="0033241F">
        <w:t>demonstrating active suicidal ideation.</w:t>
      </w:r>
    </w:p>
    <w:p w:rsidR="0074774A" w:rsidRPr="0033241F" w:rsidRDefault="0074774A" w:rsidP="0074774A">
      <w:pPr>
        <w:pStyle w:val="ListBullet"/>
        <w:numPr>
          <w:ilvl w:val="0"/>
          <w:numId w:val="3"/>
        </w:numPr>
      </w:pPr>
      <w:r>
        <w:t>H</w:t>
      </w:r>
      <w:r w:rsidRPr="0033241F">
        <w:t xml:space="preserve">istory of failure to respond to an adequate study of </w:t>
      </w:r>
      <w:proofErr w:type="gramStart"/>
      <w:r w:rsidRPr="0033241F">
        <w:t>an</w:t>
      </w:r>
      <w:proofErr w:type="gramEnd"/>
      <w:r w:rsidRPr="0033241F">
        <w:t xml:space="preserve"> </w:t>
      </w:r>
      <w:r>
        <w:t>α</w:t>
      </w:r>
      <w:r w:rsidRPr="00ED0972">
        <w:rPr>
          <w:vertAlign w:val="subscript"/>
        </w:rPr>
        <w:t>2</w:t>
      </w:r>
      <w:r w:rsidRPr="0033241F">
        <w:t>-agonist for the</w:t>
      </w:r>
      <w:r>
        <w:t xml:space="preserve"> </w:t>
      </w:r>
      <w:r w:rsidRPr="0033241F">
        <w:t>treatment of ADHD.</w:t>
      </w:r>
    </w:p>
    <w:p w:rsidR="0074774A" w:rsidRDefault="0074774A" w:rsidP="0074774A">
      <w:pPr>
        <w:pStyle w:val="ListBullet"/>
        <w:numPr>
          <w:ilvl w:val="0"/>
          <w:numId w:val="3"/>
        </w:numPr>
      </w:pPr>
      <w:r>
        <w:t>H</w:t>
      </w:r>
      <w:r w:rsidRPr="0033241F">
        <w:t>istory of a seizure disorder (other than a single childhood febrile seizure</w:t>
      </w:r>
      <w:r>
        <w:t xml:space="preserve"> </w:t>
      </w:r>
      <w:r w:rsidRPr="0033241F">
        <w:t>occurring before the age of 3 years) or the presence of a serious tic disorder (including</w:t>
      </w:r>
      <w:r>
        <w:t xml:space="preserve"> </w:t>
      </w:r>
      <w:r w:rsidRPr="0033241F">
        <w:t>Tourette’s syndrome).</w:t>
      </w:r>
    </w:p>
    <w:p w:rsidR="0074774A" w:rsidRPr="005632DC" w:rsidRDefault="0074774A" w:rsidP="0074774A">
      <w:pPr>
        <w:pStyle w:val="Heading5"/>
        <w:numPr>
          <w:ilvl w:val="3"/>
          <w:numId w:val="29"/>
        </w:numPr>
        <w:ind w:left="1304" w:hanging="1077"/>
      </w:pPr>
      <w:r w:rsidRPr="005632DC">
        <w:t>Study treatments</w:t>
      </w:r>
    </w:p>
    <w:p w:rsidR="0074774A" w:rsidRDefault="0074774A" w:rsidP="0074774A">
      <w:pPr>
        <w:rPr>
          <w:lang w:eastAsia="ja-JP"/>
        </w:rPr>
      </w:pPr>
      <w:r>
        <w:rPr>
          <w:lang w:eastAsia="ja-JP"/>
        </w:rPr>
        <w:t>The study treatments were:</w:t>
      </w:r>
    </w:p>
    <w:p w:rsidR="0074774A" w:rsidRDefault="0074774A" w:rsidP="00877865">
      <w:pPr>
        <w:pStyle w:val="Numberbullet0"/>
        <w:numPr>
          <w:ilvl w:val="0"/>
          <w:numId w:val="42"/>
        </w:numPr>
        <w:rPr>
          <w:lang w:eastAsia="ja-JP"/>
        </w:rPr>
      </w:pPr>
      <w:r>
        <w:rPr>
          <w:lang w:eastAsia="ja-JP"/>
        </w:rPr>
        <w:t>Guanfacine 1 mg to 4 mg daily for children 6 to 12 years age and 4 to 7 mg for adolescents aged 13 to 17 years</w:t>
      </w:r>
    </w:p>
    <w:p w:rsidR="0074774A" w:rsidRDefault="0074774A" w:rsidP="0074774A">
      <w:pPr>
        <w:pStyle w:val="Numberbullet0"/>
        <w:numPr>
          <w:ilvl w:val="0"/>
          <w:numId w:val="32"/>
        </w:numPr>
        <w:rPr>
          <w:lang w:eastAsia="ja-JP"/>
        </w:rPr>
      </w:pPr>
      <w:r>
        <w:rPr>
          <w:lang w:eastAsia="ja-JP"/>
        </w:rPr>
        <w:t>Placebo</w:t>
      </w:r>
    </w:p>
    <w:p w:rsidR="0074774A" w:rsidRDefault="0074774A" w:rsidP="0074774A">
      <w:pPr>
        <w:rPr>
          <w:lang w:eastAsia="ja-JP"/>
        </w:rPr>
      </w:pPr>
      <w:r>
        <w:rPr>
          <w:lang w:eastAsia="ja-JP"/>
        </w:rPr>
        <w:t>All subjects were commenced on guanfacine and were titrated to optimal dose over 7 weeks. This was followed by a 6 week open label maintenance phase. Subjects who met response criteria (</w:t>
      </w:r>
      <w:r>
        <w:rPr>
          <w:rFonts w:ascii="Times New Roman" w:hAnsi="Times New Roman"/>
          <w:lang w:eastAsia="ja-JP"/>
        </w:rPr>
        <w:t xml:space="preserve">≥ </w:t>
      </w:r>
      <w:r>
        <w:rPr>
          <w:lang w:eastAsia="ja-JP"/>
        </w:rPr>
        <w:t xml:space="preserve">30% reduction in ADHD-RS-IV and a CGI-S score of 1 or 2 with tolerable side effects) </w:t>
      </w:r>
      <w:r>
        <w:rPr>
          <w:lang w:eastAsia="ja-JP"/>
        </w:rPr>
        <w:lastRenderedPageBreak/>
        <w:t>were randomised to ongoing treatment or to placebo. The study phase lasted for 26 weeks. There was a 2 week taper at end of treatment.</w:t>
      </w:r>
    </w:p>
    <w:p w:rsidR="0074774A" w:rsidRPr="005632DC" w:rsidRDefault="0074774A" w:rsidP="0074774A">
      <w:pPr>
        <w:pStyle w:val="Heading5"/>
        <w:numPr>
          <w:ilvl w:val="3"/>
          <w:numId w:val="29"/>
        </w:numPr>
        <w:ind w:left="1304" w:hanging="1077"/>
      </w:pPr>
      <w:bookmarkStart w:id="313" w:name="_Efficacy_variables_and_5"/>
      <w:bookmarkEnd w:id="313"/>
      <w:r w:rsidRPr="005632DC">
        <w:t>Efficacy variables and outcomes</w:t>
      </w:r>
    </w:p>
    <w:p w:rsidR="0074774A" w:rsidRDefault="0074774A" w:rsidP="0074774A">
      <w:pPr>
        <w:rPr>
          <w:lang w:eastAsia="ja-JP"/>
        </w:rPr>
      </w:pPr>
      <w:r>
        <w:rPr>
          <w:lang w:eastAsia="ja-JP"/>
        </w:rPr>
        <w:t xml:space="preserve">The primary efficacy outcome measure was treatment failure, defined as </w:t>
      </w:r>
      <w:r>
        <w:rPr>
          <w:rFonts w:ascii="Times New Roman" w:hAnsi="Times New Roman"/>
          <w:lang w:eastAsia="ja-JP"/>
        </w:rPr>
        <w:t xml:space="preserve">≥ </w:t>
      </w:r>
      <w:r>
        <w:rPr>
          <w:lang w:eastAsia="ja-JP"/>
        </w:rPr>
        <w:t xml:space="preserve">50% increase in ADHD-RS-IV and a </w:t>
      </w:r>
      <w:r>
        <w:rPr>
          <w:rFonts w:ascii="Times New Roman" w:hAnsi="Times New Roman"/>
          <w:lang w:eastAsia="ja-JP"/>
        </w:rPr>
        <w:t xml:space="preserve">≥ </w:t>
      </w:r>
      <w:r>
        <w:rPr>
          <w:lang w:eastAsia="ja-JP"/>
        </w:rPr>
        <w:t>2 point increase in CGI-S score. The secondary efficacy outcome measures were:</w:t>
      </w:r>
    </w:p>
    <w:p w:rsidR="0074774A" w:rsidRDefault="0074774A" w:rsidP="0074774A">
      <w:pPr>
        <w:pStyle w:val="ListBullet"/>
        <w:numPr>
          <w:ilvl w:val="0"/>
          <w:numId w:val="3"/>
        </w:numPr>
        <w:rPr>
          <w:lang w:eastAsia="ja-JP"/>
        </w:rPr>
      </w:pPr>
      <w:r>
        <w:rPr>
          <w:lang w:eastAsia="ja-JP"/>
        </w:rPr>
        <w:t>ADHD-RS-IV score</w:t>
      </w:r>
    </w:p>
    <w:p w:rsidR="0074774A" w:rsidRDefault="0074774A" w:rsidP="0074774A">
      <w:pPr>
        <w:pStyle w:val="ListBullet"/>
        <w:numPr>
          <w:ilvl w:val="0"/>
          <w:numId w:val="3"/>
        </w:numPr>
        <w:rPr>
          <w:lang w:eastAsia="ja-JP"/>
        </w:rPr>
      </w:pPr>
      <w:r>
        <w:rPr>
          <w:lang w:eastAsia="ja-JP"/>
        </w:rPr>
        <w:t>CGI-S</w:t>
      </w:r>
    </w:p>
    <w:p w:rsidR="0074774A" w:rsidRDefault="0074774A" w:rsidP="0074774A">
      <w:pPr>
        <w:pStyle w:val="ListBullet"/>
        <w:numPr>
          <w:ilvl w:val="0"/>
          <w:numId w:val="3"/>
        </w:numPr>
        <w:rPr>
          <w:lang w:eastAsia="ja-JP"/>
        </w:rPr>
      </w:pPr>
      <w:r>
        <w:rPr>
          <w:lang w:eastAsia="ja-JP"/>
        </w:rPr>
        <w:t>WFIRS-P</w:t>
      </w:r>
    </w:p>
    <w:p w:rsidR="0074774A" w:rsidRDefault="0074774A" w:rsidP="0074774A">
      <w:pPr>
        <w:pStyle w:val="ListBullet"/>
        <w:numPr>
          <w:ilvl w:val="0"/>
          <w:numId w:val="3"/>
        </w:numPr>
        <w:rPr>
          <w:lang w:eastAsia="ja-JP"/>
        </w:rPr>
      </w:pPr>
      <w:r>
        <w:rPr>
          <w:lang w:eastAsia="ja-JP"/>
        </w:rPr>
        <w:t>HUI-2/3</w:t>
      </w:r>
    </w:p>
    <w:p w:rsidR="0074774A" w:rsidRDefault="0074774A" w:rsidP="0074774A">
      <w:pPr>
        <w:rPr>
          <w:lang w:eastAsia="ja-JP"/>
        </w:rPr>
      </w:pPr>
      <w:r>
        <w:rPr>
          <w:lang w:eastAsia="ja-JP"/>
        </w:rPr>
        <w:t>The safety outcome measures were: AEs, clinical laboratory tests, vital signs, ECGs and C-SSRS.</w:t>
      </w:r>
    </w:p>
    <w:p w:rsidR="0074774A" w:rsidRPr="005632DC" w:rsidRDefault="0074774A" w:rsidP="0074774A">
      <w:pPr>
        <w:pStyle w:val="Heading5"/>
        <w:numPr>
          <w:ilvl w:val="3"/>
          <w:numId w:val="29"/>
        </w:numPr>
        <w:ind w:left="1304" w:hanging="1077"/>
      </w:pPr>
      <w:r w:rsidRPr="005632DC">
        <w:t>Randomisation and blinding methods</w:t>
      </w:r>
    </w:p>
    <w:p w:rsidR="0074774A" w:rsidRDefault="0074774A" w:rsidP="0074774A">
      <w:pPr>
        <w:rPr>
          <w:lang w:eastAsia="ja-JP"/>
        </w:rPr>
      </w:pPr>
      <w:r>
        <w:rPr>
          <w:lang w:eastAsia="ja-JP"/>
        </w:rPr>
        <w:t>Randomisation was performed using IRT at the double-blind baseline visit. Randomisation was in the ratio 1:1. Identical placebo tablets were used to maintain blinding.</w:t>
      </w:r>
    </w:p>
    <w:p w:rsidR="0074774A" w:rsidRPr="005632DC" w:rsidDel="0081373E" w:rsidRDefault="0074774A" w:rsidP="0074774A">
      <w:pPr>
        <w:pStyle w:val="Heading5"/>
        <w:numPr>
          <w:ilvl w:val="3"/>
          <w:numId w:val="29"/>
        </w:numPr>
        <w:ind w:left="1304" w:hanging="1077"/>
      </w:pPr>
      <w:r w:rsidRPr="005632DC">
        <w:t>Analysis populations</w:t>
      </w:r>
    </w:p>
    <w:p w:rsidR="0074774A" w:rsidRDefault="0074774A" w:rsidP="0074774A">
      <w:pPr>
        <w:rPr>
          <w:lang w:eastAsia="ja-JP"/>
        </w:rPr>
      </w:pPr>
      <w:r>
        <w:rPr>
          <w:lang w:eastAsia="ja-JP"/>
        </w:rPr>
        <w:t>The open-label safety population included all subjects who took at least one dose of investigational product. The randomised FAS and safety populations included all subjects who were randomised and who took at least one dose of study treatment during the double blind randomised withdrawal phase.</w:t>
      </w:r>
    </w:p>
    <w:p w:rsidR="0074774A" w:rsidRPr="005632DC" w:rsidRDefault="0074774A" w:rsidP="0074774A">
      <w:pPr>
        <w:pStyle w:val="Heading5"/>
        <w:numPr>
          <w:ilvl w:val="3"/>
          <w:numId w:val="29"/>
        </w:numPr>
        <w:ind w:left="1304" w:hanging="1077"/>
      </w:pPr>
      <w:r w:rsidRPr="005632DC" w:rsidDel="0081373E">
        <w:t>S</w:t>
      </w:r>
      <w:r w:rsidRPr="005632DC">
        <w:t>ample size</w:t>
      </w:r>
    </w:p>
    <w:p w:rsidR="0074774A" w:rsidRDefault="0074774A" w:rsidP="0074774A">
      <w:pPr>
        <w:rPr>
          <w:lang w:eastAsia="ja-JP"/>
        </w:rPr>
      </w:pPr>
      <w:r>
        <w:rPr>
          <w:lang w:eastAsia="ja-JP"/>
        </w:rPr>
        <w:t>The sample size calculation was based on the primary efficacy outcome measure and assumed failure rates of 40% and 60% in the guanfacine and placebo group respectively. For 90% power at an alpha of 0.05 140 subjects would be required in each treatment group. To achieve this at the end of the maintenance phase, to enter into the randomisation phase, a sample size of 510 subjects was required.</w:t>
      </w:r>
    </w:p>
    <w:p w:rsidR="0074774A" w:rsidRPr="005632DC" w:rsidRDefault="0074774A" w:rsidP="0074774A">
      <w:pPr>
        <w:pStyle w:val="Heading5"/>
        <w:numPr>
          <w:ilvl w:val="3"/>
          <w:numId w:val="29"/>
        </w:numPr>
        <w:ind w:left="1304" w:hanging="1077"/>
      </w:pPr>
      <w:r w:rsidRPr="005632DC">
        <w:t>Statistical methods</w:t>
      </w:r>
    </w:p>
    <w:p w:rsidR="0074774A" w:rsidRDefault="0074774A" w:rsidP="0074774A">
      <w:pPr>
        <w:rPr>
          <w:lang w:eastAsia="ja-JP"/>
        </w:rPr>
      </w:pPr>
      <w:r>
        <w:rPr>
          <w:lang w:eastAsia="ja-JP"/>
        </w:rPr>
        <w:t>Hypothesis tests were performed using CMH, ANCOVA and Kaplan-Meier plots. Missing responses were imputed by averaging out the remaining scores. LOCF was used for missing observations.</w:t>
      </w:r>
    </w:p>
    <w:p w:rsidR="00886C19" w:rsidRDefault="0074774A" w:rsidP="0074774A">
      <w:pPr>
        <w:pStyle w:val="Heading5"/>
        <w:numPr>
          <w:ilvl w:val="3"/>
          <w:numId w:val="29"/>
        </w:numPr>
        <w:ind w:left="1304" w:hanging="1077"/>
      </w:pPr>
      <w:bookmarkStart w:id="314" w:name="_Participant_flow_6"/>
      <w:bookmarkEnd w:id="314"/>
      <w:r w:rsidRPr="005632DC">
        <w:t>Participant flow</w:t>
      </w:r>
    </w:p>
    <w:p w:rsidR="0074774A" w:rsidRDefault="0074774A" w:rsidP="0074774A">
      <w:pPr>
        <w:rPr>
          <w:lang w:eastAsia="ja-JP"/>
        </w:rPr>
      </w:pPr>
      <w:r>
        <w:rPr>
          <w:lang w:eastAsia="ja-JP"/>
        </w:rPr>
        <w:t>There were 528 subjects enrolled: 393 in the 6 to 12 years group and 135 in the 13 to 17 year group. There were 316 subjects who went on to be entered into the double blind phase: 157 in the guanfacine group and 159 in the placebo. A total of 121 (38.3%) subjects completed the randomised phase: 72 (45.9%) in the guanfacine and 49 (30.8%) in the placebo. The main reason for withdrawal was treatment failure.</w:t>
      </w:r>
    </w:p>
    <w:p w:rsidR="0074774A" w:rsidRPr="00EC3AE0" w:rsidRDefault="0074774A" w:rsidP="0074774A">
      <w:pPr>
        <w:pStyle w:val="Heading5"/>
        <w:numPr>
          <w:ilvl w:val="3"/>
          <w:numId w:val="29"/>
        </w:numPr>
        <w:ind w:left="1304" w:hanging="1077"/>
      </w:pPr>
      <w:r w:rsidRPr="00EC3AE0">
        <w:t>Major protocol violations/deviations</w:t>
      </w:r>
    </w:p>
    <w:p w:rsidR="0074774A" w:rsidRDefault="0074774A" w:rsidP="0074774A">
      <w:pPr>
        <w:rPr>
          <w:lang w:eastAsia="ja-JP"/>
        </w:rPr>
      </w:pPr>
      <w:r>
        <w:rPr>
          <w:lang w:eastAsia="ja-JP"/>
        </w:rPr>
        <w:t>Only one subject was withdrawn from the double blind phase because of a protocol violation.</w:t>
      </w:r>
    </w:p>
    <w:p w:rsidR="0074774A" w:rsidRPr="00EC3AE0" w:rsidRDefault="0074774A" w:rsidP="0074774A">
      <w:pPr>
        <w:pStyle w:val="Heading5"/>
        <w:numPr>
          <w:ilvl w:val="3"/>
          <w:numId w:val="29"/>
        </w:numPr>
        <w:ind w:left="1304" w:hanging="1077"/>
      </w:pPr>
      <w:bookmarkStart w:id="315" w:name="_Baseline_data_6"/>
      <w:bookmarkEnd w:id="315"/>
      <w:r w:rsidRPr="00EC3AE0">
        <w:t>Baseline data</w:t>
      </w:r>
    </w:p>
    <w:p w:rsidR="0074774A" w:rsidRDefault="0074774A" w:rsidP="0074774A">
      <w:pPr>
        <w:rPr>
          <w:lang w:eastAsia="ja-JP"/>
        </w:rPr>
      </w:pPr>
      <w:r>
        <w:rPr>
          <w:lang w:eastAsia="ja-JP"/>
        </w:rPr>
        <w:t>In the randomised population, there were 234 (74.3%) males, 81 (25.7%) females and the age range was 6 to 17 years. There were 235 (74.6%) subjects aged 6 to 12 years and 80 (25.4%) aged 13 to 17 years. The treatment groups were similar in demographic characteristics and baseline efficacy scores.</w:t>
      </w:r>
    </w:p>
    <w:p w:rsidR="0074774A" w:rsidRPr="00EC3AE0" w:rsidRDefault="0074774A" w:rsidP="0074774A">
      <w:pPr>
        <w:pStyle w:val="Heading5"/>
        <w:numPr>
          <w:ilvl w:val="3"/>
          <w:numId w:val="29"/>
        </w:numPr>
        <w:ind w:left="1304" w:hanging="1077"/>
      </w:pPr>
      <w:r w:rsidRPr="00EC3AE0">
        <w:lastRenderedPageBreak/>
        <w:t>Results for the primary efficacy outcome</w:t>
      </w:r>
    </w:p>
    <w:p w:rsidR="0074774A" w:rsidRDefault="0074774A" w:rsidP="0074774A">
      <w:pPr>
        <w:rPr>
          <w:lang w:eastAsia="ja-JP"/>
        </w:rPr>
      </w:pPr>
      <w:r>
        <w:rPr>
          <w:lang w:eastAsia="ja-JP"/>
        </w:rPr>
        <w:t>There were 74 (49.3%) treatment failures in the guanfacine group and 98 (64.9%) in the placebo: difference (95% CI) -15.6 (-26.6 to -4.5) p = 0.006. Median time to treatment failure was 218 days in the guanfacine group and 56 in the placebo, logrank p = 0.003. The subgroup analyses were not sufficiently powered to demonstrate treatment differences.</w:t>
      </w:r>
    </w:p>
    <w:p w:rsidR="0074774A" w:rsidRPr="005632DC" w:rsidRDefault="0074774A" w:rsidP="0074774A">
      <w:pPr>
        <w:pStyle w:val="Heading5"/>
        <w:numPr>
          <w:ilvl w:val="3"/>
          <w:numId w:val="29"/>
        </w:numPr>
        <w:ind w:left="1304" w:hanging="1077"/>
      </w:pPr>
      <w:bookmarkStart w:id="316" w:name="_Results_for_other_4"/>
      <w:bookmarkEnd w:id="316"/>
      <w:r w:rsidRPr="005632DC">
        <w:t>Results for other efficacy outcomes</w:t>
      </w:r>
    </w:p>
    <w:p w:rsidR="0074774A" w:rsidRDefault="0074774A" w:rsidP="0074774A">
      <w:pPr>
        <w:pStyle w:val="ListBullet"/>
        <w:numPr>
          <w:ilvl w:val="0"/>
          <w:numId w:val="3"/>
        </w:numPr>
        <w:rPr>
          <w:lang w:eastAsia="ja-JP"/>
        </w:rPr>
      </w:pPr>
      <w:r>
        <w:rPr>
          <w:lang w:eastAsia="ja-JP"/>
        </w:rPr>
        <w:t>The ADHD-RS-IV score decreased to a lesser extent in the guanfacine group compared to placebo: LS mean difference (95% CI) -6.24 (-9.01 to -3.48) p &lt;0.001. Efficacy was demonstrated for both the hyperactivity/impulsivity and inattentiveness subscores.</w:t>
      </w:r>
    </w:p>
    <w:p w:rsidR="0074774A" w:rsidRDefault="0074774A" w:rsidP="0074774A">
      <w:pPr>
        <w:pStyle w:val="ListBullet"/>
        <w:numPr>
          <w:ilvl w:val="0"/>
          <w:numId w:val="3"/>
        </w:numPr>
        <w:rPr>
          <w:lang w:eastAsia="ja-JP"/>
        </w:rPr>
      </w:pPr>
      <w:r>
        <w:rPr>
          <w:lang w:eastAsia="ja-JP"/>
        </w:rPr>
        <w:t>For CGI-S, 75 (50.0%) subjects in the guanfacine group and 49 (32.5%) in the placebo were normal/borderline mentally ill, p = 0.001.</w:t>
      </w:r>
    </w:p>
    <w:p w:rsidR="0074774A" w:rsidRDefault="0074774A" w:rsidP="0074774A">
      <w:pPr>
        <w:pStyle w:val="ListBullet"/>
        <w:numPr>
          <w:ilvl w:val="0"/>
          <w:numId w:val="3"/>
        </w:numPr>
        <w:rPr>
          <w:lang w:eastAsia="ja-JP"/>
        </w:rPr>
      </w:pPr>
      <w:r>
        <w:rPr>
          <w:lang w:eastAsia="ja-JP"/>
        </w:rPr>
        <w:t>At end of study, there was no significant difference between the treatment groups in WFIRS-P, except for the learning and school domain score which was superior for the guanfacine group: LS mean (SE) 0.37 (0.056) for guanfacine and 0.23 (0.078) for placebo, p = 0.030.</w:t>
      </w:r>
    </w:p>
    <w:p w:rsidR="0074774A" w:rsidRDefault="0074774A" w:rsidP="0074774A">
      <w:pPr>
        <w:pStyle w:val="ListBullet"/>
        <w:numPr>
          <w:ilvl w:val="0"/>
          <w:numId w:val="3"/>
        </w:numPr>
        <w:rPr>
          <w:lang w:eastAsia="ja-JP"/>
        </w:rPr>
      </w:pPr>
      <w:r>
        <w:rPr>
          <w:lang w:eastAsia="ja-JP"/>
        </w:rPr>
        <w:t>There was no significant difference between the treatment groups in HUI-2/3.</w:t>
      </w:r>
    </w:p>
    <w:p w:rsidR="0074774A" w:rsidRDefault="0074774A" w:rsidP="0074774A">
      <w:pPr>
        <w:pStyle w:val="Heading5"/>
        <w:numPr>
          <w:ilvl w:val="3"/>
          <w:numId w:val="29"/>
        </w:numPr>
        <w:ind w:left="1304" w:hanging="1077"/>
        <w:rPr>
          <w:lang w:eastAsia="ja-JP"/>
        </w:rPr>
      </w:pPr>
      <w:r>
        <w:rPr>
          <w:lang w:eastAsia="ja-JP"/>
        </w:rPr>
        <w:t>Evaluator Commentary</w:t>
      </w:r>
    </w:p>
    <w:p w:rsidR="0074774A" w:rsidRDefault="0074774A" w:rsidP="0074774A">
      <w:pPr>
        <w:rPr>
          <w:lang w:eastAsia="ja-JP"/>
        </w:rPr>
      </w:pPr>
      <w:r>
        <w:rPr>
          <w:lang w:eastAsia="ja-JP"/>
        </w:rPr>
        <w:t>Study SPD503-315 demonstrated efficacy for guanfacine in children and adolescents aged 6 to 17 years with ADHD. The maintenance phase was of sufficient duration (6 weeks). The study demonstrated maintenance of efficacy for 26 weeks. The primary efficacy outcome measure was ADHD-RS-IV, which was used in the inclusion criteria and measured at baseline and endpoint. The benefits were primarily for symptomatic scores (ADHD-RS-IV) but benefit was also demonstrated for some functioning scores (WFIRS-P learning and school domain score). There was no significant difference in quality of life scores (HUI-2/3).</w:t>
      </w:r>
    </w:p>
    <w:p w:rsidR="0074774A" w:rsidRPr="005632DC" w:rsidRDefault="0074774A" w:rsidP="0074774A">
      <w:pPr>
        <w:pStyle w:val="Heading4"/>
        <w:numPr>
          <w:ilvl w:val="2"/>
          <w:numId w:val="29"/>
        </w:numPr>
      </w:pPr>
      <w:bookmarkStart w:id="317" w:name="_Study_SPD503-316"/>
      <w:bookmarkEnd w:id="317"/>
      <w:r w:rsidRPr="005632DC">
        <w:t xml:space="preserve">Study </w:t>
      </w:r>
      <w:r>
        <w:t>SPD503-316</w:t>
      </w:r>
    </w:p>
    <w:p w:rsidR="0074774A" w:rsidRPr="005632DC" w:rsidRDefault="0074774A" w:rsidP="0074774A">
      <w:pPr>
        <w:pStyle w:val="Heading5"/>
        <w:numPr>
          <w:ilvl w:val="3"/>
          <w:numId w:val="29"/>
        </w:numPr>
        <w:ind w:left="1304" w:hanging="1077"/>
      </w:pPr>
      <w:r w:rsidRPr="005632DC">
        <w:t>Study design, objectives, locations and dates</w:t>
      </w:r>
    </w:p>
    <w:p w:rsidR="0074774A" w:rsidRDefault="0074774A" w:rsidP="0074774A">
      <w:pPr>
        <w:rPr>
          <w:lang w:eastAsia="ja-JP"/>
        </w:rPr>
      </w:pPr>
      <w:r>
        <w:rPr>
          <w:lang w:eastAsia="ja-JP"/>
        </w:rPr>
        <w:t xml:space="preserve">Study SPD503-316 was a randomised, double blind, placebo and active (atomoxetine) controlled, </w:t>
      </w:r>
      <w:proofErr w:type="gramStart"/>
      <w:r>
        <w:rPr>
          <w:lang w:eastAsia="ja-JP"/>
        </w:rPr>
        <w:t>dose</w:t>
      </w:r>
      <w:proofErr w:type="gramEnd"/>
      <w:r>
        <w:rPr>
          <w:lang w:eastAsia="ja-JP"/>
        </w:rPr>
        <w:t xml:space="preserve"> optimisation study of guanfacine in children and adolescents aged 6 to 17 years with ADHD. The study was conducted at 58 centres in the US, Canada and the EU from January 2011 to May 2013.</w:t>
      </w:r>
    </w:p>
    <w:p w:rsidR="0074774A" w:rsidRPr="005632DC" w:rsidRDefault="0074774A" w:rsidP="0074774A">
      <w:pPr>
        <w:pStyle w:val="Heading5"/>
        <w:numPr>
          <w:ilvl w:val="3"/>
          <w:numId w:val="29"/>
        </w:numPr>
        <w:ind w:left="1304" w:hanging="1077"/>
      </w:pPr>
      <w:r w:rsidRPr="005632DC">
        <w:t>Inclusion and exclusion criteria</w:t>
      </w:r>
    </w:p>
    <w:p w:rsidR="0074774A" w:rsidRDefault="0074774A" w:rsidP="0074774A">
      <w:pPr>
        <w:rPr>
          <w:lang w:eastAsia="ja-JP"/>
        </w:rPr>
      </w:pPr>
      <w:r>
        <w:rPr>
          <w:lang w:eastAsia="ja-JP"/>
        </w:rPr>
        <w:t>The inclusion and exclusion criteria were the same as for Study SPD503-315, with the additional exclusion criteria of a history of failure to respond to atomoxetine for the treatment of ADHD.</w:t>
      </w:r>
    </w:p>
    <w:p w:rsidR="0074774A" w:rsidRPr="005632DC" w:rsidRDefault="0074774A" w:rsidP="00877865">
      <w:pPr>
        <w:pStyle w:val="Heading5"/>
        <w:numPr>
          <w:ilvl w:val="3"/>
          <w:numId w:val="43"/>
        </w:numPr>
      </w:pPr>
      <w:r w:rsidRPr="005632DC">
        <w:t>Study treatments</w:t>
      </w:r>
    </w:p>
    <w:p w:rsidR="0074774A" w:rsidRDefault="0074774A" w:rsidP="0074774A">
      <w:pPr>
        <w:rPr>
          <w:lang w:eastAsia="ja-JP"/>
        </w:rPr>
      </w:pPr>
      <w:r>
        <w:rPr>
          <w:lang w:eastAsia="ja-JP"/>
        </w:rPr>
        <w:t>The study treatments were:</w:t>
      </w:r>
    </w:p>
    <w:p w:rsidR="0074774A" w:rsidRDefault="0074774A" w:rsidP="00877865">
      <w:pPr>
        <w:pStyle w:val="Numberbullet0"/>
        <w:numPr>
          <w:ilvl w:val="0"/>
          <w:numId w:val="44"/>
        </w:numPr>
        <w:rPr>
          <w:lang w:eastAsia="ja-JP"/>
        </w:rPr>
      </w:pPr>
      <w:r>
        <w:rPr>
          <w:lang w:eastAsia="ja-JP"/>
        </w:rPr>
        <w:t>Guanfacine 1 mg to 4 mg daily for children 6 to 12 years age and 4 to 7 mg for adolescents aged 13 to 17 years</w:t>
      </w:r>
    </w:p>
    <w:p w:rsidR="0074774A" w:rsidRDefault="0074774A" w:rsidP="0074774A">
      <w:pPr>
        <w:pStyle w:val="Numberbullet0"/>
        <w:numPr>
          <w:ilvl w:val="0"/>
          <w:numId w:val="32"/>
        </w:numPr>
        <w:rPr>
          <w:lang w:eastAsia="ja-JP"/>
        </w:rPr>
      </w:pPr>
      <w:r>
        <w:rPr>
          <w:lang w:eastAsia="ja-JP"/>
        </w:rPr>
        <w:t>Placebo</w:t>
      </w:r>
    </w:p>
    <w:p w:rsidR="0074774A" w:rsidRDefault="0074774A" w:rsidP="0074774A">
      <w:pPr>
        <w:pStyle w:val="Numberbullet0"/>
        <w:numPr>
          <w:ilvl w:val="0"/>
          <w:numId w:val="32"/>
        </w:numPr>
        <w:rPr>
          <w:lang w:eastAsia="ja-JP"/>
        </w:rPr>
      </w:pPr>
      <w:r>
        <w:rPr>
          <w:lang w:eastAsia="ja-JP"/>
        </w:rPr>
        <w:t>Atomoxetine (Strattera®)</w:t>
      </w:r>
    </w:p>
    <w:p w:rsidR="0074774A" w:rsidRDefault="0074774A" w:rsidP="0074774A">
      <w:pPr>
        <w:rPr>
          <w:lang w:eastAsia="ja-JP"/>
        </w:rPr>
      </w:pPr>
      <w:r>
        <w:rPr>
          <w:lang w:eastAsia="ja-JP"/>
        </w:rPr>
        <w:t>For children aged 6 to 12 years dose optimisation was performed over 4 weeks and for adolescents aged 13 to 17 years it was performed over 7 weeks. Dose optimisation of atomoxetine was in the range 25 mg to 100 mg based on weight. There was a 6 week maintenance phase followed by a 2 week taper.</w:t>
      </w:r>
    </w:p>
    <w:p w:rsidR="0074774A" w:rsidRPr="005632DC" w:rsidRDefault="0074774A" w:rsidP="0074774A">
      <w:pPr>
        <w:pStyle w:val="Heading5"/>
        <w:numPr>
          <w:ilvl w:val="3"/>
          <w:numId w:val="29"/>
        </w:numPr>
        <w:ind w:left="1304" w:hanging="1077"/>
      </w:pPr>
      <w:bookmarkStart w:id="318" w:name="_Efficacy_variables_and_6"/>
      <w:bookmarkEnd w:id="318"/>
      <w:r w:rsidRPr="005632DC">
        <w:lastRenderedPageBreak/>
        <w:t>Efficacy variables and outcomes</w:t>
      </w:r>
    </w:p>
    <w:p w:rsidR="0074774A" w:rsidRDefault="0074774A" w:rsidP="0074774A">
      <w:pPr>
        <w:rPr>
          <w:lang w:eastAsia="ja-JP"/>
        </w:rPr>
      </w:pPr>
      <w:r>
        <w:rPr>
          <w:lang w:eastAsia="ja-JP"/>
        </w:rPr>
        <w:t>The primary efficacy outcome measure was the change from baseline in ADHD-RS-IV. The secondary efficacy outcome measures were:</w:t>
      </w:r>
    </w:p>
    <w:p w:rsidR="0074774A" w:rsidRDefault="0074774A" w:rsidP="0074774A">
      <w:pPr>
        <w:pStyle w:val="ListBullet"/>
        <w:numPr>
          <w:ilvl w:val="0"/>
          <w:numId w:val="3"/>
        </w:numPr>
        <w:rPr>
          <w:lang w:eastAsia="ja-JP"/>
        </w:rPr>
      </w:pPr>
      <w:r>
        <w:rPr>
          <w:lang w:eastAsia="ja-JP"/>
        </w:rPr>
        <w:t>CGI-S</w:t>
      </w:r>
    </w:p>
    <w:p w:rsidR="0074774A" w:rsidRDefault="0074774A" w:rsidP="0074774A">
      <w:pPr>
        <w:pStyle w:val="ListBullet"/>
        <w:numPr>
          <w:ilvl w:val="0"/>
          <w:numId w:val="3"/>
        </w:numPr>
        <w:rPr>
          <w:lang w:eastAsia="ja-JP"/>
        </w:rPr>
      </w:pPr>
      <w:r>
        <w:rPr>
          <w:lang w:eastAsia="ja-JP"/>
        </w:rPr>
        <w:t>CGI-I</w:t>
      </w:r>
    </w:p>
    <w:p w:rsidR="0074774A" w:rsidRDefault="0074774A" w:rsidP="0074774A">
      <w:pPr>
        <w:pStyle w:val="ListBullet"/>
        <w:numPr>
          <w:ilvl w:val="0"/>
          <w:numId w:val="3"/>
        </w:numPr>
        <w:rPr>
          <w:lang w:eastAsia="ja-JP"/>
        </w:rPr>
      </w:pPr>
      <w:r>
        <w:rPr>
          <w:lang w:eastAsia="ja-JP"/>
        </w:rPr>
        <w:t>WFIRS-P</w:t>
      </w:r>
    </w:p>
    <w:p w:rsidR="0074774A" w:rsidRDefault="0074774A" w:rsidP="0074774A">
      <w:pPr>
        <w:pStyle w:val="ListBullet"/>
        <w:numPr>
          <w:ilvl w:val="0"/>
          <w:numId w:val="3"/>
        </w:numPr>
        <w:rPr>
          <w:lang w:eastAsia="ja-JP"/>
        </w:rPr>
      </w:pPr>
      <w:r>
        <w:rPr>
          <w:lang w:eastAsia="ja-JP"/>
        </w:rPr>
        <w:t>HUI-2/3</w:t>
      </w:r>
    </w:p>
    <w:p w:rsidR="0074774A" w:rsidRDefault="0074774A" w:rsidP="0074774A">
      <w:pPr>
        <w:rPr>
          <w:lang w:eastAsia="ja-JP"/>
        </w:rPr>
      </w:pPr>
      <w:r>
        <w:rPr>
          <w:lang w:eastAsia="ja-JP"/>
        </w:rPr>
        <w:t>The safety outcome measures were: AEs, clinical laboratory tests, vital signs, ECGs, BPRS-C, C-SSRS and SSEQ.</w:t>
      </w:r>
    </w:p>
    <w:p w:rsidR="0074774A" w:rsidRPr="005632DC" w:rsidRDefault="0074774A" w:rsidP="0074774A">
      <w:pPr>
        <w:pStyle w:val="Heading5"/>
        <w:numPr>
          <w:ilvl w:val="3"/>
          <w:numId w:val="29"/>
        </w:numPr>
        <w:ind w:left="1304" w:hanging="1077"/>
      </w:pPr>
      <w:r w:rsidRPr="005632DC">
        <w:t>Randomisation and blinding methods</w:t>
      </w:r>
    </w:p>
    <w:p w:rsidR="0074774A" w:rsidRDefault="0074774A" w:rsidP="0074774A">
      <w:pPr>
        <w:rPr>
          <w:lang w:eastAsia="ja-JP"/>
        </w:rPr>
      </w:pPr>
      <w:r>
        <w:rPr>
          <w:lang w:eastAsia="ja-JP"/>
        </w:rPr>
        <w:t>Randomisation was by IRT, in the ratio 1:1:1 and stratified by age range: 6 to 12 years and 13 to 17 years. Blinding was maintained by using placebos for both guanfacine and atomoxetine.</w:t>
      </w:r>
    </w:p>
    <w:p w:rsidR="0074774A" w:rsidRPr="005632DC" w:rsidDel="0081373E" w:rsidRDefault="0074774A" w:rsidP="0074774A">
      <w:pPr>
        <w:pStyle w:val="Heading5"/>
        <w:numPr>
          <w:ilvl w:val="3"/>
          <w:numId w:val="29"/>
        </w:numPr>
        <w:ind w:left="1304" w:hanging="1077"/>
      </w:pPr>
      <w:r w:rsidRPr="005632DC">
        <w:t>Analysis populations</w:t>
      </w:r>
    </w:p>
    <w:p w:rsidR="0074774A" w:rsidRDefault="0074774A" w:rsidP="0074774A">
      <w:pPr>
        <w:rPr>
          <w:lang w:eastAsia="ja-JP"/>
        </w:rPr>
      </w:pPr>
      <w:r>
        <w:rPr>
          <w:lang w:eastAsia="ja-JP"/>
        </w:rPr>
        <w:t>The FAS and safety populations included all subjects who were randomised and took at least one dose of study treatment.</w:t>
      </w:r>
    </w:p>
    <w:p w:rsidR="0074774A" w:rsidRPr="005632DC" w:rsidRDefault="0074774A" w:rsidP="0074774A">
      <w:pPr>
        <w:pStyle w:val="Heading5"/>
        <w:numPr>
          <w:ilvl w:val="3"/>
          <w:numId w:val="29"/>
        </w:numPr>
        <w:ind w:left="1304" w:hanging="1077"/>
      </w:pPr>
      <w:r w:rsidRPr="005632DC" w:rsidDel="0081373E">
        <w:t>S</w:t>
      </w:r>
      <w:r w:rsidRPr="005632DC">
        <w:t>ample size</w:t>
      </w:r>
    </w:p>
    <w:p w:rsidR="0074774A" w:rsidRDefault="0074774A" w:rsidP="0074774A">
      <w:pPr>
        <w:rPr>
          <w:lang w:eastAsia="ja-JP"/>
        </w:rPr>
      </w:pPr>
      <w:r>
        <w:rPr>
          <w:lang w:eastAsia="ja-JP"/>
        </w:rPr>
        <w:t>The sample size calculation was based on a comparison between guanfacine and placebo for the primary efficacy outcome measure. The samples size calculation was based on an effect size of 0.45 (equivalent to a difference between treatment of 4.5 points and a SD of 10 points), power of 90% and an alpha of 0.05. This would require 105 subjects in each group, and to account for dropouts 111 subjects would be required in each group. A further 111 subjects were included in the atomoxetine group to provide ‘reference data’.</w:t>
      </w:r>
    </w:p>
    <w:p w:rsidR="0074774A" w:rsidRPr="005632DC" w:rsidRDefault="0074774A" w:rsidP="0074774A">
      <w:pPr>
        <w:pStyle w:val="Heading5"/>
        <w:numPr>
          <w:ilvl w:val="3"/>
          <w:numId w:val="29"/>
        </w:numPr>
        <w:ind w:left="1304" w:hanging="1077"/>
      </w:pPr>
      <w:r w:rsidRPr="005632DC">
        <w:t>Statistical methods</w:t>
      </w:r>
    </w:p>
    <w:p w:rsidR="0074774A" w:rsidRDefault="0074774A" w:rsidP="0074774A">
      <w:pPr>
        <w:rPr>
          <w:lang w:eastAsia="ja-JP"/>
        </w:rPr>
      </w:pPr>
      <w:r>
        <w:rPr>
          <w:lang w:eastAsia="ja-JP"/>
        </w:rPr>
        <w:t>Hypothesis tests were performed using ANCOVA and CMH. LOCF was used to impute missing data. A hierarchical approach to hypothesis tests was used to account for multiplicity.</w:t>
      </w:r>
    </w:p>
    <w:p w:rsidR="00886C19" w:rsidRDefault="0074774A" w:rsidP="0074774A">
      <w:pPr>
        <w:pStyle w:val="Heading5"/>
        <w:numPr>
          <w:ilvl w:val="3"/>
          <w:numId w:val="29"/>
        </w:numPr>
        <w:ind w:left="1304" w:hanging="1077"/>
      </w:pPr>
      <w:bookmarkStart w:id="319" w:name="_Participant_flow_7"/>
      <w:bookmarkEnd w:id="319"/>
      <w:r w:rsidRPr="005632DC">
        <w:t>Participant flow</w:t>
      </w:r>
    </w:p>
    <w:p w:rsidR="0074774A" w:rsidRDefault="0074774A" w:rsidP="0074774A">
      <w:pPr>
        <w:rPr>
          <w:lang w:eastAsia="ja-JP"/>
        </w:rPr>
      </w:pPr>
      <w:r>
        <w:rPr>
          <w:lang w:eastAsia="ja-JP"/>
        </w:rPr>
        <w:t>A total of 338 subjects were randomised to treatment: 115 to guanfacine, 111 to placebo and 112 to atomoxetine. A total of 269 (79.6%) subjects completed the study: 90 (78.3%) in the guanfacine group, 92 (82.9%) in the placebo and 87 (77.7%) in the atomoxetine. Twenty four (7.1%) subjects withdrew because of lack of efficacy: five (4.3%) in the guanfacine group, 14 (12.6%) in the placebo and five (4.5%) in the atomoxetine.</w:t>
      </w:r>
    </w:p>
    <w:p w:rsidR="0074774A" w:rsidRPr="00EC3AE0" w:rsidRDefault="0074774A" w:rsidP="0074774A">
      <w:pPr>
        <w:pStyle w:val="Heading5"/>
        <w:numPr>
          <w:ilvl w:val="3"/>
          <w:numId w:val="29"/>
        </w:numPr>
        <w:ind w:left="1304" w:hanging="1077"/>
      </w:pPr>
      <w:r w:rsidRPr="00EC3AE0">
        <w:t>Major protocol violations/deviations</w:t>
      </w:r>
    </w:p>
    <w:p w:rsidR="0074774A" w:rsidRDefault="0074774A" w:rsidP="0074774A">
      <w:pPr>
        <w:rPr>
          <w:lang w:eastAsia="ja-JP"/>
        </w:rPr>
      </w:pPr>
      <w:r>
        <w:rPr>
          <w:lang w:eastAsia="ja-JP"/>
        </w:rPr>
        <w:t>No subject was withdrawn because of protocol violation. One site was excluded from a sensitivity analysis because of concerns regarding data quality.</w:t>
      </w:r>
    </w:p>
    <w:p w:rsidR="0074774A" w:rsidRPr="00EC3AE0" w:rsidRDefault="0074774A" w:rsidP="0074774A">
      <w:pPr>
        <w:pStyle w:val="Heading5"/>
        <w:numPr>
          <w:ilvl w:val="3"/>
          <w:numId w:val="29"/>
        </w:numPr>
        <w:ind w:left="1304" w:hanging="1077"/>
      </w:pPr>
      <w:bookmarkStart w:id="320" w:name="_Baseline_data_7"/>
      <w:bookmarkEnd w:id="320"/>
      <w:r w:rsidRPr="00EC3AE0">
        <w:t>Baseline data</w:t>
      </w:r>
    </w:p>
    <w:p w:rsidR="0074774A" w:rsidRDefault="0074774A" w:rsidP="0074774A">
      <w:pPr>
        <w:rPr>
          <w:lang w:eastAsia="ja-JP"/>
        </w:rPr>
      </w:pPr>
      <w:r>
        <w:rPr>
          <w:lang w:eastAsia="ja-JP"/>
        </w:rPr>
        <w:t xml:space="preserve">There were 249 (73.9%) males, 88 (26.1%) females and the age range was 6 to 17 years. There were 242 (71.8%) subjects aged 6 to 12 years and 95 (28.2%) aged 13 to 17 years. There </w:t>
      </w:r>
      <w:proofErr w:type="gramStart"/>
      <w:r>
        <w:rPr>
          <w:lang w:eastAsia="ja-JP"/>
        </w:rPr>
        <w:t>was</w:t>
      </w:r>
      <w:proofErr w:type="gramEnd"/>
      <w:r>
        <w:rPr>
          <w:lang w:eastAsia="ja-JP"/>
        </w:rPr>
        <w:t xml:space="preserve"> a higher proportion of females in the guanfacine group. Otherwise, the groups were similar in demographic characteristics. The treatment groups were similar in disease characteristics (Table 25). Prior stimulant medication had been used by 54 (47.4%) subjects in the guanfacine group, 57 (50.9%) in the atomoxetine and 56 (50.5%) in the placebo. Prior stimulants had been ceased because of lack of efficacy in 95 (55.9%) subjects with prior stimulant use and because of side effects in 63 (37.1%). Compliance was 99.0% for guanfacine, 99.6% for placebo and 98.9% for atomoxetine.</w:t>
      </w:r>
    </w:p>
    <w:p w:rsidR="0074774A" w:rsidRPr="00A32D9F" w:rsidRDefault="0074774A" w:rsidP="0074774A">
      <w:pPr>
        <w:pStyle w:val="Tabletitle"/>
      </w:pPr>
      <w:bookmarkStart w:id="321" w:name="Table_7_2_8_4"/>
      <w:r>
        <w:lastRenderedPageBreak/>
        <w:t>Table 25</w:t>
      </w:r>
      <w:bookmarkEnd w:id="321"/>
      <w:r>
        <w:t xml:space="preserve">: </w:t>
      </w:r>
      <w:r w:rsidRPr="00A32D9F">
        <w:t>Summary of Disease Characteristics (FAS/Safety Population) (copied from Table 13, Study SPD503-316 CSR)</w:t>
      </w:r>
    </w:p>
    <w:p w:rsidR="0074774A" w:rsidRDefault="0074774A" w:rsidP="0074774A">
      <w:pPr>
        <w:spacing w:before="0" w:after="0"/>
      </w:pPr>
      <w:r>
        <w:rPr>
          <w:noProof/>
          <w:lang w:eastAsia="en-AU"/>
        </w:rPr>
        <w:drawing>
          <wp:inline distT="0" distB="0" distL="0" distR="0" wp14:anchorId="711F102B" wp14:editId="4FBC2700">
            <wp:extent cx="5731510" cy="6268533"/>
            <wp:effectExtent l="0" t="0" r="2540" b="0"/>
            <wp:docPr id="187" name="Picture 187" descr="Table 25: Summary of Disease Characteristics (FAS/Safety Population) (copied from Table 13, Study SPD503-316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6268533"/>
                    </a:xfrm>
                    <a:prstGeom prst="rect">
                      <a:avLst/>
                    </a:prstGeom>
                  </pic:spPr>
                </pic:pic>
              </a:graphicData>
            </a:graphic>
          </wp:inline>
        </w:drawing>
      </w:r>
    </w:p>
    <w:p w:rsidR="0074774A" w:rsidRPr="00EC3AE0" w:rsidRDefault="0074774A" w:rsidP="0074774A">
      <w:pPr>
        <w:pStyle w:val="Heading5"/>
        <w:numPr>
          <w:ilvl w:val="3"/>
          <w:numId w:val="29"/>
        </w:numPr>
        <w:ind w:left="1304" w:hanging="1077"/>
      </w:pPr>
      <w:bookmarkStart w:id="322" w:name="_Results_for_the_6"/>
      <w:bookmarkEnd w:id="322"/>
      <w:r w:rsidRPr="00EC3AE0">
        <w:t>Results for the primary efficacy outcome</w:t>
      </w:r>
    </w:p>
    <w:p w:rsidR="0074774A" w:rsidRDefault="0074774A" w:rsidP="0074774A">
      <w:pPr>
        <w:rPr>
          <w:lang w:eastAsia="ja-JP"/>
        </w:rPr>
      </w:pPr>
      <w:r>
        <w:rPr>
          <w:lang w:eastAsia="ja-JP"/>
        </w:rPr>
        <w:t>Both guanfacine and atomoxetine were superior to placebo, with similar effect sizes. The mean (SD) change from baseline in ADHD-RS-IV was -23.9 (12.41) for guanfacine, -15.0 (13.07) for placebo and -18.6 (11.91) for atomoxetine. The LS mean difference (95% CI) to placebo was -8.9 (-11.9 to -5.8) p &lt;0.001 for guanfacine and -3.8 (-6.8 to -0.7) p = 0.017 for atomoxetine. Similar efficacy was demonstrated for both the hyperactivity/impulsiveness and inattentive subscales. The sensitivity analysis did not have a significant effect on the results.</w:t>
      </w:r>
    </w:p>
    <w:p w:rsidR="0074774A" w:rsidRPr="005632DC" w:rsidRDefault="0074774A" w:rsidP="0074774A">
      <w:pPr>
        <w:pStyle w:val="Heading5"/>
        <w:numPr>
          <w:ilvl w:val="3"/>
          <w:numId w:val="29"/>
        </w:numPr>
        <w:ind w:left="1304" w:hanging="1077"/>
      </w:pPr>
      <w:bookmarkStart w:id="323" w:name="_Results_for_other_5"/>
      <w:bookmarkEnd w:id="323"/>
      <w:r w:rsidRPr="005632DC">
        <w:t>Results for other efficacy outcomes</w:t>
      </w:r>
    </w:p>
    <w:p w:rsidR="0074774A" w:rsidRDefault="0074774A" w:rsidP="0074774A">
      <w:pPr>
        <w:pStyle w:val="ListBullet"/>
        <w:numPr>
          <w:ilvl w:val="0"/>
          <w:numId w:val="3"/>
        </w:numPr>
        <w:rPr>
          <w:lang w:eastAsia="ja-JP"/>
        </w:rPr>
      </w:pPr>
      <w:r>
        <w:rPr>
          <w:lang w:eastAsia="ja-JP"/>
        </w:rPr>
        <w:t>At endpoint CGI-S was normal/borderline mentally ill for 42 (37.5%) in the guanfacine group, 28 (25.2%) in the placebo and 29 (25.9%) in the atomoxetine.</w:t>
      </w:r>
    </w:p>
    <w:p w:rsidR="0074774A" w:rsidRDefault="0074774A" w:rsidP="0074774A">
      <w:pPr>
        <w:pStyle w:val="ListBullet"/>
        <w:numPr>
          <w:ilvl w:val="0"/>
          <w:numId w:val="3"/>
        </w:numPr>
        <w:rPr>
          <w:lang w:eastAsia="ja-JP"/>
        </w:rPr>
      </w:pPr>
      <w:r>
        <w:rPr>
          <w:lang w:eastAsia="ja-JP"/>
        </w:rPr>
        <w:lastRenderedPageBreak/>
        <w:t>There was improvement in CGI-I for 76 (67.9%) subjects in the guanfacine group, 49 (44.1%) in the placebo and 63 (56.3%) in the atomoxetine. The difference (95% CI) for the % subjects with improvement from placebo was 23.7 (11.1 to 36.4) % p &lt;0.001 for guanfacine and 12.1 (-0.9 to 25.1%Z) p = 0.024 for atomoxetine.</w:t>
      </w:r>
    </w:p>
    <w:p w:rsidR="00886C19" w:rsidRDefault="0074774A" w:rsidP="0074774A">
      <w:pPr>
        <w:pStyle w:val="ListBullet"/>
        <w:numPr>
          <w:ilvl w:val="0"/>
          <w:numId w:val="3"/>
        </w:numPr>
        <w:rPr>
          <w:lang w:eastAsia="ja-JP"/>
        </w:rPr>
      </w:pPr>
      <w:r>
        <w:rPr>
          <w:lang w:eastAsia="ja-JP"/>
        </w:rPr>
        <w:t>The mean (SD) change from baseline in WFIRS-P Learning and School Domain scores was -0.610 (0.6695) for guanfacine, -0.378 (0.5489) for placebo and -0.571 (0.6367) for atomoxetine. The LS mean difference (95% CI) to placebo was -0.217 (-0.358 to -0.076) p = 0.003 for guanfacine and -0.162 (-0.305 to -0.019) p = 0.026 for atomoxetine.</w:t>
      </w:r>
    </w:p>
    <w:p w:rsidR="00886C19" w:rsidRDefault="0074774A" w:rsidP="0074774A">
      <w:pPr>
        <w:pStyle w:val="ListBullet"/>
        <w:numPr>
          <w:ilvl w:val="0"/>
          <w:numId w:val="3"/>
        </w:numPr>
        <w:rPr>
          <w:lang w:eastAsia="ja-JP"/>
        </w:rPr>
      </w:pPr>
      <w:r>
        <w:rPr>
          <w:lang w:eastAsia="ja-JP"/>
        </w:rPr>
        <w:t>The mean (SD) change from baseline in WFIRS-P Family Domain scores was -0.596 (0.7706) for guanfacine, -0.507 (0.6893) for placebo and -0.571 (0.6367) for atomoxetine. The LS mean difference (95% CI) to placebo was -0.209 (-0.358 to -0.059) p = 0.006 for guanfacine and -0.090 (-0.241 to 0.061) p = 0.242 for atomoxetine.</w:t>
      </w:r>
    </w:p>
    <w:p w:rsidR="00886C19" w:rsidRDefault="0074774A" w:rsidP="0074774A">
      <w:pPr>
        <w:pStyle w:val="ListBullet"/>
        <w:numPr>
          <w:ilvl w:val="0"/>
          <w:numId w:val="3"/>
        </w:numPr>
        <w:rPr>
          <w:lang w:eastAsia="ja-JP"/>
        </w:rPr>
      </w:pPr>
      <w:r>
        <w:rPr>
          <w:lang w:eastAsia="ja-JP"/>
        </w:rPr>
        <w:t>The mean (SD) change from baseline in WFIRS-P Global scores was -0.486 (0.5012) for guanfacine, -0.300 (0.3745) for placebo and -0.423 (0.4220) for atomoxetine. The LS mean difference (95% CI) to placebo was -0.165 (-0.266 to -0.064) p = 0.001 for guanfacine and -0.104 (-0.207 to -0.001) p = 0.048 for atomoxetine.</w:t>
      </w:r>
    </w:p>
    <w:p w:rsidR="0074774A" w:rsidRDefault="0074774A" w:rsidP="0074774A">
      <w:pPr>
        <w:pStyle w:val="ListBullet"/>
        <w:numPr>
          <w:ilvl w:val="0"/>
          <w:numId w:val="3"/>
        </w:numPr>
        <w:rPr>
          <w:lang w:eastAsia="ja-JP"/>
        </w:rPr>
      </w:pPr>
      <w:r>
        <w:rPr>
          <w:lang w:eastAsia="ja-JP"/>
        </w:rPr>
        <w:t>There was no significant difference between the treatment groups in HUI-2/3 scores.</w:t>
      </w:r>
    </w:p>
    <w:p w:rsidR="0074774A" w:rsidRDefault="0074774A" w:rsidP="0074774A">
      <w:pPr>
        <w:pStyle w:val="Heading5"/>
        <w:numPr>
          <w:ilvl w:val="3"/>
          <w:numId w:val="29"/>
        </w:numPr>
        <w:ind w:left="1304" w:hanging="1077"/>
      </w:pPr>
      <w:r w:rsidRPr="00EC3AE0">
        <w:t xml:space="preserve">Evaluator </w:t>
      </w:r>
      <w:r>
        <w:t>c</w:t>
      </w:r>
      <w:r w:rsidRPr="00EC3AE0">
        <w:t>ommentary</w:t>
      </w:r>
    </w:p>
    <w:p w:rsidR="0074774A" w:rsidRDefault="0074774A" w:rsidP="0074774A">
      <w:pPr>
        <w:rPr>
          <w:lang w:eastAsia="ja-JP"/>
        </w:rPr>
      </w:pPr>
      <w:bookmarkStart w:id="324" w:name="_Ref271037188"/>
      <w:bookmarkStart w:id="325" w:name="_Ref271037210"/>
      <w:bookmarkStart w:id="326" w:name="_Toc272414655"/>
      <w:bookmarkStart w:id="327" w:name="_Toc290888503"/>
      <w:bookmarkStart w:id="328" w:name="_Toc416353719"/>
      <w:bookmarkStart w:id="329" w:name="_Toc421005270"/>
      <w:bookmarkStart w:id="330" w:name="_Toc432079152"/>
      <w:bookmarkStart w:id="331" w:name="_Toc432080725"/>
      <w:bookmarkStart w:id="332" w:name="_Toc241374311"/>
      <w:bookmarkStart w:id="333" w:name="_Ref243294291"/>
      <w:r>
        <w:rPr>
          <w:lang w:eastAsia="ja-JP"/>
        </w:rPr>
        <w:t>Study SPD503-316 demonstrated efficacy for guanfacine in comparison with placebo in children and adolescents aged 6 to 17 years with ADHD. Efficacy was demonstrated for the symptomatic score of ADHD-RS-IV and the functional scores of WFIRS-P Global score, Learning and School Domain score and Family Domain score. No formal comparisons of either superiority or non-inferiority were performed in comparison with atomoxetine. Hence, no formal conclusions can be made with regard to efficacy in comparison with atomoxetine.</w:t>
      </w:r>
    </w:p>
    <w:p w:rsidR="0074774A" w:rsidRPr="00300796" w:rsidRDefault="0074774A" w:rsidP="0074774A">
      <w:pPr>
        <w:pStyle w:val="Heading3"/>
        <w:numPr>
          <w:ilvl w:val="1"/>
          <w:numId w:val="29"/>
        </w:numPr>
        <w:ind w:left="907" w:hanging="794"/>
      </w:pPr>
      <w:bookmarkStart w:id="334" w:name="_Toc505616990"/>
      <w:bookmarkStart w:id="335" w:name="_Toc513217704"/>
      <w:r w:rsidRPr="00300796">
        <w:t>Other efficacy studies</w:t>
      </w:r>
      <w:bookmarkEnd w:id="324"/>
      <w:bookmarkEnd w:id="325"/>
      <w:bookmarkEnd w:id="326"/>
      <w:bookmarkEnd w:id="327"/>
      <w:bookmarkEnd w:id="328"/>
      <w:bookmarkEnd w:id="329"/>
      <w:bookmarkEnd w:id="330"/>
      <w:bookmarkEnd w:id="331"/>
      <w:bookmarkEnd w:id="334"/>
      <w:bookmarkEnd w:id="335"/>
    </w:p>
    <w:p w:rsidR="0074774A" w:rsidRPr="00300796" w:rsidRDefault="0074774A" w:rsidP="0074774A">
      <w:pPr>
        <w:pStyle w:val="Heading4"/>
        <w:numPr>
          <w:ilvl w:val="2"/>
          <w:numId w:val="29"/>
        </w:numPr>
      </w:pPr>
      <w:bookmarkStart w:id="336" w:name="_Study_SPD503-202"/>
      <w:bookmarkStart w:id="337" w:name="_Toc290888504"/>
      <w:bookmarkStart w:id="338" w:name="_Toc416353720"/>
      <w:bookmarkEnd w:id="332"/>
      <w:bookmarkEnd w:id="333"/>
      <w:bookmarkEnd w:id="336"/>
      <w:r w:rsidRPr="00300796">
        <w:t>Study</w:t>
      </w:r>
      <w:bookmarkEnd w:id="337"/>
      <w:r w:rsidRPr="00300796">
        <w:t xml:space="preserve"> </w:t>
      </w:r>
      <w:bookmarkEnd w:id="338"/>
      <w:r>
        <w:t>SPD503-202</w:t>
      </w:r>
    </w:p>
    <w:p w:rsidR="0074774A" w:rsidRDefault="0074774A" w:rsidP="0074774A">
      <w:pPr>
        <w:rPr>
          <w:lang w:eastAsia="ja-JP"/>
        </w:rPr>
      </w:pPr>
      <w:bookmarkStart w:id="339" w:name="_Toc290888505"/>
      <w:bookmarkStart w:id="340" w:name="_Toc416353721"/>
      <w:r>
        <w:rPr>
          <w:lang w:eastAsia="ja-JP"/>
        </w:rPr>
        <w:t>Study SPD503-202 was a randomised, double blind, placebo controlled, parallel group safety and efficacy study of immediate release guanfacine. The study was conducted in five centres in the USA and Canada from July to September 2001. The study included subjects with ADHD (by DSM-IV criteria) combined or hyperactive types, male or female, aged from 6 to 12 years. The study treatments were:</w:t>
      </w:r>
    </w:p>
    <w:p w:rsidR="0074774A" w:rsidRDefault="0074774A" w:rsidP="00877865">
      <w:pPr>
        <w:pStyle w:val="Numberbullet0"/>
        <w:numPr>
          <w:ilvl w:val="0"/>
          <w:numId w:val="45"/>
        </w:numPr>
        <w:rPr>
          <w:lang w:eastAsia="ja-JP"/>
        </w:rPr>
      </w:pPr>
      <w:r>
        <w:rPr>
          <w:lang w:eastAsia="ja-JP"/>
        </w:rPr>
        <w:t>Guanfacine immediate release tablets, force titrated to 1.5 mg daily over 3 weeks, followed by a 2 week taper</w:t>
      </w:r>
    </w:p>
    <w:p w:rsidR="0074774A" w:rsidRDefault="0074774A" w:rsidP="0074774A">
      <w:pPr>
        <w:pStyle w:val="Numberbullet0"/>
        <w:numPr>
          <w:ilvl w:val="0"/>
          <w:numId w:val="32"/>
        </w:numPr>
        <w:rPr>
          <w:lang w:eastAsia="ja-JP"/>
        </w:rPr>
      </w:pPr>
      <w:r>
        <w:rPr>
          <w:lang w:eastAsia="ja-JP"/>
        </w:rPr>
        <w:t>Placebo</w:t>
      </w:r>
    </w:p>
    <w:p w:rsidR="0074774A" w:rsidRDefault="0074774A" w:rsidP="0074774A">
      <w:pPr>
        <w:rPr>
          <w:lang w:eastAsia="ja-JP"/>
        </w:rPr>
      </w:pPr>
      <w:r>
        <w:rPr>
          <w:lang w:eastAsia="ja-JP"/>
        </w:rPr>
        <w:t>The efficacy outcome measures were the SKAMP Rating Scale, PERMP Derived Measures, and CGI. The safety outcome measures were: AEs, clinical laboratory evaluations, vital signs, physical examinations and ECGs. There were 55 subjects enrolled: 28 randomised to guanfacine and 27 to placebo. There were 53 subjects who completed the study: 27 in the guanfacine group and 26 in the placebo. One subject in each group discontinued because of AE. There were 45 males, ten females and the age range was 6 to 12 years. There were 53 subjects with combined type and two with hyperactive type ADHD. There were 54 subjects included in the ITT analysis, 27 from each group. Baseline ADHD scores were slightly higher in the guanfacine group (Table 26). There was improvement in SKAMP deportment scores relative to placebo in the guanfacine group but not in attention scores (Table 27). PERMP scores improved in the guanfacine group relative to placebo (Table 28). More subjects in the guanfacine group had improvement in CGI improvement scores but this was not statistically significant (Table 29).</w:t>
      </w:r>
    </w:p>
    <w:p w:rsidR="0074774A" w:rsidRDefault="0074774A" w:rsidP="0074774A">
      <w:pPr>
        <w:pStyle w:val="Tabletitle"/>
        <w:rPr>
          <w:lang w:eastAsia="ja-JP"/>
        </w:rPr>
      </w:pPr>
      <w:r>
        <w:lastRenderedPageBreak/>
        <w:t xml:space="preserve">Table 26: </w:t>
      </w:r>
      <w:r>
        <w:rPr>
          <w:lang w:eastAsia="ja-JP"/>
        </w:rPr>
        <w:t>Baseline PERMP Level of Difficulty, CGI-S and SKAMP by treatment group for all randomised subjects (copied from Table 10, Study SPD503-202 CSR)</w:t>
      </w:r>
    </w:p>
    <w:p w:rsidR="0074774A" w:rsidRDefault="0074774A" w:rsidP="0074774A">
      <w:pPr>
        <w:rPr>
          <w:lang w:eastAsia="ja-JP"/>
        </w:rPr>
      </w:pPr>
      <w:r w:rsidRPr="000A79FB">
        <w:rPr>
          <w:noProof/>
          <w:lang w:eastAsia="en-AU"/>
        </w:rPr>
        <w:drawing>
          <wp:inline distT="0" distB="0" distL="0" distR="0" wp14:anchorId="0030FBB4" wp14:editId="7234CD8D">
            <wp:extent cx="4528800" cy="2244828"/>
            <wp:effectExtent l="0" t="0" r="5715" b="3175"/>
            <wp:docPr id="52" name="Picture 52" descr="Table 26: Baseline PERMP Level of Difficulty, CGI-S and SKAMP by treatment group for all randomised subjects (copied from Table 10, Study SPD503-2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35481" cy="2248140"/>
                    </a:xfrm>
                    <a:prstGeom prst="rect">
                      <a:avLst/>
                    </a:prstGeom>
                    <a:noFill/>
                    <a:ln>
                      <a:noFill/>
                    </a:ln>
                  </pic:spPr>
                </pic:pic>
              </a:graphicData>
            </a:graphic>
          </wp:inline>
        </w:drawing>
      </w:r>
    </w:p>
    <w:p w:rsidR="0074774A" w:rsidRPr="002C3064" w:rsidRDefault="0074774A" w:rsidP="0074774A">
      <w:pPr>
        <w:pStyle w:val="Tabletitle"/>
        <w:rPr>
          <w:lang w:eastAsia="ja-JP"/>
        </w:rPr>
      </w:pPr>
      <w:bookmarkStart w:id="341" w:name="Table_7_3_1_2"/>
      <w:r>
        <w:rPr>
          <w:lang w:eastAsia="ja-JP"/>
        </w:rPr>
        <w:t>Table 27:</w:t>
      </w:r>
      <w:bookmarkEnd w:id="341"/>
      <w:r>
        <w:rPr>
          <w:lang w:eastAsia="ja-JP"/>
        </w:rPr>
        <w:t xml:space="preserve"> </w:t>
      </w:r>
      <w:r w:rsidRPr="002C3064">
        <w:rPr>
          <w:lang w:val="en-NZ"/>
        </w:rPr>
        <w:t>SKAMP Ratings for Attention and Deportment for ITT Population (copied from Table 13, Study SPD503-202 CSR)</w:t>
      </w:r>
    </w:p>
    <w:p w:rsidR="0074774A" w:rsidRDefault="0074774A" w:rsidP="0074774A">
      <w:pPr>
        <w:rPr>
          <w:lang w:eastAsia="ja-JP"/>
        </w:rPr>
      </w:pPr>
      <w:r w:rsidRPr="002C3064">
        <w:rPr>
          <w:noProof/>
          <w:lang w:eastAsia="en-AU"/>
        </w:rPr>
        <w:drawing>
          <wp:inline distT="0" distB="0" distL="0" distR="0" wp14:anchorId="6EBE9E05" wp14:editId="21C12160">
            <wp:extent cx="4312800" cy="1198565"/>
            <wp:effectExtent l="0" t="0" r="0" b="1905"/>
            <wp:docPr id="53" name="Picture 53" descr="Table 27: SKAMP Ratings for Attention and Deportment for ITT Population (copied from Table 13, Study SPD503-2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7237" cy="1199798"/>
                    </a:xfrm>
                    <a:prstGeom prst="rect">
                      <a:avLst/>
                    </a:prstGeom>
                    <a:noFill/>
                    <a:ln>
                      <a:noFill/>
                    </a:ln>
                  </pic:spPr>
                </pic:pic>
              </a:graphicData>
            </a:graphic>
          </wp:inline>
        </w:drawing>
      </w:r>
    </w:p>
    <w:p w:rsidR="0074774A" w:rsidRPr="00620387" w:rsidRDefault="0074774A" w:rsidP="0074774A">
      <w:pPr>
        <w:pStyle w:val="Tabletitle"/>
        <w:rPr>
          <w:lang w:eastAsia="ja-JP"/>
        </w:rPr>
      </w:pPr>
      <w:bookmarkStart w:id="342" w:name="Table_7_3_1_3"/>
      <w:r>
        <w:rPr>
          <w:lang w:eastAsia="ja-JP"/>
        </w:rPr>
        <w:t>Table 28:</w:t>
      </w:r>
      <w:bookmarkEnd w:id="342"/>
      <w:r>
        <w:rPr>
          <w:lang w:eastAsia="ja-JP"/>
        </w:rPr>
        <w:t xml:space="preserve"> </w:t>
      </w:r>
      <w:r w:rsidRPr="00620387">
        <w:rPr>
          <w:lang w:val="en-NZ"/>
        </w:rPr>
        <w:t>PERMP No. Attempted and No. Correct for ITT Population (copied from Table 16, Study SPD503-202 CSR)</w:t>
      </w:r>
    </w:p>
    <w:p w:rsidR="0074774A" w:rsidRDefault="0074774A" w:rsidP="0074774A">
      <w:pPr>
        <w:rPr>
          <w:lang w:eastAsia="ja-JP"/>
        </w:rPr>
      </w:pPr>
      <w:r w:rsidRPr="00620387">
        <w:rPr>
          <w:noProof/>
          <w:lang w:eastAsia="en-AU"/>
        </w:rPr>
        <w:drawing>
          <wp:inline distT="0" distB="0" distL="0" distR="0" wp14:anchorId="092A2796" wp14:editId="313D5273">
            <wp:extent cx="4492800" cy="1528712"/>
            <wp:effectExtent l="0" t="0" r="3175" b="0"/>
            <wp:docPr id="49" name="Picture 49" descr="Table 28: PERMP No. Attempted and No. Correct for ITT Population (copied from Table 16, Study SPD503-2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3043" cy="1528795"/>
                    </a:xfrm>
                    <a:prstGeom prst="rect">
                      <a:avLst/>
                    </a:prstGeom>
                    <a:noFill/>
                    <a:ln>
                      <a:noFill/>
                    </a:ln>
                  </pic:spPr>
                </pic:pic>
              </a:graphicData>
            </a:graphic>
          </wp:inline>
        </w:drawing>
      </w:r>
    </w:p>
    <w:p w:rsidR="0074774A" w:rsidRPr="00011259" w:rsidRDefault="0074774A" w:rsidP="0074774A">
      <w:pPr>
        <w:pStyle w:val="Tabletitle"/>
        <w:rPr>
          <w:lang w:eastAsia="ja-JP"/>
        </w:rPr>
      </w:pPr>
      <w:bookmarkStart w:id="343" w:name="Table_7_3_1_4"/>
      <w:r>
        <w:rPr>
          <w:lang w:eastAsia="ja-JP"/>
        </w:rPr>
        <w:lastRenderedPageBreak/>
        <w:t>Table 29:</w:t>
      </w:r>
      <w:bookmarkEnd w:id="343"/>
      <w:r>
        <w:rPr>
          <w:lang w:eastAsia="ja-JP"/>
        </w:rPr>
        <w:t xml:space="preserve"> </w:t>
      </w:r>
      <w:r w:rsidRPr="00011259">
        <w:rPr>
          <w:lang w:val="en-NZ"/>
        </w:rPr>
        <w:t>Results of Dichotomized CGI-I for ITT Population (copied from Table 19, Study SPD503-202 CSR)</w:t>
      </w:r>
    </w:p>
    <w:p w:rsidR="0074774A" w:rsidRDefault="0074774A" w:rsidP="0074774A">
      <w:pPr>
        <w:rPr>
          <w:lang w:eastAsia="ja-JP"/>
        </w:rPr>
      </w:pPr>
      <w:r w:rsidRPr="00011259">
        <w:rPr>
          <w:noProof/>
          <w:lang w:eastAsia="en-AU"/>
        </w:rPr>
        <w:drawing>
          <wp:inline distT="0" distB="0" distL="0" distR="0" wp14:anchorId="1890DF05" wp14:editId="08C8831C">
            <wp:extent cx="4708800" cy="1948785"/>
            <wp:effectExtent l="0" t="0" r="0" b="0"/>
            <wp:docPr id="51" name="Picture 51" descr="Table 29: Results of Dichotomized CGI-I for ITT Population (copied from Table 19, Study SPD503-2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09055" cy="1948890"/>
                    </a:xfrm>
                    <a:prstGeom prst="rect">
                      <a:avLst/>
                    </a:prstGeom>
                    <a:noFill/>
                    <a:ln>
                      <a:noFill/>
                    </a:ln>
                  </pic:spPr>
                </pic:pic>
              </a:graphicData>
            </a:graphic>
          </wp:inline>
        </w:drawing>
      </w:r>
    </w:p>
    <w:p w:rsidR="0074774A" w:rsidRDefault="0074774A" w:rsidP="0074774A">
      <w:pPr>
        <w:pStyle w:val="Heading4"/>
        <w:numPr>
          <w:ilvl w:val="2"/>
          <w:numId w:val="29"/>
        </w:numPr>
      </w:pPr>
      <w:bookmarkStart w:id="344" w:name="_Study_SPD503-205"/>
      <w:bookmarkEnd w:id="344"/>
      <w:r w:rsidRPr="00300796">
        <w:t xml:space="preserve">Study </w:t>
      </w:r>
      <w:bookmarkEnd w:id="339"/>
      <w:bookmarkEnd w:id="340"/>
      <w:r>
        <w:t>SPD503-205</w:t>
      </w:r>
    </w:p>
    <w:p w:rsidR="00886C19" w:rsidRDefault="0074774A" w:rsidP="0074774A">
      <w:pPr>
        <w:rPr>
          <w:lang w:eastAsia="ja-JP"/>
        </w:rPr>
      </w:pPr>
      <w:bookmarkStart w:id="345" w:name="_Toc290888506"/>
      <w:bookmarkStart w:id="346" w:name="_Toc416353722"/>
      <w:r>
        <w:rPr>
          <w:lang w:eastAsia="ja-JP"/>
        </w:rPr>
        <w:t xml:space="preserve">Study SPD503-205 was a multicentre (17 centres in the US), open label, single arm, dose escalation study to assess the efficacy, safety and tolerability of extended release guanfacine in subjects co-medicated with psychostimulants (amphetamine or methylphenidate). The study included males or females, aged 6 to 17 years, with ADHD (according to DSM-IV). The study treatments were guanfacine extended release tablets, force titrated from 1 mg to 4 mg daily over 3 weeks, followed by a 3 week taper. Study subjects also received concomitant psychostimulant medication. The efficacy outcome measures were: ADHD-RS-IV; GLI-S; CGI-I; PGA; CHQ-PF50 and CPRS-R. Safety outcome measures included AEs, clinical laboratory tests, PDSS and Pittsburgh Side Effect Rating Scale. The study included 75 subjects: 55 males, 20 females, </w:t>
      </w:r>
      <w:proofErr w:type="gramStart"/>
      <w:r>
        <w:rPr>
          <w:lang w:eastAsia="ja-JP"/>
        </w:rPr>
        <w:t>age</w:t>
      </w:r>
      <w:proofErr w:type="gramEnd"/>
      <w:r>
        <w:rPr>
          <w:lang w:eastAsia="ja-JP"/>
        </w:rPr>
        <w:t xml:space="preserve"> range 7 to 17 years, 42 subjects co-medicated with methylphenidate and 33 with amphetamine. A total of 63 subjects completed the study and twelve did not complete. Five (6.7%) subjects withdrew due to AE. The mean (SD) change from baseline in ADHD-RS-IV score was -17.8 (10.20), p &lt;0.0001, in the methylphenidate group and -13.8 (11.19), p &lt;0.0001, in the amphetamine. The mean (SD) change from baseline in CPRS-R score was -22.18 (15.47), p &lt;0.0001, in the methylphenidate group and -16.28 (18.12), p = 0.0002, in the amphetamine. Improvement in CGI-I occurred for 28 (77.8%) subjects in the methylphenidate group and 18 (66.7%) in the amphetamine. Improvement in PGA score occurred for 32 (88.9%) subjects in the methylphenidate group and 21 (77.8%) in the amphetamine. There was no significant change in CHQ-PF-50 Physical Summary Score. The mean (SD) change from baseline in CHQ-PF-50 Psychosocial Summary Score was 8.98 (6.69), p &lt;0.0001, in the methylphenidate group and 11.56 (10.00), p &lt;0.0001, in the amphetamine.</w:t>
      </w:r>
    </w:p>
    <w:p w:rsidR="0074774A" w:rsidRPr="00300796" w:rsidRDefault="0074774A" w:rsidP="0074774A">
      <w:pPr>
        <w:pStyle w:val="Heading4"/>
        <w:numPr>
          <w:ilvl w:val="2"/>
          <w:numId w:val="29"/>
        </w:numPr>
      </w:pPr>
      <w:bookmarkStart w:id="347" w:name="_Study_SPD503-206"/>
      <w:bookmarkEnd w:id="347"/>
      <w:r w:rsidRPr="00300796">
        <w:t xml:space="preserve">Study </w:t>
      </w:r>
      <w:bookmarkEnd w:id="345"/>
      <w:bookmarkEnd w:id="346"/>
      <w:r>
        <w:t>SPD503-206</w:t>
      </w:r>
    </w:p>
    <w:p w:rsidR="0074774A" w:rsidRDefault="0074774A" w:rsidP="0074774A">
      <w:pPr>
        <w:rPr>
          <w:lang w:eastAsia="ja-JP"/>
        </w:rPr>
      </w:pPr>
      <w:r>
        <w:rPr>
          <w:lang w:eastAsia="ja-JP"/>
        </w:rPr>
        <w:t>Study SPD503-206 was a multicentre (nine centres in the US), randomised, double blind, placebo-controlled, dose optimisation study conducted from May 2005 to October 2005. The study included males or females, aged 6 to 17 years with ADHD (according to DSM-IV-TR). The study treatments were:</w:t>
      </w:r>
    </w:p>
    <w:p w:rsidR="0074774A" w:rsidRDefault="0074774A" w:rsidP="00877865">
      <w:pPr>
        <w:pStyle w:val="Numberbullet0"/>
        <w:numPr>
          <w:ilvl w:val="0"/>
          <w:numId w:val="46"/>
        </w:numPr>
        <w:rPr>
          <w:lang w:eastAsia="ja-JP"/>
        </w:rPr>
      </w:pPr>
      <w:r>
        <w:rPr>
          <w:lang w:eastAsia="ja-JP"/>
        </w:rPr>
        <w:t>Guanfacine extended release 1mg to 3 mg per day</w:t>
      </w:r>
    </w:p>
    <w:p w:rsidR="0074774A" w:rsidRDefault="0074774A" w:rsidP="0074774A">
      <w:pPr>
        <w:pStyle w:val="Numberbullet0"/>
        <w:numPr>
          <w:ilvl w:val="0"/>
          <w:numId w:val="32"/>
        </w:numPr>
        <w:rPr>
          <w:lang w:eastAsia="ja-JP"/>
        </w:rPr>
      </w:pPr>
      <w:r>
        <w:rPr>
          <w:lang w:eastAsia="ja-JP"/>
        </w:rPr>
        <w:t>Placebo</w:t>
      </w:r>
    </w:p>
    <w:p w:rsidR="0074774A" w:rsidRDefault="0074774A" w:rsidP="0074774A">
      <w:pPr>
        <w:rPr>
          <w:lang w:eastAsia="ja-JP"/>
        </w:rPr>
      </w:pPr>
      <w:r>
        <w:rPr>
          <w:lang w:eastAsia="ja-JP"/>
        </w:rPr>
        <w:t xml:space="preserve">Dosing was flexible in the range 1 mg to 3 mg daily. Treatment duration was 7 weeks. The outcome measures were: cognitive assessments (CRT, SWM, DSST and PERMP); efficacy assessments (ADHD-RS-IV, CGI-S and CGI-I) and safety assessments (AEs, clinical laboratory tests, vital signs, physical examinations, assessments of sleepiness and sedation [PDSS and PSS]). The study included 178 subjects who were enrolled and received medication: 121 randomised to guanfacine and 57 to placebo. There were 114 (94.2%) subjects in the </w:t>
      </w:r>
      <w:r>
        <w:rPr>
          <w:lang w:eastAsia="ja-JP"/>
        </w:rPr>
        <w:lastRenderedPageBreak/>
        <w:t>guanfacine group and 54 (94.7%) in the placebo who completed the study. There were 124 males, 54 females and the age range was 6 to 17 years. For the cognitive outcome variables:</w:t>
      </w:r>
    </w:p>
    <w:p w:rsidR="00886C19" w:rsidRDefault="0074774A" w:rsidP="0074774A">
      <w:pPr>
        <w:pStyle w:val="ListBullet"/>
        <w:numPr>
          <w:ilvl w:val="0"/>
          <w:numId w:val="3"/>
        </w:numPr>
        <w:rPr>
          <w:lang w:eastAsia="ja-JP"/>
        </w:rPr>
      </w:pPr>
      <w:r>
        <w:rPr>
          <w:lang w:eastAsia="ja-JP"/>
        </w:rPr>
        <w:t>There was no significant difference between the treatment groups in CRT: LS mean difference (95% CI), placebo – guanfacine, 2.2 (-16.3 to 20.7).</w:t>
      </w:r>
    </w:p>
    <w:p w:rsidR="00886C19" w:rsidRDefault="0074774A" w:rsidP="0074774A">
      <w:pPr>
        <w:pStyle w:val="ListBullet"/>
        <w:numPr>
          <w:ilvl w:val="0"/>
          <w:numId w:val="3"/>
        </w:numPr>
        <w:rPr>
          <w:lang w:eastAsia="ja-JP"/>
        </w:rPr>
      </w:pPr>
      <w:r>
        <w:rPr>
          <w:lang w:eastAsia="ja-JP"/>
        </w:rPr>
        <w:t>There was no significant difference between the treatment groups in the change from baseline in reaction time for correct responses: mean change (SD) 20.2 (59.77) msec for guanfacine and 21.8 (58.09) msec for placebo.</w:t>
      </w:r>
    </w:p>
    <w:p w:rsidR="00886C19" w:rsidRDefault="0074774A" w:rsidP="0074774A">
      <w:pPr>
        <w:pStyle w:val="ListBullet"/>
        <w:numPr>
          <w:ilvl w:val="0"/>
          <w:numId w:val="3"/>
        </w:numPr>
        <w:rPr>
          <w:lang w:eastAsia="ja-JP"/>
        </w:rPr>
      </w:pPr>
      <w:r>
        <w:rPr>
          <w:lang w:eastAsia="ja-JP"/>
        </w:rPr>
        <w:t>There was no significant difference between the treatment groups in the change from baseline in movement time: mean change (SD) 19.4 (74.27) msec for guanfacine and 8.8 (84.00) msec for placebo, p = 0.302.</w:t>
      </w:r>
    </w:p>
    <w:p w:rsidR="00886C19" w:rsidRDefault="0074774A" w:rsidP="0074774A">
      <w:pPr>
        <w:pStyle w:val="ListBullet"/>
        <w:numPr>
          <w:ilvl w:val="0"/>
          <w:numId w:val="3"/>
        </w:numPr>
        <w:rPr>
          <w:lang w:eastAsia="ja-JP"/>
        </w:rPr>
      </w:pPr>
      <w:r>
        <w:rPr>
          <w:lang w:eastAsia="ja-JP"/>
        </w:rPr>
        <w:t>There was no significant difference between the treatment groups in the change from baseline in CRT total time: mean change (SD) 40.1 (114.34) msec for guanfacine and 30.7 (110.72) msec for placebo, p = 0.723.</w:t>
      </w:r>
    </w:p>
    <w:p w:rsidR="00886C19" w:rsidRDefault="0074774A" w:rsidP="0074774A">
      <w:pPr>
        <w:pStyle w:val="ListBullet"/>
        <w:numPr>
          <w:ilvl w:val="0"/>
          <w:numId w:val="3"/>
        </w:numPr>
        <w:rPr>
          <w:lang w:eastAsia="ja-JP"/>
        </w:rPr>
      </w:pPr>
      <w:r>
        <w:rPr>
          <w:lang w:eastAsia="ja-JP"/>
        </w:rPr>
        <w:t>There was no significant difference between the treatment groups in the change from baseline in CRT accuracy: mean change (SD) 0.1 (1.22) for guanfacine and 0.1 (1.17) seconds for placebo, p = 0.980.</w:t>
      </w:r>
    </w:p>
    <w:p w:rsidR="0074774A" w:rsidRDefault="0074774A" w:rsidP="0074774A">
      <w:pPr>
        <w:pStyle w:val="ListBullet"/>
        <w:numPr>
          <w:ilvl w:val="0"/>
          <w:numId w:val="3"/>
        </w:numPr>
        <w:rPr>
          <w:lang w:eastAsia="ja-JP"/>
        </w:rPr>
      </w:pPr>
      <w:r>
        <w:rPr>
          <w:lang w:eastAsia="ja-JP"/>
        </w:rPr>
        <w:t>There was no significant difference between the groups in SWM.</w:t>
      </w:r>
    </w:p>
    <w:p w:rsidR="00886C19" w:rsidRDefault="0074774A" w:rsidP="0074774A">
      <w:pPr>
        <w:pStyle w:val="ListBullet"/>
        <w:numPr>
          <w:ilvl w:val="0"/>
          <w:numId w:val="3"/>
        </w:numPr>
        <w:rPr>
          <w:lang w:eastAsia="ja-JP"/>
        </w:rPr>
      </w:pPr>
      <w:r>
        <w:rPr>
          <w:lang w:eastAsia="ja-JP"/>
        </w:rPr>
        <w:t>There was no significant difference between the treatment groups in the change from baseline in DSST: mean change (SD) 18.3 (14.03) for guanfacine and 20.7 (17.18) seconds for placebo, p = 0.274.</w:t>
      </w:r>
    </w:p>
    <w:p w:rsidR="00886C19" w:rsidRDefault="0074774A" w:rsidP="0074774A">
      <w:pPr>
        <w:pStyle w:val="ListBullet"/>
        <w:numPr>
          <w:ilvl w:val="0"/>
          <w:numId w:val="3"/>
        </w:numPr>
        <w:rPr>
          <w:lang w:eastAsia="ja-JP"/>
        </w:rPr>
      </w:pPr>
      <w:r>
        <w:rPr>
          <w:lang w:eastAsia="ja-JP"/>
        </w:rPr>
        <w:t>There was no significant difference between the treatment groups in the change from baseline in PERMP score: mean change (SD) 38.7 (74.80) for guanfacine and 17.2 (83.60) seconds for placebo, p = 0.151.</w:t>
      </w:r>
    </w:p>
    <w:p w:rsidR="0074774A" w:rsidRDefault="0074774A" w:rsidP="0074774A">
      <w:pPr>
        <w:rPr>
          <w:lang w:eastAsia="ja-JP"/>
        </w:rPr>
      </w:pPr>
      <w:r>
        <w:rPr>
          <w:lang w:eastAsia="ja-JP"/>
        </w:rPr>
        <w:t>The results for the efficacy outcome measures were:</w:t>
      </w:r>
    </w:p>
    <w:p w:rsidR="00886C19" w:rsidRDefault="0074774A" w:rsidP="0074774A">
      <w:pPr>
        <w:pStyle w:val="ListParagraph"/>
        <w:numPr>
          <w:ilvl w:val="0"/>
          <w:numId w:val="36"/>
        </w:numPr>
        <w:ind w:left="567" w:hanging="567"/>
        <w:rPr>
          <w:lang w:eastAsia="ja-JP"/>
        </w:rPr>
      </w:pPr>
      <w:r>
        <w:rPr>
          <w:lang w:eastAsia="ja-JP"/>
        </w:rPr>
        <w:t>There was a statistically significant improvement in ADHD-RS-IV in the guanfacine group compared with placebo: mean change (SD) -18.0 (10.72) for guanfacine and -11.9 (13.12) for placebo, p = 0.001.</w:t>
      </w:r>
    </w:p>
    <w:p w:rsidR="0074774A" w:rsidRDefault="0074774A" w:rsidP="0074774A">
      <w:pPr>
        <w:pStyle w:val="ListParagraph"/>
        <w:numPr>
          <w:ilvl w:val="0"/>
          <w:numId w:val="36"/>
        </w:numPr>
        <w:ind w:left="567" w:hanging="567"/>
        <w:rPr>
          <w:lang w:eastAsia="ja-JP"/>
        </w:rPr>
      </w:pPr>
      <w:r>
        <w:rPr>
          <w:lang w:eastAsia="ja-JP"/>
        </w:rPr>
        <w:t>There was a statistically significant improvement in ADHD-RS-IV subscale score in the guanfacine group compared with placebo: mean change (SD) -8.8 (5.98) for guanfacine and -5.5 (7.23) for placebo, p = 0.001.</w:t>
      </w:r>
    </w:p>
    <w:p w:rsidR="0074774A" w:rsidRDefault="0074774A" w:rsidP="0074774A">
      <w:pPr>
        <w:pStyle w:val="ListParagraph"/>
        <w:numPr>
          <w:ilvl w:val="0"/>
          <w:numId w:val="36"/>
        </w:numPr>
        <w:ind w:left="567" w:hanging="567"/>
        <w:rPr>
          <w:lang w:eastAsia="ja-JP"/>
        </w:rPr>
      </w:pPr>
      <w:r>
        <w:rPr>
          <w:lang w:eastAsia="ja-JP"/>
        </w:rPr>
        <w:t>There was a statistically significant improvement in ADHD-RS-IV hyperactivity / impulsivity subscale in the guanfacine group compared with placebo: mean change (SD) -9.2 (5.83) for guanfacine and -6.5 (6.68) for placebo, p = 0.002.</w:t>
      </w:r>
    </w:p>
    <w:p w:rsidR="0074774A" w:rsidRDefault="0074774A" w:rsidP="0074774A">
      <w:pPr>
        <w:pStyle w:val="ListParagraph"/>
        <w:numPr>
          <w:ilvl w:val="0"/>
          <w:numId w:val="36"/>
        </w:numPr>
        <w:ind w:left="567" w:hanging="567"/>
        <w:rPr>
          <w:lang w:eastAsia="ja-JP"/>
        </w:rPr>
      </w:pPr>
      <w:r>
        <w:rPr>
          <w:lang w:eastAsia="ja-JP"/>
        </w:rPr>
        <w:t>A significantly greater proportion of subjects in the guanfacine group had improvement in CGI-I: 67(56.8%) in the guanfacine group and 20 (35.1%) in the placebo, p = 0.007.</w:t>
      </w:r>
    </w:p>
    <w:p w:rsidR="0074774A" w:rsidRDefault="0074774A" w:rsidP="0074774A">
      <w:pPr>
        <w:pStyle w:val="Heading4"/>
        <w:numPr>
          <w:ilvl w:val="2"/>
          <w:numId w:val="29"/>
        </w:numPr>
      </w:pPr>
      <w:bookmarkStart w:id="348" w:name="_Study_SPD503-303"/>
      <w:bookmarkEnd w:id="348"/>
      <w:r>
        <w:t>Study SPD503-303</w:t>
      </w:r>
    </w:p>
    <w:p w:rsidR="0074774A" w:rsidRDefault="0074774A" w:rsidP="0074774A">
      <w:pPr>
        <w:rPr>
          <w:lang w:eastAsia="ja-JP"/>
        </w:rPr>
      </w:pPr>
      <w:r>
        <w:rPr>
          <w:lang w:eastAsia="ja-JP"/>
        </w:rPr>
        <w:t xml:space="preserve">Study SPD503-303 was an open-label extension of study SPD503-301. The study was conducted at 45 centres in the US from March 2003 to July 2005. The treatment was guanfacine 2 mg to 4 mg daily, flexible dosing. Study duration was up to 24 months. Efficacy was assessed using ADHD-RS-IV, PGA, CHQ-PF50 and CHQ-CF87. Safety was assessed using AEs, clinical laboratory tests, vital signs, physical examinations, ECGs and HAM-A/HAM-D. There were 240 subjects enrolled and 42 completed. There were 184 males, 42 females and the age range was 6 to 17 years. For ADHD-RS-IV efficacy was maintained to endpoint for all three dose levels (prior to tapering): mean (SD) change from baseline -18.1 (13.38) for 2 mg, -17.6 (12.60) for 3 mg and -18.4 (13.13) for 4 mg (p &lt;0.001). At endpoint, 95 (58.6%) subjects had demonstrated improvement in PGA. There was no significant change from baseline in CHQ-PF50 physical summary scores. There was a significant improvement from baseline in CHQ-PF50 psychosocial </w:t>
      </w:r>
      <w:r>
        <w:rPr>
          <w:lang w:eastAsia="ja-JP"/>
        </w:rPr>
        <w:lastRenderedPageBreak/>
        <w:t>summary score: mean (SD) change from baseline 12.3 (12.35) p &lt;0.001. An analysis of CHQ-CF87 was not reported.</w:t>
      </w:r>
    </w:p>
    <w:p w:rsidR="0074774A" w:rsidRDefault="0074774A" w:rsidP="0074774A">
      <w:pPr>
        <w:pStyle w:val="Heading4"/>
        <w:numPr>
          <w:ilvl w:val="2"/>
          <w:numId w:val="29"/>
        </w:numPr>
      </w:pPr>
      <w:bookmarkStart w:id="349" w:name="_Study_SPD503-305"/>
      <w:bookmarkEnd w:id="349"/>
      <w:r>
        <w:t>Study SPD503-305</w:t>
      </w:r>
    </w:p>
    <w:p w:rsidR="0074774A" w:rsidRDefault="0074774A" w:rsidP="0074774A">
      <w:pPr>
        <w:rPr>
          <w:lang w:eastAsia="ja-JP"/>
        </w:rPr>
      </w:pPr>
      <w:r>
        <w:rPr>
          <w:lang w:eastAsia="ja-JP"/>
        </w:rPr>
        <w:t xml:space="preserve">Study SPD503-305 was an open label extension of Study SPD503-205 and Study SPD503-304. The study was conducted at 48 centres in the US from June 2004 to Jan 2007. The study treatment was guanfacine 1 mg to 4 mg once daily, flexible dose. Treatment duration was 24 months. The efficacy outcome measures were ADHD-RS-IV, CGI-I, PGA, CHQ-PF-50 and CPRS-R. The safety outcome measures were AEs, clinical laboratory tests, vital signs, </w:t>
      </w:r>
      <w:proofErr w:type="gramStart"/>
      <w:r>
        <w:rPr>
          <w:lang w:eastAsia="ja-JP"/>
        </w:rPr>
        <w:t>physical</w:t>
      </w:r>
      <w:proofErr w:type="gramEnd"/>
      <w:r>
        <w:rPr>
          <w:lang w:eastAsia="ja-JP"/>
        </w:rPr>
        <w:t xml:space="preserve"> examinations, ECGs, HAM-A/HAM-D and PDSS. The study included 262 subjects of whom 60 (22.9%) completed. Of the subjects who terminated early, 31 (11.8%) did so due to AE and 27 (10.3%) due to lack of efficacy. There were 188 males, 71 females and the age range was 6 to 17 years. There were 189 (73.0%) subjects with inattentive subtype, 62 (23.9%) with inattentive and eight (3.1%) with hyperactive. For ADHD-RS-IV efficacy was maintained to endpoint for all four dose levels (prior to tapering): mean (SD) change from baseline -23.8 (12.30) for 1 mg, -22.5 (12.25) for 2 mg, -20.0 (13.95) for 3 mg and -18.4 (13.73) for 4 mg (p &lt;0.001). For CPRS-R efficacy was maintained to endpoint for all four dose levels (prior to tapering): mean (SD) change from baseline -17.4 (21.60) for 1 mg, -19.9 (17.53) for 2 mg, -20.3 (16.84) for 3 mg and -15.7 (21.79) for 4 mg (p &lt;0.001). For CGI-I at endpoint, 63 (29.3%) subjects were very much improved, 62 (28.8%) were much improved and 48 (22.3%) were minimally improved. For PGA at endpoint, 32 (15.2%) subjects were very much improved, 94 (44.5%) were much improved and 52 (24.6%) were minimally improved. There was no significant change in CHQ-PF50 physical summary. CHQ-PF50 psychosocial summary improved by a mean (SD) of 9.2 (11.91) p &lt;0.001.</w:t>
      </w:r>
    </w:p>
    <w:p w:rsidR="0074774A" w:rsidRPr="00300796" w:rsidRDefault="0074774A" w:rsidP="0074774A">
      <w:pPr>
        <w:pStyle w:val="Heading4"/>
        <w:numPr>
          <w:ilvl w:val="2"/>
          <w:numId w:val="29"/>
        </w:numPr>
      </w:pPr>
      <w:r w:rsidRPr="00300796">
        <w:t xml:space="preserve">Evaluator </w:t>
      </w:r>
      <w:r>
        <w:t>c</w:t>
      </w:r>
      <w:r w:rsidRPr="00300796">
        <w:t xml:space="preserve">ommentary: </w:t>
      </w:r>
      <w:r>
        <w:t>o</w:t>
      </w:r>
      <w:r w:rsidRPr="00300796">
        <w:t xml:space="preserve">ther </w:t>
      </w:r>
      <w:r>
        <w:t>e</w:t>
      </w:r>
      <w:r w:rsidRPr="00300796">
        <w:t xml:space="preserve">fficacy </w:t>
      </w:r>
      <w:r>
        <w:t>s</w:t>
      </w:r>
      <w:r w:rsidRPr="00300796">
        <w:t>tudies</w:t>
      </w:r>
    </w:p>
    <w:p w:rsidR="0074774A" w:rsidRDefault="0074774A" w:rsidP="0074774A">
      <w:pPr>
        <w:rPr>
          <w:lang w:eastAsia="ja-JP"/>
        </w:rPr>
      </w:pPr>
      <w:bookmarkStart w:id="350" w:name="_Toc241374312"/>
      <w:bookmarkStart w:id="351" w:name="_Toc272414656"/>
      <w:bookmarkStart w:id="352" w:name="_Toc290888507"/>
      <w:bookmarkStart w:id="353" w:name="_Toc416353723"/>
      <w:bookmarkStart w:id="354" w:name="_Toc421005271"/>
      <w:bookmarkStart w:id="355" w:name="_Toc432079153"/>
      <w:bookmarkStart w:id="356" w:name="_Toc432080726"/>
      <w:r>
        <w:rPr>
          <w:lang w:eastAsia="ja-JP"/>
        </w:rPr>
        <w:t>The long term follow-on studies, SPD503-303 and SPD503-305, supported maintenance of efficacy through to 24 months. Study SPD503-206 indicated that guanfacine did not have a significant effect on cognitive scores.</w:t>
      </w:r>
    </w:p>
    <w:p w:rsidR="0074774A" w:rsidRPr="005632DC" w:rsidRDefault="0074774A" w:rsidP="0074774A">
      <w:pPr>
        <w:pStyle w:val="Heading3"/>
        <w:numPr>
          <w:ilvl w:val="1"/>
          <w:numId w:val="29"/>
        </w:numPr>
        <w:ind w:left="907" w:hanging="794"/>
      </w:pPr>
      <w:bookmarkStart w:id="357" w:name="_Analyses_performed_across"/>
      <w:bookmarkStart w:id="358" w:name="_Toc505616991"/>
      <w:bookmarkStart w:id="359" w:name="_Toc513217705"/>
      <w:bookmarkEnd w:id="357"/>
      <w:r w:rsidRPr="005632DC">
        <w:t>Analyses performed</w:t>
      </w:r>
      <w:r>
        <w:t xml:space="preserve"> across trials: pooled and </w:t>
      </w:r>
      <w:proofErr w:type="gramStart"/>
      <w:r>
        <w:t>meta</w:t>
      </w:r>
      <w:proofErr w:type="gramEnd"/>
      <w:r>
        <w:t xml:space="preserve"> </w:t>
      </w:r>
      <w:r w:rsidRPr="005632DC">
        <w:t>analyses</w:t>
      </w:r>
      <w:bookmarkEnd w:id="350"/>
      <w:bookmarkEnd w:id="351"/>
      <w:bookmarkEnd w:id="352"/>
      <w:bookmarkEnd w:id="353"/>
      <w:bookmarkEnd w:id="354"/>
      <w:bookmarkEnd w:id="355"/>
      <w:bookmarkEnd w:id="356"/>
      <w:bookmarkEnd w:id="358"/>
      <w:bookmarkEnd w:id="359"/>
    </w:p>
    <w:p w:rsidR="0074774A" w:rsidRDefault="0074774A" w:rsidP="0074774A">
      <w:pPr>
        <w:rPr>
          <w:lang w:eastAsia="ja-JP"/>
        </w:rPr>
      </w:pPr>
      <w:bookmarkStart w:id="360" w:name="_Ref271126605"/>
      <w:bookmarkStart w:id="361" w:name="_Toc272414657"/>
      <w:bookmarkStart w:id="362" w:name="_Toc290888508"/>
      <w:bookmarkStart w:id="363" w:name="_Toc416353724"/>
      <w:bookmarkStart w:id="364" w:name="_Toc421005272"/>
      <w:bookmarkStart w:id="365" w:name="_Toc432079154"/>
      <w:bookmarkStart w:id="366" w:name="_Toc432080727"/>
      <w:r>
        <w:rPr>
          <w:lang w:eastAsia="ja-JP"/>
        </w:rPr>
        <w:t>In a pooled analysis of Study SPD503-316 and Study SPD503-312, there was significant improvement in all the domains of the WFIRS-P with the exception of Child Self-concept and Risk (Table 30).</w:t>
      </w:r>
    </w:p>
    <w:p w:rsidR="0074774A" w:rsidRPr="001A0302" w:rsidRDefault="0074774A" w:rsidP="0074774A">
      <w:pPr>
        <w:pStyle w:val="Tabletitle"/>
      </w:pPr>
      <w:bookmarkStart w:id="367" w:name="Table_7_4_1"/>
      <w:r>
        <w:lastRenderedPageBreak/>
        <w:t>Table 30:</w:t>
      </w:r>
      <w:bookmarkEnd w:id="367"/>
      <w:r>
        <w:t xml:space="preserve"> </w:t>
      </w:r>
      <w:r w:rsidRPr="001A0302">
        <w:t xml:space="preserve">Change from Baseline in WFIRS-P Domain and Subdomain Scores at FOTA, SPD503 versus Placebo </w:t>
      </w:r>
      <w:r w:rsidRPr="001A0302">
        <w:rPr>
          <w:rFonts w:hint="eastAsia"/>
        </w:rPr>
        <w:t>–</w:t>
      </w:r>
      <w:r w:rsidRPr="001A0302">
        <w:t xml:space="preserve"> LOCF (Integrated Dose-optimization FAS) (copied from Table 25, Summary of Clinical Efficacy)</w:t>
      </w:r>
    </w:p>
    <w:p w:rsidR="0074774A" w:rsidRDefault="0074774A" w:rsidP="0074774A">
      <w:pPr>
        <w:rPr>
          <w:lang w:eastAsia="ja-JP"/>
        </w:rPr>
      </w:pPr>
      <w:r>
        <w:rPr>
          <w:noProof/>
          <w:lang w:eastAsia="en-AU"/>
        </w:rPr>
        <w:drawing>
          <wp:inline distT="0" distB="0" distL="0" distR="0" wp14:anchorId="0F5A76CE" wp14:editId="1C8C8811">
            <wp:extent cx="4979022" cy="2885280"/>
            <wp:effectExtent l="0" t="0" r="0" b="0"/>
            <wp:docPr id="186" name="Picture 186" descr="Table 30: Change from Baseline in WFIRS-P Domain and Subdomain Scores at FOTA, SPD503 versus Placebo – LOCF (Integrated Dose-optimization FAS) (copied from Table 25, Summary of Clinical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4982228" cy="2887138"/>
                    </a:xfrm>
                    <a:prstGeom prst="rect">
                      <a:avLst/>
                    </a:prstGeom>
                    <a:noFill/>
                    <a:ln>
                      <a:noFill/>
                    </a:ln>
                  </pic:spPr>
                </pic:pic>
              </a:graphicData>
            </a:graphic>
          </wp:inline>
        </w:drawing>
      </w:r>
    </w:p>
    <w:p w:rsidR="0074774A" w:rsidRPr="005632DC" w:rsidRDefault="0074774A" w:rsidP="0074774A">
      <w:pPr>
        <w:pStyle w:val="Heading3"/>
        <w:numPr>
          <w:ilvl w:val="1"/>
          <w:numId w:val="29"/>
        </w:numPr>
        <w:ind w:left="907" w:hanging="794"/>
      </w:pPr>
      <w:bookmarkStart w:id="368" w:name="_Toc505616992"/>
      <w:bookmarkStart w:id="369" w:name="_Toc513217706"/>
      <w:r w:rsidRPr="005632DC">
        <w:t>Evaluator’s conclusions on clinical efficacy</w:t>
      </w:r>
      <w:bookmarkEnd w:id="360"/>
      <w:bookmarkEnd w:id="361"/>
      <w:bookmarkEnd w:id="362"/>
      <w:bookmarkEnd w:id="363"/>
      <w:bookmarkEnd w:id="364"/>
      <w:bookmarkEnd w:id="365"/>
      <w:bookmarkEnd w:id="366"/>
      <w:bookmarkEnd w:id="368"/>
      <w:bookmarkEnd w:id="369"/>
    </w:p>
    <w:p w:rsidR="0074774A" w:rsidRDefault="0074774A" w:rsidP="0074774A">
      <w:pPr>
        <w:rPr>
          <w:lang w:eastAsia="ja-JP"/>
        </w:rPr>
      </w:pPr>
      <w:r>
        <w:rPr>
          <w:lang w:eastAsia="ja-JP"/>
        </w:rPr>
        <w:t xml:space="preserve">The pivotal studies have demonstrated efficacy in comparison with placebo for guanfacine in comparison with placebo in subjects with ADHD aged 6 to 17 years. Study SPD503-312, Study SPD503-315 and Study SPD503-316 all had a maintenance phase </w:t>
      </w:r>
      <w:r>
        <w:rPr>
          <w:rFonts w:ascii="Times New Roman" w:hAnsi="Times New Roman"/>
          <w:lang w:eastAsia="ja-JP"/>
        </w:rPr>
        <w:t xml:space="preserve">≥ </w:t>
      </w:r>
      <w:r>
        <w:rPr>
          <w:lang w:eastAsia="ja-JP"/>
        </w:rPr>
        <w:t>6 weeks in duration. The studies used outcome measures for both symptomatic and functional domains. The primary efficacy outcome measure was ADHD-RS-IV which was used for inclusion and for efficacy. SPD503-315 used a responder category that was based on ADHD-RS-IV and GCI-S. A pooled analysis of Study SPD503-316 and Study SPD503-312, there was significant improvement in all the domains of the functional score WFIRS-P with the exception of Child Self-concept and Risk.</w:t>
      </w:r>
    </w:p>
    <w:p w:rsidR="0074774A" w:rsidRDefault="0074774A" w:rsidP="0074774A">
      <w:pPr>
        <w:rPr>
          <w:lang w:eastAsia="ja-JP"/>
        </w:rPr>
      </w:pPr>
      <w:r>
        <w:rPr>
          <w:lang w:eastAsia="ja-JP"/>
        </w:rPr>
        <w:t>Efficacy was demonstrated for oppositional symptoms in subjects with ADHD with oppositional symptoms in Study SPD503-307.</w:t>
      </w:r>
    </w:p>
    <w:p w:rsidR="0074774A" w:rsidRDefault="0074774A" w:rsidP="0074774A">
      <w:pPr>
        <w:rPr>
          <w:lang w:eastAsia="ja-JP"/>
        </w:rPr>
      </w:pPr>
      <w:r>
        <w:rPr>
          <w:lang w:eastAsia="ja-JP"/>
        </w:rPr>
        <w:t>A linear dose-response up to 0.17 mg/kg/day was demonstrated in Study SPD503-301 and Study SPD503-304.</w:t>
      </w:r>
    </w:p>
    <w:p w:rsidR="00886C19" w:rsidRDefault="0074774A" w:rsidP="0074774A">
      <w:pPr>
        <w:rPr>
          <w:lang w:eastAsia="ja-JP"/>
        </w:rPr>
      </w:pPr>
      <w:r>
        <w:rPr>
          <w:lang w:eastAsia="ja-JP"/>
        </w:rPr>
        <w:t>There is support for maintenance of efficacy for up to 24 months. Study SPD503-315 for 26 weeks. Study SPD503-303 and Study SPD503-305 were supportive of efficacy for up to 2 years.</w:t>
      </w:r>
    </w:p>
    <w:p w:rsidR="0074774A" w:rsidRDefault="0074774A" w:rsidP="0074774A">
      <w:pPr>
        <w:rPr>
          <w:lang w:eastAsia="ja-JP"/>
        </w:rPr>
      </w:pPr>
      <w:r>
        <w:rPr>
          <w:lang w:eastAsia="ja-JP"/>
        </w:rPr>
        <w:t>There was no significant difference in efficacy between morning and evening dosing of guanfacine in Study SPD503-313 and Study SPD503-314.</w:t>
      </w:r>
    </w:p>
    <w:p w:rsidR="0074774A" w:rsidRDefault="0074774A" w:rsidP="0074774A">
      <w:pPr>
        <w:rPr>
          <w:lang w:eastAsia="ja-JP"/>
        </w:rPr>
      </w:pPr>
      <w:r>
        <w:rPr>
          <w:lang w:eastAsia="ja-JP"/>
        </w:rPr>
        <w:t>Efficacy is supported in subjects with ADHD who are also taking psychostimulants. The dose of guanfacine tested in the study (Study SPD503-313) was up to 4 mg daily. This is less than the maximum dose in comparable age groups (that is, up to 7 mg/day in the 13 to 17 years age group).</w:t>
      </w:r>
    </w:p>
    <w:p w:rsidR="0074774A" w:rsidRDefault="0074774A" w:rsidP="0074774A">
      <w:pPr>
        <w:rPr>
          <w:lang w:eastAsia="ja-JP"/>
        </w:rPr>
      </w:pPr>
      <w:r>
        <w:rPr>
          <w:lang w:eastAsia="ja-JP"/>
        </w:rPr>
        <w:t>Efficacy was not demonstrated separately for the inattentive subtype of ADHD. A subgroup analysis was performed in Study SPD503-301, but not in subsequent studies. This subgroup analysis did not show efficacy in the subgroup of subjects with inattentive type ADHD.</w:t>
      </w:r>
    </w:p>
    <w:p w:rsidR="0074774A" w:rsidRDefault="0074774A" w:rsidP="0074774A">
      <w:pPr>
        <w:rPr>
          <w:lang w:eastAsia="ja-JP"/>
        </w:rPr>
      </w:pPr>
      <w:r>
        <w:rPr>
          <w:lang w:eastAsia="ja-JP"/>
        </w:rPr>
        <w:t>Improvement in quality of life scores (HUI-2/3) was not demonstrated in any of the clinical studies.</w:t>
      </w:r>
    </w:p>
    <w:p w:rsidR="0074774A" w:rsidRDefault="0074774A" w:rsidP="0074774A">
      <w:pPr>
        <w:rPr>
          <w:lang w:eastAsia="ja-JP"/>
        </w:rPr>
      </w:pPr>
      <w:r>
        <w:rPr>
          <w:lang w:eastAsia="ja-JP"/>
        </w:rPr>
        <w:lastRenderedPageBreak/>
        <w:t>There were no comparator controlled studies. In Study SPD503-316 a group treated with atomoxetine was included to provide ‘reference data’ but no formal comparison of efficacy was either planned or conducted. However in that study the effect sizes of guanfacine and atomoxetine were comparable.</w:t>
      </w:r>
    </w:p>
    <w:p w:rsidR="0074774A" w:rsidRDefault="0074774A" w:rsidP="0074774A">
      <w:pPr>
        <w:rPr>
          <w:lang w:eastAsia="ja-JP"/>
        </w:rPr>
      </w:pPr>
      <w:r>
        <w:rPr>
          <w:lang w:eastAsia="ja-JP"/>
        </w:rPr>
        <w:t xml:space="preserve">There is no evidence of efficacy in subjects with comorbid conditions including: </w:t>
      </w:r>
      <w:r w:rsidRPr="0033241F">
        <w:t>any severe comorbid Axis II disorders or severe Axis I disorders such as</w:t>
      </w:r>
      <w:r>
        <w:t xml:space="preserve"> </w:t>
      </w:r>
      <w:r w:rsidRPr="0033241F">
        <w:t>post-traumatic stress disorder, bipolar illness, psychosis, pervasive developmental</w:t>
      </w:r>
      <w:r>
        <w:t xml:space="preserve"> </w:t>
      </w:r>
      <w:r w:rsidRPr="0033241F">
        <w:t>disorder, obsessive-compulsive disorder, substance abuse disorder, or other symptomatic</w:t>
      </w:r>
      <w:r>
        <w:t xml:space="preserve"> </w:t>
      </w:r>
      <w:r w:rsidRPr="0033241F">
        <w:t>manifestations or lifetime history of bipolar illness, psychosis, or conduct disorder</w:t>
      </w:r>
      <w:r>
        <w:t>. Subjects with these comorbid conditions were excluded from the pivotal studies.</w:t>
      </w:r>
    </w:p>
    <w:p w:rsidR="0074774A" w:rsidRPr="008B5684" w:rsidRDefault="0074774A" w:rsidP="0074774A">
      <w:pPr>
        <w:rPr>
          <w:rFonts w:asciiTheme="minorHAnsi" w:hAnsiTheme="minorHAnsi"/>
          <w:lang w:eastAsia="ja-JP"/>
        </w:rPr>
      </w:pPr>
      <w:r w:rsidRPr="00A268CB">
        <w:rPr>
          <w:rFonts w:asciiTheme="minorHAnsi" w:hAnsiTheme="minorHAnsi"/>
          <w:lang w:eastAsia="ja-JP"/>
        </w:rPr>
        <w:t>The outcome measures used in the pivotal studies were a combination of symptomatic and functional scores.</w:t>
      </w:r>
      <w:r>
        <w:rPr>
          <w:rFonts w:asciiTheme="minorHAnsi" w:hAnsiTheme="minorHAnsi"/>
          <w:lang w:eastAsia="ja-JP"/>
        </w:rPr>
        <w:t xml:space="preserve"> </w:t>
      </w:r>
      <w:r w:rsidRPr="00A268CB">
        <w:rPr>
          <w:rFonts w:asciiTheme="minorHAnsi" w:hAnsiTheme="minorHAnsi"/>
          <w:lang w:eastAsia="ja-JP"/>
        </w:rPr>
        <w:t xml:space="preserve">Symptomatic scores such as ADHD-RS-IV, </w:t>
      </w:r>
      <w:r w:rsidRPr="00A268CB">
        <w:rPr>
          <w:rFonts w:asciiTheme="minorHAnsi" w:eastAsiaTheme="minorHAnsi" w:hAnsiTheme="minorHAnsi" w:cs="Arial"/>
          <w:lang w:val="en-NZ"/>
        </w:rPr>
        <w:t>CPRS-R, CTRS-R, CGI-I and PGA measured changes in ADHD symptomatology and indicated benefit for guanfacine.</w:t>
      </w:r>
      <w:r>
        <w:rPr>
          <w:rFonts w:asciiTheme="minorHAnsi" w:eastAsiaTheme="minorHAnsi" w:hAnsiTheme="minorHAnsi" w:cs="Arial"/>
          <w:lang w:val="en-NZ"/>
        </w:rPr>
        <w:t xml:space="preserve"> </w:t>
      </w:r>
      <w:r w:rsidRPr="00173148">
        <w:t>NYPRS-S</w:t>
      </w:r>
      <w:r>
        <w:t xml:space="preserve"> and </w:t>
      </w:r>
      <w:r w:rsidRPr="00173148">
        <w:t>CPRS-R</w:t>
      </w:r>
      <w:proofErr w:type="gramStart"/>
      <w:r w:rsidRPr="00173148">
        <w:t>:L</w:t>
      </w:r>
      <w:proofErr w:type="gramEnd"/>
      <w:r>
        <w:t xml:space="preserve"> measured oppositional symptomatology and also indicted benefit. The results for the functional score </w:t>
      </w:r>
      <w:r>
        <w:rPr>
          <w:lang w:eastAsia="ja-JP"/>
        </w:rPr>
        <w:t xml:space="preserve">WFIRS-P indicate benefit that became more apparent on the pooled analysis of Study SPD503-316 and Study SPD503-312. Quality of life outcome measures, such as </w:t>
      </w:r>
      <w:r w:rsidRPr="00A268CB">
        <w:rPr>
          <w:rFonts w:asciiTheme="minorHAnsi" w:eastAsiaTheme="minorHAnsi" w:hAnsiTheme="minorHAnsi" w:cs="Arial"/>
          <w:lang w:val="en-NZ"/>
        </w:rPr>
        <w:t>CHQ-PF50</w:t>
      </w:r>
      <w:r>
        <w:rPr>
          <w:rFonts w:asciiTheme="minorHAnsi" w:eastAsiaTheme="minorHAnsi" w:hAnsiTheme="minorHAnsi" w:cs="Arial"/>
          <w:lang w:val="en-NZ"/>
        </w:rPr>
        <w:t xml:space="preserve">, </w:t>
      </w:r>
      <w:r w:rsidRPr="008B5684">
        <w:rPr>
          <w:rFonts w:asciiTheme="minorHAnsi" w:eastAsiaTheme="minorHAnsi" w:hAnsiTheme="minorHAnsi" w:cs="Arial"/>
          <w:lang w:val="en-NZ"/>
        </w:rPr>
        <w:t>CHQ-CF87</w:t>
      </w:r>
      <w:r>
        <w:rPr>
          <w:rFonts w:asciiTheme="minorHAnsi" w:eastAsiaTheme="minorHAnsi" w:hAnsiTheme="minorHAnsi" w:cs="Arial"/>
          <w:lang w:val="en-NZ"/>
        </w:rPr>
        <w:t xml:space="preserve"> and HUI-2/3 did not demonstrate benefit for guanfacine. All of these outcome measures have been appropriately validated and are acceptable outcome measures for children and adolescents with ADHD.</w:t>
      </w:r>
    </w:p>
    <w:p w:rsidR="0074774A" w:rsidRDefault="0074774A" w:rsidP="0074774A">
      <w:pPr>
        <w:rPr>
          <w:lang w:eastAsia="ja-JP"/>
        </w:rPr>
      </w:pPr>
      <w:r>
        <w:rPr>
          <w:lang w:eastAsia="ja-JP"/>
        </w:rPr>
        <w:t>The pivotal studies were well designed. The outcome measures were appropriate. The inclusion criteria, whilst restrictive, still represent the general population of children and adolescents with ADHD in Australia. The studies were adequately powered. The statistical techniques were appropriate. There were adequate measures taken to account for multiplicity. There were few dropouts during the study and few subjects excluded from analysis.</w:t>
      </w:r>
    </w:p>
    <w:p w:rsidR="0074774A" w:rsidRDefault="0074774A" w:rsidP="0074774A">
      <w:pPr>
        <w:rPr>
          <w:lang w:eastAsia="ja-JP"/>
        </w:rPr>
      </w:pPr>
      <w:r>
        <w:rPr>
          <w:lang w:eastAsia="ja-JP"/>
        </w:rPr>
        <w:t>The dosing regimen proposed by the sponsor in the Product Information document is supported by the pivotal studies. This is a weight based dosing regimen, which was used in the pivotal studies.</w:t>
      </w:r>
    </w:p>
    <w:p w:rsidR="0074774A" w:rsidRDefault="0074774A" w:rsidP="0074774A">
      <w:pPr>
        <w:pStyle w:val="Heading2"/>
        <w:numPr>
          <w:ilvl w:val="0"/>
          <w:numId w:val="29"/>
        </w:numPr>
      </w:pPr>
      <w:bookmarkStart w:id="370" w:name="_Toc505616993"/>
      <w:bookmarkStart w:id="371" w:name="_Toc513217707"/>
      <w:r>
        <w:t>Clinical safety</w:t>
      </w:r>
      <w:bookmarkEnd w:id="370"/>
      <w:bookmarkEnd w:id="371"/>
    </w:p>
    <w:p w:rsidR="0074774A" w:rsidRDefault="0074774A" w:rsidP="0074774A">
      <w:pPr>
        <w:pStyle w:val="Heading3"/>
        <w:numPr>
          <w:ilvl w:val="1"/>
          <w:numId w:val="29"/>
        </w:numPr>
        <w:ind w:left="907" w:hanging="794"/>
      </w:pPr>
      <w:bookmarkStart w:id="372" w:name="_Toc272414659"/>
      <w:bookmarkStart w:id="373" w:name="_Toc290888510"/>
      <w:bookmarkStart w:id="374" w:name="_Toc416353726"/>
      <w:bookmarkStart w:id="375" w:name="_Toc421005274"/>
      <w:bookmarkStart w:id="376" w:name="_Toc432079156"/>
      <w:bookmarkStart w:id="377" w:name="_Toc432080729"/>
      <w:bookmarkStart w:id="378" w:name="_Toc505616994"/>
      <w:bookmarkStart w:id="379" w:name="_Toc513217708"/>
      <w:r w:rsidRPr="00545B14">
        <w:t>Studies providing evaluable safety data</w:t>
      </w:r>
      <w:bookmarkEnd w:id="372"/>
      <w:bookmarkEnd w:id="373"/>
      <w:bookmarkEnd w:id="374"/>
      <w:bookmarkEnd w:id="375"/>
      <w:bookmarkEnd w:id="376"/>
      <w:bookmarkEnd w:id="377"/>
      <w:bookmarkEnd w:id="378"/>
      <w:bookmarkEnd w:id="379"/>
    </w:p>
    <w:p w:rsidR="0074774A" w:rsidRPr="00C3572A" w:rsidRDefault="0074774A" w:rsidP="0074774A">
      <w:pPr>
        <w:pStyle w:val="Heading4"/>
        <w:numPr>
          <w:ilvl w:val="2"/>
          <w:numId w:val="29"/>
        </w:numPr>
      </w:pPr>
      <w:bookmarkStart w:id="380" w:name="_Toc421005275"/>
      <w:bookmarkStart w:id="381" w:name="_Toc432079157"/>
      <w:bookmarkStart w:id="382" w:name="_Toc432080730"/>
      <w:r>
        <w:t>P</w:t>
      </w:r>
      <w:r w:rsidRPr="00C3572A">
        <w:t>ivotal studies that assessed safety as the sole primary outcome</w:t>
      </w:r>
      <w:bookmarkEnd w:id="380"/>
      <w:bookmarkEnd w:id="381"/>
      <w:bookmarkEnd w:id="382"/>
    </w:p>
    <w:p w:rsidR="0074774A" w:rsidRDefault="0074774A" w:rsidP="0074774A">
      <w:pPr>
        <w:rPr>
          <w:lang w:eastAsia="ja-JP"/>
        </w:rPr>
      </w:pPr>
      <w:bookmarkStart w:id="383" w:name="_Ref268776745"/>
      <w:bookmarkStart w:id="384" w:name="_Toc421005276"/>
      <w:bookmarkStart w:id="385" w:name="_Toc432079158"/>
      <w:bookmarkStart w:id="386" w:name="_Toc432080731"/>
      <w:r>
        <w:rPr>
          <w:lang w:eastAsia="ja-JP"/>
        </w:rPr>
        <w:t>There were no pivotal studies that assessed safety as the sole primary outcome.</w:t>
      </w:r>
    </w:p>
    <w:p w:rsidR="0074774A" w:rsidRPr="00545B14" w:rsidRDefault="0074774A" w:rsidP="0074774A">
      <w:pPr>
        <w:pStyle w:val="Heading4"/>
        <w:numPr>
          <w:ilvl w:val="2"/>
          <w:numId w:val="29"/>
        </w:numPr>
      </w:pPr>
      <w:r w:rsidRPr="00545B14">
        <w:t xml:space="preserve">Pivotal </w:t>
      </w:r>
      <w:r>
        <w:t xml:space="preserve">and/or main </w:t>
      </w:r>
      <w:r w:rsidRPr="00545B14">
        <w:t>efficacy studies</w:t>
      </w:r>
      <w:bookmarkEnd w:id="383"/>
      <w:bookmarkEnd w:id="384"/>
      <w:bookmarkEnd w:id="385"/>
      <w:bookmarkEnd w:id="386"/>
    </w:p>
    <w:p w:rsidR="0074774A" w:rsidRDefault="0074774A" w:rsidP="0074774A">
      <w:pPr>
        <w:rPr>
          <w:lang w:eastAsia="ja-JP"/>
        </w:rPr>
      </w:pPr>
      <w:bookmarkStart w:id="387" w:name="_Toc421005277"/>
      <w:bookmarkStart w:id="388" w:name="_Toc432079159"/>
      <w:bookmarkStart w:id="389" w:name="_Toc432080732"/>
      <w:r>
        <w:rPr>
          <w:lang w:eastAsia="ja-JP"/>
        </w:rPr>
        <w:t>The pivotal efficacy studies examined the following safety variables:</w:t>
      </w:r>
    </w:p>
    <w:p w:rsidR="0074774A" w:rsidRDefault="0074774A" w:rsidP="0074774A">
      <w:pPr>
        <w:pStyle w:val="ListBullet"/>
        <w:numPr>
          <w:ilvl w:val="0"/>
          <w:numId w:val="3"/>
        </w:numPr>
        <w:rPr>
          <w:lang w:eastAsia="ja-JP"/>
        </w:rPr>
      </w:pPr>
      <w:r>
        <w:rPr>
          <w:lang w:eastAsia="ja-JP"/>
        </w:rPr>
        <w:t>Adverse Effects (AEs) including Treatment Emergent Adverse Effects (TEAEs), treatment related TEAEs, Serious Adverse Effects (SAEs), and discontinuations due to AEs (DAEs)</w:t>
      </w:r>
    </w:p>
    <w:p w:rsidR="0074774A" w:rsidRDefault="0074774A" w:rsidP="0074774A">
      <w:pPr>
        <w:pStyle w:val="ListBullet"/>
        <w:numPr>
          <w:ilvl w:val="0"/>
          <w:numId w:val="3"/>
        </w:numPr>
        <w:rPr>
          <w:lang w:eastAsia="ja-JP"/>
        </w:rPr>
      </w:pPr>
      <w:r>
        <w:rPr>
          <w:lang w:eastAsia="ja-JP"/>
        </w:rPr>
        <w:t>Laboratory tests including clinical chemistry and full blood counts</w:t>
      </w:r>
    </w:p>
    <w:p w:rsidR="0074774A" w:rsidRDefault="0074774A" w:rsidP="0074774A">
      <w:pPr>
        <w:pStyle w:val="ListBullet"/>
        <w:numPr>
          <w:ilvl w:val="0"/>
          <w:numId w:val="3"/>
        </w:numPr>
        <w:rPr>
          <w:lang w:eastAsia="ja-JP"/>
        </w:rPr>
      </w:pPr>
      <w:r>
        <w:rPr>
          <w:lang w:eastAsia="ja-JP"/>
        </w:rPr>
        <w:t>ECGs with particular attention to QTc prolongation</w:t>
      </w:r>
    </w:p>
    <w:p w:rsidR="0074774A" w:rsidRDefault="0074774A" w:rsidP="0074774A">
      <w:pPr>
        <w:pStyle w:val="ListBullet"/>
        <w:numPr>
          <w:ilvl w:val="0"/>
          <w:numId w:val="3"/>
        </w:numPr>
        <w:rPr>
          <w:lang w:eastAsia="ja-JP"/>
        </w:rPr>
      </w:pPr>
      <w:r>
        <w:rPr>
          <w:lang w:eastAsia="ja-JP"/>
        </w:rPr>
        <w:t>Vital signs</w:t>
      </w:r>
    </w:p>
    <w:p w:rsidR="0074774A" w:rsidRDefault="0074774A" w:rsidP="0074774A">
      <w:pPr>
        <w:pStyle w:val="ListBullet"/>
        <w:numPr>
          <w:ilvl w:val="0"/>
          <w:numId w:val="3"/>
        </w:numPr>
        <w:rPr>
          <w:lang w:eastAsia="ja-JP"/>
        </w:rPr>
      </w:pPr>
      <w:r>
        <w:rPr>
          <w:lang w:eastAsia="ja-JP"/>
        </w:rPr>
        <w:t>Sedative related events</w:t>
      </w:r>
    </w:p>
    <w:p w:rsidR="0074774A" w:rsidRDefault="0074774A" w:rsidP="0074774A">
      <w:pPr>
        <w:pStyle w:val="ListBullet"/>
        <w:numPr>
          <w:ilvl w:val="0"/>
          <w:numId w:val="3"/>
        </w:numPr>
        <w:rPr>
          <w:lang w:eastAsia="ja-JP"/>
        </w:rPr>
      </w:pPr>
      <w:r>
        <w:rPr>
          <w:lang w:eastAsia="ja-JP"/>
        </w:rPr>
        <w:t>Treatment emergent psychiatric conditions, including suicidality</w:t>
      </w:r>
    </w:p>
    <w:p w:rsidR="0074774A" w:rsidRDefault="0074774A" w:rsidP="0074774A">
      <w:pPr>
        <w:pStyle w:val="Heading4"/>
        <w:numPr>
          <w:ilvl w:val="2"/>
          <w:numId w:val="29"/>
        </w:numPr>
      </w:pPr>
      <w:r>
        <w:lastRenderedPageBreak/>
        <w:t>Other</w:t>
      </w:r>
      <w:r w:rsidRPr="00545B14">
        <w:t xml:space="preserve"> studies</w:t>
      </w:r>
      <w:bookmarkEnd w:id="387"/>
      <w:bookmarkEnd w:id="388"/>
      <w:bookmarkEnd w:id="389"/>
    </w:p>
    <w:p w:rsidR="0074774A" w:rsidRPr="00073FEC" w:rsidRDefault="0074774A" w:rsidP="0074774A">
      <w:pPr>
        <w:pStyle w:val="Heading5"/>
        <w:numPr>
          <w:ilvl w:val="3"/>
          <w:numId w:val="29"/>
        </w:numPr>
        <w:ind w:left="1304" w:hanging="1077"/>
      </w:pPr>
      <w:r w:rsidRPr="00073FEC">
        <w:t>Other efficacy studies</w:t>
      </w:r>
    </w:p>
    <w:p w:rsidR="0074774A" w:rsidRDefault="0074774A" w:rsidP="0074774A">
      <w:pPr>
        <w:pStyle w:val="ListBullet"/>
        <w:numPr>
          <w:ilvl w:val="0"/>
          <w:numId w:val="3"/>
        </w:numPr>
        <w:rPr>
          <w:lang w:eastAsia="ja-JP"/>
        </w:rPr>
      </w:pPr>
      <w:r>
        <w:rPr>
          <w:lang w:eastAsia="ja-JP"/>
        </w:rPr>
        <w:t>Adverse Effects (AEs) including Treatment Emergent Adverse Effects (TEAEs), treatment related TEAEs, Serious Adverse Effects (SAEs), and discontinuations due to AEs (DAEs)</w:t>
      </w:r>
    </w:p>
    <w:p w:rsidR="0074774A" w:rsidRDefault="0074774A" w:rsidP="0074774A">
      <w:pPr>
        <w:pStyle w:val="ListBullet"/>
        <w:numPr>
          <w:ilvl w:val="0"/>
          <w:numId w:val="3"/>
        </w:numPr>
        <w:rPr>
          <w:lang w:eastAsia="ja-JP"/>
        </w:rPr>
      </w:pPr>
      <w:r>
        <w:rPr>
          <w:lang w:eastAsia="ja-JP"/>
        </w:rPr>
        <w:t>Laboratory tests including clinical chemistry and full blood counts</w:t>
      </w:r>
    </w:p>
    <w:p w:rsidR="0074774A" w:rsidRDefault="0074774A" w:rsidP="0074774A">
      <w:pPr>
        <w:pStyle w:val="ListBullet"/>
        <w:numPr>
          <w:ilvl w:val="0"/>
          <w:numId w:val="3"/>
        </w:numPr>
        <w:rPr>
          <w:lang w:eastAsia="ja-JP"/>
        </w:rPr>
      </w:pPr>
      <w:r>
        <w:rPr>
          <w:lang w:eastAsia="ja-JP"/>
        </w:rPr>
        <w:t>ECGs with particular attention to QTc prolongation</w:t>
      </w:r>
    </w:p>
    <w:p w:rsidR="0074774A" w:rsidRDefault="0074774A" w:rsidP="0074774A">
      <w:pPr>
        <w:pStyle w:val="ListBullet"/>
        <w:numPr>
          <w:ilvl w:val="0"/>
          <w:numId w:val="3"/>
        </w:numPr>
        <w:rPr>
          <w:lang w:eastAsia="ja-JP"/>
        </w:rPr>
      </w:pPr>
      <w:r>
        <w:rPr>
          <w:lang w:eastAsia="ja-JP"/>
        </w:rPr>
        <w:t>Vital signs</w:t>
      </w:r>
    </w:p>
    <w:p w:rsidR="0074774A" w:rsidRDefault="0074774A" w:rsidP="0074774A">
      <w:pPr>
        <w:rPr>
          <w:lang w:eastAsia="ja-JP"/>
        </w:rPr>
      </w:pPr>
      <w:r>
        <w:rPr>
          <w:lang w:eastAsia="ja-JP"/>
        </w:rPr>
        <w:t>In addition Study SPD503-202 examined psychiatric adverse effects and Study SPD503-206 examined cognitive adverse effects.</w:t>
      </w:r>
    </w:p>
    <w:p w:rsidR="00886C19" w:rsidRDefault="0074774A" w:rsidP="0074774A">
      <w:pPr>
        <w:pStyle w:val="Heading5"/>
        <w:numPr>
          <w:ilvl w:val="3"/>
          <w:numId w:val="29"/>
        </w:numPr>
        <w:ind w:left="1304" w:hanging="1077"/>
      </w:pPr>
      <w:r w:rsidRPr="00073FEC">
        <w:t>Studies with evaluable safety data: dose finding and pharmacology</w:t>
      </w:r>
    </w:p>
    <w:p w:rsidR="0074774A" w:rsidRDefault="0074774A" w:rsidP="0074774A">
      <w:pPr>
        <w:pStyle w:val="ListBullet"/>
        <w:numPr>
          <w:ilvl w:val="0"/>
          <w:numId w:val="3"/>
        </w:numPr>
        <w:rPr>
          <w:lang w:eastAsia="ja-JP"/>
        </w:rPr>
      </w:pPr>
      <w:r>
        <w:rPr>
          <w:lang w:eastAsia="ja-JP"/>
        </w:rPr>
        <w:t>Adverse Effects (AEs) including Treatment Emergent Adverse Effects (TEAEs), treatment related TEAEs, Serious Adverse Effects (SAEs), and discontinuations due to AEs (DAEs)</w:t>
      </w:r>
    </w:p>
    <w:p w:rsidR="0074774A" w:rsidRDefault="0074774A" w:rsidP="0074774A">
      <w:pPr>
        <w:pStyle w:val="ListBullet"/>
        <w:numPr>
          <w:ilvl w:val="0"/>
          <w:numId w:val="3"/>
        </w:numPr>
        <w:rPr>
          <w:lang w:eastAsia="ja-JP"/>
        </w:rPr>
      </w:pPr>
      <w:r>
        <w:rPr>
          <w:lang w:eastAsia="ja-JP"/>
        </w:rPr>
        <w:t>Laboratory tests including clinical chemistry and full blood counts</w:t>
      </w:r>
    </w:p>
    <w:p w:rsidR="0074774A" w:rsidRDefault="0074774A" w:rsidP="0074774A">
      <w:pPr>
        <w:pStyle w:val="ListBullet"/>
        <w:numPr>
          <w:ilvl w:val="0"/>
          <w:numId w:val="3"/>
        </w:numPr>
        <w:rPr>
          <w:lang w:eastAsia="ja-JP"/>
        </w:rPr>
      </w:pPr>
      <w:r>
        <w:rPr>
          <w:lang w:eastAsia="ja-JP"/>
        </w:rPr>
        <w:t>ECGs with particular attention to QTc prolongation</w:t>
      </w:r>
    </w:p>
    <w:p w:rsidR="0074774A" w:rsidRDefault="0074774A" w:rsidP="0074774A">
      <w:pPr>
        <w:pStyle w:val="ListBullet"/>
        <w:numPr>
          <w:ilvl w:val="0"/>
          <w:numId w:val="3"/>
        </w:numPr>
        <w:rPr>
          <w:lang w:eastAsia="ja-JP"/>
        </w:rPr>
      </w:pPr>
      <w:r>
        <w:rPr>
          <w:lang w:eastAsia="ja-JP"/>
        </w:rPr>
        <w:t>Vital signs</w:t>
      </w:r>
    </w:p>
    <w:p w:rsidR="0074774A" w:rsidRDefault="0074774A" w:rsidP="0074774A">
      <w:pPr>
        <w:rPr>
          <w:lang w:eastAsia="ja-JP"/>
        </w:rPr>
      </w:pPr>
      <w:r>
        <w:rPr>
          <w:lang w:eastAsia="ja-JP"/>
        </w:rPr>
        <w:t>In addition, Study SPD503-102 examined for rebound hypertension and Study SPD503-112 was a thorough QT study.</w:t>
      </w:r>
    </w:p>
    <w:p w:rsidR="0074774A" w:rsidRDefault="0074774A" w:rsidP="0074774A">
      <w:pPr>
        <w:pStyle w:val="Heading5"/>
        <w:numPr>
          <w:ilvl w:val="3"/>
          <w:numId w:val="29"/>
        </w:numPr>
        <w:ind w:left="1304" w:hanging="1077"/>
      </w:pPr>
      <w:r w:rsidRPr="00073FEC">
        <w:t>Studies evaluable for safety only</w:t>
      </w:r>
    </w:p>
    <w:p w:rsidR="0074774A" w:rsidRDefault="0074774A" w:rsidP="0074774A">
      <w:pPr>
        <w:pStyle w:val="Heading6"/>
        <w:rPr>
          <w:lang w:eastAsia="ja-JP"/>
        </w:rPr>
      </w:pPr>
      <w:bookmarkStart w:id="390" w:name="_Ref269204367"/>
      <w:bookmarkStart w:id="391" w:name="_Ref271195835"/>
      <w:bookmarkStart w:id="392" w:name="_Ref271195841"/>
      <w:bookmarkStart w:id="393" w:name="_Toc272414660"/>
      <w:bookmarkStart w:id="394" w:name="_Toc290888511"/>
      <w:bookmarkStart w:id="395" w:name="_Toc416353727"/>
      <w:bookmarkStart w:id="396" w:name="_Toc421005283"/>
      <w:bookmarkStart w:id="397" w:name="_Toc432079160"/>
      <w:bookmarkStart w:id="398" w:name="_Toc432080733"/>
      <w:r>
        <w:rPr>
          <w:lang w:eastAsia="ja-JP"/>
        </w:rPr>
        <w:t>Study SPD503-201</w:t>
      </w:r>
    </w:p>
    <w:p w:rsidR="0074774A" w:rsidRDefault="0074774A" w:rsidP="0074774A">
      <w:pPr>
        <w:rPr>
          <w:lang w:eastAsia="ja-JP"/>
        </w:rPr>
      </w:pPr>
      <w:r>
        <w:rPr>
          <w:lang w:eastAsia="ja-JP"/>
        </w:rPr>
        <w:t>Study SPD503-201 was an open label, dose escalation, single centre, safety and tolerability study. The study recruited subjects with ADHD (according to DSM-IV), of the combined or hyperactive types, male or female, aged 6 to 12 years. The study treatment was: immediate release guanfacine, force titrated from 0.5 mg to 1.0 mg then to 1.5 mg over 3 weeks. Treatment was preceded by a one week washout period from all psychoactive medication. There was a one week taper at the end of the study. Treatments were administered once daily. The outcome measures were: AEs, clinical laboratory tests, vital signs, physical examinations and ECGs. Twenty subjects were enrolled and 19 completed. One subject was withdrawn because of hypertension with the 1 mg dose. There were 19 males, one female and the age range was 6 to 12 years.</w:t>
      </w:r>
    </w:p>
    <w:p w:rsidR="0074774A" w:rsidRDefault="0074774A" w:rsidP="0074774A">
      <w:pPr>
        <w:pStyle w:val="Heading6"/>
        <w:rPr>
          <w:lang w:eastAsia="ja-JP"/>
        </w:rPr>
      </w:pPr>
      <w:bookmarkStart w:id="399" w:name="_Study_SPD503-318"/>
      <w:bookmarkEnd w:id="399"/>
      <w:r>
        <w:rPr>
          <w:lang w:eastAsia="ja-JP"/>
        </w:rPr>
        <w:t>Study SPD503-318</w:t>
      </w:r>
    </w:p>
    <w:p w:rsidR="0074774A" w:rsidRDefault="0074774A" w:rsidP="0074774A">
      <w:pPr>
        <w:rPr>
          <w:lang w:eastAsia="ja-JP"/>
        </w:rPr>
      </w:pPr>
      <w:r>
        <w:rPr>
          <w:lang w:eastAsia="ja-JP"/>
        </w:rPr>
        <w:t>Study SPD503-318 was an open label long term safety and efficacy study conducted in children and adolescents with ADHD. The study was conducted at 51 sites in 11 countries in Europe. The study was commenced in March 2012 and is ongoing. Safety data were provided up to July 2013. The study included subjects who had participated in Study SPD503-315 or Study SPD503-316. The safety outcome measures were AEs, vital signs, ECGs, clinical laboratory tests, physical assessments and the C-SSRS.</w:t>
      </w:r>
    </w:p>
    <w:p w:rsidR="0074774A" w:rsidRDefault="0074774A" w:rsidP="0074774A">
      <w:pPr>
        <w:pStyle w:val="Heading6"/>
        <w:rPr>
          <w:lang w:eastAsia="ja-JP"/>
        </w:rPr>
      </w:pPr>
      <w:bookmarkStart w:id="400" w:name="_Study_SPD503-210"/>
      <w:bookmarkEnd w:id="400"/>
      <w:r>
        <w:rPr>
          <w:lang w:eastAsia="ja-JP"/>
        </w:rPr>
        <w:t>Study SPD503-210</w:t>
      </w:r>
    </w:p>
    <w:p w:rsidR="0074774A" w:rsidRDefault="0074774A" w:rsidP="0074774A">
      <w:pPr>
        <w:rPr>
          <w:lang w:eastAsia="ja-JP"/>
        </w:rPr>
      </w:pPr>
      <w:r>
        <w:rPr>
          <w:lang w:eastAsia="ja-JP"/>
        </w:rPr>
        <w:t>Study SPD503-210 was a randomised, double blind, placebo controlled study of guanfacine in children and adolescents aged 6 to 17 years with generalised anxiety disorder, separation anxiety disorder or social phobia. The study was conducted at 32 sites in the US from January 2012 to July 2013. Subjects were treated with up to 6 mg per day of guanfacine extended release. There was a 6 week dose optimisation period, 6 weeks maintenance and 2 weeks taper. A total of 83 subjects were included in the study: 62 in the guanfacine group and 21 in the placebo.</w:t>
      </w:r>
    </w:p>
    <w:p w:rsidR="0074774A" w:rsidRDefault="0074774A" w:rsidP="0074774A">
      <w:pPr>
        <w:pStyle w:val="Heading3"/>
        <w:numPr>
          <w:ilvl w:val="1"/>
          <w:numId w:val="29"/>
        </w:numPr>
        <w:ind w:left="907" w:hanging="794"/>
      </w:pPr>
      <w:bookmarkStart w:id="401" w:name="_Toc505616995"/>
      <w:bookmarkStart w:id="402" w:name="_Toc513217709"/>
      <w:r>
        <w:lastRenderedPageBreak/>
        <w:t>Studies that assessed safety as the sole</w:t>
      </w:r>
      <w:r w:rsidRPr="00545B14">
        <w:t xml:space="preserve"> primary outcome</w:t>
      </w:r>
      <w:bookmarkEnd w:id="390"/>
      <w:bookmarkEnd w:id="391"/>
      <w:bookmarkEnd w:id="392"/>
      <w:bookmarkEnd w:id="393"/>
      <w:bookmarkEnd w:id="394"/>
      <w:bookmarkEnd w:id="395"/>
      <w:bookmarkEnd w:id="396"/>
      <w:bookmarkEnd w:id="397"/>
      <w:bookmarkEnd w:id="398"/>
      <w:bookmarkEnd w:id="401"/>
      <w:bookmarkEnd w:id="402"/>
    </w:p>
    <w:p w:rsidR="0074774A" w:rsidRDefault="0074774A" w:rsidP="0074774A">
      <w:pPr>
        <w:rPr>
          <w:lang w:eastAsia="ja-JP"/>
        </w:rPr>
      </w:pPr>
      <w:bookmarkStart w:id="403" w:name="_Toc241374318"/>
      <w:bookmarkStart w:id="404" w:name="_Ref271196630"/>
      <w:bookmarkStart w:id="405" w:name="_Toc272414662"/>
      <w:bookmarkStart w:id="406" w:name="_Toc290888526"/>
      <w:bookmarkStart w:id="407" w:name="_Toc416353742"/>
      <w:bookmarkStart w:id="408" w:name="_Toc421005285"/>
      <w:bookmarkStart w:id="409" w:name="_Toc432079162"/>
      <w:bookmarkStart w:id="410" w:name="_Toc432080735"/>
      <w:r>
        <w:rPr>
          <w:lang w:eastAsia="ja-JP"/>
        </w:rPr>
        <w:t>There were no studies that assessed safety as the sole primary outcome.</w:t>
      </w:r>
    </w:p>
    <w:p w:rsidR="0074774A" w:rsidRPr="00545B14" w:rsidRDefault="0074774A" w:rsidP="0074774A">
      <w:pPr>
        <w:pStyle w:val="Heading3"/>
        <w:numPr>
          <w:ilvl w:val="1"/>
          <w:numId w:val="29"/>
        </w:numPr>
        <w:ind w:left="907" w:hanging="794"/>
      </w:pPr>
      <w:bookmarkStart w:id="411" w:name="_Patient_exposure"/>
      <w:bookmarkStart w:id="412" w:name="_Toc505616996"/>
      <w:bookmarkStart w:id="413" w:name="_Toc513217710"/>
      <w:bookmarkEnd w:id="411"/>
      <w:r w:rsidRPr="00545B14">
        <w:t>Patient exposure</w:t>
      </w:r>
      <w:bookmarkEnd w:id="403"/>
      <w:bookmarkEnd w:id="404"/>
      <w:bookmarkEnd w:id="405"/>
      <w:bookmarkEnd w:id="406"/>
      <w:bookmarkEnd w:id="407"/>
      <w:bookmarkEnd w:id="408"/>
      <w:bookmarkEnd w:id="409"/>
      <w:bookmarkEnd w:id="410"/>
      <w:bookmarkEnd w:id="412"/>
      <w:bookmarkEnd w:id="413"/>
    </w:p>
    <w:p w:rsidR="0074774A" w:rsidRDefault="0074774A" w:rsidP="0074774A">
      <w:r>
        <w:t xml:space="preserve">Overall exposure to guanfacine extended release (SPD503) was 2411 subjects, with 1718 aged 6 to 12 years and 693 aged 13 to 17 years at time of randomisation. There were 482 subjects exposed for </w:t>
      </w:r>
      <w:r>
        <w:rPr>
          <w:rFonts w:ascii="Times New Roman" w:hAnsi="Times New Roman"/>
        </w:rPr>
        <w:t xml:space="preserve">≥ </w:t>
      </w:r>
      <w:r>
        <w:t xml:space="preserve">180 days, 235 subjects exposed for </w:t>
      </w:r>
      <w:r>
        <w:rPr>
          <w:rFonts w:ascii="Times New Roman" w:hAnsi="Times New Roman"/>
        </w:rPr>
        <w:t xml:space="preserve">≥ </w:t>
      </w:r>
      <w:r>
        <w:t>360 days and 101 subjects exposed for &gt;720 days. Subjects were exposed to up to 7 mg/day (Table 31) and up to 0.16 mg/kg/day (Table 32).</w:t>
      </w:r>
    </w:p>
    <w:p w:rsidR="0074774A" w:rsidRDefault="0074774A" w:rsidP="0074774A">
      <w:pPr>
        <w:pStyle w:val="Tabletitle"/>
        <w:rPr>
          <w:lang w:eastAsia="ja-JP"/>
        </w:rPr>
      </w:pPr>
      <w:bookmarkStart w:id="414" w:name="Table_8_3_1"/>
      <w:r>
        <w:rPr>
          <w:lang w:eastAsia="ja-JP"/>
        </w:rPr>
        <w:t>Table 31:</w:t>
      </w:r>
      <w:bookmarkEnd w:id="414"/>
      <w:r>
        <w:rPr>
          <w:lang w:eastAsia="ja-JP"/>
        </w:rPr>
        <w:t xml:space="preserve"> Length of treatment exposure by actual dose – randomised pool (copied from Table 7, Summary of Clinical Safety)</w:t>
      </w:r>
    </w:p>
    <w:p w:rsidR="0074774A" w:rsidRDefault="0074774A" w:rsidP="0074774A">
      <w:pPr>
        <w:rPr>
          <w:lang w:eastAsia="ja-JP"/>
        </w:rPr>
      </w:pPr>
      <w:r>
        <w:rPr>
          <w:noProof/>
          <w:lang w:eastAsia="en-AU"/>
        </w:rPr>
        <w:drawing>
          <wp:inline distT="0" distB="0" distL="0" distR="0" wp14:anchorId="564CB5BD" wp14:editId="57E4EB07">
            <wp:extent cx="5731510" cy="1995109"/>
            <wp:effectExtent l="0" t="0" r="2540" b="5715"/>
            <wp:docPr id="181" name="Picture 181" descr="Table 31: Length of treatment exposure by actual dose – randomised pool (copied from Table 7,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995109"/>
                    </a:xfrm>
                    <a:prstGeom prst="rect">
                      <a:avLst/>
                    </a:prstGeom>
                    <a:noFill/>
                    <a:ln>
                      <a:noFill/>
                    </a:ln>
                  </pic:spPr>
                </pic:pic>
              </a:graphicData>
            </a:graphic>
          </wp:inline>
        </w:drawing>
      </w:r>
    </w:p>
    <w:p w:rsidR="0074774A" w:rsidRDefault="0074774A" w:rsidP="0074774A">
      <w:pPr>
        <w:pStyle w:val="Tabletitle"/>
        <w:rPr>
          <w:lang w:eastAsia="ja-JP"/>
        </w:rPr>
      </w:pPr>
      <w:bookmarkStart w:id="415" w:name="Table_8_3_2"/>
      <w:r>
        <w:rPr>
          <w:lang w:eastAsia="ja-JP"/>
        </w:rPr>
        <w:t>Table 32:</w:t>
      </w:r>
      <w:bookmarkEnd w:id="415"/>
      <w:r>
        <w:rPr>
          <w:lang w:eastAsia="ja-JP"/>
        </w:rPr>
        <w:t xml:space="preserve"> Length of treatment exposure by weight-adjusted dose – randomised pool (copied from Table 7, Summary of Clinical Safety)</w:t>
      </w:r>
    </w:p>
    <w:p w:rsidR="0074774A" w:rsidRDefault="0074774A" w:rsidP="0074774A">
      <w:pPr>
        <w:rPr>
          <w:lang w:eastAsia="ja-JP"/>
        </w:rPr>
      </w:pPr>
      <w:r>
        <w:rPr>
          <w:noProof/>
          <w:lang w:eastAsia="en-AU"/>
        </w:rPr>
        <w:drawing>
          <wp:inline distT="0" distB="0" distL="0" distR="0" wp14:anchorId="04193D72" wp14:editId="5756DFFB">
            <wp:extent cx="5731510" cy="1854178"/>
            <wp:effectExtent l="0" t="0" r="2540" b="0"/>
            <wp:docPr id="182" name="Picture 182" descr="Table 32: Length of treatment exposure by weight-adjusted dose – randomised pool (copied from Table 7,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854178"/>
                    </a:xfrm>
                    <a:prstGeom prst="rect">
                      <a:avLst/>
                    </a:prstGeom>
                    <a:noFill/>
                    <a:ln>
                      <a:noFill/>
                    </a:ln>
                  </pic:spPr>
                </pic:pic>
              </a:graphicData>
            </a:graphic>
          </wp:inline>
        </w:drawing>
      </w:r>
    </w:p>
    <w:p w:rsidR="0074774A" w:rsidRPr="00C7515B" w:rsidRDefault="0074774A" w:rsidP="00C7515B">
      <w:pPr>
        <w:pStyle w:val="Heading4"/>
        <w:numPr>
          <w:ilvl w:val="0"/>
          <w:numId w:val="0"/>
        </w:numPr>
        <w:ind w:left="170"/>
        <w:rPr>
          <w:b w:val="0"/>
          <w:i/>
        </w:rPr>
      </w:pPr>
      <w:r w:rsidRPr="00C7515B">
        <w:rPr>
          <w:b w:val="0"/>
          <w:i/>
        </w:rPr>
        <w:t>Phase III studies:</w:t>
      </w:r>
    </w:p>
    <w:p w:rsidR="00886C19" w:rsidRDefault="0074774A" w:rsidP="00C7515B">
      <w:r>
        <w:t>In Study SPD503-301there were 87 subjects exposed to guanfacine extended dose up to 2 mg, 86 exposed to up to 3 mg and 86 exposed to up to 4 mg for up to 7 weeks.</w:t>
      </w:r>
    </w:p>
    <w:p w:rsidR="0074774A" w:rsidRDefault="0074774A" w:rsidP="00C7515B">
      <w:r>
        <w:t>In Study SPD503-304 there were 256 subjects exposed to guanfacine for up to 9 weeks: 61 exposed to 1 mg, 65 to 2 mg, 65 to 3 mg and 65 to 4 mg.</w:t>
      </w:r>
    </w:p>
    <w:p w:rsidR="0074774A" w:rsidRDefault="0074774A" w:rsidP="00C7515B">
      <w:r>
        <w:t>In Study SPD-503-307 there were 136 subjects aged 6 to 13 years with ADHD and oppositional features exposed to 1 mg to 4 mg guanfacine daily for a median of 9 weeks.</w:t>
      </w:r>
    </w:p>
    <w:p w:rsidR="0074774A" w:rsidRDefault="0074774A" w:rsidP="00C7515B">
      <w:r>
        <w:t>In Study SPD503-312 there were 157 subjects aged 13 to 17 years with ADHD, treated with up to 7 mg daily guanfacine extended release for a median of 105 days and a maximum of 132 days.</w:t>
      </w:r>
    </w:p>
    <w:p w:rsidR="0074774A" w:rsidRDefault="0074774A" w:rsidP="00C7515B">
      <w:r>
        <w:t xml:space="preserve">In Study SPD503-313 there were 302 subjects aged 6 to 17 years exposed to guanfacine in combination with psychostimulants. There were 150 dosed in the morning and 152 dosed in the </w:t>
      </w:r>
      <w:r>
        <w:lastRenderedPageBreak/>
        <w:t>evening. Median duration of exposure was 9 weeks, with a maximum of 11 weeks and the dose range was 1 to 4 mg per day.</w:t>
      </w:r>
    </w:p>
    <w:p w:rsidR="0074774A" w:rsidRDefault="0074774A" w:rsidP="00C7515B">
      <w:r>
        <w:t>In Study SPD503-314 there were 221 subjects aged 6 to 12 years exposed to guanfacine in combination with psychostimulants. There were 107 dosed in the morning and 114 dosed in the evening. Median duration of exposure was 9 weeks, with a maximum of 10 weeks and the dose range was 1 to 4 mg per day.</w:t>
      </w:r>
    </w:p>
    <w:p w:rsidR="0074774A" w:rsidRDefault="0074774A" w:rsidP="00C7515B">
      <w:r>
        <w:t xml:space="preserve">In Study SPD503-315 there were 526 subjects aged 6 to 17 years exposed to up to 7 mg guanfacine per day for up to 13 weeks. In the randomised phase there were 157 subjects exposed to up to 7 mg guanfacine per day for up to 26 weeks. Forty subjects were exposed for </w:t>
      </w:r>
      <w:r>
        <w:rPr>
          <w:rFonts w:ascii="Times New Roman" w:hAnsi="Times New Roman"/>
        </w:rPr>
        <w:t xml:space="preserve">≥ </w:t>
      </w:r>
      <w:r>
        <w:t>26 weeks.</w:t>
      </w:r>
    </w:p>
    <w:p w:rsidR="0074774A" w:rsidRDefault="0074774A" w:rsidP="00C7515B">
      <w:r>
        <w:t>In Study SPD503-316 there were 114 subjects with ADHD aged 6 to 17 years exposed to guanfacine up to 7 mg/day for a median of 84 days and a maximum of 113 days.</w:t>
      </w:r>
    </w:p>
    <w:p w:rsidR="0074774A" w:rsidRPr="00C7515B" w:rsidRDefault="0074774A" w:rsidP="00C7515B">
      <w:pPr>
        <w:pStyle w:val="Heading4"/>
        <w:numPr>
          <w:ilvl w:val="0"/>
          <w:numId w:val="0"/>
        </w:numPr>
        <w:ind w:left="170"/>
        <w:rPr>
          <w:b w:val="0"/>
          <w:i/>
        </w:rPr>
      </w:pPr>
      <w:r w:rsidRPr="00C7515B">
        <w:rPr>
          <w:b w:val="0"/>
          <w:i/>
        </w:rPr>
        <w:t>Long term follow-on studies:</w:t>
      </w:r>
    </w:p>
    <w:p w:rsidR="0074774A" w:rsidRDefault="0074774A" w:rsidP="00C7515B">
      <w:r>
        <w:t xml:space="preserve">In Study SPD503-303 240 subjects aged 6 to 17 years were exposed to guanfacine extended release in the dose range 1 mg to 4 mg per day. There were 72 subjects exposed for </w:t>
      </w:r>
      <w:r>
        <w:rPr>
          <w:rFonts w:ascii="Times New Roman" w:hAnsi="Times New Roman"/>
        </w:rPr>
        <w:t xml:space="preserve">≥ </w:t>
      </w:r>
      <w:r>
        <w:t xml:space="preserve">12 months and 32 for </w:t>
      </w:r>
      <w:r>
        <w:rPr>
          <w:rFonts w:ascii="Times New Roman" w:hAnsi="Times New Roman"/>
        </w:rPr>
        <w:t xml:space="preserve">≥ </w:t>
      </w:r>
      <w:r>
        <w:t>24 months.</w:t>
      </w:r>
    </w:p>
    <w:p w:rsidR="00886C19" w:rsidRDefault="0074774A" w:rsidP="00C7515B">
      <w:pPr>
        <w:rPr>
          <w:lang w:eastAsia="ja-JP"/>
        </w:rPr>
      </w:pPr>
      <w:r>
        <w:rPr>
          <w:lang w:eastAsia="ja-JP"/>
        </w:rPr>
        <w:t xml:space="preserve">In Study SPD503-305 259 subjects aged 6 to 17 years were treated with guanfacine in the dose range 1 mg to 4 mg per day for up to 24 months. There were 206 subjects in monotherapy and 53 co-medicated with psychostimulants. There were 107 subjects treated for </w:t>
      </w:r>
      <w:r>
        <w:rPr>
          <w:rFonts w:ascii="Times New Roman" w:hAnsi="Times New Roman"/>
          <w:lang w:eastAsia="ja-JP"/>
        </w:rPr>
        <w:t xml:space="preserve">≥ </w:t>
      </w:r>
      <w:r>
        <w:rPr>
          <w:lang w:eastAsia="ja-JP"/>
        </w:rPr>
        <w:t xml:space="preserve">12 months and 55 treated for </w:t>
      </w:r>
      <w:r>
        <w:rPr>
          <w:rFonts w:ascii="Times New Roman" w:hAnsi="Times New Roman"/>
          <w:lang w:eastAsia="ja-JP"/>
        </w:rPr>
        <w:t xml:space="preserve">≥ </w:t>
      </w:r>
      <w:r>
        <w:rPr>
          <w:lang w:eastAsia="ja-JP"/>
        </w:rPr>
        <w:t>24 months.</w:t>
      </w:r>
    </w:p>
    <w:p w:rsidR="0074774A" w:rsidRDefault="0074774A" w:rsidP="00C7515B">
      <w:pPr>
        <w:rPr>
          <w:lang w:eastAsia="ja-JP"/>
        </w:rPr>
      </w:pPr>
      <w:r>
        <w:rPr>
          <w:lang w:eastAsia="ja-JP"/>
        </w:rPr>
        <w:t xml:space="preserve">In Study SPD503-318 there were 198 subjects exposed to guanfacine. There were 122 subjects aged 6 to 12 years and 76 aged </w:t>
      </w:r>
      <w:r>
        <w:rPr>
          <w:rFonts w:ascii="Times New Roman" w:hAnsi="Times New Roman"/>
          <w:lang w:eastAsia="ja-JP"/>
        </w:rPr>
        <w:t xml:space="preserve">≥ </w:t>
      </w:r>
      <w:r>
        <w:rPr>
          <w:lang w:eastAsia="ja-JP"/>
        </w:rPr>
        <w:t xml:space="preserve">13 years. There were 62 subjects exposed for </w:t>
      </w:r>
      <w:r>
        <w:rPr>
          <w:rFonts w:ascii="Times New Roman" w:hAnsi="Times New Roman"/>
          <w:lang w:eastAsia="ja-JP"/>
        </w:rPr>
        <w:t xml:space="preserve">≥ </w:t>
      </w:r>
      <w:r>
        <w:rPr>
          <w:lang w:eastAsia="ja-JP"/>
        </w:rPr>
        <w:t xml:space="preserve">6 months and two subjects exposed for </w:t>
      </w:r>
      <w:r>
        <w:rPr>
          <w:rFonts w:ascii="Times New Roman" w:hAnsi="Times New Roman"/>
          <w:lang w:eastAsia="ja-JP"/>
        </w:rPr>
        <w:t xml:space="preserve">≥ </w:t>
      </w:r>
      <w:r>
        <w:rPr>
          <w:lang w:eastAsia="ja-JP"/>
        </w:rPr>
        <w:t>12 months.</w:t>
      </w:r>
    </w:p>
    <w:p w:rsidR="0074774A" w:rsidRPr="00C7515B" w:rsidRDefault="0074774A" w:rsidP="00C7515B">
      <w:pPr>
        <w:pStyle w:val="Heading4"/>
        <w:numPr>
          <w:ilvl w:val="0"/>
          <w:numId w:val="0"/>
        </w:numPr>
        <w:ind w:left="170"/>
        <w:rPr>
          <w:b w:val="0"/>
          <w:i/>
        </w:rPr>
      </w:pPr>
      <w:r w:rsidRPr="00C7515B">
        <w:rPr>
          <w:b w:val="0"/>
          <w:i/>
        </w:rPr>
        <w:t>Phase II studies:</w:t>
      </w:r>
    </w:p>
    <w:p w:rsidR="0074774A" w:rsidRPr="005551F0" w:rsidRDefault="0074774A" w:rsidP="0074774A">
      <w:r>
        <w:rPr>
          <w:lang w:eastAsia="ja-JP"/>
        </w:rPr>
        <w:t>In Study SPD503-201 there were 20 subjects aged 6 to 12 years exposed to immediate release guanfacine, up to 1.5 mg per day, for up to 4 weeks.</w:t>
      </w:r>
    </w:p>
    <w:p w:rsidR="0074774A" w:rsidRPr="005551F0" w:rsidRDefault="0074774A" w:rsidP="0074774A">
      <w:r>
        <w:rPr>
          <w:lang w:eastAsia="ja-JP"/>
        </w:rPr>
        <w:t>In Study SPD503-202 there were 28 subjects aged 6 to 12 years exposed to immediate release guanfacine, up to 1.5 mg/day for up to 5 weeks.</w:t>
      </w:r>
    </w:p>
    <w:p w:rsidR="0074774A" w:rsidRDefault="0074774A" w:rsidP="0074774A">
      <w:r>
        <w:t xml:space="preserve">In Study SPD503-205 there were </w:t>
      </w:r>
      <w:r>
        <w:rPr>
          <w:lang w:eastAsia="ja-JP"/>
        </w:rPr>
        <w:t>75 subjects aged 7 to 17 years exposed to up to 4 mg extended release guanfacine per day for up to 7 weeks. There were 42 subjects co-medicated with methylphenidate and 33 with amphetamine.</w:t>
      </w:r>
    </w:p>
    <w:p w:rsidR="0074774A" w:rsidRDefault="0074774A" w:rsidP="0074774A">
      <w:r>
        <w:t>In Study SPD503-206 there were 121 subjects aged 6 to 17 years exposed to up to 3 mg guanfacine extended release daily for up to 7 weeks.</w:t>
      </w:r>
    </w:p>
    <w:p w:rsidR="0074774A" w:rsidRDefault="0074774A" w:rsidP="0074774A">
      <w:r>
        <w:rPr>
          <w:lang w:eastAsia="ja-JP"/>
        </w:rPr>
        <w:t>In Study SPD503-210 there were 62 subjects aged 6 to 17 years treated with guanfacine up to 6 mg/day for up to 14 weeks for anxiety related disorders.</w:t>
      </w:r>
    </w:p>
    <w:p w:rsidR="0074774A" w:rsidRPr="005551F0" w:rsidRDefault="0074774A" w:rsidP="0074774A">
      <w:pPr>
        <w:pStyle w:val="Heading3"/>
        <w:numPr>
          <w:ilvl w:val="1"/>
          <w:numId w:val="29"/>
        </w:numPr>
        <w:ind w:left="907" w:hanging="794"/>
      </w:pPr>
      <w:bookmarkStart w:id="416" w:name="_Toc241374319"/>
      <w:bookmarkStart w:id="417" w:name="_Ref271044764"/>
      <w:bookmarkStart w:id="418" w:name="_Toc272414663"/>
      <w:bookmarkStart w:id="419" w:name="_Toc290888527"/>
      <w:bookmarkStart w:id="420" w:name="_Toc416353743"/>
      <w:bookmarkStart w:id="421" w:name="_Toc421005286"/>
      <w:bookmarkStart w:id="422" w:name="_Toc432079163"/>
      <w:bookmarkStart w:id="423" w:name="_Toc432080736"/>
      <w:bookmarkStart w:id="424" w:name="_Toc505616997"/>
      <w:bookmarkStart w:id="425" w:name="_Toc513217711"/>
      <w:r w:rsidRPr="00545B14">
        <w:t>Adverse events</w:t>
      </w:r>
      <w:bookmarkEnd w:id="416"/>
      <w:bookmarkEnd w:id="417"/>
      <w:bookmarkEnd w:id="418"/>
      <w:bookmarkEnd w:id="419"/>
      <w:bookmarkEnd w:id="420"/>
      <w:bookmarkEnd w:id="421"/>
      <w:bookmarkEnd w:id="422"/>
      <w:bookmarkEnd w:id="423"/>
      <w:bookmarkEnd w:id="424"/>
      <w:bookmarkEnd w:id="425"/>
    </w:p>
    <w:p w:rsidR="0074774A" w:rsidRPr="00545B14" w:rsidRDefault="0074774A" w:rsidP="0074774A">
      <w:pPr>
        <w:pStyle w:val="Heading4"/>
        <w:numPr>
          <w:ilvl w:val="2"/>
          <w:numId w:val="29"/>
        </w:numPr>
      </w:pPr>
      <w:bookmarkStart w:id="426" w:name="_Ref272317284"/>
      <w:bookmarkStart w:id="427" w:name="_Ref272333565"/>
      <w:bookmarkStart w:id="428" w:name="_Toc272414664"/>
      <w:bookmarkStart w:id="429" w:name="_Toc290888528"/>
      <w:bookmarkStart w:id="430" w:name="_Toc416353744"/>
      <w:bookmarkStart w:id="431" w:name="_Toc421005287"/>
      <w:bookmarkStart w:id="432" w:name="_Toc432079164"/>
      <w:bookmarkStart w:id="433" w:name="_Toc432080737"/>
      <w:r w:rsidRPr="00545B14">
        <w:t>All adverse events (irrespective of relationship to study treatment)</w:t>
      </w:r>
      <w:bookmarkEnd w:id="426"/>
      <w:bookmarkEnd w:id="427"/>
      <w:bookmarkEnd w:id="428"/>
      <w:bookmarkEnd w:id="429"/>
      <w:bookmarkEnd w:id="430"/>
      <w:bookmarkEnd w:id="431"/>
      <w:bookmarkEnd w:id="432"/>
      <w:bookmarkEnd w:id="433"/>
    </w:p>
    <w:p w:rsidR="0074774A" w:rsidRPr="00073FEC" w:rsidRDefault="0074774A" w:rsidP="0074774A">
      <w:pPr>
        <w:pStyle w:val="Heading5"/>
        <w:numPr>
          <w:ilvl w:val="3"/>
          <w:numId w:val="29"/>
        </w:numPr>
        <w:ind w:left="1304" w:hanging="1077"/>
      </w:pPr>
      <w:bookmarkStart w:id="434" w:name="_Integrated_safety_analyses"/>
      <w:bookmarkEnd w:id="434"/>
      <w:r w:rsidRPr="00073FEC">
        <w:t>Integrated safety analyses</w:t>
      </w:r>
    </w:p>
    <w:p w:rsidR="0074774A" w:rsidRDefault="0074774A" w:rsidP="0074774A">
      <w:pPr>
        <w:rPr>
          <w:lang w:eastAsia="ja-JP"/>
        </w:rPr>
      </w:pPr>
      <w:r>
        <w:rPr>
          <w:lang w:eastAsia="ja-JP"/>
        </w:rPr>
        <w:t>Overall the rate of TEAEs was higher in the guanfacine extended release group than in the placebo 2046 (84.9%) subjects compared with 620 (63.7%). In the guanfacine group, there were 1467 (85.4%) subjects aged 6 to 12 years with TEAEs and 579 (83.5%) aged 13 to 17 years. Compared to placebo, in the guanfacine group, there was a higher rate of somnolence, headache, fatigue and sedation regardless of dose or age group (Tables 33 and 34).</w:t>
      </w:r>
    </w:p>
    <w:p w:rsidR="0074774A" w:rsidRDefault="0074774A" w:rsidP="0074774A">
      <w:pPr>
        <w:pStyle w:val="Tabletitle"/>
        <w:rPr>
          <w:lang w:eastAsia="ja-JP"/>
        </w:rPr>
      </w:pPr>
      <w:bookmarkStart w:id="435" w:name="Table_8_4_1_1_1"/>
      <w:r>
        <w:rPr>
          <w:lang w:eastAsia="ja-JP"/>
        </w:rPr>
        <w:lastRenderedPageBreak/>
        <w:t>Table 33:</w:t>
      </w:r>
      <w:bookmarkEnd w:id="435"/>
      <w:r>
        <w:rPr>
          <w:lang w:eastAsia="ja-JP"/>
        </w:rPr>
        <w:t xml:space="preserve"> TEAEs reported by </w:t>
      </w:r>
      <w:r>
        <w:rPr>
          <w:rFonts w:ascii="Times New Roman" w:hAnsi="Times New Roman"/>
          <w:lang w:eastAsia="ja-JP"/>
        </w:rPr>
        <w:t>≥</w:t>
      </w:r>
      <w:r>
        <w:rPr>
          <w:lang w:eastAsia="ja-JP"/>
        </w:rPr>
        <w:t>5% of subjects in the placebo or guanfacine treatment groups by randomised treatment group – short term fixed dose pool (copied from Table 14, Summary of Clinical Safety).</w:t>
      </w:r>
    </w:p>
    <w:p w:rsidR="0074774A" w:rsidRDefault="0074774A" w:rsidP="0074774A">
      <w:pPr>
        <w:rPr>
          <w:lang w:eastAsia="ja-JP"/>
        </w:rPr>
      </w:pPr>
      <w:r>
        <w:rPr>
          <w:noProof/>
          <w:lang w:eastAsia="en-AU"/>
        </w:rPr>
        <w:drawing>
          <wp:inline distT="0" distB="0" distL="0" distR="0" wp14:anchorId="3ADB8869" wp14:editId="130CF106">
            <wp:extent cx="4659830" cy="2743200"/>
            <wp:effectExtent l="0" t="0" r="7620" b="0"/>
            <wp:docPr id="183" name="Picture 183" descr="Table 33: TEAEs reported by ≥5% of subjects in the placebo or guanfacine treatment groups by randomised treatment group – short term fixed dose pool (copied from Table 14,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0082" cy="2743348"/>
                    </a:xfrm>
                    <a:prstGeom prst="rect">
                      <a:avLst/>
                    </a:prstGeom>
                    <a:noFill/>
                    <a:ln>
                      <a:noFill/>
                    </a:ln>
                  </pic:spPr>
                </pic:pic>
              </a:graphicData>
            </a:graphic>
          </wp:inline>
        </w:drawing>
      </w:r>
    </w:p>
    <w:p w:rsidR="0074774A" w:rsidRDefault="0074774A" w:rsidP="0074774A">
      <w:pPr>
        <w:pStyle w:val="Tabletitle"/>
        <w:rPr>
          <w:lang w:eastAsia="ja-JP"/>
        </w:rPr>
      </w:pPr>
      <w:bookmarkStart w:id="436" w:name="Table_8_4_1_1_2"/>
      <w:r>
        <w:rPr>
          <w:lang w:eastAsia="ja-JP"/>
        </w:rPr>
        <w:t>Table 34:</w:t>
      </w:r>
      <w:bookmarkEnd w:id="436"/>
      <w:r>
        <w:rPr>
          <w:lang w:eastAsia="ja-JP"/>
        </w:rPr>
        <w:t xml:space="preserve"> TEAEs occurring in </w:t>
      </w:r>
      <w:r>
        <w:rPr>
          <w:rFonts w:ascii="Times New Roman" w:hAnsi="Times New Roman"/>
          <w:lang w:eastAsia="ja-JP"/>
        </w:rPr>
        <w:t>≥</w:t>
      </w:r>
      <w:r>
        <w:rPr>
          <w:lang w:eastAsia="ja-JP"/>
        </w:rPr>
        <w:t>5% of all subjects who received SPD503 in Phase II-III studies– overall pool (copied from Table 15, Summary of Clinical Safety).</w:t>
      </w:r>
    </w:p>
    <w:p w:rsidR="0074774A" w:rsidRDefault="0074774A" w:rsidP="0074774A">
      <w:pPr>
        <w:rPr>
          <w:lang w:eastAsia="ja-JP"/>
        </w:rPr>
      </w:pPr>
      <w:r>
        <w:rPr>
          <w:noProof/>
          <w:lang w:eastAsia="en-AU"/>
        </w:rPr>
        <w:drawing>
          <wp:inline distT="0" distB="0" distL="0" distR="0" wp14:anchorId="72873497" wp14:editId="47F974A6">
            <wp:extent cx="5264663" cy="3331198"/>
            <wp:effectExtent l="0" t="0" r="0" b="3175"/>
            <wp:docPr id="184" name="Picture 184" descr="Table 34: TEAEs occurring in ≥5% of all subjects who received SPD503 in Phase 2-3 studies– overall pool (copied from Table 15,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4948" cy="3331378"/>
                    </a:xfrm>
                    <a:prstGeom prst="rect">
                      <a:avLst/>
                    </a:prstGeom>
                    <a:noFill/>
                    <a:ln>
                      <a:noFill/>
                    </a:ln>
                  </pic:spPr>
                </pic:pic>
              </a:graphicData>
            </a:graphic>
          </wp:inline>
        </w:drawing>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073FEC" w:rsidRDefault="0074774A" w:rsidP="0074774A">
      <w:pPr>
        <w:pStyle w:val="Heading5"/>
        <w:numPr>
          <w:ilvl w:val="3"/>
          <w:numId w:val="29"/>
        </w:numPr>
        <w:ind w:left="1304" w:hanging="1077"/>
      </w:pPr>
      <w:bookmarkStart w:id="437" w:name="_Pivotal_and/or_main"/>
      <w:bookmarkEnd w:id="437"/>
      <w:r w:rsidRPr="00073FEC">
        <w:t>Pivotal and/or main efficacy studies</w:t>
      </w:r>
    </w:p>
    <w:p w:rsidR="0074774A" w:rsidRDefault="0074774A" w:rsidP="0074774A">
      <w:r>
        <w:t xml:space="preserve">In Study SPD503-301 TEAEs were reported in 67 (77.0%) subjects in the 2 mg group, 76 (88.4%) in the 3 mg, 75 (87.2%) in the 4 mg and 55 (64.0%) in the placebo (Table 35). The commonest TEAEs in the guanfacine group were somnolence in 83 (32.0%) subjects, headache </w:t>
      </w:r>
      <w:r>
        <w:lastRenderedPageBreak/>
        <w:t>in 68 (26.3%), fatigue in 47 (18.1%), upper abdominal pain in 37 (14.3%) and sedation in 33 (12.7%).</w:t>
      </w:r>
    </w:p>
    <w:p w:rsidR="0074774A" w:rsidRPr="00B863EC" w:rsidRDefault="0074774A" w:rsidP="0074774A">
      <w:pPr>
        <w:pStyle w:val="Tabletitle"/>
        <w:rPr>
          <w:lang w:eastAsia="ja-JP"/>
        </w:rPr>
      </w:pPr>
      <w:bookmarkStart w:id="438" w:name="Table_8_4_1_3_1"/>
      <w:r>
        <w:rPr>
          <w:lang w:eastAsia="ja-JP"/>
        </w:rPr>
        <w:t>Table 35</w:t>
      </w:r>
      <w:bookmarkEnd w:id="438"/>
      <w:r>
        <w:rPr>
          <w:lang w:eastAsia="ja-JP"/>
        </w:rPr>
        <w:t xml:space="preserve">: </w:t>
      </w:r>
      <w:r w:rsidRPr="00B863EC">
        <w:rPr>
          <w:lang w:val="en-NZ"/>
        </w:rPr>
        <w:t xml:space="preserve">Summary of Treatment-Emergent Adverse Events by Randomized Dose for Events Occurring in </w:t>
      </w:r>
      <w:r w:rsidRPr="00B863EC">
        <w:rPr>
          <w:rFonts w:eastAsia="SymbolMT" w:cs="SymbolMT"/>
          <w:lang w:val="en-NZ"/>
        </w:rPr>
        <w:t>≥</w:t>
      </w:r>
      <w:r w:rsidRPr="00B863EC">
        <w:rPr>
          <w:lang w:val="en-NZ"/>
        </w:rPr>
        <w:t>5.0% of Any Treatment Group (Safety Population) (copied from Table 35, Study SPD503-301 CSR)</w:t>
      </w:r>
    </w:p>
    <w:p w:rsidR="0074774A" w:rsidRDefault="0074774A" w:rsidP="0074774A">
      <w:pPr>
        <w:rPr>
          <w:lang w:eastAsia="ja-JP"/>
        </w:rPr>
      </w:pPr>
      <w:r>
        <w:rPr>
          <w:noProof/>
          <w:lang w:eastAsia="en-AU"/>
        </w:rPr>
        <w:drawing>
          <wp:inline distT="0" distB="0" distL="0" distR="0" wp14:anchorId="47FCDE71" wp14:editId="4AEE8298">
            <wp:extent cx="4262400" cy="5045683"/>
            <wp:effectExtent l="0" t="0" r="5080" b="3175"/>
            <wp:docPr id="88" name="Picture 88" descr="Table 35: Summary of Treatment-Emergent Adverse Events by Randomized Dose for Events Occurring in ≥5.0% of Any Treatment Group (Safety Population) (copied from Table 35, Study SPD503-3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256" cy="5051432"/>
                    </a:xfrm>
                    <a:prstGeom prst="rect">
                      <a:avLst/>
                    </a:prstGeom>
                    <a:noFill/>
                    <a:ln>
                      <a:noFill/>
                    </a:ln>
                  </pic:spPr>
                </pic:pic>
              </a:graphicData>
            </a:graphic>
          </wp:inline>
        </w:drawing>
      </w:r>
    </w:p>
    <w:p w:rsidR="0074774A" w:rsidRDefault="0074774A" w:rsidP="0074774A">
      <w:r>
        <w:t>In Study SPD503-304 TEAEs were reported in 49 (80.3%) subjects in the 1 mg group, 40 (61.5%) in the 2 mg, 45 (69.2%) in the 3 mg, 55 (84.6%) in the 4 mg and 50 (75.8%) in the placebo. The commonest TEAEs in the guanfacine group were: somnolence in 69 (27.0%) subjects and headache in 53 (20.7%).</w:t>
      </w:r>
    </w:p>
    <w:p w:rsidR="0074774A" w:rsidRDefault="0074774A" w:rsidP="0074774A">
      <w:r>
        <w:t>In Study SPD-503-307 TEAEs were reported in 114 (83.8%) subjects in the guanfacine group and 45 (57.7%) in the placebo. The commonest TEAEs in the guanfacine group were: somnolence in 69 (50.7%) subjects, headache in 30 (22.1%), sedation in 18 (13.2%), upper abdominal pain in 16 (11.8%) and fatigue in 15 (11.0%).</w:t>
      </w:r>
    </w:p>
    <w:p w:rsidR="0074774A" w:rsidRDefault="0074774A" w:rsidP="0074774A">
      <w:pPr>
        <w:rPr>
          <w:lang w:eastAsia="ja-JP"/>
        </w:rPr>
      </w:pPr>
      <w:r>
        <w:t>In Study SPD503-312 667 TEAEs were reported in 147 (93.6%) subjects in the guanfacine group and 413 in 120 (77.4%) in the placebo. The commonest TEAEs in the guanfacine group were: somnolence in 69 (43.9%), headache in 42 (26.8%), fatigue in 35 (15.9%), dizziness in 25 (15.9%), decreased appetite in 23 (14.6%), nausea in 19 (12.1%), nasopharyngitis in 18 (11.5%) and sedation in 18 (11.5%). The Structured Side Effect Questionnaire (SSEQ) demonstrated a higher rate of headache, dizziness, fatigue and somnolence in the guanfacine group.</w:t>
      </w:r>
    </w:p>
    <w:p w:rsidR="0074774A" w:rsidRDefault="0074774A" w:rsidP="0074774A">
      <w:pPr>
        <w:rPr>
          <w:lang w:eastAsia="ja-JP"/>
        </w:rPr>
      </w:pPr>
      <w:r>
        <w:lastRenderedPageBreak/>
        <w:t>In Study SPD503-313, TEAEs were reported in 116 (77.3%) subjects in the AM group, 116 (76.3%) in the PM, and 97 (63.4%) in the placebo. The commonest TEAEs in the guanfacine group were headache in 64 (21.2%) subjects and somnolence in 41 (13.6%). TEAEs occurred with similar frequency in the AM and PM groups, except for a higher rate of nausea and insomnia in the PM group.</w:t>
      </w:r>
    </w:p>
    <w:p w:rsidR="0074774A" w:rsidRDefault="0074774A" w:rsidP="0074774A">
      <w:pPr>
        <w:rPr>
          <w:lang w:eastAsia="ja-JP"/>
        </w:rPr>
      </w:pPr>
      <w:r>
        <w:t>In Study SPD503-314 TEAEs were reported in 85 (79.4%) subjects in the AM group, 95 (83.3%) in the PM and 64 (57.1%) in the placebo. The commonest TEAEs in the guanfacine group were: somnolence in 98 (44.3%) subjects, headache in 37 (16.7%), sedation in 32 (14.5%) upper abdominal pain in 27 (12.2%) and fatigue in 24 (10.9%).</w:t>
      </w:r>
    </w:p>
    <w:p w:rsidR="0074774A" w:rsidRDefault="0074774A" w:rsidP="0074774A">
      <w:pPr>
        <w:rPr>
          <w:lang w:eastAsia="ja-JP"/>
        </w:rPr>
      </w:pPr>
      <w:r>
        <w:t>In Study SPD503-315 in the open label phase, TEAEs were reported in 448 (85.2%) subjects. Somnolence was reported in 255 (48.5%), headache in 144 (27.4%), fatigue in 130 (24.7%) and upper abdominal pain in 60 (11.4%). In the double blind phase, TEAEs were reported in 89 (56.7%) subjects in the guanfacine group and 76 (48.1%) in the placebo. In the guanfacine group, headache was reported in 25 (15.9%) and somnolence in 19 (12.1%).</w:t>
      </w:r>
    </w:p>
    <w:p w:rsidR="0074774A" w:rsidRDefault="0074774A" w:rsidP="0074774A">
      <w:pPr>
        <w:rPr>
          <w:lang w:eastAsia="ja-JP"/>
        </w:rPr>
      </w:pPr>
      <w:r>
        <w:t>In Study SPD503-316 there were 509 TEAEs reported in 88 (77.2%) subjects in the guanfacine group, 322 in 73 (65.8%) in the placebo and 424 in 76 (67.9%) in the atomoxetine. Somnolence was more common in the guanfacine than either the placebo or atomoxetine groups, and nausea was more common with atomoxetine. The commonest TEAEs in the guanfacine group were: somnolence in 50 (43.9%), headache in 30 (26.3%), fatigue in 29 (25.4%), and abdominal pain in 19 (16.7%).</w:t>
      </w:r>
    </w:p>
    <w:p w:rsidR="0074774A" w:rsidRPr="00073FEC" w:rsidRDefault="0074774A" w:rsidP="0074774A">
      <w:pPr>
        <w:pStyle w:val="Heading5"/>
        <w:numPr>
          <w:ilvl w:val="3"/>
          <w:numId w:val="29"/>
        </w:numPr>
        <w:ind w:left="1304" w:hanging="1077"/>
      </w:pPr>
      <w:r w:rsidRPr="00073FEC">
        <w:t>Other studies</w:t>
      </w:r>
    </w:p>
    <w:p w:rsidR="0074774A" w:rsidRPr="00EC3AE0" w:rsidRDefault="0074774A" w:rsidP="0074774A">
      <w:pPr>
        <w:pStyle w:val="Heading6"/>
      </w:pPr>
      <w:bookmarkStart w:id="439" w:name="_Other_efficacy_studies_2"/>
      <w:bookmarkEnd w:id="439"/>
      <w:r w:rsidRPr="00EC3AE0">
        <w:t>Other efficacy studies</w:t>
      </w:r>
    </w:p>
    <w:p w:rsidR="00886C19" w:rsidRDefault="0074774A" w:rsidP="0074774A">
      <w:pPr>
        <w:rPr>
          <w:lang w:eastAsia="ja-JP"/>
        </w:rPr>
      </w:pPr>
      <w:r>
        <w:rPr>
          <w:lang w:eastAsia="ja-JP"/>
        </w:rPr>
        <w:t>Study SPD503-202 there were 224 TEAEs reported in 28 (100%) subjects in the guanfacine group and 121 in 22 (81.5%) in the placebo. In the guanfacine group, headache was reported in 17 (60.7%) subjects, asthenia in 14 (50.0%), abdominal pain in 12 (42.9%), somnolence in 11 (39.3%), vomiting in six (21.4%), and nausea, pharyngitis, rhinitis, infection, accidental injury, abnormal ECG, and bradycardia each in five (17.9%).</w:t>
      </w:r>
    </w:p>
    <w:p w:rsidR="0074774A" w:rsidRPr="008F2085" w:rsidRDefault="0074774A" w:rsidP="0074774A">
      <w:pPr>
        <w:rPr>
          <w:rFonts w:asciiTheme="minorHAnsi" w:hAnsiTheme="minorHAnsi"/>
          <w:lang w:eastAsia="ja-JP"/>
        </w:rPr>
      </w:pPr>
      <w:r w:rsidRPr="008F2085">
        <w:rPr>
          <w:rFonts w:asciiTheme="minorHAnsi" w:hAnsiTheme="minorHAnsi"/>
        </w:rPr>
        <w:t>In Study SPD503-205 TEAEs were reported in 69 (92.0%) subjects.</w:t>
      </w:r>
      <w:r>
        <w:rPr>
          <w:rFonts w:asciiTheme="minorHAnsi" w:hAnsiTheme="minorHAnsi"/>
        </w:rPr>
        <w:t xml:space="preserve"> </w:t>
      </w:r>
      <w:r w:rsidRPr="008F2085">
        <w:rPr>
          <w:rFonts w:asciiTheme="minorHAnsi" w:hAnsiTheme="minorHAnsi"/>
        </w:rPr>
        <w:t>Fatigue was reported in 26 (34.7%) subjects, headache in 25 (33.3%), upper abdominal pain in 24 (32.0%), irritability in 24 (32.0%), somnolence in 14 (18.7%), insomnia in 12 (16.0%), and anxiety in 11 (14.7%).</w:t>
      </w:r>
      <w:r>
        <w:rPr>
          <w:rFonts w:asciiTheme="minorHAnsi" w:hAnsiTheme="minorHAnsi"/>
        </w:rPr>
        <w:t xml:space="preserve"> </w:t>
      </w:r>
      <w:r w:rsidRPr="008F2085">
        <w:rPr>
          <w:rFonts w:asciiTheme="minorHAnsi" w:hAnsiTheme="minorHAnsi"/>
        </w:rPr>
        <w:t xml:space="preserve">The mean (SD) change from baseline in </w:t>
      </w:r>
      <w:r>
        <w:rPr>
          <w:rFonts w:asciiTheme="minorHAnsi" w:hAnsiTheme="minorHAnsi"/>
        </w:rPr>
        <w:t>Pediatric Daytime Sleepiness Score (</w:t>
      </w:r>
      <w:r w:rsidRPr="008F2085">
        <w:rPr>
          <w:rFonts w:asciiTheme="minorHAnsi" w:hAnsiTheme="minorHAnsi"/>
        </w:rPr>
        <w:t>PDSS</w:t>
      </w:r>
      <w:r>
        <w:rPr>
          <w:rFonts w:asciiTheme="minorHAnsi" w:hAnsiTheme="minorHAnsi"/>
        </w:rPr>
        <w:t>)</w:t>
      </w:r>
      <w:r w:rsidRPr="008F2085">
        <w:rPr>
          <w:rFonts w:asciiTheme="minorHAnsi" w:hAnsiTheme="minorHAnsi"/>
        </w:rPr>
        <w:t xml:space="preserve"> was </w:t>
      </w:r>
      <w:r w:rsidRPr="008F2085">
        <w:rPr>
          <w:rFonts w:asciiTheme="minorHAnsi" w:eastAsiaTheme="minorHAnsi" w:hAnsiTheme="minorHAnsi"/>
          <w:lang w:val="en-NZ"/>
        </w:rPr>
        <w:t>-4.8 (6.23).</w:t>
      </w:r>
      <w:r>
        <w:rPr>
          <w:rFonts w:asciiTheme="minorHAnsi" w:eastAsiaTheme="minorHAnsi" w:hAnsiTheme="minorHAnsi"/>
          <w:lang w:val="en-NZ"/>
        </w:rPr>
        <w:t xml:space="preserve"> </w:t>
      </w:r>
      <w:r w:rsidRPr="008F2085">
        <w:rPr>
          <w:rFonts w:asciiTheme="minorHAnsi" w:eastAsiaTheme="minorHAnsi" w:hAnsiTheme="minorHAnsi"/>
          <w:lang w:val="en-NZ"/>
        </w:rPr>
        <w:t xml:space="preserve">The </w:t>
      </w:r>
      <w:r w:rsidRPr="002F74B4">
        <w:t>Pittsburgh Side Effect Rating Scale</w:t>
      </w:r>
      <w:r w:rsidRPr="008F2085">
        <w:rPr>
          <w:rFonts w:asciiTheme="minorHAnsi" w:eastAsiaTheme="minorHAnsi" w:hAnsiTheme="minorHAnsi"/>
          <w:lang w:val="en-NZ"/>
        </w:rPr>
        <w:t xml:space="preserve"> </w:t>
      </w:r>
      <w:r>
        <w:rPr>
          <w:rFonts w:asciiTheme="minorHAnsi" w:eastAsiaTheme="minorHAnsi" w:hAnsiTheme="minorHAnsi"/>
          <w:lang w:val="en-NZ"/>
        </w:rPr>
        <w:t>(</w:t>
      </w:r>
      <w:r w:rsidRPr="008F2085">
        <w:rPr>
          <w:rFonts w:asciiTheme="minorHAnsi" w:eastAsiaTheme="minorHAnsi" w:hAnsiTheme="minorHAnsi"/>
          <w:lang w:val="en-NZ"/>
        </w:rPr>
        <w:t>PSERS</w:t>
      </w:r>
      <w:r>
        <w:rPr>
          <w:rFonts w:asciiTheme="minorHAnsi" w:eastAsiaTheme="minorHAnsi" w:hAnsiTheme="minorHAnsi"/>
          <w:lang w:val="en-NZ"/>
        </w:rPr>
        <w:t>)</w:t>
      </w:r>
      <w:r w:rsidRPr="008F2085">
        <w:rPr>
          <w:rFonts w:asciiTheme="minorHAnsi" w:eastAsiaTheme="minorHAnsi" w:hAnsiTheme="minorHAnsi"/>
          <w:lang w:val="en-NZ"/>
        </w:rPr>
        <w:t xml:space="preserve"> reflected the increase in somnolence and headache.</w:t>
      </w:r>
    </w:p>
    <w:p w:rsidR="0074774A" w:rsidRDefault="0074774A" w:rsidP="0074774A">
      <w:pPr>
        <w:rPr>
          <w:lang w:eastAsia="ja-JP"/>
        </w:rPr>
      </w:pPr>
      <w:r>
        <w:t>In Study SPD503-206 TEAEs were reported in 96 (79.3%) subjects in the guanfacine group and 40 (70.2%) in the placebo. TEAEs were reported in 11 (78.6%) subjects in the guanfacine 1 mg group, 35 (94.6%) in the 2 mg and 50 (71.4%) in the 3 mg. The commonest TEAEs in the guanfacine group were: somnolence in 50 (41.3%) subjects and headache in 30 (24.8%). TEAEs did not appear to be dose related.</w:t>
      </w:r>
    </w:p>
    <w:p w:rsidR="0074774A" w:rsidRDefault="0074774A" w:rsidP="0074774A">
      <w:pPr>
        <w:rPr>
          <w:lang w:eastAsia="ja-JP"/>
        </w:rPr>
      </w:pPr>
      <w:r>
        <w:t>In Study SPD503-303 TEAEs were reported in 209 (87.1%) subjects. Somnolence was reported in 73 (30.4%) subjects, headache in 63 (26.3%), fatigue in 34 (14.2%), and sedation in 32 (13.3%).</w:t>
      </w:r>
    </w:p>
    <w:p w:rsidR="0074774A" w:rsidRDefault="0074774A" w:rsidP="0074774A">
      <w:pPr>
        <w:rPr>
          <w:lang w:eastAsia="ja-JP"/>
        </w:rPr>
      </w:pPr>
      <w:r>
        <w:rPr>
          <w:lang w:eastAsia="ja-JP"/>
        </w:rPr>
        <w:t>In Study SPD503-305 TEAEs were reported in 226 (87.3%) subjects. Somnolence was reported in 79 (30.5%) subjects, headache in 63 (24.3%), fatigue in 36 (13.9%), upper abdominal pain in 33 (12.7%) and sedation in 29 (11.2%).</w:t>
      </w:r>
    </w:p>
    <w:p w:rsidR="00886C19" w:rsidRDefault="0074774A" w:rsidP="0074774A">
      <w:pPr>
        <w:pStyle w:val="Heading6"/>
      </w:pPr>
      <w:bookmarkStart w:id="440" w:name="_Studies_with_evaluable"/>
      <w:bookmarkEnd w:id="440"/>
      <w:r w:rsidRPr="00EC3AE0">
        <w:t>Studies with evaluable safety data: dose finding and pharmacology</w:t>
      </w:r>
    </w:p>
    <w:p w:rsidR="00886C19" w:rsidRDefault="0074774A" w:rsidP="0074774A">
      <w:r>
        <w:t xml:space="preserve">At doses of up to 8 mg guanfacine there was a high rate of adverse effects (Study SPD503-112). TEAEs were recorded in 76 (100%) with guanfacine, 29 (57.4%) with placebo and 46 (63.9%) with moxifloxacin. The commonest TEAEs with guanfacine were: dry mouth in 50 (65.8%) </w:t>
      </w:r>
      <w:r>
        <w:lastRenderedPageBreak/>
        <w:t>subjects, dizziness in 47 (61.8%), asthenia in 43 (56.5%), constipation in 32 (42.1%), headache in 23 (30.3%), nausea in 13 (17.1%), tinnitus in 12 (15.8%) and blurred vison in ten (13.2%).</w:t>
      </w:r>
    </w:p>
    <w:p w:rsidR="0074774A" w:rsidRPr="00C37A1D" w:rsidRDefault="0074774A" w:rsidP="0074774A">
      <w:r>
        <w:t>At doses up to 0.12 mg/kg, the rates of somnolence, dizziness, sinus bradycardia and orthostatic hypotension increased with increasing dose (Study SPD503-113). At the 0.12 mg/kg dose level, somnolence was reported in eight (29.6%) subjects, dizziness in seven (25.9%), orthostatic hypotension in seven (25.9%) and sinus bradycardia in four (14.8%).</w:t>
      </w:r>
    </w:p>
    <w:p w:rsidR="0074774A" w:rsidRPr="00EC3AE0" w:rsidRDefault="0074774A" w:rsidP="0074774A">
      <w:pPr>
        <w:pStyle w:val="Heading6"/>
      </w:pPr>
      <w:bookmarkStart w:id="441" w:name="_Studies_evaluable_for"/>
      <w:bookmarkEnd w:id="441"/>
      <w:r w:rsidRPr="00EC3AE0">
        <w:t>Studies evaluable for safety only</w:t>
      </w:r>
    </w:p>
    <w:p w:rsidR="0074774A" w:rsidRDefault="0074774A" w:rsidP="0074774A">
      <w:pPr>
        <w:rPr>
          <w:lang w:eastAsia="ja-JP"/>
        </w:rPr>
      </w:pPr>
      <w:bookmarkStart w:id="442" w:name="_Ref272333567"/>
      <w:bookmarkStart w:id="443" w:name="_Toc272414665"/>
      <w:bookmarkStart w:id="444" w:name="_Toc290888529"/>
      <w:bookmarkStart w:id="445" w:name="_Toc416353745"/>
      <w:bookmarkStart w:id="446" w:name="_Toc421005288"/>
      <w:bookmarkStart w:id="447" w:name="_Toc432079165"/>
      <w:bookmarkStart w:id="448" w:name="_Toc432080738"/>
      <w:r>
        <w:rPr>
          <w:lang w:eastAsia="ja-JP"/>
        </w:rPr>
        <w:t xml:space="preserve">In Study SPD503-201 (immediate release guanfacine up to 1.5 mg) all subjects had cardiovascular TEAEs: 20 (100%) had tachycardia, 17 (85%) hypotension, 16 (80%) hypertension, 11 (55%) had prolonged </w:t>
      </w:r>
      <w:proofErr w:type="gramStart"/>
      <w:r>
        <w:rPr>
          <w:lang w:eastAsia="ja-JP"/>
        </w:rPr>
        <w:t>QT,</w:t>
      </w:r>
      <w:proofErr w:type="gramEnd"/>
      <w:r>
        <w:rPr>
          <w:lang w:eastAsia="ja-JP"/>
        </w:rPr>
        <w:t xml:space="preserve"> and 8 (40%) had bradycardia (Table 36). Headache was reported in four (20%).</w:t>
      </w:r>
    </w:p>
    <w:p w:rsidR="0074774A" w:rsidRDefault="0074774A" w:rsidP="0074774A">
      <w:pPr>
        <w:pStyle w:val="Tabletitle"/>
        <w:rPr>
          <w:lang w:eastAsia="ja-JP"/>
        </w:rPr>
      </w:pPr>
      <w:bookmarkStart w:id="449" w:name="Table_8_4_1_4_2"/>
      <w:r>
        <w:rPr>
          <w:lang w:eastAsia="ja-JP"/>
        </w:rPr>
        <w:t>Table 36:</w:t>
      </w:r>
      <w:bookmarkEnd w:id="449"/>
      <w:r>
        <w:rPr>
          <w:lang w:eastAsia="ja-JP"/>
        </w:rPr>
        <w:t xml:space="preserve"> Overall incidence of adverse events by body system, preferred term, subjects and percent of subjects (copied from Table 5, Study SPD503-201 CSR)</w:t>
      </w:r>
    </w:p>
    <w:p w:rsidR="0074774A" w:rsidRDefault="0074774A" w:rsidP="0074774A">
      <w:pPr>
        <w:rPr>
          <w:lang w:eastAsia="ja-JP"/>
        </w:rPr>
      </w:pPr>
      <w:r w:rsidRPr="005551F0">
        <w:rPr>
          <w:noProof/>
          <w:lang w:eastAsia="en-AU"/>
        </w:rPr>
        <w:drawing>
          <wp:inline distT="0" distB="0" distL="0" distR="0" wp14:anchorId="3B14F07D" wp14:editId="2D5ABB23">
            <wp:extent cx="3963689" cy="3772800"/>
            <wp:effectExtent l="0" t="0" r="0" b="0"/>
            <wp:docPr id="46" name="Picture 46" descr="Table 36: Overall incidence of adverse events by body system, preferred term, subjects and percent of subjects (copied from Table 5, Study SPD503-2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3903" cy="3773004"/>
                    </a:xfrm>
                    <a:prstGeom prst="rect">
                      <a:avLst/>
                    </a:prstGeom>
                    <a:noFill/>
                    <a:ln>
                      <a:noFill/>
                    </a:ln>
                  </pic:spPr>
                </pic:pic>
              </a:graphicData>
            </a:graphic>
          </wp:inline>
        </w:drawing>
      </w:r>
    </w:p>
    <w:p w:rsidR="0074774A" w:rsidRDefault="0074774A" w:rsidP="0074774A">
      <w:pPr>
        <w:rPr>
          <w:lang w:eastAsia="ja-JP"/>
        </w:rPr>
      </w:pPr>
      <w:r>
        <w:rPr>
          <w:lang w:eastAsia="ja-JP"/>
        </w:rPr>
        <w:t xml:space="preserve">In Study SPD503-318 TEAEs were reported in 88 (72.1%) subjects in the 6 to 12 years age group and 41 (53.9%) in the </w:t>
      </w:r>
      <w:r>
        <w:rPr>
          <w:rFonts w:ascii="Times New Roman" w:hAnsi="Times New Roman"/>
          <w:lang w:eastAsia="ja-JP"/>
        </w:rPr>
        <w:t xml:space="preserve">≥ </w:t>
      </w:r>
      <w:r>
        <w:rPr>
          <w:lang w:eastAsia="ja-JP"/>
        </w:rPr>
        <w:t>13 years age group. The commonest TEAEs were somnolence in 60 (30.3%), headache in 38 (19.2%) and fatigue in 29 (14.6%).</w:t>
      </w:r>
    </w:p>
    <w:p w:rsidR="0074774A" w:rsidRDefault="0074774A" w:rsidP="0074774A">
      <w:pPr>
        <w:rPr>
          <w:lang w:eastAsia="ja-JP"/>
        </w:rPr>
      </w:pPr>
      <w:r>
        <w:rPr>
          <w:lang w:eastAsia="ja-JP"/>
        </w:rPr>
        <w:t>In Study SPD503-210 TEAEs were reported in 51 (82.3%) subjects in the guanfacine group and 13 (61.9%) in the placebo. The commonest TEAEs in the guanfacine group were: headache in 22 (35.5%), somnolence in 17 (27.4%), fatigue in 13 (21.0%), upper abdominal pain in ten (16.1%), dizziness in seven (11.3%) and postural dizziness in seven (11.3%).</w:t>
      </w:r>
    </w:p>
    <w:p w:rsidR="0074774A" w:rsidRDefault="0074774A" w:rsidP="0074774A">
      <w:pPr>
        <w:pStyle w:val="Heading4"/>
        <w:numPr>
          <w:ilvl w:val="2"/>
          <w:numId w:val="29"/>
        </w:numPr>
      </w:pPr>
      <w:r w:rsidRPr="00545B14">
        <w:t>Treatment</w:t>
      </w:r>
      <w:r>
        <w:t xml:space="preserve"> </w:t>
      </w:r>
      <w:r w:rsidRPr="00545B14">
        <w:t>related adverse events (adverse drug reactions)</w:t>
      </w:r>
      <w:bookmarkEnd w:id="442"/>
      <w:bookmarkEnd w:id="443"/>
      <w:bookmarkEnd w:id="444"/>
      <w:bookmarkEnd w:id="445"/>
      <w:bookmarkEnd w:id="446"/>
      <w:bookmarkEnd w:id="447"/>
      <w:bookmarkEnd w:id="448"/>
    </w:p>
    <w:p w:rsidR="0074774A" w:rsidRPr="00073FEC" w:rsidRDefault="0074774A" w:rsidP="0074774A">
      <w:pPr>
        <w:pStyle w:val="Heading5"/>
        <w:numPr>
          <w:ilvl w:val="3"/>
          <w:numId w:val="29"/>
        </w:numPr>
        <w:ind w:left="1304" w:hanging="1077"/>
      </w:pPr>
      <w:r w:rsidRPr="00073FEC">
        <w:t>Integrated safety analyses</w:t>
      </w:r>
    </w:p>
    <w:p w:rsidR="0074774A" w:rsidRDefault="0074774A" w:rsidP="0074774A">
      <w:pPr>
        <w:rPr>
          <w:lang w:eastAsia="ja-JP"/>
        </w:rPr>
      </w:pPr>
      <w:r>
        <w:rPr>
          <w:lang w:eastAsia="ja-JP"/>
        </w:rPr>
        <w:t xml:space="preserve">Overall the rate of treatment related TEAEs was higher in the guanfacine extended release group than in the placebo 1765 (73.2%) subjects compared with 357 (36.7%). In the guanfacine </w:t>
      </w:r>
      <w:r>
        <w:rPr>
          <w:lang w:eastAsia="ja-JP"/>
        </w:rPr>
        <w:lastRenderedPageBreak/>
        <w:t>group, there were 1275 (74.2%) subjects aged 6 to 12 years with TEAEs and 490 (70.7%) aged 13 to 17 years.</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bookmarkStart w:id="450" w:name="_Pivotal_and/or_main_1"/>
      <w:bookmarkEnd w:id="450"/>
      <w:r>
        <w:rPr>
          <w:lang w:eastAsia="ja-JP"/>
        </w:rPr>
        <w:t>There were no pivotal studies that assessed safety as the sole primary outcome.</w:t>
      </w:r>
    </w:p>
    <w:p w:rsidR="0074774A" w:rsidRPr="00073FEC" w:rsidRDefault="0074774A" w:rsidP="0074774A">
      <w:pPr>
        <w:pStyle w:val="Heading5"/>
        <w:numPr>
          <w:ilvl w:val="3"/>
          <w:numId w:val="29"/>
        </w:numPr>
        <w:ind w:left="1304" w:hanging="1077"/>
      </w:pPr>
      <w:r w:rsidRPr="00073FEC">
        <w:t>Pivotal and/or main efficacy studies</w:t>
      </w:r>
    </w:p>
    <w:p w:rsidR="0074774A" w:rsidRDefault="0074774A" w:rsidP="0074774A">
      <w:r>
        <w:t>In Study SPD503-301 treatment related TEAEs were reported in 58 (66.7%) subjects in the 2 mg group, 73 (84.9%) in the 3 mg, 68 (79.1%) in the 4 mg and 34 (39.5%) in the placebo. The commonest treatment related TEAEs in the guanfacine group were: somnolence in 82 (31.7%) subjects, headache in 54 (20.8%), sedation in 33 (12.7%) and upper abdominal pain in 28 (10.8%).</w:t>
      </w:r>
    </w:p>
    <w:p w:rsidR="0074774A" w:rsidRDefault="0074774A" w:rsidP="0074774A">
      <w:r>
        <w:t>In Study SPD503-304 treatment related TEAEs were reported in 42 (68.9%) subjects in the 1 mg group, 28 (43.1%) in the 2 mg, 37 (56.9%) in the 3 mg, 49 (75.4%) in the 4 mg and 36 (54.5%) in the placebo. The commonest treatment related TEAEs in the guanfacine group were: somnolence in 67 (26.2%) subjects and headache in 35 (13.7%).</w:t>
      </w:r>
    </w:p>
    <w:p w:rsidR="0074774A" w:rsidRDefault="0074774A" w:rsidP="0074774A">
      <w:pPr>
        <w:rPr>
          <w:lang w:eastAsia="ja-JP"/>
        </w:rPr>
      </w:pPr>
      <w:r>
        <w:t>In Study SPD-503-307 treatment related TEAEs were reported in 100 (73.5%) subjects in the guanfacine group and 27 (34.6%) in the placebo. The commonest treatment related TEAEs in the guanfacine group were: somnolence in 66 (48.5%) subjects, headache in 22 (16.2%) and sedation in 18 (13.2).</w:t>
      </w:r>
    </w:p>
    <w:p w:rsidR="0074774A" w:rsidRDefault="0074774A" w:rsidP="0074774A">
      <w:pPr>
        <w:rPr>
          <w:lang w:eastAsia="ja-JP"/>
        </w:rPr>
      </w:pPr>
      <w:r>
        <w:t>In Study SPD503-312, 372 treatment related TEAEs were reported in 125 (79.6%) subjects in the guanfacine group and 176 in 80 (51.6%) in the placebo. The commonest TEAEs in the guanfacine group were: somnolence in 67 (42.7%), fatigue in 31 (19.7%), headache in 26 (16.6%), dizziness in 22 (14.0%), and sedation in 18 (11.5%).</w:t>
      </w:r>
    </w:p>
    <w:p w:rsidR="0074774A" w:rsidRDefault="0074774A" w:rsidP="0074774A">
      <w:pPr>
        <w:rPr>
          <w:lang w:eastAsia="ja-JP"/>
        </w:rPr>
      </w:pPr>
      <w:r>
        <w:t>In Study SPD503-313 treatment related TEAEs were reported in 74 (49.3%) subjects in the AM group, 79 (52.0%) in the PM, and 50 (32.7%) in the placebo.</w:t>
      </w:r>
    </w:p>
    <w:p w:rsidR="0074774A" w:rsidRDefault="0074774A" w:rsidP="0074774A">
      <w:pPr>
        <w:rPr>
          <w:lang w:eastAsia="ja-JP"/>
        </w:rPr>
      </w:pPr>
      <w:r>
        <w:t>In Study SPD503-314 treatment related TEAEs were reported in 74 (69.2%) subjects in the AM group, 79 (69.3%) in the PM and 41 (36.6%) in the placebo. The commonest treatment related TEAEs in the guanfacine group were: somnolence in 94 (42.5%) subjects, sedation in 32 (14.5%), headache in 28 (12.7%) and fatigue in 22 (10.0%).</w:t>
      </w:r>
    </w:p>
    <w:p w:rsidR="0074774A" w:rsidRDefault="0074774A" w:rsidP="0074774A">
      <w:pPr>
        <w:rPr>
          <w:lang w:eastAsia="ja-JP"/>
        </w:rPr>
      </w:pPr>
      <w:r>
        <w:t>In Study SPD503-315 in the open label phase, treatment related TEAEs were reported in 407 (77.4%) subjects. Somnolence was reported in 247 (47.0%), fatigue in 124 (23.6%) and headache in 92 (17.5%). In the double blind phase, treatment related TEAEs were reported in 42 (26.8%) subjects in the guanfacine group and 20 (12.7%) in the placebo.</w:t>
      </w:r>
    </w:p>
    <w:p w:rsidR="0074774A" w:rsidRDefault="0074774A" w:rsidP="0074774A">
      <w:pPr>
        <w:rPr>
          <w:lang w:eastAsia="ja-JP"/>
        </w:rPr>
      </w:pPr>
      <w:r>
        <w:t>In Study SPD503-316 there were 277 treatment related TEAEs reported in 70 (61.4%) subjects in the guanfacine group, 136 in 44 (39.6%) in the placebo and 278 in 62 (55.4%) in the atomoxetine. Somnolence was more common with guanfacine but nausea and decreased appetite were more common with atomoxetine.</w:t>
      </w:r>
    </w:p>
    <w:p w:rsidR="0074774A" w:rsidRPr="00073FEC" w:rsidRDefault="0074774A" w:rsidP="0074774A">
      <w:pPr>
        <w:pStyle w:val="Heading5"/>
        <w:numPr>
          <w:ilvl w:val="3"/>
          <w:numId w:val="29"/>
        </w:numPr>
        <w:ind w:left="1304" w:hanging="1077"/>
      </w:pPr>
      <w:r w:rsidRPr="00073FEC">
        <w:t>Other studies</w:t>
      </w:r>
    </w:p>
    <w:p w:rsidR="0074774A" w:rsidRPr="00EC3AE0" w:rsidRDefault="0074774A" w:rsidP="0074774A">
      <w:pPr>
        <w:pStyle w:val="Heading6"/>
      </w:pPr>
      <w:r w:rsidRPr="00EC3AE0">
        <w:t>Other efficacy studies</w:t>
      </w:r>
    </w:p>
    <w:p w:rsidR="0074774A" w:rsidRDefault="0074774A" w:rsidP="0074774A">
      <w:pPr>
        <w:rPr>
          <w:lang w:eastAsia="ja-JP"/>
        </w:rPr>
      </w:pPr>
      <w:r>
        <w:rPr>
          <w:lang w:eastAsia="ja-JP"/>
        </w:rPr>
        <w:t>In Study SPD503-202 there were 138 treatment related TEAEs reported in 26 (92.9%) subjects in the guanfacine group and 65 in 19 (70.4%) in the placebo. In the guanfacine group, headache was reported in 14 (50.0%) subjects, asthenia in 14 (50.0%), somnolence in 11 (39.3%), and abdominal pain in eight (28.6%).</w:t>
      </w:r>
    </w:p>
    <w:p w:rsidR="0074774A" w:rsidRDefault="0074774A" w:rsidP="0074774A">
      <w:pPr>
        <w:rPr>
          <w:lang w:eastAsia="ja-JP"/>
        </w:rPr>
      </w:pPr>
      <w:r>
        <w:t>In Study SPD503-205 treatment related TEAEs were reported in 58 (77.3%) subjects. Upper abdominal pain was reported in 19 (25.3%) subjects, fatigue in 18 (24.0%) subjects, irritability in 17 (22.7%), headache in 15 (20.0%), somnolence in 14 (18.7%), and insomnia in 10 (13.3%).</w:t>
      </w:r>
    </w:p>
    <w:p w:rsidR="0074774A" w:rsidRDefault="0074774A" w:rsidP="0074774A">
      <w:pPr>
        <w:rPr>
          <w:lang w:eastAsia="ja-JP"/>
        </w:rPr>
      </w:pPr>
      <w:r>
        <w:lastRenderedPageBreak/>
        <w:t>In Study SPD503-206 treatment related TEAEs were reported in 75 (62.0%) subjects in the guanfacine group and 25 (43.9%) in the placebo. TEAEs were reported in nine (64.3%) subjects in the guanfacine 1 mg group, 29 (78.4%) in the 2 mg and 37 (52.9%) in the 3 mg. The commonest treatment related TEAEs in the guanfacine group were: somnolence in 49 (40.5%) subjects and headache in 18 (14.9%).</w:t>
      </w:r>
    </w:p>
    <w:p w:rsidR="0074774A" w:rsidRDefault="0074774A" w:rsidP="0074774A">
      <w:pPr>
        <w:rPr>
          <w:lang w:eastAsia="ja-JP"/>
        </w:rPr>
      </w:pPr>
      <w:r>
        <w:t>In Study SPD503-303 treatment related TEAEs were reported in 178 (74.2%) subjects. Somnolence was reported in 72 (30.0%) subjects, headache in 39 (16.3%), fatigue in 33 (13.8%), and sedation in 30 (12.5%).</w:t>
      </w:r>
    </w:p>
    <w:p w:rsidR="0074774A" w:rsidRDefault="0074774A" w:rsidP="0074774A">
      <w:pPr>
        <w:rPr>
          <w:lang w:eastAsia="ja-JP"/>
        </w:rPr>
      </w:pPr>
      <w:r>
        <w:rPr>
          <w:lang w:eastAsia="ja-JP"/>
        </w:rPr>
        <w:t>In Study SPD503-305 treatment related TEAEs were reported in 190 (73.4%) subjects. Somnolence was reported in 77 (29.7%) subjects, headache in 34 (13.1%), fatigue in 33 (12.7%) and sedation in 28 (10.8%).</w:t>
      </w:r>
    </w:p>
    <w:p w:rsidR="0074774A" w:rsidRDefault="0074774A" w:rsidP="0074774A">
      <w:pPr>
        <w:pStyle w:val="Heading6"/>
      </w:pPr>
      <w:r w:rsidRPr="00EC3AE0">
        <w:t>Studies evaluable for safety only</w:t>
      </w:r>
    </w:p>
    <w:p w:rsidR="0074774A" w:rsidRDefault="0074774A" w:rsidP="0074774A">
      <w:pPr>
        <w:rPr>
          <w:lang w:eastAsia="ja-JP"/>
        </w:rPr>
      </w:pPr>
      <w:bookmarkStart w:id="451" w:name="_Toc241374320"/>
      <w:bookmarkStart w:id="452" w:name="_Ref272333507"/>
      <w:bookmarkStart w:id="453" w:name="_Toc272414666"/>
      <w:bookmarkStart w:id="454" w:name="_Toc290888530"/>
      <w:bookmarkStart w:id="455" w:name="_Toc416353746"/>
      <w:bookmarkStart w:id="456" w:name="_Toc421005289"/>
      <w:bookmarkStart w:id="457" w:name="_Toc432079166"/>
      <w:bookmarkStart w:id="458" w:name="_Toc432080739"/>
      <w:r>
        <w:rPr>
          <w:lang w:eastAsia="ja-JP"/>
        </w:rPr>
        <w:t>In Study SPD503-201 (immediate release guanfacine up to 1.5 mg) prolonged QT was attributed to study drug in 11 (55%) subjects.</w:t>
      </w:r>
    </w:p>
    <w:p w:rsidR="0074774A" w:rsidRDefault="0074774A" w:rsidP="0074774A">
      <w:pPr>
        <w:rPr>
          <w:lang w:eastAsia="ja-JP"/>
        </w:rPr>
      </w:pPr>
      <w:r>
        <w:rPr>
          <w:lang w:eastAsia="ja-JP"/>
        </w:rPr>
        <w:t xml:space="preserve">In Study SPD503-318 treatment related TEAEs were reported in 67 (54.9%) subjects in the 6 to 12 years age group and 27 (35.5%) in the </w:t>
      </w:r>
      <w:r>
        <w:rPr>
          <w:rFonts w:ascii="Times New Roman" w:hAnsi="Times New Roman"/>
          <w:lang w:eastAsia="ja-JP"/>
        </w:rPr>
        <w:t xml:space="preserve">≥ </w:t>
      </w:r>
      <w:r>
        <w:rPr>
          <w:lang w:eastAsia="ja-JP"/>
        </w:rPr>
        <w:t>13 years age group. The commonest treatment related TEAEs were somnolence in 55 (27.8%) and fatigue in 23 (11.6%).</w:t>
      </w:r>
    </w:p>
    <w:p w:rsidR="0074774A" w:rsidRDefault="0074774A" w:rsidP="0074774A">
      <w:pPr>
        <w:rPr>
          <w:lang w:eastAsia="ja-JP"/>
        </w:rPr>
      </w:pPr>
      <w:r>
        <w:rPr>
          <w:lang w:eastAsia="ja-JP"/>
        </w:rPr>
        <w:t>In Study SPD503-210 treatment related TEAEs were reported in 42 (67.7%) subjects in the guanfacine group and seven (33.3%) in the placebo. The commonest TEAEs in the guanfacine group were: somnolence in 16 (25.8%), headache in 15 (24.2%), and fatigue in 12 (19.4%).</w:t>
      </w:r>
    </w:p>
    <w:p w:rsidR="0074774A" w:rsidRDefault="0074774A" w:rsidP="0074774A">
      <w:pPr>
        <w:pStyle w:val="Heading4"/>
        <w:numPr>
          <w:ilvl w:val="2"/>
          <w:numId w:val="29"/>
        </w:numPr>
      </w:pPr>
      <w:r w:rsidRPr="00545B14">
        <w:t>Deaths and other serious adverse events</w:t>
      </w:r>
      <w:bookmarkEnd w:id="451"/>
      <w:bookmarkEnd w:id="452"/>
      <w:bookmarkEnd w:id="453"/>
      <w:bookmarkEnd w:id="454"/>
      <w:bookmarkEnd w:id="455"/>
      <w:bookmarkEnd w:id="456"/>
      <w:bookmarkEnd w:id="457"/>
      <w:bookmarkEnd w:id="458"/>
    </w:p>
    <w:p w:rsidR="0074774A" w:rsidRPr="002B7B05" w:rsidRDefault="0074774A" w:rsidP="0074774A">
      <w:pPr>
        <w:pStyle w:val="Heading5"/>
        <w:numPr>
          <w:ilvl w:val="3"/>
          <w:numId w:val="29"/>
        </w:numPr>
        <w:ind w:left="1304" w:hanging="1077"/>
      </w:pPr>
      <w:r>
        <w:t>I</w:t>
      </w:r>
      <w:r w:rsidRPr="002B7B05">
        <w:t>ntegrated safety analyses</w:t>
      </w:r>
    </w:p>
    <w:p w:rsidR="0074774A" w:rsidRDefault="0074774A" w:rsidP="0074774A">
      <w:pPr>
        <w:rPr>
          <w:lang w:eastAsia="ja-JP"/>
        </w:rPr>
      </w:pPr>
      <w:r>
        <w:rPr>
          <w:lang w:eastAsia="ja-JP"/>
        </w:rPr>
        <w:t>There were no deaths in the study program. Overall the rate of SAEs was higher in the guanfacine extended release group than in the placebo 49 (2.0%) subjects compared with eight (0.8%). In the guanfacine group, there were 33 (1.9%) subjects aged 6 to 12 years with TEAEs and 16 (2.3%) aged 13 to 17 years.</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r w:rsidRPr="00C2074B">
        <w:t>Pivotal and/or main efficacy studies</w:t>
      </w:r>
    </w:p>
    <w:p w:rsidR="0074774A" w:rsidRDefault="0074774A" w:rsidP="0074774A">
      <w:r>
        <w:t>In Study SPD503-301 there were no deaths. SAEs were reported in one (1.2%) subject in the 2 mg group (pneumothorax), and one (1.2%) in the 4 mg (severe asthma).</w:t>
      </w:r>
    </w:p>
    <w:p w:rsidR="0074774A" w:rsidRDefault="0074774A" w:rsidP="0074774A">
      <w:r>
        <w:t>In Study SPD503-304 there were no deaths. SAEs were reported one (1.5%) subject in the 3 mg (concussion/convulsions) and one (1.5%) in the placebo (lower limb fracture).</w:t>
      </w:r>
    </w:p>
    <w:p w:rsidR="0074774A" w:rsidRDefault="0074774A" w:rsidP="0074774A">
      <w:pPr>
        <w:rPr>
          <w:lang w:eastAsia="ja-JP"/>
        </w:rPr>
      </w:pPr>
      <w:r>
        <w:t>In Study SPD-503-307 there were no deaths or SAEs.</w:t>
      </w:r>
    </w:p>
    <w:p w:rsidR="0074774A" w:rsidRDefault="0074774A" w:rsidP="0074774A">
      <w:pPr>
        <w:rPr>
          <w:lang w:eastAsia="ja-JP"/>
        </w:rPr>
      </w:pPr>
      <w:r>
        <w:t>In Study SPD503-312 there were no deaths. SAEs were reported in four (2.5%) subjects in the guanfacine group (homicidal ideation, loss of consciousness/concussion, vomiting/withdrawal hypertension, cholecystitis/abdominal pain) and two (1.3%) in the placebo (ruptured ovarian cyst, clavicle fracture/pelvic fracture).</w:t>
      </w:r>
    </w:p>
    <w:p w:rsidR="0074774A" w:rsidRDefault="0074774A" w:rsidP="0074774A">
      <w:pPr>
        <w:rPr>
          <w:lang w:eastAsia="ja-JP"/>
        </w:rPr>
      </w:pPr>
      <w:r>
        <w:t>In Study SPD503-313 there were no deaths. SAEs were reported in one (0.7%) subject in the AM group (self-injurious behaviour/ worsening aggression/ adjustment disorder), two (1.3%) in the PM (syncope, poisoning) and none in the placebo.</w:t>
      </w:r>
    </w:p>
    <w:p w:rsidR="0074774A" w:rsidRDefault="0074774A" w:rsidP="0074774A">
      <w:pPr>
        <w:rPr>
          <w:lang w:eastAsia="ja-JP"/>
        </w:rPr>
      </w:pPr>
      <w:r>
        <w:t>In Study SPD503-314 there were no deaths. SAEs were reported in one (0.9%) subjects in the AM group (syncope), two (1.8%) in the PM (syncope, self-injurious ideation/suicidal ideation) and none in the placebo.</w:t>
      </w:r>
    </w:p>
    <w:p w:rsidR="0074774A" w:rsidRDefault="0074774A" w:rsidP="0074774A">
      <w:pPr>
        <w:rPr>
          <w:lang w:eastAsia="ja-JP"/>
        </w:rPr>
      </w:pPr>
      <w:r>
        <w:lastRenderedPageBreak/>
        <w:t>In Study SPD503-315 there were no deaths. In the open label phase, SAEs were reported in six (1.1%) subjects (syncope [3], sinus bradycardia, aggression and somnolence). In the double blind phase, SAEs were reported in two (1.3%) subjects in the guanfacine group (conduct disorder, grand mal convulsion) and four (2.5%) in the placebo (nephrolithiasis, aggression/ family stress, lower abdominal pain, syncope).</w:t>
      </w:r>
    </w:p>
    <w:p w:rsidR="0074774A" w:rsidRDefault="0074774A" w:rsidP="0074774A">
      <w:pPr>
        <w:rPr>
          <w:lang w:eastAsia="ja-JP"/>
        </w:rPr>
      </w:pPr>
      <w:r>
        <w:t>In Study SPD503-316 there were no deaths. SAEs were reported in one (0.9%) subject in the guanfacine group (syncope), one (0.9%) in the placebo (syncope) and none in the atomoxetine.</w:t>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r w:rsidRPr="00EC3AE0">
        <w:t>Other efficacy studies</w:t>
      </w:r>
    </w:p>
    <w:p w:rsidR="00886C19" w:rsidRDefault="0074774A" w:rsidP="0074774A">
      <w:pPr>
        <w:rPr>
          <w:lang w:eastAsia="ja-JP"/>
        </w:rPr>
      </w:pPr>
      <w:r>
        <w:rPr>
          <w:lang w:eastAsia="ja-JP"/>
        </w:rPr>
        <w:t xml:space="preserve">In Study SPD503-202 and </w:t>
      </w:r>
      <w:r>
        <w:t xml:space="preserve">Study SPD503-205 </w:t>
      </w:r>
      <w:r>
        <w:rPr>
          <w:lang w:eastAsia="ja-JP"/>
        </w:rPr>
        <w:t>there were no deaths or SAEs.</w:t>
      </w:r>
    </w:p>
    <w:p w:rsidR="0074774A" w:rsidRDefault="0074774A" w:rsidP="0074774A">
      <w:pPr>
        <w:rPr>
          <w:lang w:eastAsia="ja-JP"/>
        </w:rPr>
      </w:pPr>
      <w:r>
        <w:t>In Study SPD503-206 there were no deaths. SAEs were reported in two (1.7%) subjects in the guanfacine group (asthma exacerbation, loss of consciousness) and none in the placebo. Both subjects with SAEs were in the 3 mg group.</w:t>
      </w:r>
    </w:p>
    <w:p w:rsidR="0074774A" w:rsidRDefault="0074774A" w:rsidP="0074774A">
      <w:pPr>
        <w:rPr>
          <w:lang w:eastAsia="ja-JP"/>
        </w:rPr>
      </w:pPr>
      <w:r>
        <w:t>In Study SPD503-303 there were no deaths. SAEs were reported in nine (3.8%) subjects. Syncope was reported in two (0.8%) subjects and orthostatic hypotension in one (0.4%).</w:t>
      </w:r>
    </w:p>
    <w:p w:rsidR="0074774A" w:rsidRDefault="0074774A" w:rsidP="0074774A">
      <w:pPr>
        <w:rPr>
          <w:lang w:eastAsia="ja-JP"/>
        </w:rPr>
      </w:pPr>
      <w:r>
        <w:rPr>
          <w:lang w:eastAsia="ja-JP"/>
        </w:rPr>
        <w:t>In Study SPD503-305 there were no deaths. SAEs were reported in 16 (6.2%) subjects. In five (1.9%) subjects SAEs were due to syncope.</w:t>
      </w:r>
    </w:p>
    <w:p w:rsidR="0074774A" w:rsidRPr="00EC3AE0" w:rsidRDefault="0074774A" w:rsidP="0074774A">
      <w:pPr>
        <w:pStyle w:val="Heading6"/>
      </w:pPr>
      <w:r w:rsidRPr="00EC3AE0">
        <w:t>Studies evaluable for safety only</w:t>
      </w:r>
    </w:p>
    <w:p w:rsidR="0074774A" w:rsidRDefault="0074774A" w:rsidP="0074774A">
      <w:pPr>
        <w:rPr>
          <w:lang w:eastAsia="ja-JP"/>
        </w:rPr>
      </w:pPr>
      <w:bookmarkStart w:id="459" w:name="_Toc241374325"/>
      <w:bookmarkStart w:id="460" w:name="_Ref272333477"/>
      <w:bookmarkStart w:id="461" w:name="_Toc272414667"/>
      <w:bookmarkStart w:id="462" w:name="_Toc290888531"/>
      <w:bookmarkStart w:id="463" w:name="_Toc416353747"/>
      <w:bookmarkStart w:id="464" w:name="_Toc421005290"/>
      <w:bookmarkStart w:id="465" w:name="_Toc432079167"/>
      <w:bookmarkStart w:id="466" w:name="_Toc432080740"/>
      <w:r>
        <w:rPr>
          <w:lang w:eastAsia="ja-JP"/>
        </w:rPr>
        <w:t>In Study SPD503-201 (immediate release guanfacine up to 1.5 mg) there were no deaths or SAEs.</w:t>
      </w:r>
    </w:p>
    <w:p w:rsidR="0074774A" w:rsidRDefault="0074774A" w:rsidP="0074774A">
      <w:pPr>
        <w:rPr>
          <w:lang w:eastAsia="ja-JP"/>
        </w:rPr>
      </w:pPr>
      <w:r>
        <w:rPr>
          <w:lang w:eastAsia="ja-JP"/>
        </w:rPr>
        <w:t xml:space="preserve">In Study SPD503-318 there were no deaths. SAEs were reported in one (0.8%) subject in the 6 to 12 years age group (severe gastroenteritis) and none in the </w:t>
      </w:r>
      <w:r>
        <w:rPr>
          <w:rFonts w:ascii="Times New Roman" w:hAnsi="Times New Roman"/>
          <w:lang w:eastAsia="ja-JP"/>
        </w:rPr>
        <w:t xml:space="preserve">≥ </w:t>
      </w:r>
      <w:r>
        <w:rPr>
          <w:lang w:eastAsia="ja-JP"/>
        </w:rPr>
        <w:t>13 years age group.</w:t>
      </w:r>
    </w:p>
    <w:p w:rsidR="0074774A" w:rsidRDefault="0074774A" w:rsidP="0074774A">
      <w:pPr>
        <w:rPr>
          <w:lang w:eastAsia="ja-JP"/>
        </w:rPr>
      </w:pPr>
      <w:r>
        <w:rPr>
          <w:lang w:eastAsia="ja-JP"/>
        </w:rPr>
        <w:t>In Study SPD503-210 there were no deaths or SAEs.</w:t>
      </w:r>
    </w:p>
    <w:p w:rsidR="0074774A" w:rsidRPr="00545B14" w:rsidRDefault="0074774A" w:rsidP="0074774A">
      <w:pPr>
        <w:pStyle w:val="Heading4"/>
        <w:numPr>
          <w:ilvl w:val="2"/>
          <w:numId w:val="29"/>
        </w:numPr>
      </w:pPr>
      <w:r w:rsidRPr="00545B14">
        <w:t>Discontinuation</w:t>
      </w:r>
      <w:r>
        <w:t>s</w:t>
      </w:r>
      <w:r w:rsidRPr="00545B14">
        <w:t xml:space="preserve"> due to adverse events</w:t>
      </w:r>
      <w:bookmarkEnd w:id="459"/>
      <w:bookmarkEnd w:id="460"/>
      <w:bookmarkEnd w:id="461"/>
      <w:bookmarkEnd w:id="462"/>
      <w:bookmarkEnd w:id="463"/>
      <w:bookmarkEnd w:id="464"/>
      <w:bookmarkEnd w:id="465"/>
      <w:bookmarkEnd w:id="466"/>
    </w:p>
    <w:p w:rsidR="0074774A" w:rsidRPr="002B7B05" w:rsidRDefault="0074774A" w:rsidP="0074774A">
      <w:pPr>
        <w:pStyle w:val="Heading5"/>
        <w:numPr>
          <w:ilvl w:val="3"/>
          <w:numId w:val="29"/>
        </w:numPr>
        <w:ind w:left="1304" w:hanging="1077"/>
      </w:pPr>
      <w:r>
        <w:t>I</w:t>
      </w:r>
      <w:r w:rsidRPr="002B7B05">
        <w:t>ntegrated safety analyses</w:t>
      </w:r>
    </w:p>
    <w:p w:rsidR="0074774A" w:rsidRDefault="0074774A" w:rsidP="0074774A">
      <w:pPr>
        <w:rPr>
          <w:lang w:eastAsia="ja-JP"/>
        </w:rPr>
      </w:pPr>
      <w:r>
        <w:rPr>
          <w:lang w:eastAsia="ja-JP"/>
        </w:rPr>
        <w:t>Overall the rate of DAE was higher in the guanfacine extended release group than in the placebo 261 (10.8%) subjects compared with 13 (1.3%). In the guanfacine group, there were 200 (11.6%) subjects aged 6 to 12 years with DAE and 61 (8.8%) aged 13 to 17 years.</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bookmarkStart w:id="467" w:name="_Pivotal_and/or_main_2"/>
      <w:bookmarkEnd w:id="467"/>
      <w:r w:rsidRPr="00C2074B">
        <w:t>Pivotal and/or main efficacy studies</w:t>
      </w:r>
    </w:p>
    <w:p w:rsidR="0074774A" w:rsidRDefault="0074774A" w:rsidP="0074774A">
      <w:r>
        <w:t>In Study SPD503-301 there was a dose related increase in DAE. DAEs was reported for nine (10.3%) subjects in the 2 mg group, 13 (15.1%) in the 3 mg, 20 (23.3%) in the 4 mg and one (1.2%) in the placebo. The commonest reasons for DAE in the guanfacine group were somnolence in 11 (4.2%) subjects, sedation in 9 (3.5%) and headache in four (1.5%).</w:t>
      </w:r>
    </w:p>
    <w:p w:rsidR="0074774A" w:rsidRDefault="0074774A" w:rsidP="0074774A">
      <w:r>
        <w:t>In Study SPD503-304 DAE was reported for two (3.3%) subjects in the 1 mg group, two (3.1%) in the 2 mg, six (9.2%) in the 3 mg, nine (13.8%) in the 4 mg and five (7.6%) in the placebo. The commonest DAE was somnolence in eight (3.1%) subjects in the guanfacine group.</w:t>
      </w:r>
    </w:p>
    <w:p w:rsidR="0074774A" w:rsidRDefault="0074774A" w:rsidP="0074774A">
      <w:pPr>
        <w:rPr>
          <w:lang w:eastAsia="ja-JP"/>
        </w:rPr>
      </w:pPr>
      <w:r>
        <w:t>In Study SPD-503-307 DAE was reported for twelve (83.8%) subjects in the guanfacine group and none in the placebo. Four (2.9%) subjects discontinued due to sedation and four (2.9%) due to somnolence.</w:t>
      </w:r>
    </w:p>
    <w:p w:rsidR="0074774A" w:rsidRDefault="0074774A" w:rsidP="0074774A">
      <w:pPr>
        <w:rPr>
          <w:lang w:eastAsia="ja-JP"/>
        </w:rPr>
      </w:pPr>
      <w:r>
        <w:lastRenderedPageBreak/>
        <w:t>In Study SPD503-312 DAE was reported for nine (5.7%) subjects in the guanfacine group and three (1.9%) in the placebo. Fatigue led to discontinuation in two subjects in the guanfacine group.</w:t>
      </w:r>
    </w:p>
    <w:p w:rsidR="0074774A" w:rsidRDefault="0074774A" w:rsidP="0074774A">
      <w:pPr>
        <w:rPr>
          <w:lang w:eastAsia="ja-JP"/>
        </w:rPr>
      </w:pPr>
      <w:r>
        <w:t>In Study SPD503-313 DAE was reported for four (2.7%) subjects in the AM group, six (3.9%) in the PM, and one (0.7%) in the placebo. Two subjects in the guanfacine group discontinued because of aggression.</w:t>
      </w:r>
    </w:p>
    <w:p w:rsidR="0074774A" w:rsidRDefault="0074774A" w:rsidP="0074774A">
      <w:pPr>
        <w:rPr>
          <w:lang w:eastAsia="ja-JP"/>
        </w:rPr>
      </w:pPr>
      <w:r>
        <w:t>In Study SPD503-314 DAE was reported for eight (7.5%) subjects in the AM group, eight (7.0%) in the PM and none in the placebo. Two (0.9%) subjects discontinued due to somnolence, two (0.9%) due to fatigue, and two (0.9%) due to syncope.</w:t>
      </w:r>
    </w:p>
    <w:p w:rsidR="0074774A" w:rsidRDefault="0074774A" w:rsidP="0074774A">
      <w:pPr>
        <w:rPr>
          <w:lang w:eastAsia="ja-JP"/>
        </w:rPr>
      </w:pPr>
      <w:r>
        <w:t>In Study SPD503-315 in the open label phase, DAEs was reported for 42 (8.0%) subjects. Somnolence in nine (1.7%), fatigue in five (1.0%), sedation in five (1.0%), dizziness in three (0.6%) and hypotension in three (0.6%). In the double blind phase, DAE was reported for three (1.9%) subjects in the guanfacine group and two (1.3%) in the placebo. No individual term was reported in more than one subject.</w:t>
      </w:r>
    </w:p>
    <w:p w:rsidR="0074774A" w:rsidRDefault="0074774A" w:rsidP="0074774A">
      <w:pPr>
        <w:rPr>
          <w:lang w:eastAsia="ja-JP"/>
        </w:rPr>
      </w:pPr>
      <w:r>
        <w:t>In Study SPD503-316 DAE was reported for nine (7.9%) subjects in the guanfacine group, one (0.9%) in the placebo and five (4.5%) in the atomoxetine. In the guanfacine group, three (2.6%) subjects discontinued due to somnolence, two (1.8%) due to irritability and two (1.8%) due to insomnia.</w:t>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r w:rsidRPr="00EC3AE0">
        <w:t>Other efficacy studies</w:t>
      </w:r>
    </w:p>
    <w:p w:rsidR="00886C19" w:rsidRDefault="0074774A" w:rsidP="0074774A">
      <w:pPr>
        <w:rPr>
          <w:lang w:eastAsia="ja-JP"/>
        </w:rPr>
      </w:pPr>
      <w:r>
        <w:rPr>
          <w:lang w:eastAsia="ja-JP"/>
        </w:rPr>
        <w:t>In Study SPD503-202 there was one (3.6%) subject with DAE in the guanfacine group (premature ventricular contractions) and one (3.7%) in the placebo (rash).</w:t>
      </w:r>
    </w:p>
    <w:p w:rsidR="00886C19" w:rsidRDefault="0074774A" w:rsidP="0074774A">
      <w:pPr>
        <w:autoSpaceDE w:val="0"/>
        <w:autoSpaceDN w:val="0"/>
        <w:adjustRightInd w:val="0"/>
        <w:spacing w:before="0" w:after="0" w:line="240" w:lineRule="auto"/>
        <w:rPr>
          <w:rFonts w:asciiTheme="minorHAnsi" w:hAnsiTheme="minorHAnsi"/>
        </w:rPr>
      </w:pPr>
      <w:r w:rsidRPr="00767385">
        <w:rPr>
          <w:rFonts w:asciiTheme="minorHAnsi" w:hAnsiTheme="minorHAnsi"/>
        </w:rPr>
        <w:t xml:space="preserve">In Study SPD503-205 DAE was reported for five (6.7%) subjects: </w:t>
      </w:r>
      <w:r w:rsidRPr="00767385">
        <w:rPr>
          <w:rFonts w:asciiTheme="minorHAnsi" w:eastAsiaTheme="minorHAnsi" w:hAnsiTheme="minorHAnsi" w:cs="Arial"/>
          <w:lang w:val="en-NZ"/>
        </w:rPr>
        <w:t>lethargy, dizziness, headache, somnolence, and rash NOS</w:t>
      </w:r>
      <w:r w:rsidRPr="00767385">
        <w:rPr>
          <w:rFonts w:asciiTheme="minorHAnsi" w:hAnsiTheme="minorHAnsi"/>
        </w:rPr>
        <w:t>.</w:t>
      </w:r>
    </w:p>
    <w:p w:rsidR="00886C19" w:rsidRDefault="0074774A" w:rsidP="0074774A">
      <w:r>
        <w:t>In Study SPD503-206 DAEs was reported for four (3.3%) subjects in the guanfacine group (fatigue/somnolence, pyrexia, viral syndrome, asthma exacerbation) and one (1.82%) in the placebo (essential hypertension).</w:t>
      </w:r>
    </w:p>
    <w:p w:rsidR="0074774A" w:rsidRDefault="0074774A" w:rsidP="0074774A">
      <w:pPr>
        <w:rPr>
          <w:lang w:eastAsia="ja-JP"/>
        </w:rPr>
      </w:pPr>
      <w:r>
        <w:t>In Study SPD503-303 DAE was reported for 50 (20.8%) subjects. Four (1.7%) subjects discontinued due to depression, nine (3.8%) due to somnolence, seven (2.9%) due to weight gain and five (2.1%) due to fatigue.</w:t>
      </w:r>
    </w:p>
    <w:p w:rsidR="0074774A" w:rsidRDefault="0074774A" w:rsidP="0074774A">
      <w:pPr>
        <w:rPr>
          <w:lang w:eastAsia="ja-JP"/>
        </w:rPr>
      </w:pPr>
      <w:r>
        <w:rPr>
          <w:lang w:eastAsia="ja-JP"/>
        </w:rPr>
        <w:t>In Study SPD503-305 DAE was reported for 31 (12.0%) subjects. Six (2.3%) subjects discontinued due to somnolence, three (1.2%) due to syncope and three (1.2%) due to depression.</w:t>
      </w:r>
    </w:p>
    <w:p w:rsidR="0074774A" w:rsidRDefault="0074774A" w:rsidP="0074774A">
      <w:pPr>
        <w:pStyle w:val="Heading6"/>
      </w:pPr>
      <w:r w:rsidRPr="00EC3AE0">
        <w:t>Studies evaluable for safety only</w:t>
      </w:r>
    </w:p>
    <w:p w:rsidR="0074774A" w:rsidRDefault="0074774A" w:rsidP="0074774A">
      <w:pPr>
        <w:rPr>
          <w:lang w:eastAsia="ja-JP"/>
        </w:rPr>
      </w:pPr>
      <w:bookmarkStart w:id="468" w:name="_Toc241374321"/>
      <w:bookmarkStart w:id="469" w:name="_Ref271044780"/>
      <w:bookmarkStart w:id="470" w:name="_Ref271196640"/>
      <w:bookmarkStart w:id="471" w:name="_Ref272333085"/>
      <w:bookmarkStart w:id="472" w:name="_Toc272414668"/>
      <w:bookmarkStart w:id="473" w:name="_Toc290888532"/>
      <w:bookmarkStart w:id="474" w:name="_Toc416353748"/>
      <w:bookmarkStart w:id="475" w:name="_Toc421005291"/>
      <w:bookmarkStart w:id="476" w:name="_Toc432079168"/>
      <w:bookmarkStart w:id="477" w:name="_Toc432080741"/>
      <w:r>
        <w:rPr>
          <w:lang w:eastAsia="ja-JP"/>
        </w:rPr>
        <w:t>In Study SPD503-201 (immediate release guanfacine up to 1.5 mg) one subject discontinued because of hypertension at the 1 mg dose level.</w:t>
      </w:r>
    </w:p>
    <w:p w:rsidR="0074774A" w:rsidRDefault="0074774A" w:rsidP="0074774A">
      <w:pPr>
        <w:rPr>
          <w:lang w:eastAsia="ja-JP"/>
        </w:rPr>
      </w:pPr>
      <w:r>
        <w:rPr>
          <w:lang w:eastAsia="ja-JP"/>
        </w:rPr>
        <w:t xml:space="preserve">In Study SPD503-318 DAE was reported for five (4.1%) subjects in the 6 to 12 years age group and two (2.6%) in the </w:t>
      </w:r>
      <w:r>
        <w:rPr>
          <w:rFonts w:ascii="Times New Roman" w:hAnsi="Times New Roman"/>
          <w:lang w:eastAsia="ja-JP"/>
        </w:rPr>
        <w:t xml:space="preserve">≥ </w:t>
      </w:r>
      <w:r>
        <w:rPr>
          <w:lang w:eastAsia="ja-JP"/>
        </w:rPr>
        <w:t>13 years age group. Somnolence and aggression were each recorded in two subjects.</w:t>
      </w:r>
    </w:p>
    <w:p w:rsidR="0074774A" w:rsidRDefault="0074774A" w:rsidP="0074774A">
      <w:pPr>
        <w:rPr>
          <w:lang w:eastAsia="ja-JP"/>
        </w:rPr>
      </w:pPr>
      <w:r>
        <w:rPr>
          <w:lang w:eastAsia="ja-JP"/>
        </w:rPr>
        <w:t>In Study SPD503-210 DAE was reported for eight (12.9%) subjects in the guanfacine group and none in the placebo. There were two reports of fatigue and two of dizziness.</w:t>
      </w:r>
    </w:p>
    <w:p w:rsidR="0074774A" w:rsidRPr="00545B14" w:rsidRDefault="0074774A" w:rsidP="0074774A">
      <w:pPr>
        <w:pStyle w:val="Heading3"/>
        <w:numPr>
          <w:ilvl w:val="1"/>
          <w:numId w:val="29"/>
        </w:numPr>
        <w:ind w:left="907" w:hanging="794"/>
      </w:pPr>
      <w:bookmarkStart w:id="478" w:name="_Toc505616998"/>
      <w:bookmarkStart w:id="479" w:name="_Toc513217712"/>
      <w:r>
        <w:lastRenderedPageBreak/>
        <w:t xml:space="preserve">Evaluation of issues </w:t>
      </w:r>
      <w:bookmarkEnd w:id="468"/>
      <w:bookmarkEnd w:id="469"/>
      <w:bookmarkEnd w:id="470"/>
      <w:bookmarkEnd w:id="471"/>
      <w:bookmarkEnd w:id="472"/>
      <w:bookmarkEnd w:id="473"/>
      <w:bookmarkEnd w:id="474"/>
      <w:bookmarkEnd w:id="475"/>
      <w:r>
        <w:t>with possible regulatory impact</w:t>
      </w:r>
      <w:bookmarkEnd w:id="476"/>
      <w:bookmarkEnd w:id="477"/>
      <w:bookmarkEnd w:id="478"/>
      <w:bookmarkEnd w:id="479"/>
    </w:p>
    <w:p w:rsidR="0074774A" w:rsidRPr="00545B14" w:rsidRDefault="0074774A" w:rsidP="0074774A">
      <w:pPr>
        <w:pStyle w:val="Heading4"/>
        <w:numPr>
          <w:ilvl w:val="2"/>
          <w:numId w:val="29"/>
        </w:numPr>
      </w:pPr>
      <w:bookmarkStart w:id="480" w:name="_Toc272414669"/>
      <w:bookmarkStart w:id="481" w:name="_Toc290888533"/>
      <w:bookmarkStart w:id="482" w:name="_Toc416353749"/>
      <w:bookmarkStart w:id="483" w:name="_Toc421005292"/>
      <w:bookmarkStart w:id="484" w:name="_Toc432079169"/>
      <w:bookmarkStart w:id="485" w:name="_Toc432080742"/>
      <w:r w:rsidRPr="00545B14">
        <w:t>Liver function</w:t>
      </w:r>
      <w:bookmarkEnd w:id="480"/>
      <w:bookmarkEnd w:id="481"/>
      <w:bookmarkEnd w:id="482"/>
      <w:bookmarkEnd w:id="483"/>
      <w:r>
        <w:t xml:space="preserve"> and liver toxicity</w:t>
      </w:r>
      <w:bookmarkEnd w:id="484"/>
      <w:bookmarkEnd w:id="485"/>
    </w:p>
    <w:p w:rsidR="0074774A" w:rsidRPr="002B7B05" w:rsidRDefault="0074774A" w:rsidP="0074774A">
      <w:pPr>
        <w:pStyle w:val="Heading5"/>
        <w:numPr>
          <w:ilvl w:val="3"/>
          <w:numId w:val="29"/>
        </w:numPr>
        <w:ind w:left="1304" w:hanging="1077"/>
      </w:pPr>
      <w:r>
        <w:t>I</w:t>
      </w:r>
      <w:r w:rsidRPr="002B7B05">
        <w:t>ntegrated safety analyses</w:t>
      </w:r>
    </w:p>
    <w:p w:rsidR="0074774A" w:rsidRDefault="0074774A" w:rsidP="0074774A">
      <w:pPr>
        <w:rPr>
          <w:lang w:eastAsia="ja-JP"/>
        </w:rPr>
      </w:pPr>
      <w:r>
        <w:rPr>
          <w:lang w:eastAsia="ja-JP"/>
        </w:rPr>
        <w:t>In the Summary of Clinical Safety the sponsor states ‘Overall, there were no clinically meaningful laboratory results observed during SPD503 studies’.</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r w:rsidRPr="00C2074B">
        <w:t>Pivotal and/or main efficacy studies</w:t>
      </w:r>
    </w:p>
    <w:p w:rsidR="0074774A" w:rsidRDefault="0074774A" w:rsidP="0074774A">
      <w:pPr>
        <w:rPr>
          <w:lang w:eastAsia="ja-JP"/>
        </w:rPr>
      </w:pPr>
      <w:r>
        <w:t xml:space="preserve">In Study SPD503-301 one (1%) subject in the guanfacine group had GGT </w:t>
      </w:r>
      <w:r>
        <w:rPr>
          <w:rFonts w:ascii="Times New Roman" w:hAnsi="Times New Roman"/>
        </w:rPr>
        <w:t xml:space="preserve">≥ </w:t>
      </w:r>
      <w:r>
        <w:t>3xULN. In Study SPD503-313 one subject in the guanfacine group had an elevation in AST.</w:t>
      </w:r>
    </w:p>
    <w:p w:rsidR="0074774A" w:rsidRDefault="0074774A" w:rsidP="0074774A">
      <w:r>
        <w:t xml:space="preserve">In Study SPD503-304, Study SPD-503-307, </w:t>
      </w:r>
      <w:r>
        <w:rPr>
          <w:lang w:eastAsia="ja-JP"/>
        </w:rPr>
        <w:t xml:space="preserve">Study SPD503-312, </w:t>
      </w:r>
      <w:r>
        <w:t>Study SPD503-314, Study SPD503-315 and Study SPD503-316 there were no clinically significant abnormalities in liver function.</w:t>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r w:rsidRPr="00EC3AE0">
        <w:t>Other efficacy studies</w:t>
      </w:r>
    </w:p>
    <w:p w:rsidR="0074774A" w:rsidRDefault="0074774A" w:rsidP="0074774A">
      <w:pPr>
        <w:rPr>
          <w:lang w:eastAsia="ja-JP"/>
        </w:rPr>
      </w:pPr>
      <w:r>
        <w:rPr>
          <w:lang w:eastAsia="ja-JP"/>
        </w:rPr>
        <w:t>In Study SPD503-202 there were no subjects with clinically significant abnormalities in liver function.</w:t>
      </w:r>
    </w:p>
    <w:p w:rsidR="0074774A" w:rsidRDefault="0074774A" w:rsidP="0074774A">
      <w:pPr>
        <w:rPr>
          <w:rFonts w:asciiTheme="minorHAnsi" w:hAnsiTheme="minorHAnsi"/>
        </w:rPr>
      </w:pPr>
      <w:r>
        <w:rPr>
          <w:lang w:eastAsia="ja-JP"/>
        </w:rPr>
        <w:t xml:space="preserve">In </w:t>
      </w:r>
      <w:r w:rsidRPr="00767385">
        <w:rPr>
          <w:rFonts w:asciiTheme="minorHAnsi" w:hAnsiTheme="minorHAnsi"/>
        </w:rPr>
        <w:t>Study SPD503-205</w:t>
      </w:r>
      <w:r>
        <w:rPr>
          <w:rFonts w:asciiTheme="minorHAnsi" w:hAnsiTheme="minorHAnsi"/>
        </w:rPr>
        <w:t xml:space="preserve"> one subject had elevated GGT.</w:t>
      </w:r>
    </w:p>
    <w:p w:rsidR="0074774A" w:rsidRDefault="0074774A" w:rsidP="0074774A">
      <w:pPr>
        <w:rPr>
          <w:rFonts w:asciiTheme="minorHAnsi" w:hAnsiTheme="minorHAnsi"/>
        </w:rPr>
      </w:pPr>
      <w:r>
        <w:rPr>
          <w:rFonts w:asciiTheme="minorHAnsi" w:hAnsiTheme="minorHAnsi"/>
        </w:rPr>
        <w:t>In Study SPD503-206 one subject in the guanfacine group had treatment emergent mildly elevated ALT.</w:t>
      </w:r>
    </w:p>
    <w:p w:rsidR="0074774A" w:rsidRDefault="0074774A" w:rsidP="0074774A">
      <w:pPr>
        <w:rPr>
          <w:lang w:eastAsia="ja-JP"/>
        </w:rPr>
      </w:pPr>
      <w:r>
        <w:rPr>
          <w:lang w:eastAsia="ja-JP"/>
        </w:rPr>
        <w:t xml:space="preserve">In Study SPD503-305 one subject had elevated ALT and </w:t>
      </w:r>
      <w:bookmarkStart w:id="486" w:name="_Toc272414670"/>
      <w:bookmarkStart w:id="487" w:name="_Toc290888534"/>
      <w:bookmarkStart w:id="488" w:name="_Toc416353750"/>
      <w:bookmarkStart w:id="489" w:name="_Toc421005293"/>
      <w:bookmarkStart w:id="490" w:name="_Toc432079170"/>
      <w:bookmarkStart w:id="491" w:name="_Toc432080743"/>
      <w:r>
        <w:rPr>
          <w:lang w:eastAsia="ja-JP"/>
        </w:rPr>
        <w:t>GGT that normalised post-study.</w:t>
      </w:r>
    </w:p>
    <w:p w:rsidR="0074774A" w:rsidRPr="00545B14" w:rsidRDefault="0074774A" w:rsidP="0074774A">
      <w:pPr>
        <w:pStyle w:val="Heading4"/>
        <w:numPr>
          <w:ilvl w:val="2"/>
          <w:numId w:val="29"/>
        </w:numPr>
      </w:pPr>
      <w:r>
        <w:t xml:space="preserve">Renal </w:t>
      </w:r>
      <w:r w:rsidRPr="00545B14">
        <w:t>function</w:t>
      </w:r>
      <w:bookmarkEnd w:id="486"/>
      <w:bookmarkEnd w:id="487"/>
      <w:bookmarkEnd w:id="488"/>
      <w:bookmarkEnd w:id="489"/>
      <w:r>
        <w:t xml:space="preserve"> and renal toxicity</w:t>
      </w:r>
      <w:bookmarkEnd w:id="490"/>
      <w:bookmarkEnd w:id="491"/>
    </w:p>
    <w:p w:rsidR="0074774A" w:rsidRPr="002B7B05" w:rsidRDefault="0074774A" w:rsidP="0074774A">
      <w:pPr>
        <w:pStyle w:val="Heading5"/>
        <w:numPr>
          <w:ilvl w:val="3"/>
          <w:numId w:val="29"/>
        </w:numPr>
        <w:ind w:left="1304" w:hanging="1077"/>
      </w:pPr>
      <w:r>
        <w:t>I</w:t>
      </w:r>
      <w:r w:rsidRPr="002B7B05">
        <w:t>ntegrated safety analyses</w:t>
      </w:r>
    </w:p>
    <w:p w:rsidR="0074774A" w:rsidRDefault="0074774A" w:rsidP="0074774A">
      <w:pPr>
        <w:rPr>
          <w:lang w:eastAsia="ja-JP"/>
        </w:rPr>
      </w:pPr>
      <w:r>
        <w:rPr>
          <w:lang w:eastAsia="ja-JP"/>
        </w:rPr>
        <w:t>There were no clinically significant abnormalities in renal function reported in the integrated safety analysis.</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r w:rsidRPr="00C2074B">
        <w:t>Pivotal and/or main efficacy studies</w:t>
      </w:r>
    </w:p>
    <w:p w:rsidR="00886C19" w:rsidRDefault="0074774A" w:rsidP="0074774A">
      <w:r>
        <w:t xml:space="preserve">In Study SPD503-301, Study SPD503-304, Study SPD-503-307, </w:t>
      </w:r>
      <w:r>
        <w:rPr>
          <w:lang w:eastAsia="ja-JP"/>
        </w:rPr>
        <w:t xml:space="preserve">Study SPD503-312, </w:t>
      </w:r>
      <w:r>
        <w:t>Study SPD503-313,</w:t>
      </w:r>
      <w:r>
        <w:rPr>
          <w:lang w:eastAsia="ja-JP"/>
        </w:rPr>
        <w:t xml:space="preserve"> </w:t>
      </w:r>
      <w:r>
        <w:t>Study SPD503-314 and Study SPD503-316 there were no reports of renal impairment.</w:t>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r w:rsidRPr="00EC3AE0">
        <w:t>Other efficacy studies</w:t>
      </w:r>
    </w:p>
    <w:p w:rsidR="0074774A" w:rsidRDefault="0074774A" w:rsidP="0074774A">
      <w:pPr>
        <w:rPr>
          <w:lang w:eastAsia="ja-JP"/>
        </w:rPr>
      </w:pPr>
      <w:r>
        <w:rPr>
          <w:lang w:eastAsia="ja-JP"/>
        </w:rPr>
        <w:t xml:space="preserve">Study SPD503-202, </w:t>
      </w:r>
      <w:r w:rsidRPr="00767385">
        <w:rPr>
          <w:rFonts w:asciiTheme="minorHAnsi" w:hAnsiTheme="minorHAnsi"/>
        </w:rPr>
        <w:t>Study SPD503-205</w:t>
      </w:r>
      <w:r>
        <w:rPr>
          <w:rFonts w:asciiTheme="minorHAnsi" w:hAnsiTheme="minorHAnsi"/>
        </w:rPr>
        <w:t>,</w:t>
      </w:r>
      <w:r w:rsidRPr="00767385">
        <w:rPr>
          <w:rFonts w:asciiTheme="minorHAnsi" w:hAnsiTheme="minorHAnsi"/>
        </w:rPr>
        <w:t xml:space="preserve"> </w:t>
      </w:r>
      <w:r>
        <w:rPr>
          <w:rFonts w:asciiTheme="minorHAnsi" w:hAnsiTheme="minorHAnsi"/>
        </w:rPr>
        <w:t xml:space="preserve">Study SPD503-206 and </w:t>
      </w:r>
      <w:r>
        <w:rPr>
          <w:lang w:eastAsia="ja-JP"/>
        </w:rPr>
        <w:t>Study SPD503-305</w:t>
      </w:r>
      <w:r>
        <w:rPr>
          <w:rFonts w:asciiTheme="minorHAnsi" w:hAnsiTheme="minorHAnsi"/>
        </w:rPr>
        <w:t xml:space="preserve"> </w:t>
      </w:r>
      <w:r>
        <w:rPr>
          <w:lang w:eastAsia="ja-JP"/>
        </w:rPr>
        <w:t>there were no subjects with clinically significant abnormalities in renal function.</w:t>
      </w:r>
    </w:p>
    <w:p w:rsidR="0074774A" w:rsidRDefault="0074774A" w:rsidP="0074774A">
      <w:pPr>
        <w:pStyle w:val="Heading4"/>
        <w:numPr>
          <w:ilvl w:val="2"/>
          <w:numId w:val="29"/>
        </w:numPr>
      </w:pPr>
      <w:bookmarkStart w:id="492" w:name="_Toc272414671"/>
      <w:bookmarkStart w:id="493" w:name="_Toc290888535"/>
      <w:bookmarkStart w:id="494" w:name="_Toc416353751"/>
      <w:bookmarkStart w:id="495" w:name="_Toc421005294"/>
      <w:bookmarkStart w:id="496" w:name="_Toc432079171"/>
      <w:bookmarkStart w:id="497" w:name="_Toc432080744"/>
      <w:r w:rsidRPr="00545B14">
        <w:t>Other clinical chemistry</w:t>
      </w:r>
      <w:bookmarkEnd w:id="492"/>
      <w:bookmarkEnd w:id="493"/>
      <w:bookmarkEnd w:id="494"/>
      <w:bookmarkEnd w:id="495"/>
      <w:bookmarkEnd w:id="496"/>
      <w:bookmarkEnd w:id="497"/>
    </w:p>
    <w:p w:rsidR="0074774A" w:rsidRPr="002B7B05" w:rsidRDefault="0074774A" w:rsidP="0074774A">
      <w:pPr>
        <w:pStyle w:val="Heading5"/>
        <w:numPr>
          <w:ilvl w:val="3"/>
          <w:numId w:val="29"/>
        </w:numPr>
        <w:ind w:left="1304" w:hanging="1077"/>
      </w:pPr>
      <w:r>
        <w:t>I</w:t>
      </w:r>
      <w:r w:rsidRPr="002B7B05">
        <w:t>ntegrated safety analyses</w:t>
      </w:r>
    </w:p>
    <w:p w:rsidR="0074774A" w:rsidRDefault="0074774A" w:rsidP="0074774A">
      <w:pPr>
        <w:rPr>
          <w:lang w:eastAsia="ja-JP"/>
        </w:rPr>
      </w:pPr>
      <w:r>
        <w:rPr>
          <w:lang w:eastAsia="ja-JP"/>
        </w:rPr>
        <w:t>There were no clinically significant abnormalities in clinical chemistry reported in the integrated safety analysis.</w:t>
      </w:r>
    </w:p>
    <w:p w:rsidR="0074774A" w:rsidRPr="00C2074B" w:rsidRDefault="0074774A" w:rsidP="0074774A">
      <w:pPr>
        <w:pStyle w:val="Heading5"/>
        <w:numPr>
          <w:ilvl w:val="3"/>
          <w:numId w:val="29"/>
        </w:numPr>
        <w:ind w:left="1304" w:hanging="1077"/>
      </w:pPr>
      <w:r>
        <w:lastRenderedPageBreak/>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r w:rsidRPr="00C2074B">
        <w:t>Pivotal and/or main efficacy studies</w:t>
      </w:r>
    </w:p>
    <w:p w:rsidR="00886C19" w:rsidRDefault="0074774A" w:rsidP="0074774A">
      <w:r>
        <w:t xml:space="preserve">In Study SPD503-301, Study SPD503-304, </w:t>
      </w:r>
      <w:r>
        <w:rPr>
          <w:lang w:eastAsia="ja-JP"/>
        </w:rPr>
        <w:t xml:space="preserve">Study SPD503-312, </w:t>
      </w:r>
      <w:r>
        <w:t>Study SPD503-314, Study SPD503-315 and Study SPD503-316 there were no clinically significant abnormalities in other clinical chemistry.</w:t>
      </w:r>
    </w:p>
    <w:p w:rsidR="0074774A" w:rsidRDefault="0074774A" w:rsidP="0074774A">
      <w:pPr>
        <w:rPr>
          <w:lang w:eastAsia="ja-JP"/>
        </w:rPr>
      </w:pPr>
      <w:r>
        <w:t>In Study SPD-503-307 two subjects in the guanfacine group had low TSH.</w:t>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r w:rsidRPr="00EC3AE0">
        <w:t>Other efficacy studies</w:t>
      </w:r>
    </w:p>
    <w:p w:rsidR="0074774A" w:rsidRDefault="0074774A" w:rsidP="0074774A">
      <w:pPr>
        <w:rPr>
          <w:lang w:eastAsia="ja-JP"/>
        </w:rPr>
      </w:pPr>
      <w:r>
        <w:rPr>
          <w:lang w:eastAsia="ja-JP"/>
        </w:rPr>
        <w:t xml:space="preserve">Study SPD503-202, </w:t>
      </w:r>
      <w:r>
        <w:rPr>
          <w:rFonts w:asciiTheme="minorHAnsi" w:hAnsiTheme="minorHAnsi"/>
        </w:rPr>
        <w:t xml:space="preserve">Study SPD503-206 and </w:t>
      </w:r>
      <w:r>
        <w:rPr>
          <w:lang w:eastAsia="ja-JP"/>
        </w:rPr>
        <w:t>Study SPD503-305 there were no subjects with clinically significant abnormalities in other clinical chemistry parameters.</w:t>
      </w:r>
    </w:p>
    <w:p w:rsidR="0074774A" w:rsidRDefault="0074774A" w:rsidP="0074774A">
      <w:pPr>
        <w:rPr>
          <w:lang w:eastAsia="ja-JP"/>
        </w:rPr>
      </w:pPr>
      <w:r w:rsidRPr="00767385">
        <w:rPr>
          <w:rFonts w:asciiTheme="minorHAnsi" w:hAnsiTheme="minorHAnsi"/>
        </w:rPr>
        <w:t>In Study SPD503-205</w:t>
      </w:r>
      <w:r>
        <w:rPr>
          <w:rFonts w:asciiTheme="minorHAnsi" w:hAnsiTheme="minorHAnsi"/>
        </w:rPr>
        <w:t xml:space="preserve"> on subject had decreased TSH.</w:t>
      </w:r>
    </w:p>
    <w:p w:rsidR="0074774A" w:rsidRPr="00545B14" w:rsidRDefault="0074774A" w:rsidP="0074774A">
      <w:pPr>
        <w:pStyle w:val="Heading4"/>
        <w:numPr>
          <w:ilvl w:val="2"/>
          <w:numId w:val="29"/>
        </w:numPr>
      </w:pPr>
      <w:bookmarkStart w:id="498" w:name="_Toc272414672"/>
      <w:bookmarkStart w:id="499" w:name="_Toc290888536"/>
      <w:bookmarkStart w:id="500" w:name="_Toc416353752"/>
      <w:bookmarkStart w:id="501" w:name="_Toc421005295"/>
      <w:bookmarkStart w:id="502" w:name="_Toc432079172"/>
      <w:bookmarkStart w:id="503" w:name="_Toc432080745"/>
      <w:r w:rsidRPr="00545B14">
        <w:t>Haematology</w:t>
      </w:r>
      <w:bookmarkEnd w:id="498"/>
      <w:bookmarkEnd w:id="499"/>
      <w:bookmarkEnd w:id="500"/>
      <w:bookmarkEnd w:id="501"/>
      <w:r>
        <w:t xml:space="preserve"> and haematological toxicity</w:t>
      </w:r>
      <w:bookmarkEnd w:id="502"/>
      <w:bookmarkEnd w:id="503"/>
    </w:p>
    <w:p w:rsidR="0074774A" w:rsidRPr="002B7B05" w:rsidRDefault="0074774A" w:rsidP="0074774A">
      <w:pPr>
        <w:pStyle w:val="Heading5"/>
        <w:numPr>
          <w:ilvl w:val="3"/>
          <w:numId w:val="29"/>
        </w:numPr>
        <w:ind w:left="1304" w:hanging="1077"/>
      </w:pPr>
      <w:r>
        <w:t>I</w:t>
      </w:r>
      <w:r w:rsidRPr="002B7B05">
        <w:t>ntegrated safety analyses</w:t>
      </w:r>
    </w:p>
    <w:p w:rsidR="0074774A" w:rsidRDefault="0074774A" w:rsidP="0074774A">
      <w:pPr>
        <w:rPr>
          <w:lang w:eastAsia="ja-JP"/>
        </w:rPr>
      </w:pPr>
      <w:r>
        <w:rPr>
          <w:lang w:eastAsia="ja-JP"/>
        </w:rPr>
        <w:t>There were no clinically significant abnormalities in haematology reported in the integrated safety analysis.</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r w:rsidRPr="00C2074B">
        <w:t>Pivotal and/or main efficacy studies</w:t>
      </w:r>
    </w:p>
    <w:p w:rsidR="00886C19" w:rsidRDefault="0074774A" w:rsidP="0074774A">
      <w:r>
        <w:t xml:space="preserve">In Study SPD503-301, Study SPD503-304, Study SPD-503-307, </w:t>
      </w:r>
      <w:r>
        <w:rPr>
          <w:lang w:eastAsia="ja-JP"/>
        </w:rPr>
        <w:t xml:space="preserve">Study SPD503-312, </w:t>
      </w:r>
      <w:r>
        <w:t>Study SPD503-314, Study SPD503-315 and Study SPD503-316 there were no clinically significant abnormalities in haematology.</w:t>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r w:rsidRPr="00EC3AE0">
        <w:t>Other efficacy studies</w:t>
      </w:r>
    </w:p>
    <w:p w:rsidR="0074774A" w:rsidRDefault="0074774A" w:rsidP="0074774A">
      <w:pPr>
        <w:rPr>
          <w:lang w:eastAsia="ja-JP"/>
        </w:rPr>
      </w:pPr>
      <w:r>
        <w:rPr>
          <w:lang w:eastAsia="ja-JP"/>
        </w:rPr>
        <w:t xml:space="preserve">Study SPD503-202, </w:t>
      </w:r>
      <w:r w:rsidRPr="00767385">
        <w:rPr>
          <w:rFonts w:asciiTheme="minorHAnsi" w:hAnsiTheme="minorHAnsi"/>
        </w:rPr>
        <w:t>Study SPD503-205</w:t>
      </w:r>
      <w:r>
        <w:rPr>
          <w:rFonts w:asciiTheme="minorHAnsi" w:hAnsiTheme="minorHAnsi"/>
        </w:rPr>
        <w:t>,</w:t>
      </w:r>
      <w:r>
        <w:rPr>
          <w:lang w:eastAsia="ja-JP"/>
        </w:rPr>
        <w:t xml:space="preserve"> </w:t>
      </w:r>
      <w:r>
        <w:rPr>
          <w:rFonts w:asciiTheme="minorHAnsi" w:hAnsiTheme="minorHAnsi"/>
        </w:rPr>
        <w:t xml:space="preserve">Study SPD503-206 and </w:t>
      </w:r>
      <w:r>
        <w:rPr>
          <w:lang w:eastAsia="ja-JP"/>
        </w:rPr>
        <w:t>Study SPD503-305</w:t>
      </w:r>
      <w:r>
        <w:rPr>
          <w:rFonts w:asciiTheme="minorHAnsi" w:hAnsiTheme="minorHAnsi"/>
        </w:rPr>
        <w:t xml:space="preserve"> </w:t>
      </w:r>
      <w:r>
        <w:rPr>
          <w:lang w:eastAsia="ja-JP"/>
        </w:rPr>
        <w:t>there were no subjects with clinically significant abnormalities in haematology parameters.</w:t>
      </w:r>
    </w:p>
    <w:p w:rsidR="0074774A" w:rsidRDefault="0074774A" w:rsidP="0074774A">
      <w:pPr>
        <w:rPr>
          <w:lang w:eastAsia="ja-JP"/>
        </w:rPr>
      </w:pPr>
      <w:r>
        <w:t>In Study SPD503-303 one subjects had a high WBC reported as an AE.</w:t>
      </w:r>
    </w:p>
    <w:p w:rsidR="0074774A" w:rsidRPr="00545B14" w:rsidRDefault="0074774A" w:rsidP="0074774A">
      <w:pPr>
        <w:pStyle w:val="Heading4"/>
        <w:numPr>
          <w:ilvl w:val="2"/>
          <w:numId w:val="29"/>
        </w:numPr>
      </w:pPr>
      <w:bookmarkStart w:id="504" w:name="_Toc272414674"/>
      <w:bookmarkStart w:id="505" w:name="_Toc290888538"/>
      <w:bookmarkStart w:id="506" w:name="_Toc416353753"/>
      <w:bookmarkStart w:id="507" w:name="_Toc421005296"/>
      <w:bookmarkStart w:id="508" w:name="_Toc432079173"/>
      <w:bookmarkStart w:id="509" w:name="_Toc432080746"/>
      <w:r w:rsidRPr="00545B14">
        <w:t>Other laboratory test</w:t>
      </w:r>
      <w:bookmarkEnd w:id="504"/>
      <w:bookmarkEnd w:id="505"/>
      <w:bookmarkEnd w:id="506"/>
      <w:bookmarkEnd w:id="507"/>
      <w:bookmarkEnd w:id="508"/>
      <w:bookmarkEnd w:id="509"/>
      <w:r>
        <w:t>s</w:t>
      </w:r>
    </w:p>
    <w:p w:rsidR="0074774A" w:rsidRDefault="0074774A" w:rsidP="0074774A">
      <w:pPr>
        <w:rPr>
          <w:lang w:eastAsia="ja-JP"/>
        </w:rPr>
      </w:pPr>
      <w:bookmarkStart w:id="510" w:name="_Toc272414675"/>
      <w:bookmarkStart w:id="511" w:name="_Toc290888539"/>
      <w:bookmarkStart w:id="512" w:name="_Toc416353754"/>
      <w:bookmarkStart w:id="513" w:name="_Toc421005297"/>
      <w:bookmarkStart w:id="514" w:name="_Toc432079174"/>
      <w:bookmarkStart w:id="515" w:name="_Toc432080747"/>
      <w:r>
        <w:rPr>
          <w:lang w:eastAsia="ja-JP"/>
        </w:rPr>
        <w:t>There were no clinically significant abnormalities in other laboratory tests reported in the integrated safety analysis.</w:t>
      </w:r>
    </w:p>
    <w:p w:rsidR="0074774A" w:rsidRPr="00545B14" w:rsidRDefault="0074774A" w:rsidP="0074774A">
      <w:pPr>
        <w:pStyle w:val="Heading4"/>
        <w:numPr>
          <w:ilvl w:val="2"/>
          <w:numId w:val="29"/>
        </w:numPr>
      </w:pPr>
      <w:r w:rsidRPr="00545B14">
        <w:t>Electrocardiograph</w:t>
      </w:r>
      <w:bookmarkEnd w:id="510"/>
      <w:bookmarkEnd w:id="511"/>
      <w:bookmarkEnd w:id="512"/>
      <w:bookmarkEnd w:id="513"/>
      <w:r>
        <w:t xml:space="preserve"> findings and cardiovascular safety</w:t>
      </w:r>
      <w:bookmarkEnd w:id="514"/>
      <w:bookmarkEnd w:id="515"/>
    </w:p>
    <w:p w:rsidR="0074774A" w:rsidRPr="002B7B05" w:rsidRDefault="0074774A" w:rsidP="0074774A">
      <w:pPr>
        <w:pStyle w:val="Heading5"/>
        <w:numPr>
          <w:ilvl w:val="3"/>
          <w:numId w:val="29"/>
        </w:numPr>
        <w:ind w:left="1304" w:hanging="1077"/>
      </w:pPr>
      <w:bookmarkStart w:id="516" w:name="_Integrated_safety_analyses_1"/>
      <w:bookmarkEnd w:id="516"/>
      <w:r>
        <w:t>I</w:t>
      </w:r>
      <w:r w:rsidRPr="002B7B05">
        <w:t>ntegrated safety analyses</w:t>
      </w:r>
    </w:p>
    <w:p w:rsidR="0074774A" w:rsidRDefault="0074774A" w:rsidP="0074774A">
      <w:pPr>
        <w:rPr>
          <w:lang w:eastAsia="ja-JP"/>
        </w:rPr>
      </w:pPr>
      <w:r>
        <w:rPr>
          <w:lang w:eastAsia="ja-JP"/>
        </w:rPr>
        <w:t>Overall, there were few clinically significant ECG changes on treatment and no apparent differences between guanfacine and placebo with the exception of a higher rate of bradycardia with guanfacine.</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bookmarkStart w:id="517" w:name="_Pivotal_and/or_main_4"/>
      <w:bookmarkEnd w:id="517"/>
      <w:r w:rsidRPr="00C2074B">
        <w:t>Pivotal and/or main efficacy studies</w:t>
      </w:r>
    </w:p>
    <w:p w:rsidR="0074774A" w:rsidRDefault="0074774A" w:rsidP="0074774A">
      <w:r>
        <w:t xml:space="preserve">In Study SPD503-301 discontinuation due to prolonged QTc was reported for three (1.2%) subjects in the guanfacine group and one (1.2%) in the placebo. There was a dose dependent </w:t>
      </w:r>
      <w:r>
        <w:lastRenderedPageBreak/>
        <w:t xml:space="preserve">increase in QTcF, with the greatest mean (SD) increase in the 4 mg group of 9.1 (16.12) msec (Table 37). There was no significant increase in mean QTcB. No subject had an increase from baseline in QTcF </w:t>
      </w:r>
      <w:r>
        <w:rPr>
          <w:rFonts w:ascii="Times New Roman" w:hAnsi="Times New Roman"/>
        </w:rPr>
        <w:t xml:space="preserve">≥ </w:t>
      </w:r>
      <w:r>
        <w:t xml:space="preserve">60 msec. One subject in the 2 mg group had an increase from baseline in QTcB of </w:t>
      </w:r>
      <w:r>
        <w:rPr>
          <w:rFonts w:ascii="Times New Roman" w:hAnsi="Times New Roman"/>
        </w:rPr>
        <w:t xml:space="preserve">≥ </w:t>
      </w:r>
      <w:r>
        <w:t xml:space="preserve">60 msec. No subject had a QTcB </w:t>
      </w:r>
      <w:r>
        <w:rPr>
          <w:rFonts w:ascii="Times New Roman" w:hAnsi="Times New Roman"/>
        </w:rPr>
        <w:t xml:space="preserve">≥ </w:t>
      </w:r>
      <w:r>
        <w:t xml:space="preserve">480 msec or QTcF </w:t>
      </w:r>
      <w:r>
        <w:rPr>
          <w:rFonts w:ascii="Times New Roman" w:hAnsi="Times New Roman"/>
        </w:rPr>
        <w:t xml:space="preserve">≥ </w:t>
      </w:r>
      <w:r>
        <w:t xml:space="preserve">500 msec. In the follow-on study, Study SPD503-303, no subject had an increase in QTcB or QTcF </w:t>
      </w:r>
      <w:r>
        <w:rPr>
          <w:rFonts w:ascii="Times New Roman" w:hAnsi="Times New Roman"/>
        </w:rPr>
        <w:t xml:space="preserve">≥ </w:t>
      </w:r>
      <w:r>
        <w:t xml:space="preserve">60 msec, or QTcB or QTcF </w:t>
      </w:r>
      <w:r>
        <w:rPr>
          <w:rFonts w:ascii="Times New Roman" w:hAnsi="Times New Roman"/>
        </w:rPr>
        <w:t xml:space="preserve">≥ </w:t>
      </w:r>
      <w:r>
        <w:t>500 msec.</w:t>
      </w:r>
    </w:p>
    <w:p w:rsidR="0074774A" w:rsidRPr="0069538C" w:rsidRDefault="0074774A" w:rsidP="0074774A">
      <w:pPr>
        <w:pStyle w:val="Tabletitle"/>
        <w:rPr>
          <w:lang w:eastAsia="ja-JP"/>
        </w:rPr>
      </w:pPr>
      <w:bookmarkStart w:id="518" w:name="Table_8_5_6_3_1"/>
      <w:r>
        <w:rPr>
          <w:lang w:eastAsia="ja-JP"/>
        </w:rPr>
        <w:t>Table 37:</w:t>
      </w:r>
      <w:bookmarkEnd w:id="518"/>
      <w:r>
        <w:rPr>
          <w:lang w:eastAsia="ja-JP"/>
        </w:rPr>
        <w:t xml:space="preserve"> </w:t>
      </w:r>
      <w:r w:rsidRPr="0069538C">
        <w:rPr>
          <w:lang w:val="en-NZ"/>
        </w:rPr>
        <w:t>QTcB and QTcF Data by Actual Dose at the Time of the ECG Assessment (Safety Population) (copied from Table 53, Study SPD503-301 CSR)</w:t>
      </w:r>
    </w:p>
    <w:p w:rsidR="0074774A" w:rsidRDefault="0074774A" w:rsidP="0074774A">
      <w:pPr>
        <w:rPr>
          <w:lang w:eastAsia="ja-JP"/>
        </w:rPr>
      </w:pPr>
      <w:r>
        <w:rPr>
          <w:noProof/>
          <w:lang w:eastAsia="en-AU"/>
        </w:rPr>
        <w:drawing>
          <wp:inline distT="0" distB="0" distL="0" distR="0" wp14:anchorId="0CC9EB62" wp14:editId="3957D4E3">
            <wp:extent cx="5572800" cy="2613875"/>
            <wp:effectExtent l="0" t="0" r="8890" b="0"/>
            <wp:docPr id="94" name="Picture 94" descr="Table 37: QTcB and QTcF Data by Actual Dose at the Time of the ECG Assessment (Safety Population) (copied from Table 53, Study SPD503-3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5577697" cy="2616172"/>
                    </a:xfrm>
                    <a:prstGeom prst="rect">
                      <a:avLst/>
                    </a:prstGeom>
                    <a:noFill/>
                    <a:ln>
                      <a:noFill/>
                    </a:ln>
                  </pic:spPr>
                </pic:pic>
              </a:graphicData>
            </a:graphic>
          </wp:inline>
        </w:drawing>
      </w:r>
    </w:p>
    <w:p w:rsidR="00886C19" w:rsidRDefault="0074774A" w:rsidP="0074774A">
      <w:r>
        <w:t xml:space="preserve">In Study SPD503-304 there was a dose related increase in mean QTcF in the guanfacine group at Week 6: mean (SD) change from baseline 4.3 (12.74) msec for 1 mg, 2.4 (12.32) msec for 2 mg, 7.1 (12.75) msec for 3 mg, 9.7 (15.92) msec for 4 mg and -0.3 (16.31) msec for placebo. There was no corresponding dose related increase in QTcB: mean (SD) change from baseline 1.3 (15.29) msec for 1 mg, -3.1 (15.50) msec for 2 mg, 1.8 (13.28) msec for 3 mg, -2.2 (16.74) msec for 4 mg and -2.7 (17.42) msec for placebo. No subject had an increase in QTcB or QTcF </w:t>
      </w:r>
      <w:r>
        <w:rPr>
          <w:rFonts w:ascii="Times New Roman" w:hAnsi="Times New Roman"/>
        </w:rPr>
        <w:t xml:space="preserve">≥ </w:t>
      </w:r>
      <w:r>
        <w:t xml:space="preserve">60 msec, or QTcB or QTcF </w:t>
      </w:r>
      <w:r>
        <w:rPr>
          <w:rFonts w:ascii="Times New Roman" w:hAnsi="Times New Roman"/>
        </w:rPr>
        <w:t xml:space="preserve">≥ </w:t>
      </w:r>
      <w:r>
        <w:t xml:space="preserve">500 msec. </w:t>
      </w:r>
      <w:r>
        <w:rPr>
          <w:lang w:eastAsia="ja-JP"/>
        </w:rPr>
        <w:t xml:space="preserve">In the follow-on study, Study SPD503-305, the </w:t>
      </w:r>
      <w:r>
        <w:t xml:space="preserve">mean (SD) change from baseline in QTcF was 2.2 (13.19) msec for 1 mg, 6.0 (16.24) msec for 2 mg, 5.9 (15.24) msec for 3 mg, and 7.5 (16.69) msec for 4 mg. There was no significant change in QTcB. No subject had an increase in QTcB or QTcF </w:t>
      </w:r>
      <w:r>
        <w:rPr>
          <w:rFonts w:ascii="Times New Roman" w:hAnsi="Times New Roman"/>
        </w:rPr>
        <w:t xml:space="preserve">≥ </w:t>
      </w:r>
      <w:r>
        <w:t xml:space="preserve">60 msec, or QTcB or QTcF </w:t>
      </w:r>
      <w:r>
        <w:rPr>
          <w:rFonts w:ascii="Times New Roman" w:hAnsi="Times New Roman"/>
        </w:rPr>
        <w:t xml:space="preserve">≥ </w:t>
      </w:r>
      <w:r>
        <w:t>500 msec.</w:t>
      </w:r>
    </w:p>
    <w:p w:rsidR="00886C19" w:rsidRDefault="0074774A" w:rsidP="0074774A">
      <w:r>
        <w:t xml:space="preserve">In Study SPD-503-307 QTcF increased by a mean (SD) of 5.2 (15.74) msec and QTcB decreased by a mean of 5.6 (21.58) msec. No subject in the guanfacine group had an increase in QTcB or QTcF </w:t>
      </w:r>
      <w:r>
        <w:rPr>
          <w:rFonts w:ascii="Times New Roman" w:hAnsi="Times New Roman"/>
        </w:rPr>
        <w:t xml:space="preserve">≥ </w:t>
      </w:r>
      <w:r>
        <w:t xml:space="preserve">60 msec, or QTcB or QTcF </w:t>
      </w:r>
      <w:r>
        <w:rPr>
          <w:rFonts w:ascii="Times New Roman" w:hAnsi="Times New Roman"/>
        </w:rPr>
        <w:t xml:space="preserve">≥ </w:t>
      </w:r>
      <w:r>
        <w:t>500 msec.</w:t>
      </w:r>
    </w:p>
    <w:p w:rsidR="0074774A" w:rsidRDefault="0074774A" w:rsidP="0074774A">
      <w:r>
        <w:rPr>
          <w:lang w:eastAsia="ja-JP"/>
        </w:rPr>
        <w:t xml:space="preserve">In Study SPD503-312 </w:t>
      </w:r>
      <w:r>
        <w:t xml:space="preserve">no subject in the guanfacine group had an increase in QTcB, or QTcB or QTcF </w:t>
      </w:r>
      <w:r>
        <w:rPr>
          <w:rFonts w:ascii="Times New Roman" w:hAnsi="Times New Roman"/>
        </w:rPr>
        <w:t xml:space="preserve">≥ </w:t>
      </w:r>
      <w:r>
        <w:t xml:space="preserve">500 msec. One subject had an increase in QTcF </w:t>
      </w:r>
      <w:r>
        <w:rPr>
          <w:rFonts w:ascii="Times New Roman" w:hAnsi="Times New Roman"/>
        </w:rPr>
        <w:t xml:space="preserve">≥ </w:t>
      </w:r>
      <w:r>
        <w:t>60 msec.</w:t>
      </w:r>
    </w:p>
    <w:p w:rsidR="00886C19" w:rsidRDefault="0074774A" w:rsidP="0074774A">
      <w:r>
        <w:t xml:space="preserve">In Study SPD503-313 one subjects in the guanfacine group discontinued because of nodal rhythm. No subject in the guanfacine group had an increase in QTcB or QTcF </w:t>
      </w:r>
      <w:r>
        <w:rPr>
          <w:rFonts w:ascii="Times New Roman" w:hAnsi="Times New Roman"/>
        </w:rPr>
        <w:t xml:space="preserve">≥ </w:t>
      </w:r>
      <w:r>
        <w:t xml:space="preserve">60 msec, or QTcB or QTcF </w:t>
      </w:r>
      <w:r>
        <w:rPr>
          <w:rFonts w:ascii="Times New Roman" w:hAnsi="Times New Roman"/>
        </w:rPr>
        <w:t xml:space="preserve">≥ </w:t>
      </w:r>
      <w:r>
        <w:t>500 msec.</w:t>
      </w:r>
    </w:p>
    <w:p w:rsidR="00886C19" w:rsidRDefault="0074774A" w:rsidP="0074774A">
      <w:r>
        <w:t xml:space="preserve">In Study SPD503-314 no subject in the guanfacine group had a QTcB or QTcF </w:t>
      </w:r>
      <w:r>
        <w:rPr>
          <w:rFonts w:ascii="Times New Roman" w:hAnsi="Times New Roman"/>
        </w:rPr>
        <w:t xml:space="preserve">≥ </w:t>
      </w:r>
      <w:r>
        <w:t>500 msec.</w:t>
      </w:r>
    </w:p>
    <w:p w:rsidR="00886C19" w:rsidRDefault="0074774A" w:rsidP="0074774A">
      <w:r>
        <w:t xml:space="preserve">In Study SPD503-315 no subject in the guanfacine group had an increase in QTcB or QTcF </w:t>
      </w:r>
      <w:r>
        <w:rPr>
          <w:rFonts w:ascii="Times New Roman" w:hAnsi="Times New Roman"/>
        </w:rPr>
        <w:t xml:space="preserve">≥ </w:t>
      </w:r>
      <w:r>
        <w:t xml:space="preserve">60 msec, or QTcB or QTcF </w:t>
      </w:r>
      <w:r>
        <w:rPr>
          <w:rFonts w:ascii="Times New Roman" w:hAnsi="Times New Roman"/>
        </w:rPr>
        <w:t xml:space="preserve">≥ </w:t>
      </w:r>
      <w:r>
        <w:t>500 msec.</w:t>
      </w:r>
    </w:p>
    <w:p w:rsidR="0074774A" w:rsidRPr="00622A7B" w:rsidRDefault="0074774A" w:rsidP="0074774A">
      <w:r>
        <w:t xml:space="preserve">In Study SPD503-316 no subject in the guanfacine group had an increase in QTcB or QTcF </w:t>
      </w:r>
      <w:r>
        <w:rPr>
          <w:rFonts w:ascii="Times New Roman" w:hAnsi="Times New Roman"/>
        </w:rPr>
        <w:t xml:space="preserve">≥ </w:t>
      </w:r>
      <w:r>
        <w:t xml:space="preserve">60 msec, or QTcB or QTcF </w:t>
      </w:r>
      <w:r>
        <w:rPr>
          <w:rFonts w:ascii="Times New Roman" w:hAnsi="Times New Roman"/>
        </w:rPr>
        <w:t xml:space="preserve">≥ </w:t>
      </w:r>
      <w:r>
        <w:t xml:space="preserve">500 msec. One subject in the atomoxetine group had an increase in QTcB </w:t>
      </w:r>
      <w:r>
        <w:rPr>
          <w:rFonts w:ascii="Times New Roman" w:hAnsi="Times New Roman"/>
        </w:rPr>
        <w:t xml:space="preserve">≥ </w:t>
      </w:r>
      <w:r>
        <w:t>60 msec.</w:t>
      </w:r>
    </w:p>
    <w:p w:rsidR="0074774A" w:rsidRPr="00C2074B" w:rsidRDefault="0074774A" w:rsidP="0074774A">
      <w:pPr>
        <w:pStyle w:val="Heading5"/>
        <w:numPr>
          <w:ilvl w:val="3"/>
          <w:numId w:val="29"/>
        </w:numPr>
        <w:ind w:left="1304" w:hanging="1077"/>
      </w:pPr>
      <w:r w:rsidRPr="00C2074B">
        <w:lastRenderedPageBreak/>
        <w:t>Other studies</w:t>
      </w:r>
    </w:p>
    <w:p w:rsidR="0074774A" w:rsidRPr="00EC3AE0" w:rsidRDefault="0074774A" w:rsidP="0074774A">
      <w:pPr>
        <w:pStyle w:val="Heading6"/>
      </w:pPr>
      <w:bookmarkStart w:id="519" w:name="_Other_efficacy_studies_1"/>
      <w:bookmarkEnd w:id="519"/>
      <w:r w:rsidRPr="00EC3AE0">
        <w:t>Other efficacy studies</w:t>
      </w:r>
    </w:p>
    <w:p w:rsidR="0074774A" w:rsidRDefault="0074774A" w:rsidP="0074774A">
      <w:pPr>
        <w:rPr>
          <w:lang w:eastAsia="ja-JP"/>
        </w:rPr>
      </w:pPr>
      <w:r>
        <w:rPr>
          <w:lang w:eastAsia="ja-JP"/>
        </w:rPr>
        <w:t>In Study SPD503-202 there were no subjects with clinically significant abnormalities in haematology parameters. Mean QTc decreased with treatment in the guanfacine group (Figure 1). There were 27 ECGs from subjects in the guanfacine group with prolongation of QTc &gt;59 msec from baseline, and 14 of these ECGs were from the off-treatment period.</w:t>
      </w:r>
    </w:p>
    <w:p w:rsidR="0074774A" w:rsidRPr="00851695" w:rsidRDefault="0074774A" w:rsidP="0074774A">
      <w:pPr>
        <w:pStyle w:val="FigureTitle"/>
        <w:rPr>
          <w:lang w:eastAsia="ja-JP"/>
        </w:rPr>
      </w:pPr>
      <w:bookmarkStart w:id="520" w:name="Figure_8_5_6_4_2"/>
      <w:r>
        <w:rPr>
          <w:lang w:eastAsia="ja-JP"/>
        </w:rPr>
        <w:t>Figure 1</w:t>
      </w:r>
      <w:bookmarkEnd w:id="520"/>
      <w:r>
        <w:rPr>
          <w:lang w:eastAsia="ja-JP"/>
        </w:rPr>
        <w:t xml:space="preserve">: </w:t>
      </w:r>
      <w:r w:rsidRPr="00851695">
        <w:rPr>
          <w:lang w:val="en-NZ"/>
        </w:rPr>
        <w:t>Mean QTc</w:t>
      </w:r>
      <w:r>
        <w:rPr>
          <w:lang w:val="en-NZ"/>
        </w:rPr>
        <w:t xml:space="preserve"> </w:t>
      </w:r>
      <w:r w:rsidRPr="00851695">
        <w:rPr>
          <w:lang w:val="en-NZ"/>
        </w:rPr>
        <w:t>(Bazett) Intervals versus Visit/Time Point for All Randomized Subjects (copied from Figure 17, Study SPD503-202 CSR)</w:t>
      </w:r>
    </w:p>
    <w:p w:rsidR="0074774A" w:rsidRDefault="0074774A" w:rsidP="0074774A">
      <w:pPr>
        <w:rPr>
          <w:lang w:eastAsia="ja-JP"/>
        </w:rPr>
      </w:pPr>
      <w:r w:rsidRPr="00851695">
        <w:rPr>
          <w:noProof/>
          <w:lang w:eastAsia="en-AU"/>
        </w:rPr>
        <w:drawing>
          <wp:inline distT="0" distB="0" distL="0" distR="0" wp14:anchorId="798ECA79" wp14:editId="75FA8521">
            <wp:extent cx="4859580" cy="2678400"/>
            <wp:effectExtent l="0" t="0" r="0" b="8255"/>
            <wp:docPr id="57" name="Picture 57" descr="Figure 1: Mean QTc (Bazett) Intervals versus Visit/Time Point for All Randomized Subjects (copied from Figure 17, Study SPD503-2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67858" cy="2682963"/>
                    </a:xfrm>
                    <a:prstGeom prst="rect">
                      <a:avLst/>
                    </a:prstGeom>
                    <a:noFill/>
                    <a:ln>
                      <a:noFill/>
                    </a:ln>
                  </pic:spPr>
                </pic:pic>
              </a:graphicData>
            </a:graphic>
          </wp:inline>
        </w:drawing>
      </w:r>
    </w:p>
    <w:p w:rsidR="0074774A" w:rsidRDefault="0074774A" w:rsidP="0074774A">
      <w:pPr>
        <w:rPr>
          <w:rFonts w:asciiTheme="minorHAnsi" w:hAnsiTheme="minorHAnsi"/>
        </w:rPr>
      </w:pPr>
      <w:r w:rsidRPr="00767385">
        <w:rPr>
          <w:rFonts w:asciiTheme="minorHAnsi" w:hAnsiTheme="minorHAnsi"/>
        </w:rPr>
        <w:t>In Study SPD503-205</w:t>
      </w:r>
      <w:r>
        <w:rPr>
          <w:rFonts w:asciiTheme="minorHAnsi" w:hAnsiTheme="minorHAnsi"/>
        </w:rPr>
        <w:t xml:space="preserve"> no subject had a post-baseline increase in QTcB or QTcF </w:t>
      </w:r>
      <w:r>
        <w:rPr>
          <w:rFonts w:ascii="Times New Roman" w:hAnsi="Times New Roman"/>
        </w:rPr>
        <w:t xml:space="preserve">≥ </w:t>
      </w:r>
      <w:r>
        <w:rPr>
          <w:rFonts w:asciiTheme="minorHAnsi" w:hAnsiTheme="minorHAnsi"/>
        </w:rPr>
        <w:t>60 msec.</w:t>
      </w:r>
    </w:p>
    <w:p w:rsidR="0074774A" w:rsidRDefault="0074774A" w:rsidP="0074774A">
      <w:pPr>
        <w:rPr>
          <w:lang w:eastAsia="ja-JP"/>
        </w:rPr>
      </w:pPr>
      <w:r>
        <w:rPr>
          <w:rFonts w:asciiTheme="minorHAnsi" w:hAnsiTheme="minorHAnsi"/>
        </w:rPr>
        <w:t>In Study SPD503-206 in the guanfacine group the mean (SD) increase in QTcP was 11.6 (13.65) msec, QTcB was 0.7 (16.41) msec and QTcF was 11.4 (13.49) msec. No subject had an increase in either QTcB or QTcF of ≥ 60 msec.</w:t>
      </w:r>
    </w:p>
    <w:p w:rsidR="00886C19" w:rsidRDefault="0074774A" w:rsidP="0074774A">
      <w:pPr>
        <w:pStyle w:val="Heading6"/>
      </w:pPr>
      <w:bookmarkStart w:id="521" w:name="_Studies_with_evaluable_2"/>
      <w:bookmarkEnd w:id="521"/>
      <w:r w:rsidRPr="00EC3AE0">
        <w:t>Studies with evaluable safety data: dose finding and pharmacology</w:t>
      </w:r>
    </w:p>
    <w:p w:rsidR="0074774A" w:rsidRDefault="0074774A" w:rsidP="0074774A">
      <w:r>
        <w:rPr>
          <w:lang w:eastAsia="ja-JP"/>
        </w:rPr>
        <w:t xml:space="preserve">In </w:t>
      </w:r>
      <w:r>
        <w:t>Study SPD503-102 at dose up to 4 mg daily there was no significant increase in QTcF.</w:t>
      </w:r>
    </w:p>
    <w:p w:rsidR="0074774A" w:rsidRDefault="0074774A" w:rsidP="0074774A">
      <w:r>
        <w:t>At doses titrated up to 8 mg, there was prolongation of QTcF to the threshold of regulatory concern, but there was no prolongation when QTc was calculated by QTcNi (Study SPD503-112). The mean (90% CI) for difference guanfacine-placebo, change for baseline in QTcF was 3.54 (0.78 to 6.29) at 6 hours post dose, and 7.61 (4.87 to 10.34) at 12 hours post dose. However, heart rate decreased by a mean of 20 bpm in the guanfacine group. The interpretation of these findings, according to the CHMP Guidance, is that ECG data should be collected during the subsequent Phase 2 and 3 studies.</w:t>
      </w:r>
    </w:p>
    <w:p w:rsidR="0074774A" w:rsidRDefault="0074774A" w:rsidP="0074774A">
      <w:r>
        <w:rPr>
          <w:lang w:eastAsia="ja-JP"/>
        </w:rPr>
        <w:t xml:space="preserve">In Study SPD503-203 three (15%) subjects had </w:t>
      </w:r>
      <w:r>
        <w:t>post-baseline increases in QTcB ≥ 60 msec.</w:t>
      </w:r>
    </w:p>
    <w:p w:rsidR="0074774A" w:rsidRPr="00EC3AE0" w:rsidRDefault="0074774A" w:rsidP="0074774A">
      <w:pPr>
        <w:pStyle w:val="Heading6"/>
      </w:pPr>
      <w:bookmarkStart w:id="522" w:name="_Studies_evaluable_for_1"/>
      <w:bookmarkEnd w:id="522"/>
      <w:r w:rsidRPr="00EC3AE0">
        <w:t>Studies evaluable for safety only</w:t>
      </w:r>
    </w:p>
    <w:p w:rsidR="0074774A" w:rsidRDefault="0074774A" w:rsidP="0074774A">
      <w:pPr>
        <w:rPr>
          <w:lang w:eastAsia="ja-JP"/>
        </w:rPr>
      </w:pPr>
      <w:bookmarkStart w:id="523" w:name="_Toc272414676"/>
      <w:bookmarkStart w:id="524" w:name="_Toc290888540"/>
      <w:bookmarkStart w:id="525" w:name="_Toc416353755"/>
      <w:bookmarkStart w:id="526" w:name="_Toc421005298"/>
      <w:bookmarkStart w:id="527" w:name="_Toc432079175"/>
      <w:bookmarkStart w:id="528" w:name="_Toc432080748"/>
      <w:r>
        <w:rPr>
          <w:lang w:eastAsia="ja-JP"/>
        </w:rPr>
        <w:t>In Study SPD503-201 (immediate release guanfacine up to 1.5 mg) prolonged QT was attributed to study drug in 11 (55%) subjects. The increase in mean averaged QTc was highest off drug (Figure 2). An increase in QTc ≥ 60 msec was reported in 10 (50%) subjects.</w:t>
      </w:r>
    </w:p>
    <w:p w:rsidR="0074774A" w:rsidRDefault="0074774A" w:rsidP="0074774A">
      <w:pPr>
        <w:pStyle w:val="FigureTitle"/>
        <w:keepNext/>
        <w:rPr>
          <w:lang w:eastAsia="ja-JP"/>
        </w:rPr>
      </w:pPr>
      <w:r>
        <w:rPr>
          <w:lang w:eastAsia="ja-JP"/>
        </w:rPr>
        <w:lastRenderedPageBreak/>
        <w:t>Figure 2: Mean averaged QTc values by dosage and time post dose (copied from Figure 11, Study SPD503-201 CSR)</w:t>
      </w:r>
    </w:p>
    <w:p w:rsidR="0074774A" w:rsidRDefault="0074774A" w:rsidP="0074774A">
      <w:pPr>
        <w:rPr>
          <w:lang w:eastAsia="ja-JP"/>
        </w:rPr>
      </w:pPr>
      <w:r w:rsidRPr="00DE627B">
        <w:rPr>
          <w:noProof/>
          <w:lang w:eastAsia="en-AU"/>
        </w:rPr>
        <w:drawing>
          <wp:inline distT="0" distB="0" distL="0" distR="0" wp14:anchorId="26D248E3" wp14:editId="6C42F6B7">
            <wp:extent cx="4716000" cy="3550771"/>
            <wp:effectExtent l="0" t="0" r="8890" b="0"/>
            <wp:docPr id="50" name="Picture 50" descr="Figure 2: Mean averaged QTc values by dosage and time post dose (copied from Figure 11, Study SPD503-2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6255" cy="3550963"/>
                    </a:xfrm>
                    <a:prstGeom prst="rect">
                      <a:avLst/>
                    </a:prstGeom>
                    <a:noFill/>
                    <a:ln>
                      <a:noFill/>
                    </a:ln>
                  </pic:spPr>
                </pic:pic>
              </a:graphicData>
            </a:graphic>
          </wp:inline>
        </w:drawing>
      </w:r>
    </w:p>
    <w:p w:rsidR="0074774A" w:rsidRDefault="0074774A" w:rsidP="0074774A">
      <w:pPr>
        <w:rPr>
          <w:lang w:eastAsia="ja-JP"/>
        </w:rPr>
      </w:pPr>
      <w:r>
        <w:rPr>
          <w:lang w:eastAsia="ja-JP"/>
        </w:rPr>
        <w:t xml:space="preserve">In Study SPD503-318 </w:t>
      </w:r>
      <w:r>
        <w:t xml:space="preserve">no subject had an increase in QTcB or QTcF </w:t>
      </w:r>
      <w:r>
        <w:rPr>
          <w:rFonts w:ascii="Times New Roman" w:hAnsi="Times New Roman"/>
        </w:rPr>
        <w:t xml:space="preserve">≥ </w:t>
      </w:r>
      <w:r>
        <w:t xml:space="preserve">60 msec, or QTcB or QTcF </w:t>
      </w:r>
      <w:r>
        <w:rPr>
          <w:rFonts w:ascii="Times New Roman" w:hAnsi="Times New Roman"/>
        </w:rPr>
        <w:t xml:space="preserve">≥ </w:t>
      </w:r>
      <w:r>
        <w:t>500 msec.</w:t>
      </w:r>
    </w:p>
    <w:p w:rsidR="0074774A" w:rsidRPr="00545B14" w:rsidRDefault="0074774A" w:rsidP="0074774A">
      <w:pPr>
        <w:pStyle w:val="Heading4"/>
        <w:numPr>
          <w:ilvl w:val="2"/>
          <w:numId w:val="29"/>
        </w:numPr>
      </w:pPr>
      <w:r w:rsidRPr="00545B14">
        <w:t>Vital signs</w:t>
      </w:r>
      <w:bookmarkEnd w:id="523"/>
      <w:bookmarkEnd w:id="524"/>
      <w:bookmarkEnd w:id="525"/>
      <w:bookmarkEnd w:id="526"/>
      <w:r>
        <w:t xml:space="preserve"> and clinical examination findings</w:t>
      </w:r>
      <w:bookmarkEnd w:id="527"/>
      <w:bookmarkEnd w:id="528"/>
    </w:p>
    <w:p w:rsidR="0074774A" w:rsidRPr="002B7B05" w:rsidRDefault="0074774A" w:rsidP="0074774A">
      <w:pPr>
        <w:pStyle w:val="Heading5"/>
        <w:numPr>
          <w:ilvl w:val="3"/>
          <w:numId w:val="29"/>
        </w:numPr>
        <w:ind w:left="1304" w:hanging="1077"/>
      </w:pPr>
      <w:r>
        <w:t>I</w:t>
      </w:r>
      <w:r w:rsidRPr="002B7B05">
        <w:t>ntegrated safety analyses</w:t>
      </w:r>
    </w:p>
    <w:p w:rsidR="0074774A" w:rsidRDefault="0074774A" w:rsidP="0074774A">
      <w:pPr>
        <w:rPr>
          <w:lang w:eastAsia="ja-JP"/>
        </w:rPr>
      </w:pPr>
      <w:r>
        <w:rPr>
          <w:lang w:eastAsia="ja-JP"/>
        </w:rPr>
        <w:t>Decrease in heart rate. SBP and DBP were identified in the integrated safety data. These are discussed in more detail below.</w:t>
      </w:r>
    </w:p>
    <w:p w:rsidR="0074774A" w:rsidRPr="00C2074B" w:rsidRDefault="0074774A" w:rsidP="0074774A">
      <w:pPr>
        <w:pStyle w:val="Heading5"/>
        <w:numPr>
          <w:ilvl w:val="3"/>
          <w:numId w:val="29"/>
        </w:numPr>
        <w:ind w:left="1304" w:hanging="1077"/>
      </w:pPr>
      <w:r>
        <w:t>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bookmarkStart w:id="529" w:name="_Pivotal_and/or_main_3"/>
      <w:bookmarkEnd w:id="529"/>
      <w:r w:rsidRPr="00C2074B">
        <w:t>Pivotal and/or main efficacy studies</w:t>
      </w:r>
    </w:p>
    <w:p w:rsidR="0074774A" w:rsidRDefault="0074774A" w:rsidP="0074774A">
      <w:r>
        <w:rPr>
          <w:lang w:eastAsia="ja-JP"/>
        </w:rPr>
        <w:t xml:space="preserve">In Study SPD503-301 SBP decreased in a dose dependent manner, with the greatest decrease in mean SBP being -10 mmHg in the 4 mg group (Figure 3). There was a similar pattern for DBP, with the greatest decrease being -6 mmHg in the 4 mg group at Week 4. There was also a similar pattern for HR with the greatest decrease being -8 bpm in the 4 mg group at Weeks 3 and 4. </w:t>
      </w:r>
      <w:r>
        <w:t>In the follow-on study, Study SPD503-303, SBP and DBP returned to baseline over several months of treatment but the decrease in HR persisted long term.</w:t>
      </w:r>
    </w:p>
    <w:p w:rsidR="0074774A" w:rsidRPr="005D7C9A" w:rsidRDefault="0074774A" w:rsidP="0074774A">
      <w:pPr>
        <w:pStyle w:val="FigureTitle"/>
        <w:keepNext/>
        <w:rPr>
          <w:lang w:eastAsia="ja-JP"/>
        </w:rPr>
      </w:pPr>
      <w:bookmarkStart w:id="530" w:name="Figure_8_5_7_3_1"/>
      <w:r>
        <w:rPr>
          <w:lang w:eastAsia="ja-JP"/>
        </w:rPr>
        <w:lastRenderedPageBreak/>
        <w:t>Figure 3:</w:t>
      </w:r>
      <w:bookmarkEnd w:id="530"/>
      <w:r>
        <w:rPr>
          <w:lang w:eastAsia="ja-JP"/>
        </w:rPr>
        <w:t xml:space="preserve"> </w:t>
      </w:r>
      <w:r w:rsidRPr="005D7C9A">
        <w:rPr>
          <w:lang w:val="en-NZ"/>
        </w:rPr>
        <w:t>Mean Change from Baseline for Systolic Blood Pressure by Actual Dose and Study Week (Safety Population) (copied from Figure 5, Study ASPD503-301 CSR)</w:t>
      </w:r>
    </w:p>
    <w:p w:rsidR="0074774A" w:rsidRDefault="0074774A" w:rsidP="0074774A">
      <w:pPr>
        <w:rPr>
          <w:lang w:eastAsia="ja-JP"/>
        </w:rPr>
      </w:pPr>
      <w:r>
        <w:rPr>
          <w:noProof/>
          <w:lang w:eastAsia="en-AU"/>
        </w:rPr>
        <w:drawing>
          <wp:inline distT="0" distB="0" distL="0" distR="0" wp14:anchorId="5FFFCAE8" wp14:editId="73180CDB">
            <wp:extent cx="5052247" cy="2692800"/>
            <wp:effectExtent l="0" t="0" r="0" b="0"/>
            <wp:docPr id="92" name="Picture 92" descr="Figure 3: Mean Change from Baseline for Systolic Blood Pressure by Actual Dose and Study Week (Safety Population) (copied from Figure 5, Study ASPD503-301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5625" cy="2694600"/>
                    </a:xfrm>
                    <a:prstGeom prst="rect">
                      <a:avLst/>
                    </a:prstGeom>
                    <a:noFill/>
                    <a:ln>
                      <a:noFill/>
                    </a:ln>
                  </pic:spPr>
                </pic:pic>
              </a:graphicData>
            </a:graphic>
          </wp:inline>
        </w:drawing>
      </w:r>
    </w:p>
    <w:p w:rsidR="0074774A" w:rsidRDefault="0074774A" w:rsidP="0074774A">
      <w:pPr>
        <w:rPr>
          <w:lang w:eastAsia="ja-JP"/>
        </w:rPr>
      </w:pPr>
      <w:r>
        <w:t xml:space="preserve">In Study SPD503-304 hypotension was reported as a TEAE in ten (3.9%) subjects. Mean SBP and DBP decreased by up to 7.38 mmHg with guanfacine treatment and returned to baseline with tapering. Orthostatic hypotension was recorded in three subjects in the guanfacine group at Week 4. Mean heart rate decreased by up to 9.51 bpm with treatment and returned to baseline with tapering. In the follow-on study, </w:t>
      </w:r>
      <w:r>
        <w:rPr>
          <w:lang w:eastAsia="ja-JP"/>
        </w:rPr>
        <w:t xml:space="preserve">Study SPD503-305, in five (1.9%) subjects SAEs were due to syncope. Two (0.8%) subjects were reported with a postural drop in DBP </w:t>
      </w:r>
      <w:r>
        <w:rPr>
          <w:rFonts w:ascii="Times New Roman" w:hAnsi="Times New Roman"/>
          <w:lang w:eastAsia="ja-JP"/>
        </w:rPr>
        <w:t xml:space="preserve">≥ </w:t>
      </w:r>
      <w:r>
        <w:rPr>
          <w:lang w:eastAsia="ja-JP"/>
        </w:rPr>
        <w:t>15 mmHg. The decrease in SBP and DBP returned to baseline following up to 5 months of treatment.</w:t>
      </w:r>
    </w:p>
    <w:p w:rsidR="0074774A" w:rsidRDefault="0074774A" w:rsidP="0074774A">
      <w:r>
        <w:t xml:space="preserve">In Study SPD-503-307 on treatment there was a decrease in mean SBP up to 4.6 mmHg, DBP up to 3.9 mmHg and pulse rate up to 6.1 bpm. SBP and DBP returned to baseline after tapering. Postural hypotension was more common in the placebo group: diastolic orthostatic drop </w:t>
      </w:r>
      <w:r>
        <w:rPr>
          <w:rFonts w:ascii="Times New Roman" w:hAnsi="Times New Roman"/>
        </w:rPr>
        <w:t xml:space="preserve">≥ </w:t>
      </w:r>
      <w:r>
        <w:t>15 mmHg in 20 (15.4%) subjects in the guanfacine group and 17 (22.7%) in the placebo.</w:t>
      </w:r>
    </w:p>
    <w:p w:rsidR="0074774A" w:rsidRDefault="0074774A" w:rsidP="0074774A">
      <w:r>
        <w:rPr>
          <w:lang w:eastAsia="ja-JP"/>
        </w:rPr>
        <w:t xml:space="preserve">Study SPD503-312 one subject in the guanfacine group had syncope recorded as a SAE. In the guanfacine group there was a mean decrease in pulse rate of 3.7 bpm on treatment, a mean decreased in SBP of 4.4 mmHg and a mean decrease in DBP of 2.9 mmHg. </w:t>
      </w:r>
      <w:r>
        <w:t xml:space="preserve">Postural hypotension was more common in the guanfacine group: diastolic orthostatic drop </w:t>
      </w:r>
      <w:r>
        <w:rPr>
          <w:rFonts w:ascii="Times New Roman" w:hAnsi="Times New Roman"/>
        </w:rPr>
        <w:t xml:space="preserve">≥ </w:t>
      </w:r>
      <w:r>
        <w:t>15 mmHg in 17 (10.0%) subjects in the guanfacine group and nine (5.8%) in the placebo.</w:t>
      </w:r>
    </w:p>
    <w:p w:rsidR="0074774A" w:rsidRDefault="0074774A" w:rsidP="0074774A">
      <w:pPr>
        <w:rPr>
          <w:lang w:eastAsia="ja-JP"/>
        </w:rPr>
      </w:pPr>
      <w:r>
        <w:t xml:space="preserve">In Study SPD503-313 one subject in the guanfacine group had a SAE of syncope. In the guanfacine group, on treatment, there was a mean decrease in pulse rate of 5.6 bpm, SBP of 2.2 mmHg and DBP of 2.1 mmHg. There was a diastolic orthostatic drop </w:t>
      </w:r>
      <w:r>
        <w:rPr>
          <w:rFonts w:ascii="Times New Roman" w:hAnsi="Times New Roman"/>
        </w:rPr>
        <w:t xml:space="preserve">≥ </w:t>
      </w:r>
      <w:r>
        <w:t>15 mmHg in 15 (10.1%) subjects in the AM group, eight (5.4%) in the PM and nine (5.9%) in the placebo.</w:t>
      </w:r>
    </w:p>
    <w:p w:rsidR="0074774A" w:rsidRDefault="0074774A" w:rsidP="0074774A">
      <w:pPr>
        <w:rPr>
          <w:lang w:eastAsia="ja-JP"/>
        </w:rPr>
      </w:pPr>
      <w:r>
        <w:t xml:space="preserve">Study SPD503-314 two subjects in the guanfacine group had a SAE of syncope, leading to discontinuation. In the guanfacine group, on treatment, there was a mean decrease in pulse rate of 3.8 bpm, SBP of 3.0 mmHg and DBP of 2.4 mmHg. There was a diastolic orthostatic drop </w:t>
      </w:r>
      <w:r>
        <w:rPr>
          <w:rFonts w:ascii="Times New Roman" w:hAnsi="Times New Roman"/>
        </w:rPr>
        <w:t xml:space="preserve">≥ </w:t>
      </w:r>
      <w:r>
        <w:t>15 mmHg in eight (7.7%) subjects in the AM group, five (4.5%) in the PM and six (5.5%) in the placebo.</w:t>
      </w:r>
    </w:p>
    <w:p w:rsidR="0074774A" w:rsidRDefault="0074774A" w:rsidP="0074774A">
      <w:pPr>
        <w:rPr>
          <w:lang w:eastAsia="ja-JP"/>
        </w:rPr>
      </w:pPr>
      <w:r>
        <w:t>In Study SPD503-315 in the long term study (26 weeks) there were no significant changes from baseline in pulse rate, SBP or DBP.</w:t>
      </w:r>
    </w:p>
    <w:p w:rsidR="0074774A" w:rsidRDefault="0074774A" w:rsidP="0074774A">
      <w:pPr>
        <w:rPr>
          <w:lang w:eastAsia="ja-JP"/>
        </w:rPr>
      </w:pPr>
      <w:r>
        <w:t xml:space="preserve">In Study SPD503-316 in the guanfacine group, on treatment, mean pulse rate decreased by 3.3 bpm, SBP by 4.3 mmHg and DBP by 2.8 mmHg. There was a diastolic orthostatic drop </w:t>
      </w:r>
      <w:r>
        <w:rPr>
          <w:rFonts w:ascii="Times New Roman" w:hAnsi="Times New Roman"/>
        </w:rPr>
        <w:t xml:space="preserve">≥ </w:t>
      </w:r>
      <w:r>
        <w:t xml:space="preserve">15 </w:t>
      </w:r>
      <w:r>
        <w:lastRenderedPageBreak/>
        <w:t>mmHg in ten (8.9%) subjects in the guanfacine group, five (4.5%) in the placebo and eight (7.1%) in the atomoxetine.</w:t>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bookmarkStart w:id="531" w:name="_Other_efficacy_studies"/>
      <w:bookmarkEnd w:id="531"/>
      <w:r w:rsidRPr="00EC3AE0">
        <w:t>Other efficacy studies</w:t>
      </w:r>
    </w:p>
    <w:p w:rsidR="0074774A" w:rsidRDefault="0074774A" w:rsidP="0074774A">
      <w:pPr>
        <w:rPr>
          <w:lang w:eastAsia="ja-JP"/>
        </w:rPr>
      </w:pPr>
      <w:r>
        <w:rPr>
          <w:lang w:eastAsia="ja-JP"/>
        </w:rPr>
        <w:t>In Study SPD503-202 mean SBP decreased with treatment with guanfacine, but rebounded with treatment withdrawal (Figure 4). DBP behaved in a similar manner (Figure 5). Pulse rate also decreased with treatment and rebounded with withdrawal (Figure 6).</w:t>
      </w:r>
    </w:p>
    <w:p w:rsidR="0074774A" w:rsidRDefault="0074774A" w:rsidP="0074774A">
      <w:pPr>
        <w:rPr>
          <w:rFonts w:asciiTheme="minorHAnsi" w:hAnsiTheme="minorHAnsi"/>
        </w:rPr>
      </w:pPr>
      <w:r w:rsidRPr="00767385">
        <w:rPr>
          <w:rFonts w:asciiTheme="minorHAnsi" w:hAnsiTheme="minorHAnsi"/>
        </w:rPr>
        <w:t>In Study SPD503-205</w:t>
      </w:r>
      <w:r>
        <w:rPr>
          <w:rFonts w:asciiTheme="minorHAnsi" w:hAnsiTheme="minorHAnsi"/>
        </w:rPr>
        <w:t xml:space="preserve"> there was a mean decrease in SBP up to 7 mmHg on treatment and increase of up to 5 mmHg after cessation of treatment. There was a mean decrease in DBP up to 5.6 mmHg on treatment and increase of up to 4 mmHg after cessation of treatment. There was a mean decrease in HR up to 10.2 bpm on treatment and increase of up to 8 bpm after cessation of treatment.</w:t>
      </w:r>
    </w:p>
    <w:p w:rsidR="0074774A" w:rsidRDefault="0074774A" w:rsidP="0074774A">
      <w:pPr>
        <w:rPr>
          <w:rFonts w:asciiTheme="minorHAnsi" w:hAnsiTheme="minorHAnsi"/>
        </w:rPr>
      </w:pPr>
      <w:r>
        <w:rPr>
          <w:rFonts w:asciiTheme="minorHAnsi" w:hAnsiTheme="minorHAnsi"/>
        </w:rPr>
        <w:t>In Study SPD503-206 SBP, DBP and HR decreased in the guanfacine group relative to placebo (Figure 4). The decreases did not appear to be dose related. There were six (5.0%) subjects in the guanfacine group and one (1.8%) in the placebo with postural orthostatic decreases in DBP ≥ 15 mmHg.</w:t>
      </w:r>
    </w:p>
    <w:p w:rsidR="0074774A" w:rsidRPr="00BB6547" w:rsidRDefault="0074774A" w:rsidP="0074774A">
      <w:pPr>
        <w:pStyle w:val="FigureTitle"/>
      </w:pPr>
      <w:r>
        <w:t xml:space="preserve">Figure 4: </w:t>
      </w:r>
      <w:r w:rsidRPr="00BB6547">
        <w:t>Mean Systolic Blood Pressure versus Visit and Time Point for All Randomized Subjects (copied from Figure 12, Study SPD503-202 CSR)</w:t>
      </w:r>
    </w:p>
    <w:p w:rsidR="0074774A" w:rsidRDefault="0074774A" w:rsidP="0074774A">
      <w:pPr>
        <w:rPr>
          <w:lang w:eastAsia="ja-JP"/>
        </w:rPr>
      </w:pPr>
      <w:r w:rsidRPr="002432B0">
        <w:rPr>
          <w:noProof/>
          <w:lang w:eastAsia="en-AU"/>
        </w:rPr>
        <w:drawing>
          <wp:inline distT="0" distB="0" distL="0" distR="0" wp14:anchorId="7CB220F2" wp14:editId="58A6D9A0">
            <wp:extent cx="4306811" cy="2383200"/>
            <wp:effectExtent l="0" t="0" r="0" b="0"/>
            <wp:docPr id="54" name="Picture 54" descr="Figure 4: Mean Systolic Blood Pressure versus Visit and Time Point for All Randomized Subjects (copied from Figure 12, Study SPD503-2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1659" cy="2385883"/>
                    </a:xfrm>
                    <a:prstGeom prst="rect">
                      <a:avLst/>
                    </a:prstGeom>
                    <a:noFill/>
                    <a:ln>
                      <a:noFill/>
                    </a:ln>
                  </pic:spPr>
                </pic:pic>
              </a:graphicData>
            </a:graphic>
          </wp:inline>
        </w:drawing>
      </w:r>
    </w:p>
    <w:p w:rsidR="0074774A" w:rsidRPr="002432B0" w:rsidRDefault="0074774A" w:rsidP="0074774A">
      <w:pPr>
        <w:pStyle w:val="FigureTitle"/>
        <w:keepNext/>
        <w:rPr>
          <w:lang w:eastAsia="ja-JP"/>
        </w:rPr>
      </w:pPr>
      <w:bookmarkStart w:id="532" w:name="Figure_8_5_7_4_2"/>
      <w:r>
        <w:rPr>
          <w:lang w:eastAsia="ja-JP"/>
        </w:rPr>
        <w:lastRenderedPageBreak/>
        <w:t>Figure 5</w:t>
      </w:r>
      <w:bookmarkEnd w:id="532"/>
      <w:r>
        <w:rPr>
          <w:lang w:eastAsia="ja-JP"/>
        </w:rPr>
        <w:t>: M</w:t>
      </w:r>
      <w:r w:rsidRPr="002432B0">
        <w:rPr>
          <w:lang w:val="en-NZ"/>
        </w:rPr>
        <w:t>ean Diastolic Blood Pressure versus Visit and Time Point for All Randomized Subjects (copied from Figure 13, Study SPD503-202 CSR)</w:t>
      </w:r>
    </w:p>
    <w:p w:rsidR="0074774A" w:rsidRDefault="0074774A" w:rsidP="0074774A">
      <w:pPr>
        <w:rPr>
          <w:lang w:eastAsia="ja-JP"/>
        </w:rPr>
      </w:pPr>
      <w:r w:rsidRPr="002432B0">
        <w:rPr>
          <w:noProof/>
          <w:lang w:eastAsia="en-AU"/>
        </w:rPr>
        <w:drawing>
          <wp:inline distT="0" distB="0" distL="0" distR="0" wp14:anchorId="13F7B6C1" wp14:editId="212AC59C">
            <wp:extent cx="4847696" cy="2649600"/>
            <wp:effectExtent l="0" t="0" r="0" b="0"/>
            <wp:docPr id="55" name="Picture 55" descr="Figure 5: Mean Diastolic Blood Pressure versus Visit and Time Point for All Randomized Subjects (copied from Figure 13, Study SPD503-2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48725" cy="2650163"/>
                    </a:xfrm>
                    <a:prstGeom prst="rect">
                      <a:avLst/>
                    </a:prstGeom>
                    <a:noFill/>
                    <a:ln>
                      <a:noFill/>
                    </a:ln>
                  </pic:spPr>
                </pic:pic>
              </a:graphicData>
            </a:graphic>
          </wp:inline>
        </w:drawing>
      </w:r>
    </w:p>
    <w:p w:rsidR="0074774A" w:rsidRDefault="0074774A" w:rsidP="0074774A">
      <w:pPr>
        <w:spacing w:before="0" w:after="200" w:line="0" w:lineRule="auto"/>
        <w:rPr>
          <w:lang w:eastAsia="ja-JP"/>
        </w:rPr>
      </w:pPr>
    </w:p>
    <w:p w:rsidR="0074774A" w:rsidRPr="0034256E" w:rsidRDefault="0074774A" w:rsidP="0074774A">
      <w:pPr>
        <w:pStyle w:val="FigureTitle"/>
        <w:rPr>
          <w:lang w:eastAsia="ja-JP"/>
        </w:rPr>
      </w:pPr>
      <w:bookmarkStart w:id="533" w:name="Figure_8_5_7_4_3"/>
      <w:r>
        <w:rPr>
          <w:lang w:eastAsia="ja-JP"/>
        </w:rPr>
        <w:t>Figure 6:</w:t>
      </w:r>
      <w:bookmarkEnd w:id="533"/>
      <w:r>
        <w:rPr>
          <w:lang w:eastAsia="ja-JP"/>
        </w:rPr>
        <w:t xml:space="preserve"> </w:t>
      </w:r>
      <w:r w:rsidRPr="0034256E">
        <w:rPr>
          <w:lang w:val="en-NZ"/>
        </w:rPr>
        <w:t>Mean Pulse versus Visit and Time Point for All Randomized Subjects (copied from Figure 14, Study SPD503-202 CSR)</w:t>
      </w:r>
    </w:p>
    <w:p w:rsidR="0074774A" w:rsidRDefault="0074774A" w:rsidP="0074774A">
      <w:pPr>
        <w:rPr>
          <w:lang w:eastAsia="ja-JP"/>
        </w:rPr>
      </w:pPr>
      <w:r w:rsidRPr="0034256E">
        <w:rPr>
          <w:noProof/>
          <w:lang w:eastAsia="en-AU"/>
        </w:rPr>
        <w:drawing>
          <wp:inline distT="0" distB="0" distL="0" distR="0" wp14:anchorId="00EBADB2" wp14:editId="6C7325BB">
            <wp:extent cx="5103255" cy="2952000"/>
            <wp:effectExtent l="0" t="0" r="2540" b="1270"/>
            <wp:docPr id="56" name="Picture 56" descr="Figure 6: Mean Pulse versus Visit and Time Point for All Randomized Subjects (copied from Figure 14, Study SPD503-2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08520" cy="2955046"/>
                    </a:xfrm>
                    <a:prstGeom prst="rect">
                      <a:avLst/>
                    </a:prstGeom>
                    <a:noFill/>
                    <a:ln>
                      <a:noFill/>
                    </a:ln>
                  </pic:spPr>
                </pic:pic>
              </a:graphicData>
            </a:graphic>
          </wp:inline>
        </w:drawing>
      </w:r>
    </w:p>
    <w:p w:rsidR="00886C19" w:rsidRDefault="0074774A" w:rsidP="0074774A">
      <w:pPr>
        <w:pStyle w:val="Heading6"/>
      </w:pPr>
      <w:bookmarkStart w:id="534" w:name="_Studies_with_evaluable_1"/>
      <w:bookmarkEnd w:id="534"/>
      <w:r w:rsidRPr="00EC3AE0">
        <w:t>Studies with evaluable safety data: dose finding and pharmacology</w:t>
      </w:r>
    </w:p>
    <w:p w:rsidR="0074774A" w:rsidRDefault="0074774A" w:rsidP="0074774A">
      <w:pPr>
        <w:rPr>
          <w:lang w:eastAsia="ja-JP"/>
        </w:rPr>
      </w:pPr>
      <w:r>
        <w:rPr>
          <w:lang w:eastAsia="ja-JP"/>
        </w:rPr>
        <w:t>In Study SPD503-203 SBP decreased with increasing dose up to guanfacine extended release 3 mg per day, and rebounded following withdrawal (Figure 7). There were similar effects for DBP and pulse rate.</w:t>
      </w:r>
    </w:p>
    <w:p w:rsidR="0074774A" w:rsidRPr="004905C8" w:rsidRDefault="0074774A" w:rsidP="0074774A">
      <w:pPr>
        <w:pStyle w:val="FigureTitle"/>
        <w:keepNext/>
        <w:rPr>
          <w:lang w:eastAsia="ja-JP"/>
        </w:rPr>
      </w:pPr>
      <w:bookmarkStart w:id="535" w:name="Figure_8_5_7_4_4"/>
      <w:r>
        <w:rPr>
          <w:lang w:eastAsia="ja-JP"/>
        </w:rPr>
        <w:lastRenderedPageBreak/>
        <w:t>Figure 7:</w:t>
      </w:r>
      <w:bookmarkEnd w:id="535"/>
      <w:r>
        <w:rPr>
          <w:lang w:eastAsia="ja-JP"/>
        </w:rPr>
        <w:t xml:space="preserve"> </w:t>
      </w:r>
      <w:r w:rsidRPr="004905C8">
        <w:rPr>
          <w:lang w:val="en-NZ"/>
        </w:rPr>
        <w:t xml:space="preserve">Overall Mean Systolic Blood Pressure </w:t>
      </w:r>
      <w:proofErr w:type="gramStart"/>
      <w:r w:rsidRPr="004905C8">
        <w:rPr>
          <w:lang w:val="en-NZ"/>
        </w:rPr>
        <w:t>By</w:t>
      </w:r>
      <w:proofErr w:type="gramEnd"/>
      <w:r w:rsidRPr="004905C8">
        <w:rPr>
          <w:lang w:val="en-NZ"/>
        </w:rPr>
        <w:t xml:space="preserve"> Treatment Week, All Subjects Treated (copied from Study SPD503-203 CSR)</w:t>
      </w:r>
    </w:p>
    <w:p w:rsidR="0074774A" w:rsidRDefault="0074774A" w:rsidP="0074774A">
      <w:pPr>
        <w:rPr>
          <w:lang w:eastAsia="ja-JP"/>
        </w:rPr>
      </w:pPr>
      <w:r w:rsidRPr="004905C8">
        <w:rPr>
          <w:noProof/>
          <w:lang w:eastAsia="en-AU"/>
        </w:rPr>
        <w:drawing>
          <wp:inline distT="0" distB="0" distL="0" distR="0" wp14:anchorId="187B6D40" wp14:editId="521AE7EC">
            <wp:extent cx="4471200" cy="2402681"/>
            <wp:effectExtent l="0" t="0" r="5715" b="0"/>
            <wp:docPr id="62" name="Picture 62" descr="Figure 7: Overall Mean Systolic Blood Pressure By Treatment Week, All Subjects Treated (copied from Study SPD503-203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1442" cy="2402811"/>
                    </a:xfrm>
                    <a:prstGeom prst="rect">
                      <a:avLst/>
                    </a:prstGeom>
                    <a:noFill/>
                    <a:ln>
                      <a:noFill/>
                    </a:ln>
                  </pic:spPr>
                </pic:pic>
              </a:graphicData>
            </a:graphic>
          </wp:inline>
        </w:drawing>
      </w:r>
    </w:p>
    <w:p w:rsidR="0074774A" w:rsidRDefault="0074774A" w:rsidP="0074774A">
      <w:pPr>
        <w:pStyle w:val="Heading6"/>
      </w:pPr>
      <w:r w:rsidRPr="00EC3AE0">
        <w:t>Studies evaluable for safety only</w:t>
      </w:r>
    </w:p>
    <w:p w:rsidR="0074774A" w:rsidRDefault="0074774A" w:rsidP="0074774A">
      <w:pPr>
        <w:rPr>
          <w:lang w:eastAsia="ja-JP"/>
        </w:rPr>
      </w:pPr>
      <w:bookmarkStart w:id="536" w:name="_Toc432079176"/>
      <w:bookmarkStart w:id="537" w:name="_Toc432080749"/>
      <w:r>
        <w:rPr>
          <w:lang w:eastAsia="ja-JP"/>
        </w:rPr>
        <w:t>In Study SPD503-201 (immediate release guanfacine up to 1.5 mg daily) there was a mean decrease in SBP of -5.2% and DBP of -9.0% with the first 0.5 mg dose, but there were no significant decreases with subsequent dosing. There was an increase in SBP and DBP from baseline of up to 10% following cessation of treatment. There was a mean increase in heart rate from baseline of 2.7% with the 1.5 mg dose level, and up to 25% off treatment.</w:t>
      </w:r>
    </w:p>
    <w:p w:rsidR="0074774A" w:rsidRDefault="0074774A" w:rsidP="0074774A">
      <w:pPr>
        <w:pStyle w:val="Heading4"/>
        <w:numPr>
          <w:ilvl w:val="2"/>
          <w:numId w:val="29"/>
        </w:numPr>
      </w:pPr>
      <w:r>
        <w:t>Immunogenicity and immunological events</w:t>
      </w:r>
      <w:bookmarkEnd w:id="536"/>
      <w:bookmarkEnd w:id="537"/>
    </w:p>
    <w:p w:rsidR="0074774A" w:rsidRDefault="0074774A" w:rsidP="0074774A">
      <w:pPr>
        <w:rPr>
          <w:lang w:eastAsia="ja-JP"/>
        </w:rPr>
      </w:pPr>
      <w:r>
        <w:rPr>
          <w:lang w:eastAsia="ja-JP"/>
        </w:rPr>
        <w:t>Immunogenicity and/or immunological events were not identified as a safety issue in the clinical data.</w:t>
      </w:r>
      <w:bookmarkStart w:id="538" w:name="_Toc432079177"/>
      <w:bookmarkStart w:id="539" w:name="_Toc432080750"/>
    </w:p>
    <w:p w:rsidR="0074774A" w:rsidRPr="00E7113A" w:rsidRDefault="0074774A" w:rsidP="0074774A">
      <w:pPr>
        <w:pStyle w:val="Heading4"/>
        <w:numPr>
          <w:ilvl w:val="2"/>
          <w:numId w:val="29"/>
        </w:numPr>
      </w:pPr>
      <w:r w:rsidRPr="00E7113A">
        <w:t>Serious skin reactions</w:t>
      </w:r>
      <w:bookmarkEnd w:id="538"/>
      <w:bookmarkEnd w:id="539"/>
    </w:p>
    <w:p w:rsidR="0074774A" w:rsidRDefault="0074774A" w:rsidP="0074774A">
      <w:pPr>
        <w:rPr>
          <w:lang w:eastAsia="ja-JP"/>
        </w:rPr>
      </w:pPr>
      <w:r>
        <w:rPr>
          <w:lang w:eastAsia="ja-JP"/>
        </w:rPr>
        <w:t>Serious skin reactions were not identified as a safety issue in the clinical data.</w:t>
      </w:r>
    </w:p>
    <w:p w:rsidR="0074774A" w:rsidRPr="00545B14" w:rsidRDefault="0074774A" w:rsidP="0074774A">
      <w:pPr>
        <w:pStyle w:val="Heading4"/>
        <w:numPr>
          <w:ilvl w:val="2"/>
          <w:numId w:val="29"/>
        </w:numPr>
      </w:pPr>
      <w:r>
        <w:t>Sedation / insomnia</w:t>
      </w:r>
    </w:p>
    <w:p w:rsidR="0074774A" w:rsidRPr="002B7B05" w:rsidRDefault="0074774A" w:rsidP="0074774A">
      <w:pPr>
        <w:pStyle w:val="Heading5"/>
        <w:numPr>
          <w:ilvl w:val="3"/>
          <w:numId w:val="29"/>
        </w:numPr>
        <w:ind w:left="1304" w:hanging="1077"/>
      </w:pPr>
      <w:r>
        <w:t>I</w:t>
      </w:r>
      <w:r w:rsidRPr="002B7B05">
        <w:t>ntegrated safety analyses</w:t>
      </w:r>
    </w:p>
    <w:p w:rsidR="0074774A" w:rsidRDefault="0074774A" w:rsidP="0074774A">
      <w:pPr>
        <w:rPr>
          <w:lang w:eastAsia="ja-JP"/>
        </w:rPr>
      </w:pPr>
      <w:r>
        <w:rPr>
          <w:lang w:eastAsia="ja-JP"/>
        </w:rPr>
        <w:t>Sedation and somnolence were identified as common adverse events with guanfacine in the integrated safety data.</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r w:rsidRPr="00C2074B">
        <w:t>Pivotal and/or main efficacy studies</w:t>
      </w:r>
    </w:p>
    <w:p w:rsidR="0074774A" w:rsidRDefault="0074774A" w:rsidP="0074774A">
      <w:r>
        <w:t>Study SPD503-304 somnolence events increased in frequency with dose: 16 (26.2%) subjects in the 1 mg group, 11 (16.9%) in the 2 mg, 15 (23.1%) in the 3 mg and 27 (41.5%) in the 4 mg. However, there was no significant change in PDSS score relative to placebo for any of the treatment groups.</w:t>
      </w:r>
    </w:p>
    <w:p w:rsidR="0074774A" w:rsidRDefault="0074774A" w:rsidP="0074774A">
      <w:r>
        <w:t>In Study SPD-503-307 93 (68.9%) subjects treated with guanfacine reported sedation related events compared to nine (11.5%) in the placebo group. The median duration of the event was 26.0 days.</w:t>
      </w:r>
    </w:p>
    <w:p w:rsidR="0074774A" w:rsidRDefault="0074774A" w:rsidP="0074774A">
      <w:pPr>
        <w:rPr>
          <w:lang w:eastAsia="ja-JP"/>
        </w:rPr>
      </w:pPr>
      <w:r>
        <w:rPr>
          <w:lang w:eastAsia="ja-JP"/>
        </w:rPr>
        <w:t>In Study SPD503-312 there were 123 sedative events in 85 (54.1%) subjects in the guanfacine group and 42 in 35 (22.6%) in the placebo.</w:t>
      </w:r>
    </w:p>
    <w:p w:rsidR="00886C19" w:rsidRDefault="0074774A" w:rsidP="0074774A">
      <w:r>
        <w:t>In Study SPD503-313 sedative events were reported in 27 (18.0%) subjects in the AM group, 28 (18.4%) in the PM, and ten (6.5%) in the placebo.</w:t>
      </w:r>
    </w:p>
    <w:p w:rsidR="0074774A" w:rsidRDefault="0074774A" w:rsidP="0074774A">
      <w:pPr>
        <w:rPr>
          <w:lang w:eastAsia="ja-JP"/>
        </w:rPr>
      </w:pPr>
      <w:r>
        <w:lastRenderedPageBreak/>
        <w:t>In Study SPD503-314 sedative events were reported in 61 (57.0%) subjects in the AM group, 62 (54.4%) in the PM and 17 (15.2%) in the placebo. There was a greater decrease in PDSS in the placebo group compared with the PM group: mean (SD) change from baseline -2.4 (5.18) for PM (p = 0.596), -1.5 (6.71) for AM (p = 0.023) and -3.2 (5.76).</w:t>
      </w:r>
    </w:p>
    <w:p w:rsidR="0074774A" w:rsidRDefault="0074774A" w:rsidP="0074774A">
      <w:pPr>
        <w:rPr>
          <w:lang w:eastAsia="ja-JP"/>
        </w:rPr>
      </w:pPr>
      <w:r>
        <w:t>In Study SPD503-315 two subjects in the guanfacine group withdrew because of sedative events.</w:t>
      </w:r>
    </w:p>
    <w:p w:rsidR="0074774A" w:rsidRDefault="0074774A" w:rsidP="0074774A">
      <w:pPr>
        <w:rPr>
          <w:lang w:eastAsia="ja-JP"/>
        </w:rPr>
      </w:pPr>
      <w:r>
        <w:t>In Study SPD503-316 sedative events were reported in 51 (44.7%) subjects in the guanfacine group, 16 (14.4%) in the placebo and 21 (18.8%) in the atomoxetine</w:t>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bookmarkStart w:id="540" w:name="_Other_efficacy_studies_3"/>
      <w:bookmarkEnd w:id="540"/>
      <w:r w:rsidRPr="00EC3AE0">
        <w:t>Other efficacy studies</w:t>
      </w:r>
    </w:p>
    <w:p w:rsidR="0074774A" w:rsidRDefault="0074774A" w:rsidP="0074774A">
      <w:pPr>
        <w:rPr>
          <w:lang w:eastAsia="ja-JP"/>
        </w:rPr>
      </w:pPr>
      <w:r>
        <w:rPr>
          <w:lang w:eastAsia="ja-JP"/>
        </w:rPr>
        <w:t>In Study SPD503-206 sedation was common in comparison with placebo but was not related to dose (Table 38). Sedation did not appear to resolve over the 7 weeks of the study. The mean (SD) change from baseline in PDSS score was -1.3 (3.56) in the guanfacine group and 0.9 (5.31) in the placebo (p = 0.020), indicating a mild decrease in daytime sleepiness in the guanfacine group. There was no significant difference between the treatment groups in PSS.</w:t>
      </w:r>
    </w:p>
    <w:p w:rsidR="0074774A" w:rsidRDefault="0074774A" w:rsidP="0074774A">
      <w:pPr>
        <w:rPr>
          <w:lang w:eastAsia="ja-JP"/>
        </w:rPr>
      </w:pPr>
      <w:r>
        <w:rPr>
          <w:lang w:eastAsia="ja-JP"/>
        </w:rPr>
        <w:t>In Study SPD503-305 sedative events were reported in 127 (29.0%) subjects.</w:t>
      </w:r>
    </w:p>
    <w:p w:rsidR="0074774A" w:rsidRPr="00F81D4F" w:rsidRDefault="0074774A" w:rsidP="0074774A">
      <w:pPr>
        <w:pStyle w:val="Tabletitle"/>
        <w:rPr>
          <w:lang w:eastAsia="ja-JP"/>
        </w:rPr>
      </w:pPr>
      <w:bookmarkStart w:id="541" w:name="Table_8_5_10_4_1"/>
      <w:r>
        <w:rPr>
          <w:lang w:eastAsia="ja-JP"/>
        </w:rPr>
        <w:t>Table 38:</w:t>
      </w:r>
      <w:bookmarkEnd w:id="541"/>
      <w:r>
        <w:rPr>
          <w:lang w:eastAsia="ja-JP"/>
        </w:rPr>
        <w:t xml:space="preserve"> </w:t>
      </w:r>
      <w:r w:rsidRPr="00F81D4F">
        <w:rPr>
          <w:lang w:val="en-NZ"/>
        </w:rPr>
        <w:t>Incidence of Sedative Events by Week and Actual Dose (Full Analysis Set/Safety Population) (copied from Table 30, Study SPD503-206 CSR)</w:t>
      </w:r>
    </w:p>
    <w:p w:rsidR="0074774A" w:rsidRDefault="0074774A" w:rsidP="0074774A">
      <w:pPr>
        <w:rPr>
          <w:lang w:eastAsia="ja-JP"/>
        </w:rPr>
      </w:pPr>
      <w:r w:rsidRPr="00F81D4F">
        <w:rPr>
          <w:noProof/>
          <w:lang w:eastAsia="en-AU"/>
        </w:rPr>
        <w:drawing>
          <wp:inline distT="0" distB="0" distL="0" distR="0" wp14:anchorId="6D4020FF" wp14:editId="503ED5CA">
            <wp:extent cx="4777051" cy="3607200"/>
            <wp:effectExtent l="0" t="0" r="5080" b="0"/>
            <wp:docPr id="67" name="Picture 67" descr="Table 38: Incidence of Sedative Events by Week and Actual Dose (Full Analysis Set/Safety Population) (copied from Table 30, Study SPD503-206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77848" cy="3607802"/>
                    </a:xfrm>
                    <a:prstGeom prst="rect">
                      <a:avLst/>
                    </a:prstGeom>
                    <a:noFill/>
                    <a:ln>
                      <a:noFill/>
                    </a:ln>
                  </pic:spPr>
                </pic:pic>
              </a:graphicData>
            </a:graphic>
          </wp:inline>
        </w:drawing>
      </w:r>
    </w:p>
    <w:p w:rsidR="0074774A" w:rsidRDefault="0074774A" w:rsidP="0074774A">
      <w:pPr>
        <w:pStyle w:val="Heading4"/>
        <w:numPr>
          <w:ilvl w:val="2"/>
          <w:numId w:val="29"/>
        </w:numPr>
      </w:pPr>
      <w:bookmarkStart w:id="542" w:name="_Toc272414686"/>
      <w:bookmarkStart w:id="543" w:name="_Ref273005527"/>
      <w:bookmarkStart w:id="544" w:name="_Toc290888550"/>
      <w:bookmarkStart w:id="545" w:name="_Toc416353765"/>
      <w:bookmarkStart w:id="546" w:name="_Toc421005308"/>
      <w:bookmarkStart w:id="547" w:name="_Toc432079179"/>
      <w:bookmarkStart w:id="548" w:name="_Toc432080752"/>
      <w:r>
        <w:t>Psychiatric changes</w:t>
      </w:r>
    </w:p>
    <w:p w:rsidR="0074774A" w:rsidRPr="002B7B05" w:rsidRDefault="0074774A" w:rsidP="0074774A">
      <w:pPr>
        <w:pStyle w:val="Heading5"/>
        <w:numPr>
          <w:ilvl w:val="3"/>
          <w:numId w:val="38"/>
        </w:numPr>
      </w:pPr>
      <w:r>
        <w:t>I</w:t>
      </w:r>
      <w:r w:rsidRPr="002B7B05">
        <w:t>ntegrated safety analyses</w:t>
      </w:r>
    </w:p>
    <w:p w:rsidR="0074774A" w:rsidRDefault="0074774A" w:rsidP="0074774A">
      <w:pPr>
        <w:rPr>
          <w:lang w:eastAsia="ja-JP"/>
        </w:rPr>
      </w:pPr>
      <w:r>
        <w:rPr>
          <w:lang w:eastAsia="ja-JP"/>
        </w:rPr>
        <w:t>The integrated safety data did not identify adverse psychiatric changes as a safety issue.</w:t>
      </w:r>
    </w:p>
    <w:p w:rsidR="0074774A" w:rsidRPr="00C2074B" w:rsidRDefault="0074774A" w:rsidP="0074774A">
      <w:pPr>
        <w:pStyle w:val="Heading5"/>
        <w:numPr>
          <w:ilvl w:val="3"/>
          <w:numId w:val="29"/>
        </w:numPr>
        <w:ind w:left="1304" w:hanging="1077"/>
      </w:pPr>
      <w:r>
        <w:t>Main/p</w:t>
      </w:r>
      <w:r w:rsidRPr="00C2074B">
        <w:t>ivotal studies that assessed safety as the sole primary outcome</w:t>
      </w:r>
    </w:p>
    <w:p w:rsidR="0074774A" w:rsidRDefault="0074774A" w:rsidP="0074774A">
      <w:pPr>
        <w:rPr>
          <w:lang w:eastAsia="ja-JP"/>
        </w:rPr>
      </w:pPr>
      <w:r>
        <w:rPr>
          <w:lang w:eastAsia="ja-JP"/>
        </w:rPr>
        <w:t>There were no pivotal studies that assessed safety as the sole primary outcome.</w:t>
      </w:r>
    </w:p>
    <w:p w:rsidR="0074774A" w:rsidRPr="00C2074B" w:rsidRDefault="0074774A" w:rsidP="0074774A">
      <w:pPr>
        <w:pStyle w:val="Heading5"/>
        <w:numPr>
          <w:ilvl w:val="3"/>
          <w:numId w:val="29"/>
        </w:numPr>
        <w:ind w:left="1304" w:hanging="1077"/>
      </w:pPr>
      <w:bookmarkStart w:id="549" w:name="_Pivotal_and/or_main_5"/>
      <w:bookmarkEnd w:id="549"/>
      <w:r w:rsidRPr="00C2074B">
        <w:lastRenderedPageBreak/>
        <w:t>Pivotal and/or main efficacy studies</w:t>
      </w:r>
    </w:p>
    <w:p w:rsidR="0074774A" w:rsidRDefault="0074774A" w:rsidP="0074774A">
      <w:pPr>
        <w:rPr>
          <w:lang w:eastAsia="ja-JP"/>
        </w:rPr>
      </w:pPr>
      <w:r>
        <w:rPr>
          <w:lang w:eastAsia="ja-JP"/>
        </w:rPr>
        <w:t>In Study SPD503-312 there was no significant difference between the treatment groups in BPRS-C total score and the BPRS-C suicidal ideation. There were no ‘yes’ responses to the suicidal behaviour category of the C-SSRS and no completed suicides while subjects were on-treatment.</w:t>
      </w:r>
    </w:p>
    <w:p w:rsidR="0074774A" w:rsidRDefault="0074774A" w:rsidP="0074774A">
      <w:pPr>
        <w:tabs>
          <w:tab w:val="left" w:pos="7513"/>
        </w:tabs>
        <w:rPr>
          <w:lang w:eastAsia="ja-JP"/>
        </w:rPr>
      </w:pPr>
      <w:r>
        <w:rPr>
          <w:lang w:eastAsia="ja-JP"/>
        </w:rPr>
        <w:t>In Study SPD503-314 two subjects in the guanfacine group reported yes to the C-SSRS suicidal ideation category while on treatment.</w:t>
      </w:r>
    </w:p>
    <w:p w:rsidR="0074774A" w:rsidRDefault="0074774A" w:rsidP="0074774A">
      <w:pPr>
        <w:rPr>
          <w:lang w:eastAsia="ja-JP"/>
        </w:rPr>
      </w:pPr>
      <w:r>
        <w:t>In Study SPD503-315 in the open label phase, seven (1.9%) subjects responded ‘yes’ to items in the suicidal ideation category of the C-SSRS. In the double blind phase nine guanfacine and 12 placebo subjects responded ‘yes’ to items in the suicidal ideation category of the C-SSRS.</w:t>
      </w:r>
    </w:p>
    <w:p w:rsidR="0074774A" w:rsidRDefault="0074774A" w:rsidP="0074774A">
      <w:r>
        <w:t>In Study SPD503-316 suicidal ideation was not more common in the guanfacine group than either placebo or atomoxetine (Table 39).</w:t>
      </w:r>
    </w:p>
    <w:p w:rsidR="0074774A" w:rsidRDefault="0074774A" w:rsidP="0074774A">
      <w:pPr>
        <w:pStyle w:val="Tabletitle"/>
        <w:rPr>
          <w:lang w:eastAsia="ja-JP"/>
        </w:rPr>
      </w:pPr>
      <w:bookmarkStart w:id="550" w:name="Table_8_5_11_4_1"/>
      <w:r>
        <w:t>Table 39:</w:t>
      </w:r>
      <w:bookmarkEnd w:id="550"/>
      <w:r>
        <w:t xml:space="preserve"> </w:t>
      </w:r>
      <w:r w:rsidRPr="003F2682">
        <w:t>Summary of BPRS-C Item 6 - Suicidal Ideation (Safety Population) (copied from Table 45, Study SPD503-316 CSR)</w:t>
      </w:r>
      <w:r>
        <w:rPr>
          <w:noProof/>
          <w:lang w:eastAsia="en-AU"/>
        </w:rPr>
        <w:drawing>
          <wp:inline distT="0" distB="0" distL="0" distR="0" wp14:anchorId="159C89AA" wp14:editId="315A0C16">
            <wp:extent cx="4801779" cy="3088800"/>
            <wp:effectExtent l="0" t="0" r="0" b="0"/>
            <wp:docPr id="180" name="Picture 180" descr="Table 39: Summary of BPRS-C Item 6 - Suicidal Ideation (Safety Population) (copied from Table 45, Study SPD503-316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lum bright="-20000" contrast="40000"/>
                      <a:extLst>
                        <a:ext uri="{28A0092B-C50C-407E-A947-70E740481C1C}">
                          <a14:useLocalDpi xmlns:a14="http://schemas.microsoft.com/office/drawing/2010/main" val="0"/>
                        </a:ext>
                      </a:extLst>
                    </a:blip>
                    <a:srcRect/>
                    <a:stretch>
                      <a:fillRect/>
                    </a:stretch>
                  </pic:blipFill>
                  <pic:spPr bwMode="auto">
                    <a:xfrm>
                      <a:off x="0" y="0"/>
                      <a:ext cx="4802378" cy="3089185"/>
                    </a:xfrm>
                    <a:prstGeom prst="rect">
                      <a:avLst/>
                    </a:prstGeom>
                    <a:noFill/>
                    <a:ln>
                      <a:noFill/>
                    </a:ln>
                  </pic:spPr>
                </pic:pic>
              </a:graphicData>
            </a:graphic>
          </wp:inline>
        </w:drawing>
      </w:r>
    </w:p>
    <w:p w:rsidR="0074774A" w:rsidRPr="00C2074B" w:rsidRDefault="0074774A" w:rsidP="0074774A">
      <w:pPr>
        <w:pStyle w:val="Heading5"/>
        <w:numPr>
          <w:ilvl w:val="3"/>
          <w:numId w:val="29"/>
        </w:numPr>
        <w:ind w:left="1304" w:hanging="1077"/>
      </w:pPr>
      <w:r w:rsidRPr="00C2074B">
        <w:t>Other studies</w:t>
      </w:r>
    </w:p>
    <w:p w:rsidR="0074774A" w:rsidRPr="00EC3AE0" w:rsidRDefault="0074774A" w:rsidP="0074774A">
      <w:pPr>
        <w:pStyle w:val="Heading6"/>
      </w:pPr>
      <w:r w:rsidRPr="00EC3AE0">
        <w:t>Other efficacy studies</w:t>
      </w:r>
    </w:p>
    <w:p w:rsidR="0074774A" w:rsidRPr="00687AAB" w:rsidRDefault="0074774A" w:rsidP="0074774A">
      <w:pPr>
        <w:rPr>
          <w:rFonts w:asciiTheme="minorHAnsi" w:hAnsiTheme="minorHAnsi"/>
          <w:lang w:eastAsia="ja-JP"/>
        </w:rPr>
      </w:pPr>
      <w:r w:rsidRPr="00687AAB">
        <w:rPr>
          <w:rFonts w:asciiTheme="minorHAnsi" w:hAnsiTheme="minorHAnsi"/>
        </w:rPr>
        <w:t xml:space="preserve">In Study SPD503-303 there were no changes in mean </w:t>
      </w:r>
      <w:r w:rsidRPr="00687AAB">
        <w:rPr>
          <w:rFonts w:asciiTheme="minorHAnsi" w:eastAsiaTheme="minorHAnsi" w:hAnsiTheme="minorHAnsi" w:cs="Arial"/>
          <w:lang w:val="en-NZ"/>
        </w:rPr>
        <w:t>Hamilton Anxiety Scale (</w:t>
      </w:r>
      <w:r w:rsidRPr="00687AAB">
        <w:rPr>
          <w:rFonts w:asciiTheme="minorHAnsi" w:hAnsiTheme="minorHAnsi"/>
        </w:rPr>
        <w:t xml:space="preserve">HAM-A) or </w:t>
      </w:r>
      <w:r w:rsidRPr="00687AAB">
        <w:rPr>
          <w:rFonts w:asciiTheme="minorHAnsi" w:eastAsiaTheme="minorHAnsi" w:hAnsiTheme="minorHAnsi" w:cs="Arial"/>
          <w:lang w:val="en-NZ"/>
        </w:rPr>
        <w:t>Hamilton Depression Scale</w:t>
      </w:r>
      <w:r w:rsidRPr="00687AAB">
        <w:rPr>
          <w:rFonts w:asciiTheme="minorHAnsi" w:hAnsiTheme="minorHAnsi"/>
        </w:rPr>
        <w:t xml:space="preserve"> (HAM-D) scores during the study.</w:t>
      </w:r>
    </w:p>
    <w:p w:rsidR="0074774A" w:rsidRPr="00687AAB" w:rsidRDefault="0074774A" w:rsidP="0074774A">
      <w:pPr>
        <w:rPr>
          <w:rFonts w:asciiTheme="minorHAnsi" w:hAnsiTheme="minorHAnsi"/>
          <w:lang w:eastAsia="ja-JP"/>
        </w:rPr>
      </w:pPr>
      <w:r>
        <w:rPr>
          <w:rFonts w:asciiTheme="minorHAnsi" w:hAnsiTheme="minorHAnsi"/>
        </w:rPr>
        <w:t>In Study SPD503-305</w:t>
      </w:r>
      <w:r w:rsidRPr="00687AAB">
        <w:rPr>
          <w:rFonts w:asciiTheme="minorHAnsi" w:hAnsiTheme="minorHAnsi"/>
        </w:rPr>
        <w:t xml:space="preserve"> there were no changes in mean </w:t>
      </w:r>
      <w:r w:rsidRPr="00687AAB">
        <w:rPr>
          <w:rFonts w:asciiTheme="minorHAnsi" w:eastAsiaTheme="minorHAnsi" w:hAnsiTheme="minorHAnsi" w:cs="Arial"/>
          <w:lang w:val="en-NZ"/>
        </w:rPr>
        <w:t>Hamilton Anxiety Scale (</w:t>
      </w:r>
      <w:r w:rsidRPr="00687AAB">
        <w:rPr>
          <w:rFonts w:asciiTheme="minorHAnsi" w:hAnsiTheme="minorHAnsi"/>
        </w:rPr>
        <w:t xml:space="preserve">HAM-A) or </w:t>
      </w:r>
      <w:r w:rsidRPr="00687AAB">
        <w:rPr>
          <w:rFonts w:asciiTheme="minorHAnsi" w:eastAsiaTheme="minorHAnsi" w:hAnsiTheme="minorHAnsi" w:cs="Arial"/>
          <w:lang w:val="en-NZ"/>
        </w:rPr>
        <w:t>Hamilton Depression Scale</w:t>
      </w:r>
      <w:r w:rsidRPr="00687AAB">
        <w:rPr>
          <w:rFonts w:asciiTheme="minorHAnsi" w:hAnsiTheme="minorHAnsi"/>
        </w:rPr>
        <w:t xml:space="preserve"> (HAM-D) scores during the study.</w:t>
      </w:r>
    </w:p>
    <w:p w:rsidR="0074774A" w:rsidRPr="00EC3AE0" w:rsidRDefault="0074774A" w:rsidP="0074774A">
      <w:pPr>
        <w:pStyle w:val="Heading6"/>
      </w:pPr>
      <w:r w:rsidRPr="00EC3AE0">
        <w:t>Studies evaluable for safety only</w:t>
      </w:r>
    </w:p>
    <w:p w:rsidR="0074774A" w:rsidRDefault="0074774A" w:rsidP="0074774A">
      <w:pPr>
        <w:rPr>
          <w:lang w:eastAsia="ja-JP"/>
        </w:rPr>
      </w:pPr>
      <w:r>
        <w:rPr>
          <w:lang w:eastAsia="ja-JP"/>
        </w:rPr>
        <w:t>In Study SPD503-318 suicidal ideation was recorded using the C-CCRS for two subjects.</w:t>
      </w:r>
    </w:p>
    <w:p w:rsidR="0074774A" w:rsidRPr="00545B14" w:rsidRDefault="0074774A" w:rsidP="0074774A">
      <w:pPr>
        <w:pStyle w:val="Heading3"/>
        <w:numPr>
          <w:ilvl w:val="1"/>
          <w:numId w:val="29"/>
        </w:numPr>
        <w:ind w:left="907" w:hanging="794"/>
      </w:pPr>
      <w:bookmarkStart w:id="551" w:name="_Toc505616999"/>
      <w:bookmarkStart w:id="552" w:name="_Toc513217713"/>
      <w:r w:rsidRPr="00545B14">
        <w:t>Other safety issues</w:t>
      </w:r>
      <w:bookmarkEnd w:id="542"/>
      <w:bookmarkEnd w:id="543"/>
      <w:bookmarkEnd w:id="544"/>
      <w:bookmarkEnd w:id="545"/>
      <w:bookmarkEnd w:id="546"/>
      <w:bookmarkEnd w:id="547"/>
      <w:bookmarkEnd w:id="548"/>
      <w:bookmarkEnd w:id="551"/>
      <w:bookmarkEnd w:id="552"/>
    </w:p>
    <w:p w:rsidR="0074774A" w:rsidRPr="00545B14" w:rsidRDefault="0074774A" w:rsidP="0074774A">
      <w:pPr>
        <w:pStyle w:val="Heading4"/>
        <w:numPr>
          <w:ilvl w:val="2"/>
          <w:numId w:val="29"/>
        </w:numPr>
      </w:pPr>
      <w:bookmarkStart w:id="553" w:name="_Toc241374322"/>
      <w:bookmarkStart w:id="554" w:name="_Ref272331212"/>
      <w:bookmarkStart w:id="555" w:name="_Toc272414687"/>
      <w:bookmarkStart w:id="556" w:name="_Toc290888551"/>
      <w:bookmarkStart w:id="557" w:name="_Toc416353766"/>
      <w:bookmarkStart w:id="558" w:name="_Toc421005309"/>
      <w:bookmarkStart w:id="559" w:name="_Toc432079180"/>
      <w:bookmarkStart w:id="560" w:name="_Toc432080753"/>
      <w:r w:rsidRPr="00545B14">
        <w:t>Safety in special populations</w:t>
      </w:r>
      <w:bookmarkEnd w:id="553"/>
      <w:bookmarkEnd w:id="554"/>
      <w:bookmarkEnd w:id="555"/>
      <w:bookmarkEnd w:id="556"/>
      <w:bookmarkEnd w:id="557"/>
      <w:bookmarkEnd w:id="558"/>
      <w:bookmarkEnd w:id="559"/>
      <w:bookmarkEnd w:id="560"/>
    </w:p>
    <w:p w:rsidR="0074774A" w:rsidRDefault="0074774A" w:rsidP="0074774A">
      <w:pPr>
        <w:rPr>
          <w:lang w:eastAsia="ja-JP"/>
        </w:rPr>
      </w:pPr>
      <w:bookmarkStart w:id="561" w:name="_Toc241374324"/>
      <w:bookmarkStart w:id="562" w:name="_Ref272331214"/>
      <w:bookmarkStart w:id="563" w:name="_Toc272414688"/>
      <w:bookmarkStart w:id="564" w:name="_Toc290888552"/>
      <w:bookmarkStart w:id="565" w:name="_Toc416353767"/>
      <w:bookmarkStart w:id="566" w:name="_Toc421005310"/>
      <w:bookmarkStart w:id="567" w:name="_Toc432079181"/>
      <w:bookmarkStart w:id="568" w:name="_Toc432080754"/>
      <w:r>
        <w:rPr>
          <w:lang w:eastAsia="ja-JP"/>
        </w:rPr>
        <w:t>There were no further safety data in special populations.</w:t>
      </w:r>
    </w:p>
    <w:p w:rsidR="0074774A" w:rsidRDefault="0074774A" w:rsidP="0074774A">
      <w:pPr>
        <w:pStyle w:val="Heading4"/>
        <w:numPr>
          <w:ilvl w:val="2"/>
          <w:numId w:val="29"/>
        </w:numPr>
      </w:pPr>
      <w:r w:rsidRPr="00545B14">
        <w:lastRenderedPageBreak/>
        <w:t>Safety related to drug-drug interactions and other interactions</w:t>
      </w:r>
      <w:bookmarkEnd w:id="561"/>
      <w:bookmarkEnd w:id="562"/>
      <w:bookmarkEnd w:id="563"/>
      <w:bookmarkEnd w:id="564"/>
      <w:bookmarkEnd w:id="565"/>
      <w:bookmarkEnd w:id="566"/>
      <w:bookmarkEnd w:id="567"/>
      <w:bookmarkEnd w:id="568"/>
    </w:p>
    <w:p w:rsidR="0074774A" w:rsidRDefault="0074774A" w:rsidP="0074774A">
      <w:pPr>
        <w:rPr>
          <w:lang w:eastAsia="ja-JP"/>
        </w:rPr>
      </w:pPr>
      <w:bookmarkStart w:id="569" w:name="_Toc241374326"/>
      <w:bookmarkStart w:id="570" w:name="_Ref272333048"/>
      <w:bookmarkStart w:id="571" w:name="_Toc272414679"/>
      <w:bookmarkStart w:id="572" w:name="_Toc290888543"/>
      <w:bookmarkStart w:id="573" w:name="_Toc416353758"/>
      <w:bookmarkStart w:id="574" w:name="_Toc421005301"/>
      <w:bookmarkStart w:id="575" w:name="_Toc432079182"/>
      <w:bookmarkStart w:id="576" w:name="_Toc432080755"/>
      <w:r>
        <w:rPr>
          <w:lang w:eastAsia="ja-JP"/>
        </w:rPr>
        <w:t>There were no further safety data with regard to drug-drug interactions.</w:t>
      </w:r>
    </w:p>
    <w:p w:rsidR="0074774A" w:rsidRPr="00E4342F" w:rsidRDefault="0074774A" w:rsidP="0074774A">
      <w:pPr>
        <w:pStyle w:val="Heading3"/>
        <w:numPr>
          <w:ilvl w:val="1"/>
          <w:numId w:val="29"/>
        </w:numPr>
        <w:ind w:left="907" w:hanging="794"/>
      </w:pPr>
      <w:bookmarkStart w:id="577" w:name="_Toc505617000"/>
      <w:bookmarkStart w:id="578" w:name="_Toc513217714"/>
      <w:r w:rsidRPr="00E4342F">
        <w:t>Post</w:t>
      </w:r>
      <w:r>
        <w:t xml:space="preserve"> </w:t>
      </w:r>
      <w:r w:rsidRPr="00E4342F">
        <w:t>marketing experience</w:t>
      </w:r>
      <w:bookmarkEnd w:id="569"/>
      <w:bookmarkEnd w:id="570"/>
      <w:bookmarkEnd w:id="571"/>
      <w:bookmarkEnd w:id="572"/>
      <w:bookmarkEnd w:id="573"/>
      <w:bookmarkEnd w:id="574"/>
      <w:bookmarkEnd w:id="575"/>
      <w:bookmarkEnd w:id="576"/>
      <w:bookmarkEnd w:id="577"/>
      <w:bookmarkEnd w:id="578"/>
    </w:p>
    <w:p w:rsidR="0074774A" w:rsidRPr="00B90BF8" w:rsidRDefault="0074774A" w:rsidP="0074774A">
      <w:bookmarkStart w:id="579" w:name="_Toc241374328"/>
      <w:bookmarkStart w:id="580" w:name="_Toc272414691"/>
      <w:bookmarkStart w:id="581" w:name="_Toc290888555"/>
      <w:bookmarkStart w:id="582" w:name="_Toc416353770"/>
      <w:bookmarkStart w:id="583" w:name="_Toc421005312"/>
      <w:bookmarkStart w:id="584" w:name="_Toc432079183"/>
      <w:bookmarkStart w:id="585" w:name="_Toc432080756"/>
      <w:r>
        <w:rPr>
          <w:lang w:eastAsia="ja-JP"/>
        </w:rPr>
        <w:t xml:space="preserve">Guanfacine extended release (SPD503) was first launched in the US in September 2009. There were nine Post-Marketing Safety Update Reports provided in the dossier covering the time period up to 1 September 2015. A total of 3,243 subjects had been treated with SPD503 in clinical trials. The estimated cumulative worldwide patient exposure is 965,432 patient years of </w:t>
      </w:r>
      <w:r w:rsidRPr="00B90BF8">
        <w:t>treatment.</w:t>
      </w:r>
    </w:p>
    <w:p w:rsidR="0074774A" w:rsidRPr="00B90BF8" w:rsidRDefault="0074774A" w:rsidP="0074774A">
      <w:r w:rsidRPr="00B90BF8">
        <w:t>During the period covered by the reports, there have been no actions taken for safety reasons such as withdrawals, suspensions, limits on indication, or lack of approval for safety reasons taken by regulators.</w:t>
      </w:r>
    </w:p>
    <w:p w:rsidR="0074774A" w:rsidRPr="00B90BF8" w:rsidRDefault="0074774A" w:rsidP="0074774A">
      <w:r>
        <w:t xml:space="preserve">The </w:t>
      </w:r>
      <w:r w:rsidRPr="00B90BF8">
        <w:t>Important Identified Risks</w:t>
      </w:r>
      <w:r>
        <w:t xml:space="preserve"> are:</w:t>
      </w:r>
    </w:p>
    <w:p w:rsidR="0074774A" w:rsidRPr="00B90BF8" w:rsidRDefault="0074774A" w:rsidP="0074774A">
      <w:pPr>
        <w:pStyle w:val="ListBullet"/>
        <w:numPr>
          <w:ilvl w:val="0"/>
          <w:numId w:val="3"/>
        </w:numPr>
      </w:pPr>
      <w:r w:rsidRPr="00B90BF8">
        <w:t>Syncope</w:t>
      </w:r>
    </w:p>
    <w:p w:rsidR="0074774A" w:rsidRPr="00B90BF8" w:rsidRDefault="0074774A" w:rsidP="0074774A">
      <w:pPr>
        <w:pStyle w:val="ListBullet"/>
        <w:numPr>
          <w:ilvl w:val="0"/>
          <w:numId w:val="3"/>
        </w:numPr>
      </w:pPr>
      <w:r w:rsidRPr="00B90BF8">
        <w:t>Bradycardia</w:t>
      </w:r>
    </w:p>
    <w:p w:rsidR="0074774A" w:rsidRPr="00B90BF8" w:rsidRDefault="0074774A" w:rsidP="0074774A">
      <w:pPr>
        <w:pStyle w:val="ListBullet"/>
        <w:numPr>
          <w:ilvl w:val="0"/>
          <w:numId w:val="3"/>
        </w:numPr>
      </w:pPr>
      <w:r w:rsidRPr="00B90BF8">
        <w:t>Hypotension</w:t>
      </w:r>
    </w:p>
    <w:p w:rsidR="0074774A" w:rsidRPr="00B90BF8" w:rsidRDefault="0074774A" w:rsidP="0074774A">
      <w:pPr>
        <w:pStyle w:val="ListBullet"/>
        <w:numPr>
          <w:ilvl w:val="0"/>
          <w:numId w:val="3"/>
        </w:numPr>
      </w:pPr>
      <w:r w:rsidRPr="00B90BF8">
        <w:t>Sedative events</w:t>
      </w:r>
    </w:p>
    <w:p w:rsidR="0074774A" w:rsidRPr="00B90BF8" w:rsidRDefault="0074774A" w:rsidP="0074774A">
      <w:pPr>
        <w:pStyle w:val="ListBullet"/>
        <w:numPr>
          <w:ilvl w:val="0"/>
          <w:numId w:val="3"/>
        </w:numPr>
      </w:pPr>
      <w:r w:rsidRPr="00B90BF8">
        <w:t>Withdrawal blood pressure increased</w:t>
      </w:r>
    </w:p>
    <w:p w:rsidR="0074774A" w:rsidRPr="00B90BF8" w:rsidRDefault="0074774A" w:rsidP="0074774A">
      <w:pPr>
        <w:pStyle w:val="ListBullet"/>
        <w:numPr>
          <w:ilvl w:val="0"/>
          <w:numId w:val="3"/>
        </w:numPr>
      </w:pPr>
      <w:r w:rsidRPr="00B90BF8">
        <w:t>Weight increase</w:t>
      </w:r>
    </w:p>
    <w:p w:rsidR="0074774A" w:rsidRPr="00B90BF8" w:rsidRDefault="0074774A" w:rsidP="0074774A">
      <w:r>
        <w:t xml:space="preserve">The </w:t>
      </w:r>
      <w:r w:rsidRPr="00B90BF8">
        <w:t>Important Potential Risks</w:t>
      </w:r>
      <w:r>
        <w:t xml:space="preserve"> are:</w:t>
      </w:r>
    </w:p>
    <w:p w:rsidR="0074774A" w:rsidRPr="00B90BF8" w:rsidRDefault="0074774A" w:rsidP="0074774A">
      <w:pPr>
        <w:pStyle w:val="ListBullet"/>
        <w:numPr>
          <w:ilvl w:val="0"/>
          <w:numId w:val="3"/>
        </w:numPr>
      </w:pPr>
      <w:r w:rsidRPr="00B90BF8">
        <w:t>Cardiac valvulopathy due to binding to 5HT-2B receptors</w:t>
      </w:r>
    </w:p>
    <w:p w:rsidR="0074774A" w:rsidRPr="00B90BF8" w:rsidRDefault="0074774A" w:rsidP="0074774A">
      <w:pPr>
        <w:pStyle w:val="ListBullet"/>
        <w:numPr>
          <w:ilvl w:val="0"/>
          <w:numId w:val="3"/>
        </w:numPr>
      </w:pPr>
      <w:r w:rsidRPr="00B90BF8">
        <w:t>QT prolongation</w:t>
      </w:r>
    </w:p>
    <w:p w:rsidR="0074774A" w:rsidRPr="00B90BF8" w:rsidRDefault="0074774A" w:rsidP="0074774A">
      <w:pPr>
        <w:pStyle w:val="ListBullet"/>
        <w:numPr>
          <w:ilvl w:val="0"/>
          <w:numId w:val="3"/>
        </w:numPr>
      </w:pPr>
      <w:r w:rsidRPr="00B90BF8">
        <w:t>Off-label use</w:t>
      </w:r>
    </w:p>
    <w:p w:rsidR="0074774A" w:rsidRPr="00B90BF8" w:rsidRDefault="0074774A" w:rsidP="0074774A">
      <w:pPr>
        <w:pStyle w:val="ListBullet"/>
        <w:numPr>
          <w:ilvl w:val="0"/>
          <w:numId w:val="3"/>
        </w:numPr>
      </w:pPr>
      <w:r w:rsidRPr="00B90BF8">
        <w:t>Blood glucose disorder</w:t>
      </w:r>
    </w:p>
    <w:p w:rsidR="0074774A" w:rsidRPr="00B90BF8" w:rsidRDefault="0074774A" w:rsidP="0074774A">
      <w:r>
        <w:t>The Missing I</w:t>
      </w:r>
      <w:r w:rsidRPr="00B90BF8">
        <w:t>nformation</w:t>
      </w:r>
      <w:r>
        <w:t xml:space="preserve"> is:</w:t>
      </w:r>
    </w:p>
    <w:p w:rsidR="0074774A" w:rsidRPr="00B90BF8" w:rsidRDefault="0074774A" w:rsidP="0074774A">
      <w:pPr>
        <w:pStyle w:val="ListBullet"/>
        <w:numPr>
          <w:ilvl w:val="0"/>
          <w:numId w:val="3"/>
        </w:numPr>
      </w:pPr>
      <w:r w:rsidRPr="00B90BF8">
        <w:t>Use of GXR in pregnant or breastfeeding women</w:t>
      </w:r>
    </w:p>
    <w:p w:rsidR="0074774A" w:rsidRPr="00B90BF8" w:rsidRDefault="0074774A" w:rsidP="0074774A">
      <w:pPr>
        <w:pStyle w:val="ListBullet"/>
        <w:numPr>
          <w:ilvl w:val="0"/>
          <w:numId w:val="3"/>
        </w:numPr>
      </w:pPr>
      <w:r w:rsidRPr="00B90BF8">
        <w:t>Use of GXR in patients with renal or hepatic impairment</w:t>
      </w:r>
    </w:p>
    <w:p w:rsidR="0074774A" w:rsidRPr="00B90BF8" w:rsidRDefault="0074774A" w:rsidP="0074774A">
      <w:pPr>
        <w:pStyle w:val="ListBullet"/>
        <w:numPr>
          <w:ilvl w:val="0"/>
          <w:numId w:val="3"/>
        </w:numPr>
      </w:pPr>
      <w:r w:rsidRPr="00B90BF8">
        <w:t>Long-term safety (neurocognition in particular but also effects on growth, sexual</w:t>
      </w:r>
      <w:r>
        <w:t xml:space="preserve"> </w:t>
      </w:r>
      <w:r w:rsidRPr="00B90BF8">
        <w:t>maturation)</w:t>
      </w:r>
    </w:p>
    <w:p w:rsidR="0074774A" w:rsidRPr="00B90BF8" w:rsidRDefault="0074774A" w:rsidP="0074774A">
      <w:pPr>
        <w:pStyle w:val="ListBullet"/>
        <w:numPr>
          <w:ilvl w:val="0"/>
          <w:numId w:val="3"/>
        </w:numPr>
      </w:pPr>
      <w:r w:rsidRPr="00B90BF8">
        <w:t>Drug interactions</w:t>
      </w:r>
    </w:p>
    <w:p w:rsidR="0074774A" w:rsidRPr="00E4342F" w:rsidRDefault="0074774A" w:rsidP="0074774A">
      <w:pPr>
        <w:pStyle w:val="Heading3"/>
        <w:numPr>
          <w:ilvl w:val="1"/>
          <w:numId w:val="29"/>
        </w:numPr>
        <w:ind w:left="907" w:hanging="794"/>
      </w:pPr>
      <w:bookmarkStart w:id="586" w:name="_Toc505617001"/>
      <w:bookmarkStart w:id="587" w:name="_Toc513217715"/>
      <w:r w:rsidRPr="00E4342F">
        <w:t>Evaluator’s overall conclusions on clinical safety</w:t>
      </w:r>
      <w:bookmarkEnd w:id="579"/>
      <w:bookmarkEnd w:id="580"/>
      <w:bookmarkEnd w:id="581"/>
      <w:bookmarkEnd w:id="582"/>
      <w:bookmarkEnd w:id="583"/>
      <w:bookmarkEnd w:id="584"/>
      <w:bookmarkEnd w:id="585"/>
      <w:bookmarkEnd w:id="586"/>
      <w:bookmarkEnd w:id="587"/>
    </w:p>
    <w:p w:rsidR="0074774A" w:rsidRDefault="0074774A" w:rsidP="0074774A">
      <w:r>
        <w:t xml:space="preserve">In the submitted data, overall exposure to guanfacine extended release (SPD503) was 2411 subjects, with 1718 aged 6 to 12 years and 693 aged 13 to 17 years at time of randomisation. There were 482 subjects exposed for </w:t>
      </w:r>
      <w:r>
        <w:rPr>
          <w:rFonts w:ascii="Times New Roman" w:hAnsi="Times New Roman"/>
        </w:rPr>
        <w:t xml:space="preserve">≥ </w:t>
      </w:r>
      <w:r>
        <w:t xml:space="preserve">180 days, 235 subjects exposed for </w:t>
      </w:r>
      <w:r>
        <w:rPr>
          <w:rFonts w:ascii="Times New Roman" w:hAnsi="Times New Roman"/>
        </w:rPr>
        <w:t xml:space="preserve">≥ </w:t>
      </w:r>
      <w:r>
        <w:t>360 days and 101 subjects exposed for &gt;720 days. Subjects were exposed to up to 7 mg/day (Table 40) and up to 0.16 mg/kg/day (Table 41). In the post-marketing data, a</w:t>
      </w:r>
      <w:r>
        <w:rPr>
          <w:lang w:eastAsia="ja-JP"/>
        </w:rPr>
        <w:t xml:space="preserve"> total of 3,243 subjects had been treated with SPD503 in clinical trials and the estimated cumulative worldwide patient exposure was 965,432 patient years of </w:t>
      </w:r>
      <w:r w:rsidRPr="00B90BF8">
        <w:t>treatment.</w:t>
      </w:r>
    </w:p>
    <w:p w:rsidR="0074774A" w:rsidRDefault="0074774A" w:rsidP="0074774A">
      <w:pPr>
        <w:pStyle w:val="Tabletitle"/>
        <w:rPr>
          <w:lang w:eastAsia="ja-JP"/>
        </w:rPr>
      </w:pPr>
      <w:r>
        <w:rPr>
          <w:lang w:eastAsia="ja-JP"/>
        </w:rPr>
        <w:lastRenderedPageBreak/>
        <w:t>Table 40: Length of treatment exposure by actual dose – randomised pool (copied from Table 7, Summary of Clinical Safety)</w:t>
      </w:r>
    </w:p>
    <w:p w:rsidR="0074774A" w:rsidRDefault="0074774A" w:rsidP="0074774A">
      <w:pPr>
        <w:rPr>
          <w:lang w:eastAsia="ja-JP"/>
        </w:rPr>
      </w:pPr>
      <w:r>
        <w:rPr>
          <w:noProof/>
          <w:lang w:eastAsia="en-AU"/>
        </w:rPr>
        <w:drawing>
          <wp:inline distT="0" distB="0" distL="0" distR="0" wp14:anchorId="668E6CD9" wp14:editId="00F2BE44">
            <wp:extent cx="5328000" cy="1854649"/>
            <wp:effectExtent l="0" t="0" r="6350" b="0"/>
            <wp:docPr id="188" name="Picture 188" descr="Table 40: Length of treatment exposure by actual dose – randomised pool (copied from Table 7,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9894" cy="1855308"/>
                    </a:xfrm>
                    <a:prstGeom prst="rect">
                      <a:avLst/>
                    </a:prstGeom>
                    <a:noFill/>
                    <a:ln>
                      <a:noFill/>
                    </a:ln>
                  </pic:spPr>
                </pic:pic>
              </a:graphicData>
            </a:graphic>
          </wp:inline>
        </w:drawing>
      </w:r>
    </w:p>
    <w:p w:rsidR="0074774A" w:rsidRDefault="0074774A" w:rsidP="0074774A">
      <w:pPr>
        <w:pStyle w:val="Tabletitle"/>
        <w:rPr>
          <w:lang w:eastAsia="ja-JP"/>
        </w:rPr>
      </w:pPr>
      <w:r>
        <w:rPr>
          <w:lang w:eastAsia="ja-JP"/>
        </w:rPr>
        <w:t>Table 41: Length of treatment exposure by weight-adjusted dose – randomised pool (copied from Table 7, Summary of Clinical Safety)</w:t>
      </w:r>
    </w:p>
    <w:p w:rsidR="0074774A" w:rsidRDefault="0074774A" w:rsidP="0074774A">
      <w:pPr>
        <w:rPr>
          <w:lang w:eastAsia="ja-JP"/>
        </w:rPr>
      </w:pPr>
      <w:r>
        <w:rPr>
          <w:noProof/>
          <w:lang w:eastAsia="en-AU"/>
        </w:rPr>
        <w:drawing>
          <wp:inline distT="0" distB="0" distL="0" distR="0" wp14:anchorId="7B79ECB9" wp14:editId="0F7B73FD">
            <wp:extent cx="5328000" cy="1723640"/>
            <wp:effectExtent l="0" t="0" r="6350" b="0"/>
            <wp:docPr id="189" name="Picture 189" descr="Table 41: Length of treatment exposure by weight-adjusted dose – randomised pool (copied from Table 7,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8878" cy="1727159"/>
                    </a:xfrm>
                    <a:prstGeom prst="rect">
                      <a:avLst/>
                    </a:prstGeom>
                    <a:noFill/>
                    <a:ln>
                      <a:noFill/>
                    </a:ln>
                  </pic:spPr>
                </pic:pic>
              </a:graphicData>
            </a:graphic>
          </wp:inline>
        </w:drawing>
      </w:r>
    </w:p>
    <w:p w:rsidR="0074774A" w:rsidRDefault="0074774A" w:rsidP="0074774A">
      <w:pPr>
        <w:rPr>
          <w:lang w:eastAsia="ja-JP"/>
        </w:rPr>
      </w:pPr>
      <w:r>
        <w:rPr>
          <w:lang w:eastAsia="ja-JP"/>
        </w:rPr>
        <w:t>Overall the rate of TEAEs was higher in the guanfacine extended release group than in the placebo 2046 (84.9%) subjects compared with 620 (63.7%). In the guanfacine group, there were 1467 (85.4%) subjects aged 6 to 12 years with TEAEs and 579 (83.5%) aged 13 to 17 years. Compared to placebo, in the guanfacine group, there was a higher rate of somnolence, headache, fatigue and sedation regardless of dose or age group</w:t>
      </w:r>
    </w:p>
    <w:p w:rsidR="0074774A" w:rsidRDefault="0074774A" w:rsidP="0074774A">
      <w:pPr>
        <w:rPr>
          <w:lang w:eastAsia="ja-JP"/>
        </w:rPr>
      </w:pPr>
      <w:r>
        <w:rPr>
          <w:lang w:eastAsia="ja-JP"/>
        </w:rPr>
        <w:t>Overall the rate of treatment related TEAEs was higher in the guanfacine extended release group than in the placebo 1765 (73.2%) subjects compared with 357 (36.7%). In the guanfacine group, there were 1275 (74.2%) subjects aged 6 to 12 years with TEAEs and 490 (70.7%) aged 13 to 17 years. Somnolence, sedation and headache were the most common treatment related TEAEs.</w:t>
      </w:r>
    </w:p>
    <w:p w:rsidR="00886C19" w:rsidRDefault="0074774A" w:rsidP="0074774A">
      <w:pPr>
        <w:rPr>
          <w:lang w:eastAsia="ja-JP"/>
        </w:rPr>
      </w:pPr>
      <w:r>
        <w:rPr>
          <w:lang w:eastAsia="ja-JP"/>
        </w:rPr>
        <w:t>There were no deaths in the study program.</w:t>
      </w:r>
    </w:p>
    <w:p w:rsidR="0074774A" w:rsidRDefault="0074774A" w:rsidP="0074774A">
      <w:pPr>
        <w:rPr>
          <w:lang w:eastAsia="ja-JP"/>
        </w:rPr>
      </w:pPr>
      <w:r>
        <w:rPr>
          <w:lang w:eastAsia="ja-JP"/>
        </w:rPr>
        <w:t>Overall the rate of SAEs was higher in the guanfacine extended release group than in the placebo 49 (2.0%) subjects compared with eight (0.8%). In the guanfacine group, there were 33 (1.9%) subjects aged 6 to 12 years with TEAEs and 16 (2.3%) aged 13 to 17 years. Syncope and sedation were the commonest SAEs in the guanfacine group.</w:t>
      </w:r>
    </w:p>
    <w:p w:rsidR="0074774A" w:rsidRDefault="0074774A" w:rsidP="0074774A">
      <w:pPr>
        <w:rPr>
          <w:lang w:eastAsia="ja-JP"/>
        </w:rPr>
      </w:pPr>
      <w:r>
        <w:rPr>
          <w:lang w:eastAsia="ja-JP"/>
        </w:rPr>
        <w:t>Overall the rate of DAE was higher in the guanfacine extended release group than in the placebo 261 (10.8%) subjects compared with 13 (1.3%). In the guanfacine group, there were 200 (11.6%) subjects aged 6 to 12 years with DAE and 61 (8.8%) aged 13 to 17 years. Somnolence and syncope were the commonest reasons for discontinuation in the guanfacine group.</w:t>
      </w:r>
    </w:p>
    <w:p w:rsidR="0074774A" w:rsidRDefault="0074774A" w:rsidP="0074774A">
      <w:pPr>
        <w:rPr>
          <w:lang w:eastAsia="ja-JP"/>
        </w:rPr>
      </w:pPr>
      <w:r>
        <w:t xml:space="preserve">At doses titrated up to 8 mg, there was prolongation of QTcF to the threshold of regulatory concern, but there was no prolongation when QTc was calculated by QTcNi (Study SPD503-112). The mean (90% CI) for difference guanfacine-placebo, change for baseline in QTcF was 3.54 (0.78 to 6.29) at 6 hours post dose, and 7.61 (4.87 to 10.34) at 12 hours post dose. </w:t>
      </w:r>
      <w:r>
        <w:lastRenderedPageBreak/>
        <w:t>However, heart rate decreased by a mean of 20 bpm in the guanfacine group. Subsequently, ECG data were collected for all of the Phase III and Phase II studies and no significant concerns with regard to QTc prolongation were identified in these data. Of note, subjects with known QTc prolongation or who were taking drugs known to prolong QTc were excluded from all of these studies.</w:t>
      </w:r>
    </w:p>
    <w:p w:rsidR="0074774A" w:rsidRDefault="0074774A" w:rsidP="0074774A">
      <w:pPr>
        <w:rPr>
          <w:lang w:eastAsia="ja-JP"/>
        </w:rPr>
      </w:pPr>
      <w:r>
        <w:rPr>
          <w:lang w:eastAsia="ja-JP"/>
        </w:rPr>
        <w:t>HR, SBP and DBP decreased from the first dose of guanfacine, and normalised over several months of treatment. With tapered withdrawal of guanfacine rebound hypertension was not clinically significant. Postural hypotension and syncope was reported in patients treated with guanfacine. The pivotal trials excluded subjects with hypertension or orthostatic hypotension.</w:t>
      </w:r>
    </w:p>
    <w:p w:rsidR="0074774A" w:rsidRDefault="0074774A" w:rsidP="0074774A">
      <w:pPr>
        <w:rPr>
          <w:lang w:eastAsia="ja-JP"/>
        </w:rPr>
      </w:pPr>
      <w:r>
        <w:rPr>
          <w:lang w:eastAsia="ja-JP"/>
        </w:rPr>
        <w:t>Somnolence and sedation were common adverse events. The rate of somnolence/sedation increased with dose in the fixed dose studies, but a dose effect was not apparent in the dose optimisation studies.</w:t>
      </w:r>
    </w:p>
    <w:p w:rsidR="0074774A" w:rsidRDefault="0074774A" w:rsidP="0074774A">
      <w:pPr>
        <w:rPr>
          <w:lang w:eastAsia="ja-JP"/>
        </w:rPr>
      </w:pPr>
      <w:r>
        <w:rPr>
          <w:lang w:eastAsia="ja-JP"/>
        </w:rPr>
        <w:t>Adverse psychiatric changes were not identified as a safety issue. There was no apparent increase in suicidality with guanfacine.</w:t>
      </w:r>
    </w:p>
    <w:p w:rsidR="0074774A" w:rsidRDefault="0074774A" w:rsidP="0074774A">
      <w:pPr>
        <w:rPr>
          <w:lang w:eastAsia="ja-JP"/>
        </w:rPr>
      </w:pPr>
      <w:r>
        <w:rPr>
          <w:lang w:eastAsia="ja-JP"/>
        </w:rPr>
        <w:t>The pivotal clinical trials excluded patients with a broad range of comorbidities and the dossier does not contain safety data for use in these patients. Typical exclusion criteria used in the development program were those from Study SPD503-313:</w:t>
      </w:r>
    </w:p>
    <w:p w:rsidR="0074774A" w:rsidRPr="00BE6FD1" w:rsidRDefault="0074774A" w:rsidP="0074774A">
      <w:pPr>
        <w:pStyle w:val="ListBullet"/>
        <w:numPr>
          <w:ilvl w:val="0"/>
          <w:numId w:val="3"/>
        </w:numPr>
      </w:pPr>
      <w:r w:rsidRPr="00BE6FD1">
        <w:t>Any current, controlled (requiring a prohibited medication or behavioural modification program) or uncontrolled, co-morbid psychiatric diagnosis (except ODD), including any severe co-morbid Axis II disorders or severe Axis I disorders such as Post Traumatic Stress Disorder (PTSD), bipolar illness, psychosis, pervasive developmental disorder, obsessive-compulsive disorder (OCD), substance abuse disorder, or other symptomatic manifestations or lifetime history of bipolar illness, psychosis or conduct disorder that, in the opinion of the Investigator, contraindicate SPD503 treatment or confound efficacy or safety assessments.</w:t>
      </w:r>
    </w:p>
    <w:p w:rsidR="0074774A" w:rsidRPr="00BE6FD1" w:rsidRDefault="0074774A" w:rsidP="0074774A">
      <w:pPr>
        <w:pStyle w:val="ListBullet"/>
        <w:numPr>
          <w:ilvl w:val="0"/>
          <w:numId w:val="3"/>
        </w:numPr>
      </w:pPr>
      <w:r w:rsidRPr="00BE6FD1">
        <w:t>Subjects who are at suicide risk, any subject who has previously made a suicide attempt or those who are currently demonstrating active suicide ideation.</w:t>
      </w:r>
    </w:p>
    <w:p w:rsidR="0074774A" w:rsidRPr="00BE6FD1" w:rsidRDefault="0074774A" w:rsidP="0074774A">
      <w:pPr>
        <w:pStyle w:val="ListBullet"/>
        <w:numPr>
          <w:ilvl w:val="0"/>
          <w:numId w:val="3"/>
        </w:numPr>
      </w:pPr>
      <w:r w:rsidRPr="00BE6FD1">
        <w:t>Subject has a history of seizure disorder (other than a single childhood febrile seizure occurring before the age of 3 years).</w:t>
      </w:r>
    </w:p>
    <w:p w:rsidR="0074774A" w:rsidRPr="00BE6FD1" w:rsidRDefault="0074774A" w:rsidP="0074774A">
      <w:pPr>
        <w:pStyle w:val="ListBullet"/>
        <w:numPr>
          <w:ilvl w:val="0"/>
          <w:numId w:val="3"/>
        </w:numPr>
      </w:pPr>
      <w:r w:rsidRPr="00BE6FD1">
        <w:t>History or presence of known structural cardiac abnormalities, symptomatic cardiovascular disease, advanced arteriosclerosis, cardiomyopathy, serious heart rhythm abnormalities, coronary artery disease, syncope, cardiac conduction problems (</w:t>
      </w:r>
      <w:r>
        <w:t>for example,</w:t>
      </w:r>
      <w:r w:rsidRPr="00BE6FD1">
        <w:t xml:space="preserve"> clinically significant heart block or clinically significant abnormality in QT or QTc interval, etc.), exercise-related cardiac events including syncope and pre-syncope, clinically significant bradycardia or any other serious cardiac problem that may place a subject at increased vulnerability to the effects of a stimulant and/or α2-agonist medication.</w:t>
      </w:r>
    </w:p>
    <w:p w:rsidR="0074774A" w:rsidRPr="00BE6FD1" w:rsidRDefault="0074774A" w:rsidP="0074774A">
      <w:pPr>
        <w:pStyle w:val="ListBullet"/>
        <w:numPr>
          <w:ilvl w:val="0"/>
          <w:numId w:val="3"/>
        </w:numPr>
      </w:pPr>
      <w:r w:rsidRPr="00BE6FD1">
        <w:t>Subject has a family history of sudden cardiac death or ventricular arrhythmia.</w:t>
      </w:r>
    </w:p>
    <w:p w:rsidR="0074774A" w:rsidRPr="00BE6FD1" w:rsidRDefault="0074774A" w:rsidP="0074774A">
      <w:pPr>
        <w:pStyle w:val="ListBullet"/>
        <w:numPr>
          <w:ilvl w:val="0"/>
          <w:numId w:val="3"/>
        </w:numPr>
      </w:pPr>
      <w:r w:rsidRPr="00BE6FD1">
        <w:t>Subject has symptomatic or clinically meaningful orthostatic hypotension based on clinical judgment.</w:t>
      </w:r>
    </w:p>
    <w:p w:rsidR="0074774A" w:rsidRPr="00BE6FD1" w:rsidRDefault="0074774A" w:rsidP="0074774A">
      <w:pPr>
        <w:pStyle w:val="ListBullet"/>
        <w:numPr>
          <w:ilvl w:val="0"/>
          <w:numId w:val="3"/>
        </w:numPr>
      </w:pPr>
      <w:r w:rsidRPr="00BE6FD1">
        <w:t>History of controlled or uncontrolled hypertension.</w:t>
      </w:r>
    </w:p>
    <w:p w:rsidR="0074774A" w:rsidRPr="00BE6FD1" w:rsidRDefault="0074774A" w:rsidP="0074774A">
      <w:pPr>
        <w:pStyle w:val="ListBullet"/>
        <w:numPr>
          <w:ilvl w:val="0"/>
          <w:numId w:val="3"/>
        </w:numPr>
      </w:pPr>
      <w:r w:rsidRPr="00BE6FD1">
        <w:t>Current use of any prohibited medication or other medications, including herbal supplements, that have central nervous system (CNS) effects or affect cognitive performance, such as sedating antihistamines and decongestant sympathomimetics (bronchodilators are permitted).</w:t>
      </w:r>
    </w:p>
    <w:p w:rsidR="00886C19" w:rsidRDefault="0074774A" w:rsidP="0074774A">
      <w:pPr>
        <w:pStyle w:val="ListBullet"/>
        <w:numPr>
          <w:ilvl w:val="0"/>
          <w:numId w:val="3"/>
        </w:numPr>
      </w:pPr>
      <w:r w:rsidRPr="00BE6FD1">
        <w:t xml:space="preserve">Current use of any </w:t>
      </w:r>
      <w:proofErr w:type="gramStart"/>
      <w:r w:rsidRPr="00BE6FD1">
        <w:t>medication, including herbal supplements, that affects BP or HR or are</w:t>
      </w:r>
      <w:proofErr w:type="gramEnd"/>
      <w:r w:rsidRPr="00BE6FD1">
        <w:t xml:space="preserve"> known to prolong the QT/QTc interval (excluding the subject’s current ADHD medication).</w:t>
      </w:r>
    </w:p>
    <w:p w:rsidR="00886C19" w:rsidRDefault="0074774A" w:rsidP="0074774A">
      <w:pPr>
        <w:pStyle w:val="ListBullet"/>
        <w:numPr>
          <w:ilvl w:val="0"/>
          <w:numId w:val="3"/>
        </w:numPr>
      </w:pPr>
      <w:r w:rsidRPr="00BE6FD1">
        <w:t>Morbidly overweight or obese, as defined by a BMI &gt;95</w:t>
      </w:r>
      <w:r w:rsidRPr="00BE6FD1">
        <w:rPr>
          <w:vertAlign w:val="superscript"/>
        </w:rPr>
        <w:t>th</w:t>
      </w:r>
      <w:r w:rsidRPr="00BE6FD1">
        <w:t xml:space="preserve"> percentile.</w:t>
      </w:r>
    </w:p>
    <w:p w:rsidR="0074774A" w:rsidRPr="00BE6FD1" w:rsidRDefault="0074774A" w:rsidP="0074774A">
      <w:pPr>
        <w:pStyle w:val="ListBullet"/>
        <w:numPr>
          <w:ilvl w:val="0"/>
          <w:numId w:val="3"/>
        </w:numPr>
      </w:pPr>
      <w:r w:rsidRPr="00BE6FD1">
        <w:lastRenderedPageBreak/>
        <w:t>Weight less than 55 lbs (25kg).</w:t>
      </w:r>
    </w:p>
    <w:p w:rsidR="0074774A" w:rsidRPr="00BE6FD1" w:rsidRDefault="0074774A" w:rsidP="0074774A">
      <w:pPr>
        <w:pStyle w:val="ListBullet"/>
        <w:numPr>
          <w:ilvl w:val="0"/>
          <w:numId w:val="3"/>
        </w:numPr>
      </w:pPr>
      <w:r w:rsidRPr="00BE6FD1">
        <w:t>Weight greater than 176 lbs (80kg).</w:t>
      </w:r>
    </w:p>
    <w:p w:rsidR="0074774A" w:rsidRPr="0096271F" w:rsidRDefault="0074774A" w:rsidP="0074774A">
      <w:pPr>
        <w:pStyle w:val="ListBullet"/>
        <w:numPr>
          <w:ilvl w:val="0"/>
          <w:numId w:val="3"/>
        </w:numPr>
        <w:rPr>
          <w:lang w:eastAsia="ja-JP"/>
        </w:rPr>
      </w:pPr>
      <w:r w:rsidRPr="0096271F">
        <w:t>Pregnancy or currently lactating.</w:t>
      </w:r>
    </w:p>
    <w:p w:rsidR="0074774A" w:rsidRDefault="0074774A" w:rsidP="0074774A">
      <w:pPr>
        <w:pStyle w:val="ListBullet"/>
        <w:numPr>
          <w:ilvl w:val="0"/>
          <w:numId w:val="3"/>
        </w:numPr>
        <w:rPr>
          <w:lang w:eastAsia="ja-JP"/>
        </w:rPr>
      </w:pPr>
      <w:r w:rsidRPr="0096271F">
        <w:t>History of alcohol or other substance abuse or dependence, as defined by DSM-IV (with the exceptions of caffeine or nicotine) within the last year.</w:t>
      </w:r>
    </w:p>
    <w:p w:rsidR="0074774A" w:rsidRDefault="0074774A" w:rsidP="0074774A">
      <w:pPr>
        <w:rPr>
          <w:lang w:eastAsia="ja-JP"/>
        </w:rPr>
      </w:pPr>
      <w:r>
        <w:rPr>
          <w:lang w:eastAsia="ja-JP"/>
        </w:rPr>
        <w:t>These exclusion criteria and the conditions they represent should be mentioned in the contraindications and warnings sections of the Product Information document.</w:t>
      </w:r>
    </w:p>
    <w:p w:rsidR="0074774A" w:rsidRDefault="0074774A" w:rsidP="0074774A">
      <w:pPr>
        <w:pStyle w:val="Heading2"/>
        <w:numPr>
          <w:ilvl w:val="0"/>
          <w:numId w:val="29"/>
        </w:numPr>
      </w:pPr>
      <w:bookmarkStart w:id="588" w:name="_Toc505617002"/>
      <w:bookmarkStart w:id="589" w:name="_Toc513217716"/>
      <w:r>
        <w:t>First round benefit-risk assessment</w:t>
      </w:r>
      <w:bookmarkEnd w:id="588"/>
      <w:bookmarkEnd w:id="589"/>
    </w:p>
    <w:p w:rsidR="00886C19" w:rsidRDefault="0074774A" w:rsidP="0074774A">
      <w:pPr>
        <w:pStyle w:val="Heading3"/>
        <w:numPr>
          <w:ilvl w:val="1"/>
          <w:numId w:val="29"/>
        </w:numPr>
        <w:ind w:left="907" w:hanging="794"/>
      </w:pPr>
      <w:bookmarkStart w:id="590" w:name="_Toc236802592"/>
      <w:bookmarkStart w:id="591" w:name="_Toc241374331"/>
      <w:bookmarkStart w:id="592" w:name="_Ref272160836"/>
      <w:bookmarkStart w:id="593" w:name="_Toc272414693"/>
      <w:bookmarkStart w:id="594" w:name="_Toc290888557"/>
      <w:bookmarkStart w:id="595" w:name="_Toc416353772"/>
      <w:bookmarkStart w:id="596" w:name="_Toc421005314"/>
      <w:bookmarkStart w:id="597" w:name="_Toc432079185"/>
      <w:bookmarkStart w:id="598" w:name="_Toc432080758"/>
      <w:bookmarkStart w:id="599" w:name="_Toc505617003"/>
      <w:bookmarkStart w:id="600" w:name="_Toc513217717"/>
      <w:r w:rsidRPr="00545B14">
        <w:t xml:space="preserve">First round assessment of </w:t>
      </w:r>
      <w:r w:rsidRPr="000D5752">
        <w:t>benefits</w:t>
      </w:r>
      <w:bookmarkEnd w:id="590"/>
      <w:bookmarkEnd w:id="591"/>
      <w:bookmarkEnd w:id="592"/>
      <w:bookmarkEnd w:id="593"/>
      <w:bookmarkEnd w:id="594"/>
      <w:bookmarkEnd w:id="595"/>
      <w:bookmarkEnd w:id="596"/>
      <w:bookmarkEnd w:id="597"/>
      <w:bookmarkEnd w:id="598"/>
      <w:bookmarkEnd w:id="599"/>
      <w:bookmarkEnd w:id="600"/>
    </w:p>
    <w:p w:rsidR="0074774A" w:rsidRDefault="0074774A" w:rsidP="0074774A">
      <w:pPr>
        <w:pStyle w:val="Tabletitle"/>
        <w:rPr>
          <w:lang w:eastAsia="ja-JP"/>
        </w:rPr>
      </w:pPr>
      <w:r>
        <w:rPr>
          <w:lang w:eastAsia="ja-JP"/>
        </w:rPr>
        <w:t>Table 42: First round assessment of benefits</w:t>
      </w:r>
    </w:p>
    <w:tbl>
      <w:tblPr>
        <w:tblStyle w:val="TableGrid"/>
        <w:tblW w:w="0" w:type="auto"/>
        <w:tblInd w:w="108" w:type="dxa"/>
        <w:tblLook w:val="04A0" w:firstRow="1" w:lastRow="0" w:firstColumn="1" w:lastColumn="0" w:noHBand="0" w:noVBand="1"/>
        <w:tblDescription w:val="Table 42: First round assessment of benefits"/>
      </w:tblPr>
      <w:tblGrid>
        <w:gridCol w:w="4511"/>
        <w:gridCol w:w="4420"/>
      </w:tblGrid>
      <w:tr w:rsidR="0074774A" w:rsidRPr="00C37A1D" w:rsidTr="00D32C18">
        <w:trPr>
          <w:tblHeader/>
        </w:trPr>
        <w:tc>
          <w:tcPr>
            <w:tcW w:w="8931" w:type="dxa"/>
            <w:gridSpan w:val="2"/>
            <w:shd w:val="clear" w:color="auto" w:fill="006DA7" w:themeFill="accent3"/>
          </w:tcPr>
          <w:p w:rsidR="0074774A" w:rsidRPr="0013182D" w:rsidRDefault="0074774A" w:rsidP="00D32C18">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p>
        </w:tc>
      </w:tr>
      <w:tr w:rsidR="0074774A" w:rsidRPr="00C37A1D" w:rsidTr="00D32C18">
        <w:trPr>
          <w:tblHeader/>
        </w:trPr>
        <w:tc>
          <w:tcPr>
            <w:tcW w:w="4511" w:type="dxa"/>
            <w:shd w:val="clear" w:color="auto" w:fill="00517D" w:themeFill="accent3" w:themeFillShade="BF"/>
          </w:tcPr>
          <w:p w:rsidR="0074774A" w:rsidRPr="0013182D" w:rsidRDefault="0074774A" w:rsidP="00D32C18">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420" w:type="dxa"/>
            <w:shd w:val="clear" w:color="auto" w:fill="00517D" w:themeFill="accent3" w:themeFillShade="BF"/>
          </w:tcPr>
          <w:p w:rsidR="0074774A" w:rsidRPr="0013182D" w:rsidRDefault="0074774A" w:rsidP="00D32C18">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74774A" w:rsidRPr="00C37A1D" w:rsidTr="00D32C18">
        <w:tc>
          <w:tcPr>
            <w:tcW w:w="4511" w:type="dxa"/>
          </w:tcPr>
          <w:p w:rsidR="0074774A" w:rsidRPr="00F97D99" w:rsidRDefault="0074774A" w:rsidP="00D32C18">
            <w:pPr>
              <w:rPr>
                <w:rFonts w:asciiTheme="minorHAnsi" w:hAnsiTheme="minorHAnsi" w:cstheme="minorHAnsi"/>
                <w:sz w:val="22"/>
                <w:szCs w:val="22"/>
              </w:rPr>
            </w:pPr>
            <w:r w:rsidRPr="00F97D99">
              <w:rPr>
                <w:rFonts w:asciiTheme="minorHAnsi" w:hAnsiTheme="minorHAnsi" w:cstheme="minorHAnsi"/>
                <w:sz w:val="22"/>
                <w:szCs w:val="22"/>
              </w:rPr>
              <w:t>Guanfacine significantly improves ADHD symptomatology in patients aged 6 to 17 years with ADHD</w:t>
            </w:r>
          </w:p>
          <w:p w:rsidR="0074774A" w:rsidRPr="00F97D99" w:rsidRDefault="0074774A" w:rsidP="00D32C18">
            <w:pPr>
              <w:rPr>
                <w:lang w:eastAsia="ja-JP"/>
              </w:rPr>
            </w:pPr>
            <w:r w:rsidRPr="00F97D99">
              <w:rPr>
                <w:lang w:eastAsia="ja-JP"/>
              </w:rPr>
              <w:t>There is maintenance of efficacy for up to 24 months.</w:t>
            </w:r>
          </w:p>
          <w:p w:rsidR="0074774A" w:rsidRPr="008A0EAA" w:rsidRDefault="0074774A" w:rsidP="00D32C18">
            <w:pPr>
              <w:rPr>
                <w:lang w:eastAsia="ja-JP"/>
              </w:rPr>
            </w:pPr>
            <w:r w:rsidRPr="00F97D99">
              <w:rPr>
                <w:lang w:eastAsia="ja-JP"/>
              </w:rPr>
              <w:t>Efficacy was demonstrated for oppositional symptoms in subjects with ADHD with oppositional symptoms.</w:t>
            </w:r>
          </w:p>
          <w:p w:rsidR="0074774A" w:rsidRPr="00F97D99" w:rsidRDefault="0074774A" w:rsidP="00D32C18">
            <w:pPr>
              <w:rPr>
                <w:rFonts w:asciiTheme="minorHAnsi" w:hAnsiTheme="minorHAnsi" w:cstheme="minorHAnsi"/>
                <w:sz w:val="22"/>
                <w:szCs w:val="22"/>
              </w:rPr>
            </w:pPr>
            <w:r w:rsidRPr="00F97D99">
              <w:rPr>
                <w:rFonts w:asciiTheme="minorHAnsi" w:hAnsiTheme="minorHAnsi" w:cstheme="minorHAnsi"/>
                <w:sz w:val="22"/>
                <w:szCs w:val="22"/>
              </w:rPr>
              <w:t>Guanfacine significantly improves ADHD symptomatology in patients aged 6 to 17 years with ADHD</w:t>
            </w:r>
            <w:r>
              <w:rPr>
                <w:rFonts w:asciiTheme="minorHAnsi" w:hAnsiTheme="minorHAnsi" w:cstheme="minorHAnsi"/>
                <w:sz w:val="22"/>
                <w:szCs w:val="22"/>
              </w:rPr>
              <w:t xml:space="preserve"> who are co-medicated with psychostimulants</w:t>
            </w:r>
          </w:p>
          <w:p w:rsidR="0074774A" w:rsidRDefault="0074774A" w:rsidP="00D32C18">
            <w:pPr>
              <w:rPr>
                <w:rFonts w:asciiTheme="minorHAnsi" w:hAnsiTheme="minorHAnsi" w:cstheme="minorHAnsi"/>
                <w:sz w:val="22"/>
                <w:szCs w:val="22"/>
              </w:rPr>
            </w:pPr>
            <w:r>
              <w:rPr>
                <w:rFonts w:asciiTheme="minorHAnsi" w:hAnsiTheme="minorHAnsi" w:cstheme="minorHAnsi"/>
                <w:sz w:val="22"/>
                <w:szCs w:val="22"/>
              </w:rPr>
              <w:t>Guanfacine has not been demonstrated to be superior or non-inferior to any currently approved treatment for ADHD.</w:t>
            </w:r>
          </w:p>
          <w:p w:rsidR="0074774A" w:rsidRPr="00F97D99" w:rsidRDefault="0074774A" w:rsidP="00D32C18">
            <w:pPr>
              <w:rPr>
                <w:rFonts w:asciiTheme="minorHAnsi" w:hAnsiTheme="minorHAnsi" w:cstheme="minorHAnsi"/>
                <w:sz w:val="22"/>
                <w:szCs w:val="22"/>
              </w:rPr>
            </w:pPr>
            <w:r>
              <w:rPr>
                <w:rFonts w:asciiTheme="minorHAnsi" w:hAnsiTheme="minorHAnsi" w:cstheme="minorHAnsi"/>
                <w:sz w:val="22"/>
                <w:szCs w:val="22"/>
              </w:rPr>
              <w:t>Efficacy has not been demonstrated in patients with the inattentive subtype of ADHD.</w:t>
            </w:r>
          </w:p>
        </w:tc>
        <w:tc>
          <w:tcPr>
            <w:tcW w:w="4420" w:type="dxa"/>
          </w:tcPr>
          <w:p w:rsidR="00886C19" w:rsidRDefault="0074774A" w:rsidP="00D32C1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lang w:eastAsia="ja-JP"/>
              </w:rPr>
            </w:pPr>
            <w:r w:rsidRPr="00F97D99">
              <w:rPr>
                <w:rFonts w:asciiTheme="minorHAnsi" w:hAnsiTheme="minorHAnsi" w:cstheme="minorHAnsi"/>
                <w:sz w:val="22"/>
                <w:szCs w:val="22"/>
              </w:rPr>
              <w:t xml:space="preserve">Demonstrated by the pivotal studies: </w:t>
            </w:r>
            <w:r w:rsidRPr="00F97D99">
              <w:rPr>
                <w:lang w:eastAsia="ja-JP"/>
              </w:rPr>
              <w:t>Study SPD503-312, Study SPD503-315 and Study SPD503-316.</w:t>
            </w:r>
          </w:p>
          <w:p w:rsidR="00886C19" w:rsidRDefault="0074774A" w:rsidP="00D32C1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lang w:eastAsia="ja-JP"/>
              </w:rPr>
            </w:pPr>
            <w:r w:rsidRPr="00F97D99">
              <w:rPr>
                <w:lang w:eastAsia="ja-JP"/>
              </w:rPr>
              <w:t>Study SPD503-315 demonstrated efficacy for 26 weeks.</w:t>
            </w:r>
            <w:r>
              <w:rPr>
                <w:lang w:eastAsia="ja-JP"/>
              </w:rPr>
              <w:t xml:space="preserve"> </w:t>
            </w:r>
            <w:r w:rsidRPr="00F97D99">
              <w:rPr>
                <w:lang w:eastAsia="ja-JP"/>
              </w:rPr>
              <w:t>Study SPD503-303 and Study SPD503-305 were supportive of efficacy for up to 2 years.</w:t>
            </w:r>
          </w:p>
          <w:p w:rsidR="0074774A" w:rsidRPr="008A0EAA" w:rsidRDefault="0074774A" w:rsidP="008A0EAA">
            <w:pPr>
              <w:rPr>
                <w:lang w:eastAsia="ja-JP"/>
              </w:rPr>
            </w:pPr>
            <w:r w:rsidRPr="00F97D99">
              <w:rPr>
                <w:lang w:eastAsia="ja-JP"/>
              </w:rPr>
              <w:t>Demonstrated in Study SPD503-307.</w:t>
            </w:r>
          </w:p>
          <w:p w:rsidR="0074774A" w:rsidRDefault="0074774A" w:rsidP="00D32C1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Pr>
                <w:lang w:eastAsia="ja-JP"/>
              </w:rPr>
              <w:t>Demonstrated in Study SPD503-313</w:t>
            </w:r>
          </w:p>
          <w:p w:rsidR="0074774A" w:rsidRDefault="0074774A" w:rsidP="00D32C1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Pr>
                <w:rFonts w:asciiTheme="minorHAnsi" w:hAnsiTheme="minorHAnsi" w:cstheme="minorHAnsi"/>
                <w:sz w:val="22"/>
                <w:szCs w:val="22"/>
              </w:rPr>
              <w:t>Study SPD503-316 was not designed as a comparator controlled study.</w:t>
            </w:r>
          </w:p>
          <w:p w:rsidR="0074774A" w:rsidRPr="00F97D99" w:rsidRDefault="0074774A" w:rsidP="00D32C1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Pr>
                <w:rFonts w:asciiTheme="minorHAnsi" w:hAnsiTheme="minorHAnsi" w:cstheme="minorHAnsi"/>
                <w:sz w:val="22"/>
                <w:szCs w:val="22"/>
              </w:rPr>
              <w:t>A subgroup analysis of either an individual study or a pooled analysis that demonstrates efficacy in patients with inattentive subtype of ADHD has not been submitted.</w:t>
            </w:r>
          </w:p>
        </w:tc>
      </w:tr>
    </w:tbl>
    <w:p w:rsidR="00886C19" w:rsidRDefault="0074774A" w:rsidP="0074774A">
      <w:pPr>
        <w:pStyle w:val="Heading3"/>
        <w:numPr>
          <w:ilvl w:val="1"/>
          <w:numId w:val="29"/>
        </w:numPr>
        <w:ind w:left="907" w:hanging="794"/>
      </w:pPr>
      <w:bookmarkStart w:id="601" w:name="_Toc236802596"/>
      <w:bookmarkStart w:id="602" w:name="_Toc241374334"/>
      <w:bookmarkStart w:id="603" w:name="_Ref272160964"/>
      <w:bookmarkStart w:id="604" w:name="_Toc272414694"/>
      <w:bookmarkStart w:id="605" w:name="_Toc290888558"/>
      <w:bookmarkStart w:id="606" w:name="_Toc416353773"/>
      <w:bookmarkStart w:id="607" w:name="_Toc421005315"/>
      <w:bookmarkStart w:id="608" w:name="_Toc432079186"/>
      <w:bookmarkStart w:id="609" w:name="_Toc432080759"/>
      <w:bookmarkStart w:id="610" w:name="_Toc505617004"/>
      <w:bookmarkStart w:id="611" w:name="_Toc513217718"/>
      <w:r w:rsidRPr="000D5752">
        <w:t>First round assessment of risks</w:t>
      </w:r>
      <w:bookmarkEnd w:id="601"/>
      <w:bookmarkEnd w:id="602"/>
      <w:bookmarkEnd w:id="603"/>
      <w:bookmarkEnd w:id="604"/>
      <w:bookmarkEnd w:id="605"/>
      <w:bookmarkEnd w:id="606"/>
      <w:bookmarkEnd w:id="607"/>
      <w:bookmarkEnd w:id="608"/>
      <w:bookmarkEnd w:id="609"/>
      <w:bookmarkEnd w:id="610"/>
      <w:bookmarkEnd w:id="611"/>
    </w:p>
    <w:p w:rsidR="0074774A" w:rsidRDefault="0074774A" w:rsidP="0074774A">
      <w:pPr>
        <w:pStyle w:val="Tabletitle"/>
        <w:rPr>
          <w:lang w:eastAsia="ja-JP"/>
        </w:rPr>
      </w:pPr>
      <w:r>
        <w:rPr>
          <w:lang w:eastAsia="ja-JP"/>
        </w:rPr>
        <w:t xml:space="preserve">Table 43: </w:t>
      </w:r>
      <w:r>
        <w:t>First round assessment of risks</w:t>
      </w:r>
    </w:p>
    <w:tbl>
      <w:tblPr>
        <w:tblStyle w:val="TableGrid"/>
        <w:tblW w:w="0" w:type="auto"/>
        <w:tblInd w:w="108" w:type="dxa"/>
        <w:tblLook w:val="04A0" w:firstRow="1" w:lastRow="0" w:firstColumn="1" w:lastColumn="0" w:noHBand="0" w:noVBand="1"/>
        <w:tblDescription w:val="Table 43: First round assessment of risks"/>
      </w:tblPr>
      <w:tblGrid>
        <w:gridCol w:w="4395"/>
        <w:gridCol w:w="4394"/>
      </w:tblGrid>
      <w:tr w:rsidR="0074774A" w:rsidRPr="00C37A1D" w:rsidTr="00D32C18">
        <w:trPr>
          <w:tblHeader/>
        </w:trPr>
        <w:tc>
          <w:tcPr>
            <w:tcW w:w="4395" w:type="dxa"/>
            <w:shd w:val="clear" w:color="auto" w:fill="006DA7" w:themeFill="accent3"/>
          </w:tcPr>
          <w:p w:rsidR="0074774A" w:rsidRPr="0013182D" w:rsidRDefault="0074774A" w:rsidP="00D32C18">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rsidR="0074774A" w:rsidRPr="0013182D" w:rsidRDefault="0074774A" w:rsidP="00D32C18">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74774A" w:rsidRPr="00C37A1D" w:rsidTr="00D32C18">
        <w:tc>
          <w:tcPr>
            <w:tcW w:w="4395" w:type="dxa"/>
          </w:tcPr>
          <w:p w:rsidR="0074774A" w:rsidRPr="008A0EAA" w:rsidRDefault="0074774A" w:rsidP="00D32C18">
            <w:pPr>
              <w:rPr>
                <w:sz w:val="22"/>
                <w:szCs w:val="22"/>
              </w:rPr>
            </w:pPr>
            <w:r w:rsidRPr="008A0EAA">
              <w:rPr>
                <w:sz w:val="22"/>
                <w:szCs w:val="22"/>
              </w:rPr>
              <w:t>Guanfacine extended release (SPD503) has a favourable safety profile.</w:t>
            </w:r>
          </w:p>
          <w:p w:rsidR="0074774A" w:rsidRPr="008A0EAA" w:rsidRDefault="0074774A" w:rsidP="00D32C18">
            <w:pPr>
              <w:rPr>
                <w:sz w:val="22"/>
                <w:szCs w:val="22"/>
              </w:rPr>
            </w:pPr>
            <w:r w:rsidRPr="008A0EAA">
              <w:rPr>
                <w:sz w:val="22"/>
                <w:szCs w:val="22"/>
              </w:rPr>
              <w:t xml:space="preserve">Somnolence, sedation, fatigue and headache </w:t>
            </w:r>
            <w:r w:rsidRPr="008A0EAA">
              <w:rPr>
                <w:sz w:val="22"/>
                <w:szCs w:val="22"/>
              </w:rPr>
              <w:lastRenderedPageBreak/>
              <w:t>are very common adverse events.</w:t>
            </w:r>
          </w:p>
          <w:p w:rsidR="0074774A" w:rsidRPr="008A0EAA" w:rsidRDefault="0074774A" w:rsidP="00D32C18">
            <w:pPr>
              <w:rPr>
                <w:sz w:val="22"/>
                <w:szCs w:val="22"/>
              </w:rPr>
            </w:pPr>
            <w:r w:rsidRPr="008A0EAA">
              <w:rPr>
                <w:sz w:val="22"/>
                <w:szCs w:val="22"/>
              </w:rPr>
              <w:t>There were no deaths in the clinical trials.</w:t>
            </w:r>
          </w:p>
          <w:p w:rsidR="0074774A" w:rsidRPr="008A0EAA" w:rsidRDefault="0074774A" w:rsidP="00D32C18">
            <w:pPr>
              <w:rPr>
                <w:sz w:val="22"/>
                <w:szCs w:val="22"/>
              </w:rPr>
            </w:pPr>
            <w:r w:rsidRPr="008A0EAA">
              <w:rPr>
                <w:sz w:val="22"/>
                <w:szCs w:val="22"/>
              </w:rPr>
              <w:t>There were few SAEs. The commonest SAEs were somnolence, sedation and syncope</w:t>
            </w:r>
          </w:p>
          <w:p w:rsidR="0074774A" w:rsidRPr="008A0EAA" w:rsidRDefault="0074774A" w:rsidP="00D32C18">
            <w:pPr>
              <w:rPr>
                <w:sz w:val="22"/>
                <w:szCs w:val="22"/>
              </w:rPr>
            </w:pPr>
            <w:r w:rsidRPr="008A0EAA">
              <w:rPr>
                <w:sz w:val="22"/>
                <w:szCs w:val="22"/>
              </w:rPr>
              <w:t>Somnolence and syncope were the commonest reasons for discontinuation due to AE.</w:t>
            </w:r>
          </w:p>
          <w:p w:rsidR="0074774A" w:rsidRPr="008A0EAA" w:rsidRDefault="0074774A" w:rsidP="00D32C18">
            <w:pPr>
              <w:rPr>
                <w:sz w:val="22"/>
                <w:szCs w:val="22"/>
              </w:rPr>
            </w:pPr>
            <w:r w:rsidRPr="008A0EAA">
              <w:rPr>
                <w:sz w:val="22"/>
                <w:szCs w:val="22"/>
              </w:rPr>
              <w:t>Guanfacine causes a decrease in HR, SBP and DBP that returns to baseline following several months of treatment. Rebound hypertension can be avoided by tapered withdrawal.</w:t>
            </w:r>
          </w:p>
          <w:p w:rsidR="0074774A" w:rsidRPr="008A0EAA" w:rsidRDefault="0074774A" w:rsidP="00D32C18">
            <w:pPr>
              <w:rPr>
                <w:sz w:val="22"/>
                <w:szCs w:val="22"/>
              </w:rPr>
            </w:pPr>
            <w:r w:rsidRPr="008A0EAA">
              <w:rPr>
                <w:sz w:val="22"/>
                <w:szCs w:val="22"/>
              </w:rPr>
              <w:t>QTcF prolongation of regulatory concern was identified in the thorough QT study. Clinically significant prolongation of QTcF or QTcB was not identified in the subsequent clinical trials.</w:t>
            </w:r>
          </w:p>
          <w:p w:rsidR="0074774A" w:rsidRPr="008A0EAA" w:rsidRDefault="0074774A" w:rsidP="00D32C18">
            <w:pPr>
              <w:rPr>
                <w:sz w:val="22"/>
                <w:szCs w:val="22"/>
              </w:rPr>
            </w:pPr>
            <w:r w:rsidRPr="008A0EAA">
              <w:rPr>
                <w:sz w:val="22"/>
                <w:szCs w:val="22"/>
              </w:rPr>
              <w:t>Effects on operating machinery and driving have not been evaluated.</w:t>
            </w:r>
          </w:p>
          <w:p w:rsidR="0074774A" w:rsidRPr="008A0EAA" w:rsidRDefault="0074774A" w:rsidP="00D32C18">
            <w:pPr>
              <w:rPr>
                <w:sz w:val="22"/>
                <w:szCs w:val="22"/>
              </w:rPr>
            </w:pPr>
            <w:r w:rsidRPr="008A0EAA">
              <w:rPr>
                <w:sz w:val="22"/>
                <w:szCs w:val="22"/>
              </w:rPr>
              <w:t>There are no safety data for the 5 mg to 7 mg dose range in patients co-medicated with psychostimulants.</w:t>
            </w:r>
          </w:p>
        </w:tc>
        <w:tc>
          <w:tcPr>
            <w:tcW w:w="4394" w:type="dxa"/>
          </w:tcPr>
          <w:p w:rsidR="0074774A" w:rsidRPr="008A0EAA" w:rsidRDefault="0074774A" w:rsidP="00D32C18">
            <w:pPr>
              <w:rPr>
                <w:sz w:val="22"/>
                <w:szCs w:val="22"/>
              </w:rPr>
            </w:pPr>
            <w:r w:rsidRPr="008A0EAA">
              <w:rPr>
                <w:sz w:val="22"/>
                <w:szCs w:val="22"/>
              </w:rPr>
              <w:lastRenderedPageBreak/>
              <w:t xml:space="preserve">There is extensive exposure data to support this including a total of 3,243 subjects treated with SPD503 in clinical trials and an estimated cumulative worldwide patient </w:t>
            </w:r>
            <w:r w:rsidRPr="008A0EAA">
              <w:rPr>
                <w:sz w:val="22"/>
                <w:szCs w:val="22"/>
              </w:rPr>
              <w:lastRenderedPageBreak/>
              <w:t>exposure of 965,432 patient years of treatment.</w:t>
            </w:r>
          </w:p>
          <w:p w:rsidR="0074774A" w:rsidRPr="008A0EAA" w:rsidRDefault="0074774A" w:rsidP="00D32C18">
            <w:pPr>
              <w:rPr>
                <w:sz w:val="22"/>
                <w:szCs w:val="22"/>
              </w:rPr>
            </w:pPr>
            <w:r w:rsidRPr="008A0EAA">
              <w:rPr>
                <w:sz w:val="22"/>
                <w:szCs w:val="22"/>
              </w:rPr>
              <w:t>This is supported by the safety data presented in the dossier.</w:t>
            </w:r>
          </w:p>
        </w:tc>
      </w:tr>
    </w:tbl>
    <w:p w:rsidR="0074774A" w:rsidRPr="00545B14" w:rsidRDefault="0074774A" w:rsidP="0074774A">
      <w:pPr>
        <w:pStyle w:val="Heading3"/>
        <w:numPr>
          <w:ilvl w:val="1"/>
          <w:numId w:val="29"/>
        </w:numPr>
        <w:ind w:left="907" w:hanging="794"/>
      </w:pPr>
      <w:bookmarkStart w:id="612" w:name="_Toc236802597"/>
      <w:bookmarkStart w:id="613" w:name="_Toc241374335"/>
      <w:bookmarkStart w:id="614" w:name="_Toc272414695"/>
      <w:bookmarkStart w:id="615" w:name="_Toc290888559"/>
      <w:bookmarkStart w:id="616" w:name="_Toc416353775"/>
      <w:bookmarkStart w:id="617" w:name="_Toc421005316"/>
      <w:bookmarkStart w:id="618" w:name="_Toc432079187"/>
      <w:bookmarkStart w:id="619" w:name="_Toc432080760"/>
      <w:bookmarkStart w:id="620" w:name="_Toc505617005"/>
      <w:bookmarkStart w:id="621" w:name="_Toc513217719"/>
      <w:r w:rsidRPr="00545B14">
        <w:lastRenderedPageBreak/>
        <w:t>First round assessment of benefit-risk</w:t>
      </w:r>
      <w:bookmarkEnd w:id="612"/>
      <w:bookmarkEnd w:id="613"/>
      <w:bookmarkEnd w:id="614"/>
      <w:bookmarkEnd w:id="615"/>
      <w:bookmarkEnd w:id="616"/>
      <w:bookmarkEnd w:id="617"/>
      <w:r>
        <w:t xml:space="preserve"> balance</w:t>
      </w:r>
      <w:bookmarkEnd w:id="618"/>
      <w:bookmarkEnd w:id="619"/>
      <w:bookmarkEnd w:id="620"/>
      <w:bookmarkEnd w:id="621"/>
    </w:p>
    <w:p w:rsidR="0074774A" w:rsidRDefault="0074774A" w:rsidP="0074774A">
      <w:pPr>
        <w:rPr>
          <w:lang w:eastAsia="ja-JP"/>
        </w:rPr>
      </w:pPr>
      <w:r>
        <w:rPr>
          <w:lang w:eastAsia="ja-JP"/>
        </w:rPr>
        <w:t>The clinical evaluator is not in a position to determine the benefit-risk balance. There are a number of issues that require clarification before this can be determined. These issues are:</w:t>
      </w:r>
    </w:p>
    <w:p w:rsidR="0074774A" w:rsidRDefault="0074774A" w:rsidP="0074774A">
      <w:pPr>
        <w:pStyle w:val="ListBullet"/>
        <w:numPr>
          <w:ilvl w:val="0"/>
          <w:numId w:val="3"/>
        </w:numPr>
        <w:rPr>
          <w:lang w:eastAsia="ja-JP"/>
        </w:rPr>
      </w:pPr>
      <w:r>
        <w:rPr>
          <w:lang w:eastAsia="ja-JP"/>
        </w:rPr>
        <w:t>Efficacy for guanfacine extended release has not been demonstrated for inattentive subtype ADHD.</w:t>
      </w:r>
    </w:p>
    <w:p w:rsidR="0074774A" w:rsidRDefault="0074774A" w:rsidP="0074774A">
      <w:pPr>
        <w:pStyle w:val="ListBullet"/>
        <w:numPr>
          <w:ilvl w:val="0"/>
          <w:numId w:val="3"/>
        </w:numPr>
        <w:rPr>
          <w:lang w:eastAsia="ja-JP"/>
        </w:rPr>
      </w:pPr>
      <w:r>
        <w:rPr>
          <w:lang w:eastAsia="ja-JP"/>
        </w:rPr>
        <w:t>The effects on driving and operating machinery of guanfacine extended release have not been determined.</w:t>
      </w:r>
    </w:p>
    <w:p w:rsidR="0074774A" w:rsidRDefault="0074774A" w:rsidP="0074774A">
      <w:pPr>
        <w:pStyle w:val="Heading2"/>
        <w:numPr>
          <w:ilvl w:val="0"/>
          <w:numId w:val="29"/>
        </w:numPr>
      </w:pPr>
      <w:bookmarkStart w:id="622" w:name="_Toc505617006"/>
      <w:bookmarkStart w:id="623" w:name="_Toc513217720"/>
      <w:r>
        <w:t>First round recommendation regarding authorisation</w:t>
      </w:r>
      <w:bookmarkEnd w:id="622"/>
      <w:bookmarkEnd w:id="623"/>
    </w:p>
    <w:p w:rsidR="0074774A" w:rsidRDefault="0074774A" w:rsidP="0074774A">
      <w:pPr>
        <w:rPr>
          <w:lang w:eastAsia="ja-JP"/>
        </w:rPr>
      </w:pPr>
      <w:r>
        <w:rPr>
          <w:lang w:eastAsia="ja-JP"/>
        </w:rPr>
        <w:t>The clinical evaluator is deferring recommendation for authorisation until the following issues have been resolved:</w:t>
      </w:r>
    </w:p>
    <w:p w:rsidR="0074774A" w:rsidRDefault="0074774A" w:rsidP="0074774A">
      <w:pPr>
        <w:pStyle w:val="ListBullet"/>
        <w:numPr>
          <w:ilvl w:val="0"/>
          <w:numId w:val="3"/>
        </w:numPr>
        <w:rPr>
          <w:lang w:eastAsia="ja-JP"/>
        </w:rPr>
      </w:pPr>
      <w:r>
        <w:rPr>
          <w:lang w:eastAsia="ja-JP"/>
        </w:rPr>
        <w:t>Efficacy for guanfacine extended release has not been demonstrated for inattentive subtype ADHD.</w:t>
      </w:r>
    </w:p>
    <w:p w:rsidR="0074774A" w:rsidRDefault="0074774A" w:rsidP="0074774A">
      <w:pPr>
        <w:pStyle w:val="ListBullet"/>
        <w:numPr>
          <w:ilvl w:val="0"/>
          <w:numId w:val="3"/>
        </w:numPr>
        <w:rPr>
          <w:lang w:eastAsia="ja-JP"/>
        </w:rPr>
      </w:pPr>
      <w:r>
        <w:rPr>
          <w:lang w:eastAsia="ja-JP"/>
        </w:rPr>
        <w:t>The effects on driving and operating machinery of guanfacine extended release have not been determined.</w:t>
      </w:r>
    </w:p>
    <w:p w:rsidR="0074774A" w:rsidRDefault="0074774A" w:rsidP="0074774A">
      <w:pPr>
        <w:pStyle w:val="Heading2"/>
        <w:numPr>
          <w:ilvl w:val="0"/>
          <w:numId w:val="29"/>
        </w:numPr>
      </w:pPr>
      <w:bookmarkStart w:id="624" w:name="_Toc505617007"/>
      <w:bookmarkStart w:id="625" w:name="_Toc513217721"/>
      <w:r>
        <w:lastRenderedPageBreak/>
        <w:t>Clinical questions</w:t>
      </w:r>
      <w:bookmarkEnd w:id="624"/>
      <w:bookmarkEnd w:id="625"/>
    </w:p>
    <w:p w:rsidR="0074774A" w:rsidRPr="00B0432A" w:rsidRDefault="0074774A" w:rsidP="00877865">
      <w:pPr>
        <w:pStyle w:val="Numberbullet0"/>
        <w:numPr>
          <w:ilvl w:val="0"/>
          <w:numId w:val="47"/>
        </w:numPr>
        <w:rPr>
          <w:lang w:eastAsia="ja-JP"/>
        </w:rPr>
      </w:pPr>
      <w:r>
        <w:rPr>
          <w:lang w:eastAsia="ja-JP"/>
        </w:rPr>
        <w:t>In the Clinical Rationale for product development the sponsor makes the following statement: ‘</w:t>
      </w:r>
      <w:r w:rsidRPr="00877865">
        <w:rPr>
          <w:i/>
          <w:lang w:val="en-NZ"/>
        </w:rPr>
        <w:t xml:space="preserve">Several studies published in peer reviewed journals have documented the beneficial effects of guanfacine and other </w:t>
      </w:r>
      <w:r w:rsidRPr="00877865">
        <w:rPr>
          <w:rFonts w:cs="Symbol"/>
          <w:i/>
          <w:lang w:val="en-NZ"/>
        </w:rPr>
        <w:t>alpha-</w:t>
      </w:r>
      <w:r w:rsidRPr="00877865">
        <w:rPr>
          <w:i/>
          <w:lang w:val="en-NZ"/>
        </w:rPr>
        <w:t>2-adrenergic agonists (such as clonidine) for treatment of the symptoms of ADHD</w:t>
      </w:r>
      <w:r w:rsidRPr="00877865">
        <w:rPr>
          <w:lang w:val="en-NZ"/>
        </w:rPr>
        <w:t>.</w:t>
      </w:r>
      <w:r>
        <w:rPr>
          <w:lang w:eastAsia="ja-JP"/>
        </w:rPr>
        <w:t>’ Can the sponsor please provide the bibliographic details of the studies referred to?</w:t>
      </w:r>
    </w:p>
    <w:p w:rsidR="0074774A" w:rsidRPr="00E01445" w:rsidRDefault="0074774A" w:rsidP="00F22EE3">
      <w:pPr>
        <w:pStyle w:val="Heading3"/>
      </w:pPr>
      <w:bookmarkStart w:id="626" w:name="_Toc272414702"/>
      <w:bookmarkStart w:id="627" w:name="_Toc290888568"/>
      <w:bookmarkStart w:id="628" w:name="_Toc416353784"/>
      <w:bookmarkStart w:id="629" w:name="_Toc421005324"/>
      <w:bookmarkStart w:id="630" w:name="_Toc432079195"/>
      <w:bookmarkStart w:id="631" w:name="_Toc432080768"/>
      <w:bookmarkStart w:id="632" w:name="_Toc513217722"/>
      <w:r w:rsidRPr="00E01445">
        <w:t>Pharmacokinetics</w:t>
      </w:r>
      <w:bookmarkEnd w:id="626"/>
      <w:bookmarkEnd w:id="627"/>
      <w:bookmarkEnd w:id="628"/>
      <w:bookmarkEnd w:id="629"/>
      <w:bookmarkEnd w:id="630"/>
      <w:bookmarkEnd w:id="631"/>
      <w:bookmarkEnd w:id="632"/>
    </w:p>
    <w:p w:rsidR="0074774A" w:rsidRDefault="0074774A" w:rsidP="0074774A">
      <w:pPr>
        <w:rPr>
          <w:lang w:eastAsia="ja-JP"/>
        </w:rPr>
      </w:pPr>
      <w:bookmarkStart w:id="633" w:name="_Toc272414703"/>
      <w:bookmarkStart w:id="634" w:name="_Toc290888569"/>
      <w:bookmarkStart w:id="635" w:name="_Toc416353785"/>
      <w:bookmarkStart w:id="636" w:name="_Toc421005325"/>
      <w:bookmarkStart w:id="637" w:name="_Toc432079196"/>
      <w:bookmarkStart w:id="638" w:name="_Toc432080769"/>
      <w:r>
        <w:rPr>
          <w:lang w:eastAsia="ja-JP"/>
        </w:rPr>
        <w:t>The clinical evaluator does not have any questions with regard to pharmacokinetics.</w:t>
      </w:r>
    </w:p>
    <w:p w:rsidR="0074774A" w:rsidRPr="00E01445" w:rsidRDefault="0074774A" w:rsidP="00F22EE3">
      <w:pPr>
        <w:pStyle w:val="Heading3"/>
      </w:pPr>
      <w:bookmarkStart w:id="639" w:name="_Toc513217723"/>
      <w:r w:rsidRPr="00E01445">
        <w:t>Pharmacodynamics</w:t>
      </w:r>
      <w:bookmarkEnd w:id="633"/>
      <w:bookmarkEnd w:id="634"/>
      <w:bookmarkEnd w:id="635"/>
      <w:bookmarkEnd w:id="636"/>
      <w:bookmarkEnd w:id="637"/>
      <w:bookmarkEnd w:id="638"/>
      <w:bookmarkEnd w:id="639"/>
    </w:p>
    <w:p w:rsidR="0074774A" w:rsidRDefault="0074774A" w:rsidP="0074774A">
      <w:pPr>
        <w:rPr>
          <w:lang w:eastAsia="ja-JP"/>
        </w:rPr>
      </w:pPr>
      <w:bookmarkStart w:id="640" w:name="_Toc272414704"/>
      <w:bookmarkStart w:id="641" w:name="_Toc290888570"/>
      <w:bookmarkStart w:id="642" w:name="_Toc416353786"/>
      <w:bookmarkStart w:id="643" w:name="_Toc421005326"/>
      <w:bookmarkStart w:id="644" w:name="_Toc432079197"/>
      <w:bookmarkStart w:id="645" w:name="_Toc432080770"/>
      <w:r>
        <w:rPr>
          <w:lang w:eastAsia="ja-JP"/>
        </w:rPr>
        <w:t>The clinical evaluator does not have any questions with regard to pharmacodynamics.</w:t>
      </w:r>
    </w:p>
    <w:p w:rsidR="0074774A" w:rsidRPr="00E01445" w:rsidRDefault="0074774A" w:rsidP="00F22EE3">
      <w:pPr>
        <w:pStyle w:val="Heading3"/>
      </w:pPr>
      <w:bookmarkStart w:id="646" w:name="_Toc513217724"/>
      <w:r w:rsidRPr="00E01445">
        <w:t>Efficacy</w:t>
      </w:r>
      <w:bookmarkEnd w:id="640"/>
      <w:bookmarkEnd w:id="641"/>
      <w:bookmarkEnd w:id="642"/>
      <w:bookmarkEnd w:id="643"/>
      <w:bookmarkEnd w:id="644"/>
      <w:bookmarkEnd w:id="645"/>
      <w:bookmarkEnd w:id="646"/>
    </w:p>
    <w:p w:rsidR="0074774A" w:rsidRDefault="0074774A" w:rsidP="0074774A">
      <w:pPr>
        <w:pStyle w:val="Numberbullet0"/>
        <w:rPr>
          <w:lang w:eastAsia="ja-JP"/>
        </w:rPr>
      </w:pPr>
      <w:bookmarkStart w:id="647" w:name="_Toc272414705"/>
      <w:bookmarkStart w:id="648" w:name="_Toc290888571"/>
      <w:bookmarkStart w:id="649" w:name="_Toc416353787"/>
      <w:bookmarkStart w:id="650" w:name="_Toc421005327"/>
      <w:bookmarkStart w:id="651" w:name="_Toc432079198"/>
      <w:bookmarkStart w:id="652" w:name="_Toc432080771"/>
      <w:r>
        <w:rPr>
          <w:lang w:eastAsia="ja-JP"/>
        </w:rPr>
        <w:t>Does the sponsor have evidence of efficacy in patients with inattentive subtype of ADHD?</w:t>
      </w:r>
    </w:p>
    <w:p w:rsidR="0074774A" w:rsidRDefault="0074774A" w:rsidP="0074774A">
      <w:pPr>
        <w:pStyle w:val="Numberbullet0"/>
        <w:rPr>
          <w:lang w:eastAsia="ja-JP"/>
        </w:rPr>
      </w:pPr>
      <w:r>
        <w:rPr>
          <w:lang w:eastAsia="ja-JP"/>
        </w:rPr>
        <w:t>Does the sponsor have evidence of efficacy in comparison with current treatments for ADHD, such as psychostimulants, atomoxetine and/or behavioural treatments?</w:t>
      </w:r>
    </w:p>
    <w:p w:rsidR="0074774A" w:rsidRPr="00E01445" w:rsidRDefault="0074774A" w:rsidP="00F22EE3">
      <w:pPr>
        <w:pStyle w:val="Heading3"/>
      </w:pPr>
      <w:bookmarkStart w:id="653" w:name="_Toc513217725"/>
      <w:r w:rsidRPr="00E01445">
        <w:t>Safety</w:t>
      </w:r>
      <w:bookmarkEnd w:id="647"/>
      <w:bookmarkEnd w:id="648"/>
      <w:bookmarkEnd w:id="649"/>
      <w:bookmarkEnd w:id="650"/>
      <w:bookmarkEnd w:id="651"/>
      <w:bookmarkEnd w:id="652"/>
      <w:bookmarkEnd w:id="653"/>
    </w:p>
    <w:p w:rsidR="0074774A" w:rsidRDefault="0074774A" w:rsidP="0074774A">
      <w:pPr>
        <w:pStyle w:val="Numberbullet0"/>
        <w:rPr>
          <w:lang w:eastAsia="ja-JP"/>
        </w:rPr>
      </w:pPr>
      <w:r>
        <w:rPr>
          <w:lang w:eastAsia="ja-JP"/>
        </w:rPr>
        <w:t>Does the sponsor have data regarding the effects on driving and operating machinery for SPD503?</w:t>
      </w:r>
    </w:p>
    <w:p w:rsidR="0074774A" w:rsidRDefault="0074774A" w:rsidP="0074774A">
      <w:pPr>
        <w:pStyle w:val="Numberbullet0"/>
        <w:rPr>
          <w:lang w:eastAsia="ja-JP"/>
        </w:rPr>
      </w:pPr>
      <w:r>
        <w:rPr>
          <w:lang w:eastAsia="ja-JP"/>
        </w:rPr>
        <w:t>Does the sponsor have safety data for guanfacine when administered at doses higher than 4 mg/day in subjects with ADHD co-medicated with psychostimulants?</w:t>
      </w:r>
    </w:p>
    <w:p w:rsidR="0074774A" w:rsidRDefault="0074774A" w:rsidP="0074774A">
      <w:pPr>
        <w:pStyle w:val="Numberbullet0"/>
        <w:rPr>
          <w:lang w:eastAsia="ja-JP"/>
        </w:rPr>
      </w:pPr>
      <w:r>
        <w:rPr>
          <w:lang w:eastAsia="ja-JP"/>
        </w:rPr>
        <w:t>Does the sponsor have any safety data in patients with long QT syndrome?</w:t>
      </w:r>
    </w:p>
    <w:p w:rsidR="0074774A" w:rsidRDefault="0074774A" w:rsidP="0074774A">
      <w:pPr>
        <w:pStyle w:val="Numberbullet0"/>
        <w:rPr>
          <w:lang w:eastAsia="ja-JP"/>
        </w:rPr>
      </w:pPr>
      <w:r>
        <w:rPr>
          <w:lang w:eastAsia="ja-JP"/>
        </w:rPr>
        <w:t>Does the sponsor have any safety data in patients medicated with drugs known to prolong the QT interval?</w:t>
      </w:r>
    </w:p>
    <w:p w:rsidR="0074774A" w:rsidRDefault="0074774A" w:rsidP="0074774A">
      <w:pPr>
        <w:pStyle w:val="Heading2"/>
        <w:numPr>
          <w:ilvl w:val="0"/>
          <w:numId w:val="29"/>
        </w:numPr>
      </w:pPr>
      <w:bookmarkStart w:id="654" w:name="_Toc505617008"/>
      <w:bookmarkStart w:id="655" w:name="_Toc513217726"/>
      <w:r>
        <w:t>Second round</w:t>
      </w:r>
      <w:r>
        <w:rPr>
          <w:spacing w:val="-2"/>
        </w:rPr>
        <w:t xml:space="preserve"> </w:t>
      </w:r>
      <w:r>
        <w:t>evaluation</w:t>
      </w:r>
      <w:bookmarkEnd w:id="654"/>
      <w:bookmarkEnd w:id="655"/>
    </w:p>
    <w:p w:rsidR="0074774A" w:rsidRDefault="0074774A" w:rsidP="0074774A">
      <w:pPr>
        <w:pStyle w:val="BodyText"/>
        <w:kinsoku w:val="0"/>
        <w:overflowPunct w:val="0"/>
        <w:spacing w:before="131"/>
        <w:ind w:left="220"/>
      </w:pPr>
      <w:r>
        <w:t>The Sponsor has provided the following responses to the Clinical Questions:</w:t>
      </w:r>
    </w:p>
    <w:p w:rsidR="0074774A" w:rsidRDefault="0074774A" w:rsidP="0074774A">
      <w:pPr>
        <w:pStyle w:val="Heading3"/>
        <w:numPr>
          <w:ilvl w:val="1"/>
          <w:numId w:val="29"/>
        </w:numPr>
        <w:ind w:left="907" w:hanging="794"/>
      </w:pPr>
      <w:bookmarkStart w:id="656" w:name="_Toc505617009"/>
      <w:bookmarkStart w:id="657" w:name="_Toc513217727"/>
      <w:r>
        <w:t>Clinical question</w:t>
      </w:r>
      <w:r>
        <w:rPr>
          <w:spacing w:val="-3"/>
        </w:rPr>
        <w:t xml:space="preserve"> </w:t>
      </w:r>
      <w:r>
        <w:t>1:</w:t>
      </w:r>
      <w:bookmarkEnd w:id="656"/>
      <w:bookmarkEnd w:id="657"/>
    </w:p>
    <w:p w:rsidR="0074774A" w:rsidRPr="00545BC4" w:rsidRDefault="0074774A" w:rsidP="0074774A">
      <w:pPr>
        <w:rPr>
          <w:i/>
        </w:rPr>
      </w:pPr>
      <w:r w:rsidRPr="00545BC4">
        <w:rPr>
          <w:i/>
        </w:rPr>
        <w:t>In the Clinical Rationale for product development the Sponsor makes the following statement: ‘Several studies published in peer reviewed journals have documented the beneficial effects of guanfacine and other alpha-2-adrenergic agonists (such as clonidine) for treatment of the symptoms of ADHD.’</w:t>
      </w:r>
      <w:r w:rsidRPr="00545BC4">
        <w:rPr>
          <w:rFonts w:ascii="MS Mincho" w:cs="MS Mincho"/>
          <w:i/>
          <w:spacing w:val="-71"/>
          <w:sz w:val="23"/>
          <w:szCs w:val="23"/>
        </w:rPr>
        <w:t xml:space="preserve"> </w:t>
      </w:r>
      <w:r w:rsidRPr="00545BC4">
        <w:rPr>
          <w:i/>
        </w:rPr>
        <w:t>Can the Sponsor please provide the bibliographic details of the studies referred to?</w:t>
      </w:r>
    </w:p>
    <w:p w:rsidR="0074774A" w:rsidRDefault="0074774A" w:rsidP="0074774A">
      <w:pPr>
        <w:pStyle w:val="Heading4"/>
        <w:numPr>
          <w:ilvl w:val="2"/>
          <w:numId w:val="29"/>
        </w:numPr>
      </w:pPr>
      <w:r w:rsidRPr="00AC6FE7">
        <w:t>Sponsor’s</w:t>
      </w:r>
      <w:r>
        <w:t xml:space="preserve"> response</w:t>
      </w:r>
    </w:p>
    <w:p w:rsidR="0074774A" w:rsidRDefault="0074774A" w:rsidP="0074774A">
      <w:r>
        <w:t>The sponsor has provided bibliographic references in support of the statement.</w:t>
      </w:r>
    </w:p>
    <w:p w:rsidR="0074774A" w:rsidRDefault="0074774A" w:rsidP="0074774A">
      <w:pPr>
        <w:pStyle w:val="Heading4"/>
        <w:numPr>
          <w:ilvl w:val="2"/>
          <w:numId w:val="29"/>
        </w:numPr>
      </w:pPr>
      <w:r>
        <w:t>Evaluator’s Comments</w:t>
      </w:r>
    </w:p>
    <w:p w:rsidR="0074774A" w:rsidRDefault="0074774A" w:rsidP="0074774A">
      <w:r>
        <w:t>The sponsor’s response is satisfactory.</w:t>
      </w:r>
    </w:p>
    <w:p w:rsidR="0074774A" w:rsidRDefault="0074774A" w:rsidP="0074774A">
      <w:pPr>
        <w:pStyle w:val="Heading3"/>
        <w:numPr>
          <w:ilvl w:val="1"/>
          <w:numId w:val="29"/>
        </w:numPr>
        <w:ind w:left="907" w:hanging="794"/>
      </w:pPr>
      <w:bookmarkStart w:id="658" w:name="14.2._Clinical_question_2:"/>
      <w:bookmarkStart w:id="659" w:name="_bookmark138"/>
      <w:bookmarkStart w:id="660" w:name="_Toc505617010"/>
      <w:bookmarkStart w:id="661" w:name="_Toc513217728"/>
      <w:bookmarkEnd w:id="658"/>
      <w:bookmarkEnd w:id="659"/>
      <w:r>
        <w:lastRenderedPageBreak/>
        <w:t>Clinical question</w:t>
      </w:r>
      <w:r>
        <w:rPr>
          <w:spacing w:val="-3"/>
        </w:rPr>
        <w:t xml:space="preserve"> </w:t>
      </w:r>
      <w:r>
        <w:t>2</w:t>
      </w:r>
      <w:bookmarkEnd w:id="660"/>
      <w:bookmarkEnd w:id="661"/>
    </w:p>
    <w:p w:rsidR="0074774A" w:rsidRPr="00545BC4" w:rsidRDefault="0074774A" w:rsidP="0074774A">
      <w:pPr>
        <w:rPr>
          <w:i/>
        </w:rPr>
      </w:pPr>
      <w:r w:rsidRPr="00545BC4">
        <w:rPr>
          <w:i/>
        </w:rPr>
        <w:t>Does the sponsor have evidence of efficacy in patients with inattentive subtype of ADHD?</w:t>
      </w:r>
    </w:p>
    <w:p w:rsidR="0074774A" w:rsidRDefault="0074774A" w:rsidP="0074774A">
      <w:pPr>
        <w:pStyle w:val="Heading4"/>
        <w:numPr>
          <w:ilvl w:val="2"/>
          <w:numId w:val="29"/>
        </w:numPr>
      </w:pPr>
      <w:r>
        <w:t>Sponsor’s response</w:t>
      </w:r>
    </w:p>
    <w:p w:rsidR="0074774A" w:rsidRDefault="0074774A" w:rsidP="0074774A">
      <w:pPr>
        <w:rPr>
          <w:color w:val="000000"/>
        </w:rPr>
      </w:pPr>
      <w:r>
        <w:t>The sponsor has performed post-hoc pooled analyses to explore the efficacy of guanfacine in patients with inattentive type ADHD. The first analysis explored short-term efficacy. In the first analysis data were extracted from Study SPD503-301</w:t>
      </w:r>
      <w:r>
        <w:rPr>
          <w:color w:val="000000"/>
        </w:rPr>
        <w:t xml:space="preserve"> and SPD503-304. Using the FAS, the LS mean difference (95% CI), guanfacine – placebo, in change in ADHD-RS-IV from baseline to last measure before dose tapering (FOTA) was -4.4 (-11.5 to 2.6), p = 0.215, for the 1 mg dose; -4.8 (-9.4 to -0.1), p = 0.044, for the 2 mg dose; -6.9 (-11.8 to -1.9), p</w:t>
      </w:r>
      <w:r>
        <w:t>= 0.007, for the 3 mg dose; and -5.5 (-10.1 to -0.8), for the 4 mg dose (Table 42</w:t>
      </w:r>
      <w:r>
        <w:rPr>
          <w:color w:val="000000"/>
        </w:rPr>
        <w:t>).</w:t>
      </w:r>
    </w:p>
    <w:p w:rsidR="0074774A" w:rsidRPr="00A94D97" w:rsidRDefault="0074774A" w:rsidP="0074774A">
      <w:pPr>
        <w:pStyle w:val="Tabletitle"/>
      </w:pPr>
      <w:r w:rsidRPr="00A94D97">
        <w:t>Table 42: Summary and Analysis in the ADHD-RS-IV Total Score in Subjects with Inattentive ADHD Subtype by Randomized Treatment in the Short-term Fixed Dose Pool SPD503-301 and SPD503-304: Integrated Dose-response FAS (copied from Table 1, S31 Response)</w:t>
      </w:r>
    </w:p>
    <w:p w:rsidR="0074774A" w:rsidRDefault="0074774A" w:rsidP="0074774A">
      <w:pPr>
        <w:pStyle w:val="BodyText"/>
        <w:tabs>
          <w:tab w:val="left" w:pos="1679"/>
        </w:tabs>
        <w:kinsoku w:val="0"/>
        <w:overflowPunct w:val="0"/>
        <w:spacing w:before="207"/>
        <w:ind w:left="240" w:right="900"/>
        <w:rPr>
          <w:color w:val="000000"/>
        </w:rPr>
      </w:pPr>
      <w:r>
        <w:rPr>
          <w:noProof/>
          <w:lang w:eastAsia="en-AU"/>
        </w:rPr>
        <w:drawing>
          <wp:inline distT="0" distB="0" distL="0" distR="0" wp14:anchorId="7B2FA6DD" wp14:editId="6E215914">
            <wp:extent cx="5190825" cy="2527200"/>
            <wp:effectExtent l="0" t="0" r="0" b="6985"/>
            <wp:docPr id="193" name="Picture 193" descr="Table 42: Summary and Analysis in the ADHD-RS-IV Total Score in Subjects with Inattentive ADHD Subtype by Randomized Treatment in the Short-term Fixed Dose Pool SPD503-301 and SPD503-304: Integrated Dose-response FAS (copied from Table 1, S31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89561" cy="2526584"/>
                    </a:xfrm>
                    <a:prstGeom prst="rect">
                      <a:avLst/>
                    </a:prstGeom>
                  </pic:spPr>
                </pic:pic>
              </a:graphicData>
            </a:graphic>
          </wp:inline>
        </w:drawing>
      </w:r>
    </w:p>
    <w:p w:rsidR="0074774A" w:rsidRDefault="0074774A" w:rsidP="0074774A">
      <w:r>
        <w:t>The second pooled analysis explored a 6 week maintenance dataset. The data were extracted from Study SPD503-312 and Study SPD503-316. The analysis used the FAS with LOCF. For the end of maintenance period assessment, the LS mean difference</w:t>
      </w:r>
      <w:r>
        <w:rPr>
          <w:spacing w:val="-5"/>
        </w:rPr>
        <w:t xml:space="preserve"> </w:t>
      </w:r>
      <w:r>
        <w:t>(95%</w:t>
      </w:r>
      <w:r>
        <w:rPr>
          <w:spacing w:val="-4"/>
        </w:rPr>
        <w:t xml:space="preserve"> </w:t>
      </w:r>
      <w:r>
        <w:t>CI),</w:t>
      </w:r>
      <w:r>
        <w:rPr>
          <w:spacing w:val="-5"/>
        </w:rPr>
        <w:t xml:space="preserve"> </w:t>
      </w:r>
      <w:r>
        <w:t>guanfacine</w:t>
      </w:r>
      <w:r>
        <w:rPr>
          <w:spacing w:val="-5"/>
        </w:rPr>
        <w:t xml:space="preserve"> </w:t>
      </w:r>
      <w:r>
        <w:t>–</w:t>
      </w:r>
      <w:r>
        <w:rPr>
          <w:spacing w:val="-3"/>
        </w:rPr>
        <w:t xml:space="preserve"> </w:t>
      </w:r>
      <w:r>
        <w:t>placebo,</w:t>
      </w:r>
      <w:r>
        <w:rPr>
          <w:spacing w:val="-5"/>
        </w:rPr>
        <w:t xml:space="preserve"> </w:t>
      </w:r>
      <w:r>
        <w:t>in</w:t>
      </w:r>
      <w:r>
        <w:rPr>
          <w:spacing w:val="-2"/>
        </w:rPr>
        <w:t xml:space="preserve"> </w:t>
      </w:r>
      <w:r>
        <w:t>change</w:t>
      </w:r>
      <w:r>
        <w:rPr>
          <w:spacing w:val="-5"/>
        </w:rPr>
        <w:t xml:space="preserve"> </w:t>
      </w:r>
      <w:r>
        <w:t>in</w:t>
      </w:r>
      <w:r>
        <w:rPr>
          <w:spacing w:val="-2"/>
        </w:rPr>
        <w:t xml:space="preserve"> </w:t>
      </w:r>
      <w:r>
        <w:t>ADHD-RS-IV</w:t>
      </w:r>
      <w:r>
        <w:rPr>
          <w:spacing w:val="-3"/>
        </w:rPr>
        <w:t xml:space="preserve"> </w:t>
      </w:r>
      <w:r>
        <w:t>from</w:t>
      </w:r>
      <w:r>
        <w:rPr>
          <w:spacing w:val="-5"/>
        </w:rPr>
        <w:t xml:space="preserve"> </w:t>
      </w:r>
      <w:r>
        <w:t>baseline</w:t>
      </w:r>
      <w:r>
        <w:rPr>
          <w:spacing w:val="-5"/>
        </w:rPr>
        <w:t xml:space="preserve"> </w:t>
      </w:r>
      <w:r>
        <w:t>was</w:t>
      </w:r>
      <w:r>
        <w:rPr>
          <w:spacing w:val="-3"/>
        </w:rPr>
        <w:t xml:space="preserve"> </w:t>
      </w:r>
      <w:r>
        <w:t>-5.2</w:t>
      </w:r>
      <w:r>
        <w:rPr>
          <w:spacing w:val="-1"/>
        </w:rPr>
        <w:t xml:space="preserve"> </w:t>
      </w:r>
      <w:r>
        <w:t>(-9.2 to -1.2), p = 0.011 (Table 43).</w:t>
      </w:r>
    </w:p>
    <w:p w:rsidR="0074774A" w:rsidRPr="00A94D97" w:rsidRDefault="0074774A" w:rsidP="0074774A">
      <w:pPr>
        <w:pStyle w:val="Tabletitle"/>
      </w:pPr>
      <w:r w:rsidRPr="00A94D97">
        <w:lastRenderedPageBreak/>
        <w:t xml:space="preserve">Table 43: ANCOVA Change from Baseline in ADHD-RS-IV Total Score in the Inattentive Subtype of the 6-Week Maintenance Set </w:t>
      </w:r>
      <w:r w:rsidRPr="00A94D97">
        <w:rPr>
          <w:rFonts w:hint="eastAsia"/>
        </w:rPr>
        <w:t>–</w:t>
      </w:r>
      <w:r w:rsidRPr="00A94D97">
        <w:t xml:space="preserve"> Full Analysis Set, LOCF (copied from Table 2, S31 Response)</w:t>
      </w:r>
    </w:p>
    <w:p w:rsidR="0074774A" w:rsidRDefault="0074774A" w:rsidP="0074774A">
      <w:pPr>
        <w:pStyle w:val="BodyText"/>
        <w:kinsoku w:val="0"/>
        <w:overflowPunct w:val="0"/>
        <w:spacing w:before="117"/>
        <w:ind w:left="219" w:right="634"/>
        <w:rPr>
          <w:color w:val="000000"/>
        </w:rPr>
      </w:pPr>
      <w:r>
        <w:rPr>
          <w:noProof/>
          <w:lang w:eastAsia="en-AU"/>
        </w:rPr>
        <w:drawing>
          <wp:inline distT="0" distB="0" distL="0" distR="0" wp14:anchorId="10634A95" wp14:editId="4C30E269">
            <wp:extent cx="5943600" cy="3746500"/>
            <wp:effectExtent l="0" t="0" r="0" b="6350"/>
            <wp:docPr id="194" name="Picture 194" descr="Table 43: ANCOVA Change from Baseline in ADHD-RS-IV Total Score in the Inattentive Subtype of the 6-Week Maintenance Set – Full Analysis Set, LOCF (copied from Table 2, S31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746500"/>
                    </a:xfrm>
                    <a:prstGeom prst="rect">
                      <a:avLst/>
                    </a:prstGeom>
                  </pic:spPr>
                </pic:pic>
              </a:graphicData>
            </a:graphic>
          </wp:inline>
        </w:drawing>
      </w:r>
    </w:p>
    <w:p w:rsidR="0074774A" w:rsidRDefault="0074774A" w:rsidP="0074774A">
      <w:r>
        <w:t>The third pooled analysis explored the effect on subscales. The data were extracted from Study SPD503-301, SPD503-304, Study SPD503-312 and Study SPD503-316. For both the inattentiveness and the hyperactivity- impulsiveness subscales there was significant improvement for both short term and maintenance (Figure 8).</w:t>
      </w:r>
    </w:p>
    <w:p w:rsidR="0074774A" w:rsidRDefault="0074774A" w:rsidP="0074774A">
      <w:pPr>
        <w:pStyle w:val="FigureTitle"/>
        <w:keepNext/>
        <w:rPr>
          <w:rFonts w:eastAsia="MS Mincho"/>
        </w:rPr>
      </w:pPr>
      <w:r>
        <w:lastRenderedPageBreak/>
        <w:t xml:space="preserve">Figure 8: ADHD-RS-IV Subscale Scores in the Pooled, Short-term, Fixed-dose Studies SPD503-301 and SPD503-304 and the Pooled Short-term, Flex-dose Studies SPD503-312 and SPD503-316 </w:t>
      </w:r>
      <w:r>
        <w:rPr>
          <w:rFonts w:ascii="MS Mincho" w:eastAsia="MS Mincho" w:cs="MS Mincho" w:hint="eastAsia"/>
        </w:rPr>
        <w:t>–</w:t>
      </w:r>
      <w:r>
        <w:rPr>
          <w:rFonts w:ascii="MS Mincho" w:eastAsia="MS Mincho" w:cs="MS Mincho"/>
          <w:spacing w:val="-81"/>
        </w:rPr>
        <w:t xml:space="preserve"> </w:t>
      </w:r>
      <w:r>
        <w:rPr>
          <w:rFonts w:eastAsia="MS Mincho"/>
        </w:rPr>
        <w:t>Full Analysis Sets (LOCF) (copied from Figure 1, S31 Response)</w:t>
      </w:r>
    </w:p>
    <w:p w:rsidR="0074774A" w:rsidRDefault="0074774A" w:rsidP="0074774A">
      <w:pPr>
        <w:pStyle w:val="BodyText"/>
        <w:kinsoku w:val="0"/>
        <w:overflowPunct w:val="0"/>
        <w:spacing w:before="121"/>
        <w:ind w:left="220" w:right="672"/>
        <w:rPr>
          <w:color w:val="000000"/>
        </w:rPr>
      </w:pPr>
      <w:r>
        <w:rPr>
          <w:noProof/>
          <w:lang w:eastAsia="en-AU"/>
        </w:rPr>
        <w:drawing>
          <wp:inline distT="0" distB="0" distL="0" distR="0" wp14:anchorId="0A6ABD66" wp14:editId="3BF0B112">
            <wp:extent cx="4853902" cy="3664800"/>
            <wp:effectExtent l="0" t="0" r="4445" b="0"/>
            <wp:docPr id="195" name="Picture 195" descr="Figure 8: ADHD-RS-IV Subscale Scores in the Pooled, Short-term, Fixed-dose Studies SPD503-301 and SPD503-304 and the Pooled Short-term, Flex-dose Studies SPD503-312 and SPD503-316 – Full Analysis Sets (LOCF) (copied from Figure 1, S31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56007" cy="3666389"/>
                    </a:xfrm>
                    <a:prstGeom prst="rect">
                      <a:avLst/>
                    </a:prstGeom>
                  </pic:spPr>
                </pic:pic>
              </a:graphicData>
            </a:graphic>
          </wp:inline>
        </w:drawing>
      </w:r>
    </w:p>
    <w:p w:rsidR="0074774A" w:rsidRDefault="0074774A" w:rsidP="0074774A">
      <w:pPr>
        <w:pStyle w:val="Heading4"/>
        <w:numPr>
          <w:ilvl w:val="2"/>
          <w:numId w:val="29"/>
        </w:numPr>
      </w:pPr>
      <w:r w:rsidRPr="00A94D97">
        <w:t>Evaluator’s</w:t>
      </w:r>
      <w:r>
        <w:t xml:space="preserve"> comments</w:t>
      </w:r>
    </w:p>
    <w:p w:rsidR="0074774A" w:rsidRDefault="0074774A" w:rsidP="0074774A">
      <w:r>
        <w:t>The sponsor’s response is satisfactory. The sponsor has demonstrated efficacy in the subgroup of patients with inattentive type ADHD.</w:t>
      </w:r>
    </w:p>
    <w:p w:rsidR="0074774A" w:rsidRDefault="0074774A" w:rsidP="0074774A">
      <w:pPr>
        <w:pStyle w:val="Heading3"/>
        <w:numPr>
          <w:ilvl w:val="1"/>
          <w:numId w:val="29"/>
        </w:numPr>
        <w:ind w:left="907" w:hanging="794"/>
      </w:pPr>
      <w:bookmarkStart w:id="662" w:name="14.3._Clinical_Question_3:"/>
      <w:bookmarkStart w:id="663" w:name="_bookmark139"/>
      <w:bookmarkStart w:id="664" w:name="_Toc505617011"/>
      <w:bookmarkStart w:id="665" w:name="_Toc513217729"/>
      <w:bookmarkEnd w:id="662"/>
      <w:bookmarkEnd w:id="663"/>
      <w:r>
        <w:t>Clinical Question</w:t>
      </w:r>
      <w:r>
        <w:rPr>
          <w:spacing w:val="1"/>
        </w:rPr>
        <w:t xml:space="preserve"> </w:t>
      </w:r>
      <w:r>
        <w:t>3</w:t>
      </w:r>
      <w:bookmarkEnd w:id="664"/>
      <w:bookmarkEnd w:id="665"/>
    </w:p>
    <w:p w:rsidR="0074774A" w:rsidRPr="00545BC4" w:rsidRDefault="0074774A" w:rsidP="0074774A">
      <w:pPr>
        <w:rPr>
          <w:i/>
        </w:rPr>
      </w:pPr>
      <w:r w:rsidRPr="00545BC4">
        <w:rPr>
          <w:i/>
        </w:rPr>
        <w:t>Does the Sponsor have evidence of efficacy in comparison with current treatments for ADHD, such as psychostimulants, atomoxetine and/or behavioural treatments?</w:t>
      </w:r>
    </w:p>
    <w:p w:rsidR="0074774A" w:rsidRDefault="0074774A" w:rsidP="0074774A">
      <w:pPr>
        <w:pStyle w:val="Heading4"/>
        <w:numPr>
          <w:ilvl w:val="2"/>
          <w:numId w:val="29"/>
        </w:numPr>
        <w:kinsoku w:val="0"/>
        <w:overflowPunct w:val="0"/>
        <w:ind w:left="220" w:firstLine="0"/>
      </w:pPr>
      <w:r>
        <w:t>Sponsor’s response</w:t>
      </w:r>
    </w:p>
    <w:p w:rsidR="0074774A" w:rsidRDefault="0074774A" w:rsidP="0074774A">
      <w:pPr>
        <w:rPr>
          <w:color w:val="000000"/>
        </w:rPr>
      </w:pPr>
      <w:r>
        <w:t>The sponsor has responded: ‘</w:t>
      </w:r>
      <w:r w:rsidRPr="00545BC4">
        <w:rPr>
          <w:i/>
        </w:rPr>
        <w:t>A direct superiority or non-inferiority study of SPD503 and other ADHD therapeutics has not been conducted in the clinical development program; however an atomoxetine arm was included in study SPD503-316 to provide reference information</w:t>
      </w:r>
      <w:r>
        <w:t>.’ In addition to the results from Study SPD503-316 previously discussed in Section 7.2.8 t</w:t>
      </w:r>
      <w:r>
        <w:rPr>
          <w:color w:val="000000"/>
        </w:rPr>
        <w:t>he sponsor also draws attention to ADHD-RS-IV by study visit (Figure 9). The evaluator notes the error bars represent the SEM and not 95% CI. The sponsor also draws attention to a subgroup analysis that suggests that patients previously treated with stimulants did not respond to atomoxetine (Table 44).</w:t>
      </w:r>
    </w:p>
    <w:p w:rsidR="0074774A" w:rsidRDefault="0074774A" w:rsidP="0074774A">
      <w:pPr>
        <w:pStyle w:val="FigureTitle"/>
        <w:keepNext/>
      </w:pPr>
      <w:r>
        <w:lastRenderedPageBreak/>
        <w:t xml:space="preserve">Figure 9: </w:t>
      </w:r>
      <w:r w:rsidRPr="00070AA4">
        <w:t>Mean ADHD-RS-IV Total Score by Visit: Full Analysis Set (LOCF) (copied from Figure 2, S31 Response)</w:t>
      </w:r>
    </w:p>
    <w:p w:rsidR="0074774A" w:rsidRDefault="0074774A" w:rsidP="0074774A">
      <w:pPr>
        <w:pStyle w:val="BodyText"/>
        <w:kinsoku w:val="0"/>
        <w:overflowPunct w:val="0"/>
        <w:spacing w:before="121"/>
        <w:ind w:left="220" w:right="648"/>
        <w:rPr>
          <w:color w:val="000000"/>
        </w:rPr>
      </w:pPr>
      <w:r>
        <w:rPr>
          <w:noProof/>
          <w:lang w:eastAsia="en-AU"/>
        </w:rPr>
        <w:drawing>
          <wp:inline distT="0" distB="0" distL="0" distR="0" wp14:anchorId="1BC5D02A" wp14:editId="0ECF9FD2">
            <wp:extent cx="5202778" cy="2455200"/>
            <wp:effectExtent l="0" t="0" r="0" b="2540"/>
            <wp:docPr id="196" name="Picture 196" descr="Figure 9: Mean ADHD-RS-IV Total Score by Visit: Full Analysis Set (LOCF) (copied from Figure 2, S31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99629" cy="2453714"/>
                    </a:xfrm>
                    <a:prstGeom prst="rect">
                      <a:avLst/>
                    </a:prstGeom>
                  </pic:spPr>
                </pic:pic>
              </a:graphicData>
            </a:graphic>
          </wp:inline>
        </w:drawing>
      </w:r>
    </w:p>
    <w:p w:rsidR="0074774A" w:rsidRPr="00070AA4" w:rsidRDefault="0074774A" w:rsidP="0074774A">
      <w:pPr>
        <w:pStyle w:val="Tabletitle"/>
      </w:pPr>
      <w:r w:rsidRPr="00070AA4">
        <w:t>Table 44: Comparative Change from Baseline in ADHD-RS-IV Total Score by Prior Treatment in Study SPD503-316 (copied from Table 4, S31 Response)</w:t>
      </w:r>
    </w:p>
    <w:p w:rsidR="0074774A" w:rsidRDefault="0074774A" w:rsidP="0074774A">
      <w:r>
        <w:rPr>
          <w:noProof/>
          <w:lang w:eastAsia="en-AU"/>
        </w:rPr>
        <w:drawing>
          <wp:inline distT="0" distB="0" distL="0" distR="0" wp14:anchorId="4E32F67B" wp14:editId="1426B98F">
            <wp:extent cx="5608955" cy="1951355"/>
            <wp:effectExtent l="0" t="0" r="0" b="0"/>
            <wp:docPr id="197" name="Picture 197" descr="Table 44: Comparative Change from Baseline in ADHD-RS-IV Total Score by Prior Treatment in Study SPD503-316 (copied from Table 4, S31 Response)&#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8955" cy="1951355"/>
                    </a:xfrm>
                    <a:prstGeom prst="rect">
                      <a:avLst/>
                    </a:prstGeom>
                    <a:noFill/>
                    <a:ln>
                      <a:noFill/>
                    </a:ln>
                  </pic:spPr>
                </pic:pic>
              </a:graphicData>
            </a:graphic>
          </wp:inline>
        </w:drawing>
      </w:r>
    </w:p>
    <w:p w:rsidR="0074774A" w:rsidRPr="00070AA4" w:rsidRDefault="0074774A" w:rsidP="00877865">
      <w:pPr>
        <w:pStyle w:val="Heading4"/>
        <w:rPr>
          <w:sz w:val="11"/>
          <w:szCs w:val="11"/>
        </w:rPr>
      </w:pPr>
      <w:r w:rsidRPr="00070AA4">
        <w:t>Evaluator’s</w:t>
      </w:r>
      <w:r>
        <w:t xml:space="preserve"> comments</w:t>
      </w:r>
    </w:p>
    <w:p w:rsidR="0074774A" w:rsidRDefault="0074774A" w:rsidP="0074774A">
      <w:r>
        <w:t>The sponsor has not provided any new data to demonstrate evidence of efficacy in comparison with current treatments for ADHD, such as psychostimulants, atomoxetine and/or behavioural treatments. This not satisfactory because there are currently a range of effective treatments for ADHD and the Sponsor has not defined the place in management for guanfacine. The proposed therapeutic indication is:</w:t>
      </w:r>
    </w:p>
    <w:p w:rsidR="0074774A" w:rsidRPr="009B72D4" w:rsidRDefault="0074774A" w:rsidP="0074774A">
      <w:pPr>
        <w:ind w:left="720"/>
        <w:rPr>
          <w:i/>
        </w:rPr>
      </w:pPr>
      <w:r w:rsidRPr="009B72D4">
        <w:rPr>
          <w:i/>
        </w:rPr>
        <w:t>INTUNIV is indicated for the treatment of Attention Deficit Hyperactivity Disorder (ADHD) in paediatric patients (children and adolescents 6-17 years old inclusive).</w:t>
      </w:r>
    </w:p>
    <w:p w:rsidR="0074774A" w:rsidRDefault="0074774A" w:rsidP="0074774A">
      <w:r>
        <w:t>This indication does not state whether guanfacine should be first, second or third line.</w:t>
      </w:r>
    </w:p>
    <w:p w:rsidR="0074774A" w:rsidRDefault="0074774A" w:rsidP="0074774A">
      <w:pPr>
        <w:pStyle w:val="Heading3"/>
        <w:numPr>
          <w:ilvl w:val="1"/>
          <w:numId w:val="29"/>
        </w:numPr>
        <w:ind w:left="907" w:hanging="794"/>
      </w:pPr>
      <w:bookmarkStart w:id="666" w:name="14.4._Clinical_Question_4"/>
      <w:bookmarkStart w:id="667" w:name="_bookmark140"/>
      <w:bookmarkStart w:id="668" w:name="_Toc505617012"/>
      <w:bookmarkStart w:id="669" w:name="_Toc513217730"/>
      <w:bookmarkEnd w:id="666"/>
      <w:bookmarkEnd w:id="667"/>
      <w:r>
        <w:t>Clinical Question</w:t>
      </w:r>
      <w:r>
        <w:rPr>
          <w:spacing w:val="1"/>
        </w:rPr>
        <w:t xml:space="preserve"> </w:t>
      </w:r>
      <w:r>
        <w:t>4</w:t>
      </w:r>
      <w:bookmarkEnd w:id="668"/>
      <w:bookmarkEnd w:id="669"/>
    </w:p>
    <w:p w:rsidR="0074774A" w:rsidRPr="009B72D4" w:rsidRDefault="0074774A" w:rsidP="0074774A">
      <w:pPr>
        <w:rPr>
          <w:i/>
        </w:rPr>
      </w:pPr>
      <w:r w:rsidRPr="009B72D4">
        <w:rPr>
          <w:i/>
        </w:rPr>
        <w:t>Does the sponsor have data regarding the effects on driving and operating machinery for SPD503?</w:t>
      </w:r>
    </w:p>
    <w:p w:rsidR="0074774A" w:rsidRDefault="0074774A" w:rsidP="0074774A">
      <w:pPr>
        <w:pStyle w:val="Heading4"/>
        <w:numPr>
          <w:ilvl w:val="2"/>
          <w:numId w:val="29"/>
        </w:numPr>
      </w:pPr>
      <w:r>
        <w:t>Sponsor’s response</w:t>
      </w:r>
    </w:p>
    <w:p w:rsidR="0074774A" w:rsidRDefault="0074774A" w:rsidP="0074774A">
      <w:r>
        <w:t>The sponsor has responded: ‘</w:t>
      </w:r>
      <w:r w:rsidRPr="009B72D4">
        <w:rPr>
          <w:i/>
        </w:rPr>
        <w:t xml:space="preserve">Briefly as stated in the safety topic report, based on a cumulative review of existing clinical trial data from Phase 1-3 studies of SPD503, postmarketing safety data, and literature through 21 May 2014, no evidence was found to support a causal association between guanfacine-induced hypotension, somnolence, sedation or syncope and negative effects on </w:t>
      </w:r>
      <w:r w:rsidRPr="009B72D4">
        <w:rPr>
          <w:i/>
        </w:rPr>
        <w:lastRenderedPageBreak/>
        <w:t>daily functioning. No evidence was found of a relationship between SPD503 and the occurrence of increased risk of injuries, although a causal relationship in some instances of occurring injuries cannot completely be excluded. Lastly, no new safety trends or signals were identified in the preparation of the safety topic</w:t>
      </w:r>
      <w:r w:rsidRPr="009B72D4">
        <w:rPr>
          <w:i/>
          <w:spacing w:val="-13"/>
        </w:rPr>
        <w:t xml:space="preserve"> </w:t>
      </w:r>
      <w:r w:rsidRPr="009B72D4">
        <w:rPr>
          <w:i/>
        </w:rPr>
        <w:t>report</w:t>
      </w:r>
      <w:r>
        <w:t>.’</w:t>
      </w:r>
    </w:p>
    <w:p w:rsidR="0074774A" w:rsidRDefault="0074774A" w:rsidP="0074774A">
      <w:pPr>
        <w:pStyle w:val="Heading4"/>
        <w:numPr>
          <w:ilvl w:val="2"/>
          <w:numId w:val="29"/>
        </w:numPr>
      </w:pPr>
      <w:r>
        <w:t>Evaluator’s comments</w:t>
      </w:r>
    </w:p>
    <w:p w:rsidR="0074774A" w:rsidRDefault="0074774A" w:rsidP="0074774A">
      <w:r>
        <w:t>The sponsor’s response is not satisfactory. The question related specifically to the effects on driving and operating machinery. The sponsor has not provided any data that evaluate these effects. The PI currently states ‘</w:t>
      </w:r>
      <w:r w:rsidRPr="00070AA4">
        <w:rPr>
          <w:i/>
        </w:rPr>
        <w:t>Caution patients against operating heavy equipment or driving until they know how they respond to treatment with INTUNIV’</w:t>
      </w:r>
      <w:r>
        <w:t>. However, this warning assumes that patients would be able to recognise impaired performance when driving or</w:t>
      </w:r>
      <w:bookmarkStart w:id="670" w:name="14.5._Clinical_Question_5"/>
      <w:bookmarkStart w:id="671" w:name="_bookmark141"/>
      <w:bookmarkEnd w:id="670"/>
      <w:bookmarkEnd w:id="671"/>
      <w:r>
        <w:t xml:space="preserve"> operating machinery.</w:t>
      </w:r>
    </w:p>
    <w:p w:rsidR="0074774A" w:rsidRDefault="0074774A" w:rsidP="0074774A">
      <w:pPr>
        <w:pStyle w:val="Heading3"/>
        <w:numPr>
          <w:ilvl w:val="1"/>
          <w:numId w:val="29"/>
        </w:numPr>
        <w:ind w:left="907" w:hanging="794"/>
      </w:pPr>
      <w:bookmarkStart w:id="672" w:name="_Toc505617013"/>
      <w:bookmarkStart w:id="673" w:name="_Toc513217731"/>
      <w:r>
        <w:t>Clinical Question</w:t>
      </w:r>
      <w:r>
        <w:rPr>
          <w:spacing w:val="1"/>
        </w:rPr>
        <w:t xml:space="preserve"> </w:t>
      </w:r>
      <w:r>
        <w:t>5</w:t>
      </w:r>
      <w:bookmarkEnd w:id="672"/>
      <w:bookmarkEnd w:id="673"/>
    </w:p>
    <w:p w:rsidR="0074774A" w:rsidRPr="00545BC4" w:rsidRDefault="0074774A" w:rsidP="0074774A">
      <w:pPr>
        <w:rPr>
          <w:i/>
        </w:rPr>
      </w:pPr>
      <w:r w:rsidRPr="00545BC4">
        <w:rPr>
          <w:i/>
        </w:rPr>
        <w:t>Does the sponsor have safety data for guanfacine when administered at doses higher than 4 mg/day in subjects with ADHD co-medicated with psychostimulants?</w:t>
      </w:r>
    </w:p>
    <w:p w:rsidR="0074774A" w:rsidRDefault="0074774A" w:rsidP="0074774A">
      <w:pPr>
        <w:pStyle w:val="Heading4"/>
        <w:numPr>
          <w:ilvl w:val="2"/>
          <w:numId w:val="29"/>
        </w:numPr>
      </w:pPr>
      <w:r>
        <w:t>Sponsor’s response</w:t>
      </w:r>
    </w:p>
    <w:p w:rsidR="0074774A" w:rsidRDefault="0074774A" w:rsidP="0074774A">
      <w:r>
        <w:t>The sponsor has responded ‘</w:t>
      </w:r>
      <w:r w:rsidRPr="00545BC4">
        <w:rPr>
          <w:i/>
        </w:rPr>
        <w:t>Concomitant use of psychostimulants was permitted in only one clinical study of SPD503. Study SPD503-313 was a phase 3, double-blind, randomized, placebo- controlled, multicenter, dose optimization study in which the efficacy and safety of SPD503 was evaluated in combination with psychostimulants in children and adolescents aged 6 to 17 years with a diagnosis of ADHD; however, SPD503 doses &gt;4 mg/day were not permitted in study SPD503-313.</w:t>
      </w:r>
      <w:r>
        <w:t>’</w:t>
      </w:r>
    </w:p>
    <w:p w:rsidR="0074774A" w:rsidRDefault="0074774A" w:rsidP="0074774A">
      <w:pPr>
        <w:pStyle w:val="Heading4"/>
        <w:numPr>
          <w:ilvl w:val="2"/>
          <w:numId w:val="29"/>
        </w:numPr>
      </w:pPr>
      <w:r>
        <w:t>Evaluator’s comments</w:t>
      </w:r>
    </w:p>
    <w:p w:rsidR="0074774A" w:rsidRPr="00E3076D" w:rsidRDefault="0074774A" w:rsidP="0074774A">
      <w:pPr>
        <w:rPr>
          <w:i/>
        </w:rPr>
      </w:pPr>
      <w:r>
        <w:t>The sponsor’s response is not satisfactory. The PI does not currently warn against using doses above 4 mg in patients also treated with psychostimulants. The proposed dosing instructions state only that ‘</w:t>
      </w:r>
      <w:r w:rsidRPr="009B72D4">
        <w:rPr>
          <w:i/>
        </w:rPr>
        <w:t>Doses above 4 mg/day have not been studied in co-administration tria</w:t>
      </w:r>
      <w:r w:rsidRPr="00E3076D">
        <w:rPr>
          <w:i/>
        </w:rPr>
        <w:t>ls.’</w:t>
      </w:r>
    </w:p>
    <w:p w:rsidR="0074774A" w:rsidRDefault="0074774A" w:rsidP="0074774A">
      <w:pPr>
        <w:pStyle w:val="Heading3"/>
        <w:numPr>
          <w:ilvl w:val="1"/>
          <w:numId w:val="29"/>
        </w:numPr>
        <w:ind w:left="907" w:hanging="794"/>
      </w:pPr>
      <w:bookmarkStart w:id="674" w:name="14.6._Clinical_Question_6"/>
      <w:bookmarkStart w:id="675" w:name="_bookmark142"/>
      <w:bookmarkStart w:id="676" w:name="_Toc505617014"/>
      <w:bookmarkStart w:id="677" w:name="_Toc513217732"/>
      <w:bookmarkEnd w:id="674"/>
      <w:bookmarkEnd w:id="675"/>
      <w:r>
        <w:t>Clinical Question</w:t>
      </w:r>
      <w:r>
        <w:rPr>
          <w:spacing w:val="1"/>
        </w:rPr>
        <w:t xml:space="preserve"> </w:t>
      </w:r>
      <w:r>
        <w:t>6</w:t>
      </w:r>
      <w:bookmarkEnd w:id="676"/>
      <w:bookmarkEnd w:id="677"/>
    </w:p>
    <w:p w:rsidR="0074774A" w:rsidRDefault="0074774A" w:rsidP="0074774A">
      <w:pPr>
        <w:pStyle w:val="BodyText"/>
        <w:kinsoku w:val="0"/>
        <w:overflowPunct w:val="0"/>
        <w:spacing w:before="129"/>
        <w:ind w:left="220"/>
        <w:rPr>
          <w:i/>
          <w:iCs/>
          <w:sz w:val="11"/>
          <w:szCs w:val="11"/>
        </w:rPr>
      </w:pPr>
      <w:r>
        <w:rPr>
          <w:i/>
          <w:iCs/>
        </w:rPr>
        <w:t>Does the sponsor have any safety data in patients with long QT syndrome?</w:t>
      </w:r>
    </w:p>
    <w:p w:rsidR="0074774A" w:rsidRDefault="0074774A" w:rsidP="0074774A">
      <w:pPr>
        <w:pStyle w:val="Heading4"/>
        <w:numPr>
          <w:ilvl w:val="2"/>
          <w:numId w:val="29"/>
        </w:numPr>
      </w:pPr>
      <w:r>
        <w:t>Sponsor’s response</w:t>
      </w:r>
    </w:p>
    <w:p w:rsidR="0074774A" w:rsidRDefault="0074774A" w:rsidP="0074774A">
      <w:r>
        <w:t>The sponsor has conducted a Thorough QT study, Study SPD503-112. In that study, at no stage did the 90% CI for change in QTcNi cross the boundary for regulatory concern.</w:t>
      </w:r>
    </w:p>
    <w:p w:rsidR="0074774A" w:rsidRDefault="0074774A" w:rsidP="0074774A">
      <w:r>
        <w:t>The sponsor has not identified concerns regarding QT prolongation in the clinical trials or post- marketing data.</w:t>
      </w:r>
    </w:p>
    <w:p w:rsidR="0074774A" w:rsidRDefault="0074774A" w:rsidP="0074774A">
      <w:r w:rsidRPr="009B72D4">
        <w:t>The sponsor also reports one death associated with QT prolongation, with the following description:</w:t>
      </w:r>
      <w:r>
        <w:t xml:space="preserve"> ‘</w:t>
      </w:r>
      <w:r w:rsidRPr="009B72D4">
        <w:rPr>
          <w:i/>
        </w:rPr>
        <w:t>In case [information redacted], the PTs cardiac arrest, ventricular tachycardia, Torsades de pointes, and ventricular fibrillation occurred in a 12-year-old male, weighing 48.1 kg. The child developed Torsades after a cardiac arrest, ventricular tachycardia and ventricular fibrillation that occurred in the context of probable septic shock. He was treated unsuccessfully for a prolonged period with resuscitative efforts and the QT prolongation and Torsades de pointes were assessed as likely related to the intravenous lidocaine administered during these efforts.’</w:t>
      </w:r>
    </w:p>
    <w:p w:rsidR="0074774A" w:rsidRDefault="0074774A" w:rsidP="0074774A">
      <w:pPr>
        <w:pStyle w:val="Heading4"/>
        <w:numPr>
          <w:ilvl w:val="2"/>
          <w:numId w:val="29"/>
        </w:numPr>
      </w:pPr>
      <w:r>
        <w:t>Evaluator’s comments</w:t>
      </w:r>
    </w:p>
    <w:p w:rsidR="0074774A" w:rsidRDefault="0074774A" w:rsidP="0074774A">
      <w:r>
        <w:t>The sponsor’s response is unsatisfactory. QTcF prolongation of regulatory concern was identified in the thorough QT study. In the opinion of the evaluator known QT prolongation should be a contraindication to use.</w:t>
      </w:r>
    </w:p>
    <w:p w:rsidR="0074774A" w:rsidRDefault="0074774A" w:rsidP="0074774A">
      <w:pPr>
        <w:pStyle w:val="Heading3"/>
        <w:numPr>
          <w:ilvl w:val="1"/>
          <w:numId w:val="29"/>
        </w:numPr>
        <w:ind w:left="907" w:hanging="794"/>
      </w:pPr>
      <w:bookmarkStart w:id="678" w:name="14.7._Clinical_question_7"/>
      <w:bookmarkStart w:id="679" w:name="_bookmark143"/>
      <w:bookmarkStart w:id="680" w:name="_Toc505617015"/>
      <w:bookmarkStart w:id="681" w:name="_Toc513217733"/>
      <w:bookmarkEnd w:id="678"/>
      <w:bookmarkEnd w:id="679"/>
      <w:r>
        <w:lastRenderedPageBreak/>
        <w:t>Clinical question</w:t>
      </w:r>
      <w:r>
        <w:rPr>
          <w:spacing w:val="-3"/>
        </w:rPr>
        <w:t xml:space="preserve"> </w:t>
      </w:r>
      <w:r>
        <w:t>7</w:t>
      </w:r>
      <w:bookmarkEnd w:id="680"/>
      <w:bookmarkEnd w:id="681"/>
    </w:p>
    <w:p w:rsidR="0074774A" w:rsidRPr="009B72D4" w:rsidRDefault="0074774A" w:rsidP="0074774A">
      <w:pPr>
        <w:rPr>
          <w:i/>
        </w:rPr>
      </w:pPr>
      <w:r w:rsidRPr="009B72D4">
        <w:rPr>
          <w:i/>
        </w:rPr>
        <w:t>Does the sponsor have any safety data in patients medicated with drugs known to prolong the QT interval?</w:t>
      </w:r>
    </w:p>
    <w:p w:rsidR="0074774A" w:rsidRDefault="0074774A" w:rsidP="0074774A">
      <w:pPr>
        <w:pStyle w:val="Heading4"/>
        <w:numPr>
          <w:ilvl w:val="2"/>
          <w:numId w:val="29"/>
        </w:numPr>
      </w:pPr>
      <w:r>
        <w:t>Sponsor’s response</w:t>
      </w:r>
    </w:p>
    <w:p w:rsidR="0074774A" w:rsidRDefault="0074774A" w:rsidP="0074774A">
      <w:r>
        <w:t>The case previously mentioned in the response to Clinical Question 6 was also medicated with lignocaine and risperidone.</w:t>
      </w:r>
    </w:p>
    <w:p w:rsidR="0074774A" w:rsidRDefault="0074774A" w:rsidP="0074774A">
      <w:pPr>
        <w:pStyle w:val="Heading4"/>
        <w:numPr>
          <w:ilvl w:val="2"/>
          <w:numId w:val="29"/>
        </w:numPr>
      </w:pPr>
      <w:r>
        <w:t>Evaluator’s comments</w:t>
      </w:r>
    </w:p>
    <w:p w:rsidR="0074774A" w:rsidRDefault="0074774A" w:rsidP="0074774A">
      <w:r w:rsidRPr="009B72D4">
        <w:t>The sponsor’s response is unsatisfactory. QTcF prolongation of regulatory concern was identified in the thorough QT study. In the opinion of the evaluator concomitant use of drugs</w:t>
      </w:r>
      <w:r>
        <w:t xml:space="preserve"> known to prolong the QT interval should be contraindicated.</w:t>
      </w:r>
    </w:p>
    <w:p w:rsidR="0074774A" w:rsidRDefault="0074774A" w:rsidP="0074774A">
      <w:pPr>
        <w:pStyle w:val="Heading2"/>
        <w:numPr>
          <w:ilvl w:val="0"/>
          <w:numId w:val="29"/>
        </w:numPr>
      </w:pPr>
      <w:bookmarkStart w:id="682" w:name="14.8._Evaluator’s_Comments_on_responses_"/>
      <w:bookmarkStart w:id="683" w:name="_bookmark144"/>
      <w:bookmarkStart w:id="684" w:name="15._Second_round_benefit-risk_assessment"/>
      <w:bookmarkStart w:id="685" w:name="_bookmark145"/>
      <w:bookmarkStart w:id="686" w:name="_Toc505617016"/>
      <w:bookmarkStart w:id="687" w:name="_Toc513217734"/>
      <w:bookmarkEnd w:id="682"/>
      <w:bookmarkEnd w:id="683"/>
      <w:bookmarkEnd w:id="684"/>
      <w:bookmarkEnd w:id="685"/>
      <w:r>
        <w:t>Second round benefit-risk</w:t>
      </w:r>
      <w:r>
        <w:rPr>
          <w:spacing w:val="-11"/>
        </w:rPr>
        <w:t xml:space="preserve"> </w:t>
      </w:r>
      <w:r>
        <w:t>assessment</w:t>
      </w:r>
      <w:bookmarkEnd w:id="686"/>
      <w:bookmarkEnd w:id="687"/>
    </w:p>
    <w:p w:rsidR="0074774A" w:rsidRDefault="0074774A" w:rsidP="0074774A">
      <w:pPr>
        <w:pStyle w:val="Heading3"/>
        <w:numPr>
          <w:ilvl w:val="1"/>
          <w:numId w:val="29"/>
        </w:numPr>
        <w:ind w:left="907" w:hanging="794"/>
      </w:pPr>
      <w:bookmarkStart w:id="688" w:name="15.1._Second_round_assessment_of_benefit"/>
      <w:bookmarkStart w:id="689" w:name="_bookmark146"/>
      <w:bookmarkStart w:id="690" w:name="_Toc505617017"/>
      <w:bookmarkStart w:id="691" w:name="_Toc513217735"/>
      <w:bookmarkEnd w:id="688"/>
      <w:bookmarkEnd w:id="689"/>
      <w:r>
        <w:t>Second round assessment of benefits</w:t>
      </w:r>
      <w:bookmarkEnd w:id="690"/>
      <w:bookmarkEnd w:id="691"/>
    </w:p>
    <w:p w:rsidR="0074774A" w:rsidRDefault="0074774A" w:rsidP="0074774A">
      <w:pPr>
        <w:pStyle w:val="Tabletitle"/>
      </w:pPr>
      <w:r>
        <w:rPr>
          <w:lang w:eastAsia="ja-JP"/>
        </w:rPr>
        <w:t xml:space="preserve">Table 45: </w:t>
      </w:r>
      <w:r>
        <w:t>Second round assessment of benefits</w:t>
      </w:r>
    </w:p>
    <w:tbl>
      <w:tblPr>
        <w:tblStyle w:val="TableTGAblue"/>
        <w:tblW w:w="0" w:type="auto"/>
        <w:tblLook w:val="04A0" w:firstRow="1" w:lastRow="0" w:firstColumn="1" w:lastColumn="0" w:noHBand="0" w:noVBand="1"/>
        <w:tblDescription w:val="Table 45: Second round assessment of benefits"/>
      </w:tblPr>
      <w:tblGrid>
        <w:gridCol w:w="4360"/>
        <w:gridCol w:w="4360"/>
      </w:tblGrid>
      <w:tr w:rsidR="0074774A" w:rsidRPr="00946960" w:rsidTr="00D32C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0" w:type="dxa"/>
            <w:shd w:val="clear" w:color="auto" w:fill="0078A2"/>
          </w:tcPr>
          <w:p w:rsidR="0074774A" w:rsidRPr="00946960" w:rsidRDefault="0074774A" w:rsidP="00D32C18">
            <w:r w:rsidRPr="00946960">
              <w:t>Indication</w:t>
            </w:r>
          </w:p>
        </w:tc>
        <w:tc>
          <w:tcPr>
            <w:tcW w:w="4360" w:type="dxa"/>
            <w:shd w:val="clear" w:color="auto" w:fill="0078A2"/>
          </w:tcPr>
          <w:p w:rsidR="0074774A" w:rsidRPr="00946960" w:rsidRDefault="0074774A" w:rsidP="00D32C18">
            <w:pPr>
              <w:cnfStyle w:val="100000000000" w:firstRow="1" w:lastRow="0" w:firstColumn="0" w:lastColumn="0" w:oddVBand="0" w:evenVBand="0" w:oddHBand="0" w:evenHBand="0" w:firstRowFirstColumn="0" w:firstRowLastColumn="0" w:lastRowFirstColumn="0" w:lastRowLastColumn="0"/>
            </w:pPr>
          </w:p>
        </w:tc>
      </w:tr>
      <w:tr w:rsidR="0074774A" w:rsidRPr="00946960" w:rsidTr="00D32C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0" w:type="dxa"/>
          </w:tcPr>
          <w:p w:rsidR="0074774A" w:rsidRPr="00946960" w:rsidRDefault="0074774A" w:rsidP="00D32C18">
            <w:r w:rsidRPr="00946960">
              <w:t>Benefits</w:t>
            </w:r>
          </w:p>
        </w:tc>
        <w:tc>
          <w:tcPr>
            <w:tcW w:w="4360" w:type="dxa"/>
          </w:tcPr>
          <w:p w:rsidR="0074774A" w:rsidRPr="00946960" w:rsidRDefault="0074774A" w:rsidP="00D32C18">
            <w:pPr>
              <w:cnfStyle w:val="100000000000" w:firstRow="1" w:lastRow="0" w:firstColumn="0" w:lastColumn="0" w:oddVBand="0" w:evenVBand="0" w:oddHBand="0" w:evenHBand="0" w:firstRowFirstColumn="0" w:firstRowLastColumn="0" w:lastRowFirstColumn="0" w:lastRowLastColumn="0"/>
            </w:pPr>
            <w:r w:rsidRPr="00946960">
              <w:t>Strengths and Uncertainties</w:t>
            </w:r>
          </w:p>
        </w:tc>
      </w:tr>
      <w:tr w:rsidR="0074774A" w:rsidRPr="00E3076D" w:rsidTr="00D32C18">
        <w:tc>
          <w:tcPr>
            <w:cnfStyle w:val="001000000000" w:firstRow="0" w:lastRow="0" w:firstColumn="1" w:lastColumn="0" w:oddVBand="0" w:evenVBand="0" w:oddHBand="0" w:evenHBand="0" w:firstRowFirstColumn="0" w:firstRowLastColumn="0" w:lastRowFirstColumn="0" w:lastRowLastColumn="0"/>
            <w:tcW w:w="4360" w:type="dxa"/>
          </w:tcPr>
          <w:p w:rsidR="0074774A" w:rsidRPr="008A0EAA" w:rsidRDefault="0074774A" w:rsidP="00D32C18">
            <w:pPr>
              <w:rPr>
                <w:szCs w:val="22"/>
              </w:rPr>
            </w:pPr>
            <w:r w:rsidRPr="008A0EAA">
              <w:rPr>
                <w:szCs w:val="22"/>
              </w:rPr>
              <w:t>Guanfacine significantly improves ADHD symptomatology in patients aged 6 to 17 years with ADHD</w:t>
            </w:r>
          </w:p>
          <w:p w:rsidR="0074774A" w:rsidRPr="008A0EAA" w:rsidRDefault="0074774A" w:rsidP="00D32C18">
            <w:pPr>
              <w:rPr>
                <w:szCs w:val="22"/>
              </w:rPr>
            </w:pPr>
            <w:r w:rsidRPr="008A0EAA">
              <w:rPr>
                <w:szCs w:val="22"/>
              </w:rPr>
              <w:t>There is maintenance of efficacy for up to 24 months.</w:t>
            </w:r>
          </w:p>
          <w:p w:rsidR="0074774A" w:rsidRPr="008A0EAA" w:rsidRDefault="0074774A" w:rsidP="00D32C18">
            <w:pPr>
              <w:rPr>
                <w:rFonts w:ascii="Arial" w:hAnsi="Arial" w:cs="Arial"/>
                <w:szCs w:val="22"/>
              </w:rPr>
            </w:pPr>
            <w:r w:rsidRPr="008A0EAA">
              <w:rPr>
                <w:szCs w:val="22"/>
              </w:rPr>
              <w:t>Efficacy was demonstrated for oppositional symptoms in subjects with ADHD with oppositional symptoms.</w:t>
            </w:r>
          </w:p>
          <w:p w:rsidR="0074774A" w:rsidRPr="008A0EAA" w:rsidRDefault="0074774A" w:rsidP="00D32C18">
            <w:pPr>
              <w:rPr>
                <w:szCs w:val="22"/>
              </w:rPr>
            </w:pPr>
            <w:r w:rsidRPr="008A0EAA">
              <w:rPr>
                <w:szCs w:val="22"/>
              </w:rPr>
              <w:t>Guanfacine significantly improves ADHD symptomatology in patients aged 6 to 17 years with ADHD who are co-medicated with psychostimulants</w:t>
            </w:r>
          </w:p>
          <w:p w:rsidR="0074774A" w:rsidRPr="008A0EAA" w:rsidRDefault="0074774A" w:rsidP="00D32C18">
            <w:pPr>
              <w:rPr>
                <w:szCs w:val="22"/>
              </w:rPr>
            </w:pPr>
            <w:r w:rsidRPr="008A0EAA">
              <w:rPr>
                <w:szCs w:val="22"/>
              </w:rPr>
              <w:t>Guanfacine has not been demonstrated to be superior or non-inferior to any currently approved treatment for ADHD.</w:t>
            </w:r>
          </w:p>
          <w:p w:rsidR="0074774A" w:rsidRPr="008A0EAA" w:rsidRDefault="0074774A" w:rsidP="00D32C18">
            <w:pPr>
              <w:rPr>
                <w:szCs w:val="22"/>
              </w:rPr>
            </w:pPr>
            <w:r w:rsidRPr="008A0EAA">
              <w:rPr>
                <w:szCs w:val="22"/>
              </w:rPr>
              <w:t>Efficacy has been demonstrated in patients with the inattentive subtype of ADHD.</w:t>
            </w:r>
          </w:p>
        </w:tc>
        <w:tc>
          <w:tcPr>
            <w:tcW w:w="4360" w:type="dxa"/>
          </w:tcPr>
          <w:p w:rsidR="0074774A" w:rsidRPr="008A0EAA" w:rsidRDefault="0074774A" w:rsidP="00D32C18">
            <w:pPr>
              <w:cnfStyle w:val="000000000000" w:firstRow="0" w:lastRow="0" w:firstColumn="0" w:lastColumn="0" w:oddVBand="0" w:evenVBand="0" w:oddHBand="0" w:evenHBand="0" w:firstRowFirstColumn="0" w:firstRowLastColumn="0" w:lastRowFirstColumn="0" w:lastRowLastColumn="0"/>
              <w:rPr>
                <w:szCs w:val="22"/>
              </w:rPr>
            </w:pPr>
            <w:r w:rsidRPr="008A0EAA">
              <w:rPr>
                <w:szCs w:val="22"/>
              </w:rPr>
              <w:t>Demonstrated by the pivotal studies: Study SPD503-312, Study SPD503-315 and Study SPD503-316.</w:t>
            </w:r>
          </w:p>
          <w:p w:rsidR="0074774A" w:rsidRPr="008A0EAA" w:rsidRDefault="0074774A" w:rsidP="00D32C18">
            <w:pPr>
              <w:cnfStyle w:val="000000000000" w:firstRow="0" w:lastRow="0" w:firstColumn="0" w:lastColumn="0" w:oddVBand="0" w:evenVBand="0" w:oddHBand="0" w:evenHBand="0" w:firstRowFirstColumn="0" w:firstRowLastColumn="0" w:lastRowFirstColumn="0" w:lastRowLastColumn="0"/>
              <w:rPr>
                <w:szCs w:val="22"/>
              </w:rPr>
            </w:pPr>
            <w:r w:rsidRPr="008A0EAA">
              <w:rPr>
                <w:szCs w:val="22"/>
              </w:rPr>
              <w:t>Study SPD503-315 demonstrated efficacy for 26 weeks. Study SPD503-303 and Study SPD503-305 were supportive of efficacy for up to 2 years.</w:t>
            </w:r>
          </w:p>
          <w:p w:rsidR="0074774A" w:rsidRPr="008A0EAA" w:rsidRDefault="0074774A" w:rsidP="00D32C18">
            <w:pPr>
              <w:cnfStyle w:val="000000000000" w:firstRow="0" w:lastRow="0" w:firstColumn="0" w:lastColumn="0" w:oddVBand="0" w:evenVBand="0" w:oddHBand="0" w:evenHBand="0" w:firstRowFirstColumn="0" w:firstRowLastColumn="0" w:lastRowFirstColumn="0" w:lastRowLastColumn="0"/>
              <w:rPr>
                <w:szCs w:val="22"/>
              </w:rPr>
            </w:pPr>
            <w:r w:rsidRPr="008A0EAA">
              <w:rPr>
                <w:szCs w:val="22"/>
              </w:rPr>
              <w:t>Demonstrated in Study SPD503-307.</w:t>
            </w:r>
          </w:p>
          <w:p w:rsidR="0074774A" w:rsidRPr="008A0EAA" w:rsidRDefault="0074774A" w:rsidP="00D32C18">
            <w:pPr>
              <w:cnfStyle w:val="000000000000" w:firstRow="0" w:lastRow="0" w:firstColumn="0" w:lastColumn="0" w:oddVBand="0" w:evenVBand="0" w:oddHBand="0" w:evenHBand="0" w:firstRowFirstColumn="0" w:firstRowLastColumn="0" w:lastRowFirstColumn="0" w:lastRowLastColumn="0"/>
              <w:rPr>
                <w:szCs w:val="22"/>
              </w:rPr>
            </w:pPr>
            <w:r w:rsidRPr="008A0EAA">
              <w:rPr>
                <w:szCs w:val="22"/>
              </w:rPr>
              <w:t>Demonstrated in Study SPD503-313</w:t>
            </w:r>
          </w:p>
          <w:p w:rsidR="0074774A" w:rsidRPr="008A0EAA" w:rsidRDefault="0074774A" w:rsidP="00D32C18">
            <w:pPr>
              <w:cnfStyle w:val="000000000000" w:firstRow="0" w:lastRow="0" w:firstColumn="0" w:lastColumn="0" w:oddVBand="0" w:evenVBand="0" w:oddHBand="0" w:evenHBand="0" w:firstRowFirstColumn="0" w:firstRowLastColumn="0" w:lastRowFirstColumn="0" w:lastRowLastColumn="0"/>
              <w:rPr>
                <w:szCs w:val="22"/>
              </w:rPr>
            </w:pPr>
            <w:r w:rsidRPr="008A0EAA">
              <w:rPr>
                <w:szCs w:val="22"/>
              </w:rPr>
              <w:t>Study SPD503-316 was not designed as a comparator controlled study.</w:t>
            </w:r>
          </w:p>
          <w:p w:rsidR="0074774A" w:rsidRPr="008A0EAA" w:rsidRDefault="0074774A" w:rsidP="00D32C18">
            <w:pPr>
              <w:cnfStyle w:val="000000000000" w:firstRow="0" w:lastRow="0" w:firstColumn="0" w:lastColumn="0" w:oddVBand="0" w:evenVBand="0" w:oddHBand="0" w:evenHBand="0" w:firstRowFirstColumn="0" w:firstRowLastColumn="0" w:lastRowFirstColumn="0" w:lastRowLastColumn="0"/>
              <w:rPr>
                <w:szCs w:val="22"/>
              </w:rPr>
            </w:pPr>
            <w:r w:rsidRPr="008A0EAA">
              <w:rPr>
                <w:szCs w:val="22"/>
              </w:rPr>
              <w:t>Demonstrated by a posthoc analysis of Study SPD503-301, SPD503-304, Study SPD503-312 and Study SPD503-316.</w:t>
            </w:r>
          </w:p>
        </w:tc>
      </w:tr>
    </w:tbl>
    <w:p w:rsidR="0074774A" w:rsidRDefault="0074774A" w:rsidP="0074774A">
      <w:pPr>
        <w:pStyle w:val="Heading3"/>
        <w:numPr>
          <w:ilvl w:val="1"/>
          <w:numId w:val="29"/>
        </w:numPr>
        <w:ind w:left="907" w:hanging="794"/>
      </w:pPr>
      <w:bookmarkStart w:id="692" w:name="15.2._Second_round_assessment_of_risks"/>
      <w:bookmarkStart w:id="693" w:name="_bookmark147"/>
      <w:bookmarkStart w:id="694" w:name="_Toc505617018"/>
      <w:bookmarkStart w:id="695" w:name="_Toc513217736"/>
      <w:bookmarkEnd w:id="692"/>
      <w:bookmarkEnd w:id="693"/>
      <w:r>
        <w:lastRenderedPageBreak/>
        <w:t>Second round assessment of risks</w:t>
      </w:r>
      <w:bookmarkEnd w:id="694"/>
      <w:bookmarkEnd w:id="695"/>
    </w:p>
    <w:p w:rsidR="0074774A" w:rsidRDefault="0074774A" w:rsidP="0074774A">
      <w:pPr>
        <w:pStyle w:val="Tabletitle"/>
      </w:pPr>
      <w:r>
        <w:t xml:space="preserve">Table 46: </w:t>
      </w:r>
      <w:r w:rsidRPr="00E3076D">
        <w:t>Second</w:t>
      </w:r>
      <w:r>
        <w:t xml:space="preserve"> round assessment of risks</w:t>
      </w:r>
    </w:p>
    <w:tbl>
      <w:tblPr>
        <w:tblStyle w:val="TableTGAblue"/>
        <w:tblW w:w="0" w:type="auto"/>
        <w:tblLook w:val="04A0" w:firstRow="1" w:lastRow="0" w:firstColumn="1" w:lastColumn="0" w:noHBand="0" w:noVBand="1"/>
        <w:tblDescription w:val="Table 46: Second round assessment of risks"/>
      </w:tblPr>
      <w:tblGrid>
        <w:gridCol w:w="4360"/>
        <w:gridCol w:w="4360"/>
      </w:tblGrid>
      <w:tr w:rsidR="0074774A" w:rsidTr="00F47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0" w:type="dxa"/>
          </w:tcPr>
          <w:p w:rsidR="0074774A" w:rsidRPr="00F47232" w:rsidRDefault="0074774A" w:rsidP="00D32C18">
            <w:pPr>
              <w:rPr>
                <w:szCs w:val="22"/>
              </w:rPr>
            </w:pPr>
            <w:r w:rsidRPr="00F47232">
              <w:rPr>
                <w:bCs/>
                <w:color w:val="FFFFFF"/>
                <w:szCs w:val="22"/>
              </w:rPr>
              <w:t>Risks</w:t>
            </w:r>
          </w:p>
        </w:tc>
        <w:tc>
          <w:tcPr>
            <w:tcW w:w="4360" w:type="dxa"/>
          </w:tcPr>
          <w:p w:rsidR="0074774A" w:rsidRPr="00F47232" w:rsidRDefault="0074774A" w:rsidP="00D32C18">
            <w:pPr>
              <w:cnfStyle w:val="100000000000" w:firstRow="1" w:lastRow="0" w:firstColumn="0" w:lastColumn="0" w:oddVBand="0" w:evenVBand="0" w:oddHBand="0" w:evenHBand="0" w:firstRowFirstColumn="0" w:firstRowLastColumn="0" w:lastRowFirstColumn="0" w:lastRowLastColumn="0"/>
              <w:rPr>
                <w:szCs w:val="22"/>
              </w:rPr>
            </w:pPr>
            <w:r w:rsidRPr="00F47232">
              <w:rPr>
                <w:bCs/>
                <w:color w:val="FFFFFF"/>
                <w:szCs w:val="22"/>
              </w:rPr>
              <w:t>Strengths and Uncertainties</w:t>
            </w:r>
          </w:p>
        </w:tc>
      </w:tr>
      <w:tr w:rsidR="0074774A" w:rsidTr="00D32C18">
        <w:tc>
          <w:tcPr>
            <w:cnfStyle w:val="001000000000" w:firstRow="0" w:lastRow="0" w:firstColumn="1" w:lastColumn="0" w:oddVBand="0" w:evenVBand="0" w:oddHBand="0" w:evenHBand="0" w:firstRowFirstColumn="0" w:firstRowLastColumn="0" w:lastRowFirstColumn="0" w:lastRowLastColumn="0"/>
            <w:tcW w:w="4360" w:type="dxa"/>
          </w:tcPr>
          <w:p w:rsidR="0074774A" w:rsidRPr="008A0EAA" w:rsidRDefault="0074774A" w:rsidP="00D32C18">
            <w:pPr>
              <w:rPr>
                <w:szCs w:val="22"/>
              </w:rPr>
            </w:pPr>
            <w:r w:rsidRPr="008A0EAA">
              <w:rPr>
                <w:szCs w:val="22"/>
              </w:rPr>
              <w:t>Guanfacine extended release (SPD503) has a favourable safety profile.</w:t>
            </w:r>
          </w:p>
          <w:p w:rsidR="0074774A" w:rsidRPr="008A0EAA" w:rsidRDefault="0074774A" w:rsidP="00D32C18">
            <w:pPr>
              <w:rPr>
                <w:szCs w:val="22"/>
              </w:rPr>
            </w:pPr>
            <w:r w:rsidRPr="008A0EAA">
              <w:rPr>
                <w:szCs w:val="22"/>
              </w:rPr>
              <w:t>Somnolence, sedation, fatigue and headache are very common adverse events.</w:t>
            </w:r>
          </w:p>
          <w:p w:rsidR="0074774A" w:rsidRPr="008A0EAA" w:rsidRDefault="0074774A" w:rsidP="00D32C18">
            <w:pPr>
              <w:rPr>
                <w:szCs w:val="22"/>
              </w:rPr>
            </w:pPr>
            <w:r w:rsidRPr="008A0EAA">
              <w:rPr>
                <w:szCs w:val="22"/>
              </w:rPr>
              <w:t>There were no deaths in the clinical trials.</w:t>
            </w:r>
          </w:p>
          <w:p w:rsidR="0074774A" w:rsidRPr="008A0EAA" w:rsidRDefault="0074774A" w:rsidP="00D32C18">
            <w:pPr>
              <w:rPr>
                <w:szCs w:val="22"/>
              </w:rPr>
            </w:pPr>
            <w:r w:rsidRPr="008A0EAA">
              <w:rPr>
                <w:szCs w:val="22"/>
              </w:rPr>
              <w:t>There were few SAEs. The commonest SAEs were somnolence, sedation and syncope</w:t>
            </w:r>
          </w:p>
          <w:p w:rsidR="0074774A" w:rsidRPr="008A0EAA" w:rsidRDefault="0074774A" w:rsidP="00D32C18">
            <w:pPr>
              <w:rPr>
                <w:szCs w:val="22"/>
              </w:rPr>
            </w:pPr>
            <w:r w:rsidRPr="008A0EAA">
              <w:rPr>
                <w:szCs w:val="22"/>
              </w:rPr>
              <w:t>Somnolence and syncope were the commonest reasons for discontinuation due to AE.</w:t>
            </w:r>
          </w:p>
          <w:p w:rsidR="0074774A" w:rsidRPr="008A0EAA" w:rsidRDefault="0074774A" w:rsidP="00D32C18">
            <w:pPr>
              <w:rPr>
                <w:szCs w:val="22"/>
              </w:rPr>
            </w:pPr>
            <w:r w:rsidRPr="008A0EAA">
              <w:rPr>
                <w:szCs w:val="22"/>
              </w:rPr>
              <w:t>Guanfacine causes a decrease in HR, SBP and DBP that returns to baseline following several months of treatment. Rebound hypertension can be avoided by tapered withdrawal.</w:t>
            </w:r>
          </w:p>
          <w:p w:rsidR="0074774A" w:rsidRPr="008A0EAA" w:rsidRDefault="0074774A" w:rsidP="00D32C18">
            <w:pPr>
              <w:rPr>
                <w:szCs w:val="22"/>
              </w:rPr>
            </w:pPr>
            <w:r w:rsidRPr="008A0EAA">
              <w:rPr>
                <w:szCs w:val="22"/>
              </w:rPr>
              <w:t>QTcF prolongation of regulatory concern was identified in the thorough QT study. Clinically significant prolongation of QTcF or QTcB was not identified in the subsequent clinical trials.</w:t>
            </w:r>
          </w:p>
          <w:p w:rsidR="0074774A" w:rsidRPr="008A0EAA" w:rsidRDefault="0074774A" w:rsidP="00D32C18">
            <w:pPr>
              <w:rPr>
                <w:szCs w:val="22"/>
              </w:rPr>
            </w:pPr>
            <w:r w:rsidRPr="008A0EAA">
              <w:rPr>
                <w:szCs w:val="22"/>
              </w:rPr>
              <w:t>Effects on operating machinery and driving have not been evaluated.</w:t>
            </w:r>
          </w:p>
          <w:p w:rsidR="0074774A" w:rsidRPr="008A0EAA" w:rsidRDefault="0074774A" w:rsidP="00D32C18">
            <w:pPr>
              <w:rPr>
                <w:szCs w:val="22"/>
              </w:rPr>
            </w:pPr>
            <w:r w:rsidRPr="008A0EAA">
              <w:rPr>
                <w:szCs w:val="22"/>
              </w:rPr>
              <w:t>There are no safety data for the 5 mg to 7 mg dose range in patients co-medicated with psychostimulants.</w:t>
            </w:r>
          </w:p>
        </w:tc>
        <w:tc>
          <w:tcPr>
            <w:tcW w:w="4360" w:type="dxa"/>
          </w:tcPr>
          <w:p w:rsidR="0074774A" w:rsidRPr="008A0EAA" w:rsidRDefault="0074774A" w:rsidP="00D32C18">
            <w:pPr>
              <w:cnfStyle w:val="000000000000" w:firstRow="0" w:lastRow="0" w:firstColumn="0" w:lastColumn="0" w:oddVBand="0" w:evenVBand="0" w:oddHBand="0" w:evenHBand="0" w:firstRowFirstColumn="0" w:firstRowLastColumn="0" w:lastRowFirstColumn="0" w:lastRowLastColumn="0"/>
              <w:rPr>
                <w:szCs w:val="22"/>
              </w:rPr>
            </w:pPr>
            <w:r w:rsidRPr="008A0EAA">
              <w:rPr>
                <w:szCs w:val="22"/>
              </w:rPr>
              <w:t>There is extensive exposure data to support this including a total of 3,243 subjects treated with SPD503 in clinical trials and an estimated cumulative worldwide patient exposure of 965,432 patient years of treatment.</w:t>
            </w:r>
          </w:p>
          <w:p w:rsidR="0074774A" w:rsidRPr="008A0EAA" w:rsidRDefault="0074774A" w:rsidP="00D32C18">
            <w:pPr>
              <w:cnfStyle w:val="000000000000" w:firstRow="0" w:lastRow="0" w:firstColumn="0" w:lastColumn="0" w:oddVBand="0" w:evenVBand="0" w:oddHBand="0" w:evenHBand="0" w:firstRowFirstColumn="0" w:firstRowLastColumn="0" w:lastRowFirstColumn="0" w:lastRowLastColumn="0"/>
              <w:rPr>
                <w:szCs w:val="22"/>
              </w:rPr>
            </w:pPr>
            <w:r w:rsidRPr="008A0EAA">
              <w:rPr>
                <w:szCs w:val="22"/>
              </w:rPr>
              <w:t>This is supported by the safety data presented in the dossier.</w:t>
            </w:r>
          </w:p>
        </w:tc>
      </w:tr>
    </w:tbl>
    <w:p w:rsidR="0074774A" w:rsidRDefault="0074774A" w:rsidP="0074774A">
      <w:pPr>
        <w:pStyle w:val="Heading3"/>
        <w:numPr>
          <w:ilvl w:val="1"/>
          <w:numId w:val="29"/>
        </w:numPr>
        <w:ind w:left="907" w:hanging="794"/>
      </w:pPr>
      <w:bookmarkStart w:id="696" w:name="15.3._Second_round_assessment_of_benefit"/>
      <w:bookmarkStart w:id="697" w:name="_bookmark148"/>
      <w:bookmarkStart w:id="698" w:name="_Toc505617019"/>
      <w:bookmarkStart w:id="699" w:name="_Toc513217737"/>
      <w:bookmarkEnd w:id="696"/>
      <w:bookmarkEnd w:id="697"/>
      <w:r>
        <w:t>Second round assessment of benefit-risk</w:t>
      </w:r>
      <w:r>
        <w:rPr>
          <w:spacing w:val="-3"/>
        </w:rPr>
        <w:t xml:space="preserve"> </w:t>
      </w:r>
      <w:r>
        <w:t>balance</w:t>
      </w:r>
      <w:bookmarkEnd w:id="698"/>
      <w:bookmarkEnd w:id="699"/>
    </w:p>
    <w:p w:rsidR="0074774A" w:rsidRDefault="0074774A" w:rsidP="0074774A">
      <w:pPr>
        <w:pStyle w:val="BodyText"/>
        <w:kinsoku w:val="0"/>
        <w:overflowPunct w:val="0"/>
        <w:spacing w:before="129"/>
        <w:ind w:left="219" w:right="591"/>
      </w:pPr>
      <w:r>
        <w:t>The benefit-risk balance of Intuniv (guanfacine hydrochloride) 1 mg, 2 mg, 3 mg and 4 mg modified release tablets would be favourable if steps are taken to ameliorate the following risks:</w:t>
      </w:r>
    </w:p>
    <w:p w:rsidR="0074774A" w:rsidRDefault="0074774A" w:rsidP="0074774A">
      <w:pPr>
        <w:pStyle w:val="ListBullet"/>
        <w:numPr>
          <w:ilvl w:val="0"/>
          <w:numId w:val="3"/>
        </w:numPr>
        <w:rPr>
          <w:rFonts w:ascii="Symbol" w:hAnsi="Symbol" w:cs="Symbol"/>
          <w:color w:val="000000"/>
        </w:rPr>
      </w:pPr>
      <w:r>
        <w:t>Use in doses above 4 mg in patients also treated with</w:t>
      </w:r>
      <w:r>
        <w:rPr>
          <w:spacing w:val="-16"/>
        </w:rPr>
        <w:t xml:space="preserve"> </w:t>
      </w:r>
      <w:r>
        <w:t>psychostimulants.</w:t>
      </w:r>
    </w:p>
    <w:p w:rsidR="0074774A" w:rsidRDefault="0074774A" w:rsidP="0074774A">
      <w:pPr>
        <w:pStyle w:val="ListBullet"/>
        <w:numPr>
          <w:ilvl w:val="0"/>
          <w:numId w:val="3"/>
        </w:numPr>
        <w:rPr>
          <w:rFonts w:ascii="Symbol" w:hAnsi="Symbol" w:cs="Symbol"/>
          <w:color w:val="000000"/>
        </w:rPr>
      </w:pPr>
      <w:r>
        <w:t>Use in patients operating heavy equipment or</w:t>
      </w:r>
      <w:r>
        <w:rPr>
          <w:spacing w:val="-6"/>
        </w:rPr>
        <w:t xml:space="preserve"> </w:t>
      </w:r>
      <w:r>
        <w:t>driving</w:t>
      </w:r>
    </w:p>
    <w:p w:rsidR="0074774A" w:rsidRDefault="0074774A" w:rsidP="0074774A">
      <w:pPr>
        <w:pStyle w:val="ListBullet"/>
        <w:numPr>
          <w:ilvl w:val="0"/>
          <w:numId w:val="3"/>
        </w:numPr>
        <w:rPr>
          <w:rFonts w:ascii="Symbol" w:hAnsi="Symbol" w:cs="Symbol"/>
          <w:color w:val="000000"/>
        </w:rPr>
      </w:pPr>
      <w:r>
        <w:t>Use in patients with a history of long QT</w:t>
      </w:r>
      <w:r>
        <w:rPr>
          <w:spacing w:val="-14"/>
        </w:rPr>
        <w:t xml:space="preserve"> </w:t>
      </w:r>
      <w:r>
        <w:t>syndromes</w:t>
      </w:r>
    </w:p>
    <w:p w:rsidR="0074774A" w:rsidRDefault="0074774A" w:rsidP="0074774A">
      <w:pPr>
        <w:pStyle w:val="ListBullet"/>
        <w:numPr>
          <w:ilvl w:val="0"/>
          <w:numId w:val="3"/>
        </w:numPr>
        <w:rPr>
          <w:rFonts w:ascii="Symbol" w:hAnsi="Symbol" w:cs="Symbol"/>
          <w:color w:val="000000"/>
        </w:rPr>
      </w:pPr>
      <w:r>
        <w:t>Use in patients co-medication with drugs known to prolong the QTc</w:t>
      </w:r>
      <w:r>
        <w:rPr>
          <w:spacing w:val="-19"/>
        </w:rPr>
        <w:t xml:space="preserve"> </w:t>
      </w:r>
      <w:r>
        <w:t>interval</w:t>
      </w:r>
    </w:p>
    <w:p w:rsidR="0074774A" w:rsidRDefault="0074774A" w:rsidP="0074774A">
      <w:pPr>
        <w:pStyle w:val="Heading2"/>
        <w:numPr>
          <w:ilvl w:val="0"/>
          <w:numId w:val="29"/>
        </w:numPr>
      </w:pPr>
      <w:bookmarkStart w:id="700" w:name="16._Second_round_recommendation_regardin"/>
      <w:bookmarkStart w:id="701" w:name="_bookmark149"/>
      <w:bookmarkStart w:id="702" w:name="_Toc505617020"/>
      <w:bookmarkStart w:id="703" w:name="_Toc513217738"/>
      <w:bookmarkEnd w:id="700"/>
      <w:bookmarkEnd w:id="701"/>
      <w:r>
        <w:lastRenderedPageBreak/>
        <w:t>Second round recommendation regarding authorisation</w:t>
      </w:r>
      <w:bookmarkEnd w:id="702"/>
      <w:bookmarkEnd w:id="703"/>
    </w:p>
    <w:p w:rsidR="0074774A" w:rsidRDefault="0074774A" w:rsidP="0074774A">
      <w:r>
        <w:t>The application for Intuniv (guanfacine hydrochloride) 1 mg, 2 mg, 3 mg and 4 mg modified release tablets should be rejected for the following indication:</w:t>
      </w:r>
    </w:p>
    <w:p w:rsidR="0074774A" w:rsidRPr="009B72D4" w:rsidRDefault="0074774A" w:rsidP="0074774A">
      <w:pPr>
        <w:ind w:left="220"/>
        <w:rPr>
          <w:i/>
        </w:rPr>
      </w:pPr>
      <w:r w:rsidRPr="009B72D4">
        <w:rPr>
          <w:i/>
        </w:rPr>
        <w:t>Intuniv is indicated for the treatment of Attention Deficit Hyperactivity Disorder (ADHD) in paediatric patients (children and adolescents 6-17 years old inclusive).</w:t>
      </w:r>
    </w:p>
    <w:p w:rsidR="0074774A" w:rsidRDefault="0074774A" w:rsidP="0074774A">
      <w:r>
        <w:t>The reason for rejection is that Intuniv (guanfacine hydrochloride) has not been compared with currently approved treatments for ADHD, and therefore its place in the order of management of the condition is unknown.</w:t>
      </w:r>
    </w:p>
    <w:p w:rsidR="0074774A" w:rsidRDefault="0074774A" w:rsidP="0074774A">
      <w:pPr>
        <w:rPr>
          <w:sz w:val="11"/>
          <w:szCs w:val="11"/>
        </w:rPr>
      </w:pPr>
      <w:r>
        <w:t>Consideration could be given for approval of the following alternative indication:</w:t>
      </w:r>
    </w:p>
    <w:p w:rsidR="0074774A" w:rsidRPr="009B72D4" w:rsidRDefault="0074774A" w:rsidP="0074774A">
      <w:pPr>
        <w:ind w:left="567"/>
        <w:rPr>
          <w:i/>
        </w:rPr>
      </w:pPr>
      <w:r w:rsidRPr="009B72D4">
        <w:rPr>
          <w:i/>
        </w:rPr>
        <w:t>Intuniv is indicated for the treatment of Attention Deficit Hyperactivity Disorder (ADHD) in paediatric patients (children and adolescents 6-17 years old inclusive) where psychostimulants, atomoxetine and/or behavioural treatments have been ineffective or are contraindicated.</w:t>
      </w:r>
    </w:p>
    <w:p w:rsidR="0074774A" w:rsidRDefault="0074774A" w:rsidP="0074774A">
      <w:pPr>
        <w:pStyle w:val="Heading2"/>
        <w:numPr>
          <w:ilvl w:val="0"/>
          <w:numId w:val="29"/>
        </w:numPr>
      </w:pPr>
      <w:bookmarkStart w:id="704" w:name="_Toc505617021"/>
      <w:bookmarkStart w:id="705" w:name="_Toc513217739"/>
      <w:r>
        <w:t>References</w:t>
      </w:r>
      <w:bookmarkEnd w:id="704"/>
      <w:bookmarkEnd w:id="705"/>
    </w:p>
    <w:p w:rsidR="00594C12" w:rsidRDefault="00594C12" w:rsidP="00E46DA6">
      <w:pPr>
        <w:ind w:left="142" w:hanging="142"/>
      </w:pPr>
      <w:r>
        <w:t xml:space="preserve">Lawrence D, Johnson S, Hafekost J, Boterhoven de Haan K, Sawyer M, Ainley J, Zubrick SR. Mental Health of Children and Adolescents Report on the second Australian Child and Adolescent Survey of Mental Health and Wellbeing. </w:t>
      </w:r>
      <w:proofErr w:type="gramStart"/>
      <w:r>
        <w:t>Commonwealth of Australia (2015) ISBN: 978-1-76007-187-5.</w:t>
      </w:r>
      <w:proofErr w:type="gramEnd"/>
    </w:p>
    <w:p w:rsidR="003D1E62" w:rsidRPr="001D043B" w:rsidRDefault="008E7846" w:rsidP="002666AC">
      <w:pPr>
        <w:sectPr w:rsidR="003D1E62" w:rsidRPr="001D043B" w:rsidSect="008D770F">
          <w:headerReference w:type="even" r:id="rId66"/>
          <w:headerReference w:type="default" r:id="rId67"/>
          <w:headerReference w:type="first" r:id="rId68"/>
          <w:footerReference w:type="first" r:id="rId6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rsidTr="00D32C18">
        <w:trPr>
          <w:trHeight w:hRule="exact" w:val="564"/>
        </w:trPr>
        <w:tc>
          <w:tcPr>
            <w:tcW w:w="9175" w:type="dxa"/>
          </w:tcPr>
          <w:p w:rsidR="00B3567E" w:rsidRPr="00487162" w:rsidRDefault="00B3567E" w:rsidP="00D32C18">
            <w:pPr>
              <w:pStyle w:val="TGASignoff"/>
            </w:pPr>
            <w:r w:rsidRPr="00487162">
              <w:lastRenderedPageBreak/>
              <w:t>Therapeutic Goods Administration</w:t>
            </w:r>
          </w:p>
        </w:tc>
      </w:tr>
      <w:tr w:rsidR="00B3567E" w:rsidRPr="00487162" w:rsidTr="00D32C18">
        <w:trPr>
          <w:trHeight w:val="1221"/>
        </w:trPr>
        <w:tc>
          <w:tcPr>
            <w:tcW w:w="9175" w:type="dxa"/>
            <w:tcMar>
              <w:top w:w="28" w:type="dxa"/>
            </w:tcMar>
          </w:tcPr>
          <w:p w:rsidR="00B3567E" w:rsidRPr="00487162" w:rsidRDefault="00B3567E" w:rsidP="00D32C18">
            <w:pPr>
              <w:pStyle w:val="Address"/>
            </w:pPr>
            <w:r w:rsidRPr="00487162">
              <w:t>PO Box 100 Woden ACT 2606 Australia</w:t>
            </w:r>
          </w:p>
          <w:p w:rsidR="00B3567E" w:rsidRPr="00487162" w:rsidRDefault="00B3567E" w:rsidP="00D32C18">
            <w:pPr>
              <w:pStyle w:val="Address"/>
            </w:pPr>
            <w:r w:rsidRPr="00487162">
              <w:t xml:space="preserve">Email: </w:t>
            </w:r>
            <w:hyperlink r:id="rId70" w:history="1">
              <w:r w:rsidRPr="008D770F">
                <w:rPr>
                  <w:rStyle w:val="Hyperlink"/>
                </w:rPr>
                <w:t>info@tga.gov.au</w:t>
              </w:r>
            </w:hyperlink>
            <w:r w:rsidRPr="00487162">
              <w:t xml:space="preserve">  Phone: 1800 020 653  Fax: 02 6232 8605</w:t>
            </w:r>
          </w:p>
          <w:p w:rsidR="00B3567E" w:rsidRPr="008D770F" w:rsidRDefault="006B7702" w:rsidP="00D32C18">
            <w:pPr>
              <w:pStyle w:val="Address"/>
              <w:spacing w:line="260" w:lineRule="atLeast"/>
              <w:rPr>
                <w:b/>
                <w:color w:val="0000FF"/>
                <w:u w:val="single"/>
              </w:rPr>
            </w:pPr>
            <w:hyperlink r:id="rId71" w:history="1">
              <w:r w:rsidR="00E979F4" w:rsidRPr="00FE02B1">
                <w:rPr>
                  <w:rStyle w:val="Hyperlink"/>
                  <w:b/>
                </w:rPr>
                <w:t>https://www.tga.gov.au</w:t>
              </w:r>
            </w:hyperlink>
          </w:p>
        </w:tc>
      </w:tr>
    </w:tbl>
    <w:p w:rsidR="00774E1D" w:rsidRPr="008A5E0B" w:rsidRDefault="00774E1D" w:rsidP="006814CD"/>
    <w:sectPr w:rsidR="00774E1D" w:rsidRPr="008A5E0B" w:rsidSect="00B3567E">
      <w:headerReference w:type="even" r:id="rId72"/>
      <w:headerReference w:type="default" r:id="rId73"/>
      <w:footerReference w:type="default" r:id="rId74"/>
      <w:headerReference w:type="first" r:id="rId75"/>
      <w:footerReference w:type="first" r:id="rId7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702" w:rsidRDefault="006B7702" w:rsidP="00C40A36">
      <w:pPr>
        <w:spacing w:after="0"/>
      </w:pPr>
      <w:r>
        <w:separator/>
      </w:r>
    </w:p>
  </w:endnote>
  <w:endnote w:type="continuationSeparator" w:id="0">
    <w:p w:rsidR="006B7702" w:rsidRDefault="006B770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3" w:usb1="08070000" w:usb2="00000010" w:usb3="00000000" w:csb0="00020001" w:csb1="00000000"/>
  </w:font>
  <w:font w:name="ArialMT">
    <w:altName w:val="MS Gothic"/>
    <w:panose1 w:val="00000000000000000000"/>
    <w:charset w:val="00"/>
    <w:family w:val="swiss"/>
    <w:notTrueType/>
    <w:pitch w:val="default"/>
    <w:sig w:usb0="00000003" w:usb1="08070000" w:usb2="00000010" w:usb3="00000000" w:csb0="00020001" w:csb1="00000000"/>
  </w:font>
  <w:font w:name="Utopia-Regular">
    <w:panose1 w:val="00000000000000000000"/>
    <w:charset w:val="00"/>
    <w:family w:val="auto"/>
    <w:notTrueType/>
    <w:pitch w:val="default"/>
    <w:sig w:usb0="00000003" w:usb1="00000000" w:usb2="00000000" w:usb3="00000000" w:csb0="00000001" w:csb1="00000000"/>
  </w:font>
  <w:font w:name="SymbolMT">
    <w:altName w:val="MS Gothic"/>
    <w:panose1 w:val="00000000000000000000"/>
    <w:charset w:val="80"/>
    <w:family w:val="auto"/>
    <w:notTrueType/>
    <w:pitch w:val="default"/>
    <w:sig w:usb0="00000083" w:usb1="08070000" w:usb2="00000010" w:usb3="00000000" w:csb0="0002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6B7702" w:rsidRPr="00487162" w:rsidTr="0074774A">
      <w:trPr>
        <w:trHeight w:val="269"/>
      </w:trPr>
      <w:tc>
        <w:tcPr>
          <w:tcW w:w="7513" w:type="dxa"/>
          <w:tcMar>
            <w:top w:w="142" w:type="dxa"/>
            <w:bottom w:w="0" w:type="dxa"/>
          </w:tcMar>
        </w:tcPr>
        <w:p w:rsidR="006B7702" w:rsidRPr="00487162" w:rsidRDefault="006B7702" w:rsidP="00C137CE">
          <w:pPr>
            <w:pStyle w:val="Footer"/>
          </w:pPr>
          <w:r w:rsidRPr="0074774A">
            <w:t>Submission PM-2016-00711-1-1 Clinical Evaluation Report for Intuniv</w:t>
          </w:r>
        </w:p>
      </w:tc>
      <w:tc>
        <w:tcPr>
          <w:tcW w:w="1348" w:type="dxa"/>
          <w:tcMar>
            <w:top w:w="142" w:type="dxa"/>
            <w:bottom w:w="0" w:type="dxa"/>
          </w:tcMar>
        </w:tcPr>
        <w:p w:rsidR="006B7702" w:rsidRPr="00981D66" w:rsidRDefault="006B7702"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9025E">
            <w:rPr>
              <w:noProof/>
            </w:rPr>
            <w:t>98</w:t>
          </w:r>
          <w:r w:rsidRPr="00981D66">
            <w:fldChar w:fldCharType="end"/>
          </w:r>
          <w:r w:rsidRPr="00981D66">
            <w:t xml:space="preserve"> of </w:t>
          </w:r>
          <w:fldSimple w:instr=" NUMPAGES  \* Arabic  \* MERGEFORMAT ">
            <w:r w:rsidR="0009025E">
              <w:rPr>
                <w:noProof/>
              </w:rPr>
              <w:t>99</w:t>
            </w:r>
          </w:fldSimple>
        </w:p>
      </w:tc>
    </w:tr>
  </w:tbl>
  <w:p w:rsidR="006B7702" w:rsidRDefault="006B770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B7702" w:rsidRPr="00487162" w:rsidTr="00E45619">
      <w:trPr>
        <w:trHeight w:val="269"/>
      </w:trPr>
      <w:tc>
        <w:tcPr>
          <w:tcW w:w="4519" w:type="dxa"/>
          <w:tcBorders>
            <w:top w:val="single" w:sz="4" w:space="0" w:color="auto"/>
          </w:tcBorders>
          <w:tcMar>
            <w:top w:w="142" w:type="dxa"/>
            <w:bottom w:w="0" w:type="dxa"/>
          </w:tcMar>
        </w:tcPr>
        <w:p w:rsidR="006B7702" w:rsidRPr="00487162" w:rsidRDefault="006B7702" w:rsidP="00FE1DEE">
          <w:pPr>
            <w:pStyle w:val="Footer"/>
          </w:pPr>
          <w:r w:rsidRPr="00487162">
            <w:t>Document title, Part #, Section # - Section title</w:t>
          </w:r>
        </w:p>
        <w:p w:rsidR="006B7702" w:rsidRPr="00487162" w:rsidRDefault="006B7702" w:rsidP="00FE1DEE">
          <w:pPr>
            <w:pStyle w:val="Footer"/>
          </w:pPr>
          <w:r w:rsidRPr="00487162">
            <w:t>V1.0 October 2010</w:t>
          </w:r>
        </w:p>
      </w:tc>
      <w:tc>
        <w:tcPr>
          <w:tcW w:w="4342" w:type="dxa"/>
          <w:tcBorders>
            <w:top w:val="single" w:sz="4" w:space="0" w:color="auto"/>
          </w:tcBorders>
          <w:tcMar>
            <w:top w:w="142" w:type="dxa"/>
            <w:bottom w:w="0" w:type="dxa"/>
          </w:tcMar>
        </w:tcPr>
        <w:p w:rsidR="006B7702" w:rsidRPr="00487162" w:rsidRDefault="006B770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98</w:t>
            </w:r>
          </w:fldSimple>
        </w:p>
      </w:tc>
    </w:tr>
  </w:tbl>
  <w:p w:rsidR="006B7702" w:rsidRDefault="006B77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B7702" w:rsidTr="0010601F">
      <w:trPr>
        <w:trHeight w:val="108"/>
      </w:trPr>
      <w:tc>
        <w:tcPr>
          <w:tcW w:w="8875" w:type="dxa"/>
          <w:gridSpan w:val="2"/>
          <w:tcBorders>
            <w:bottom w:val="single" w:sz="4" w:space="0" w:color="auto"/>
          </w:tcBorders>
          <w:tcMar>
            <w:right w:w="284" w:type="dxa"/>
          </w:tcMar>
        </w:tcPr>
        <w:p w:rsidR="006B7702" w:rsidRDefault="006B7702" w:rsidP="006E08B3">
          <w:pPr>
            <w:pStyle w:val="Heading3"/>
          </w:pPr>
          <w:r>
            <w:t>Copyright</w:t>
          </w:r>
        </w:p>
        <w:p w:rsidR="006B7702" w:rsidRDefault="006B7702" w:rsidP="006E08B3">
          <w:r>
            <w:rPr>
              <w:rFonts w:cs="Arial"/>
            </w:rPr>
            <w:t>©</w:t>
          </w:r>
          <w:r>
            <w:t xml:space="preserve"> Commonwealth of Australia [add year]</w:t>
          </w:r>
        </w:p>
        <w:p w:rsidR="006B7702" w:rsidRDefault="006B7702" w:rsidP="006E08B3"/>
        <w:p w:rsidR="006B7702" w:rsidRDefault="006B770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B7702" w:rsidRDefault="006B7702" w:rsidP="006E08B3"/>
        <w:p w:rsidR="006B7702" w:rsidRDefault="006B7702" w:rsidP="006E08B3">
          <w:pPr>
            <w:pStyle w:val="Heading3"/>
          </w:pPr>
          <w:r>
            <w:t>Confidentiality</w:t>
          </w:r>
        </w:p>
        <w:p w:rsidR="006B7702" w:rsidRDefault="006B770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B7702" w:rsidRDefault="006B7702" w:rsidP="006E08B3"/>
        <w:p w:rsidR="006B7702" w:rsidRDefault="006B7702" w:rsidP="006E08B3">
          <w:r>
            <w:t>For submission made by individuals, all personal details, other than your name, will be removed from your submission before it is published on the TGA’s Internet site.</w:t>
          </w:r>
        </w:p>
        <w:p w:rsidR="006B7702" w:rsidRDefault="006B7702" w:rsidP="006E08B3"/>
        <w:p w:rsidR="006B7702" w:rsidRDefault="006B7702" w:rsidP="006E08B3">
          <w:r>
            <w:t>In addition, a list of parties making submissions will be published. If you do not wish to be identified with your submission you must specifically request this in the space provided ib the submission coversheet.</w:t>
          </w:r>
        </w:p>
      </w:tc>
    </w:tr>
    <w:tr w:rsidR="006B7702" w:rsidTr="0010601F">
      <w:trPr>
        <w:trHeight w:val="417"/>
      </w:trPr>
      <w:tc>
        <w:tcPr>
          <w:tcW w:w="4519" w:type="dxa"/>
          <w:tcBorders>
            <w:top w:val="single" w:sz="4" w:space="0" w:color="auto"/>
          </w:tcBorders>
          <w:tcMar>
            <w:top w:w="142" w:type="dxa"/>
            <w:bottom w:w="0" w:type="dxa"/>
          </w:tcMar>
        </w:tcPr>
        <w:p w:rsidR="006B7702" w:rsidRDefault="006B7702" w:rsidP="006E08B3">
          <w:r>
            <w:t>Document title, Part #, Section # - Section title</w:t>
          </w:r>
        </w:p>
        <w:p w:rsidR="006B7702" w:rsidRDefault="006B7702" w:rsidP="006E08B3">
          <w:r>
            <w:t>V1.0 October 2010</w:t>
          </w:r>
        </w:p>
      </w:tc>
      <w:tc>
        <w:tcPr>
          <w:tcW w:w="4356" w:type="dxa"/>
          <w:tcBorders>
            <w:top w:val="single" w:sz="4" w:space="0" w:color="auto"/>
          </w:tcBorders>
          <w:tcMar>
            <w:top w:w="142" w:type="dxa"/>
            <w:bottom w:w="0" w:type="dxa"/>
          </w:tcMar>
        </w:tcPr>
        <w:p w:rsidR="006B7702" w:rsidRDefault="006B770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98</w:t>
            </w:r>
          </w:fldSimple>
          <w:r>
            <w:t xml:space="preserve">  </w:t>
          </w:r>
        </w:p>
      </w:tc>
    </w:tr>
  </w:tbl>
  <w:p w:rsidR="006B7702" w:rsidRDefault="006B77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702" w:rsidRDefault="006B7702" w:rsidP="00C40A36">
      <w:pPr>
        <w:spacing w:after="0"/>
      </w:pPr>
      <w:r>
        <w:separator/>
      </w:r>
    </w:p>
  </w:footnote>
  <w:footnote w:type="continuationSeparator" w:id="0">
    <w:p w:rsidR="006B7702" w:rsidRDefault="006B7702"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pPr>
      <w:rPr>
        <w:noProof/>
        <w:lang w:eastAsia="en-AU"/>
      </w:rPr>
    </w:pPr>
    <w:r w:rsidRPr="002D545C">
      <w:rPr>
        <w:noProof/>
        <w:lang w:eastAsia="en-AU"/>
      </w:rPr>
      <w:drawing>
        <wp:anchor distT="0" distB="0" distL="114300" distR="114300" simplePos="0" relativeHeight="251659264" behindDoc="1" locked="0" layoutInCell="1" allowOverlap="1" wp14:anchorId="74977A3A" wp14:editId="723904F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B7702" w:rsidRDefault="006B7702"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02" w:rsidRDefault="006B7702" w:rsidP="006E08B3">
    <w:r>
      <w:t>Therapeutic Goods Administration</w:t>
    </w:r>
  </w:p>
  <w:p w:rsidR="006B7702" w:rsidRDefault="006B770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28E3F8B"/>
    <w:multiLevelType w:val="hybridMultilevel"/>
    <w:tmpl w:val="F2F67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2BC7713"/>
    <w:multiLevelType w:val="hybridMultilevel"/>
    <w:tmpl w:val="C4DA6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D0B1B75"/>
    <w:multiLevelType w:val="multilevel"/>
    <w:tmpl w:val="54548B0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75F87A69"/>
    <w:multiLevelType w:val="hybridMultilevel"/>
    <w:tmpl w:val="CE1245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0"/>
  </w:num>
  <w:num w:numId="27">
    <w:abstractNumId w:val="11"/>
  </w:num>
  <w:num w:numId="28">
    <w:abstractNumId w:val="12"/>
  </w:num>
  <w:num w:numId="29">
    <w:abstractNumId w:val="13"/>
  </w:num>
  <w:num w:numId="30">
    <w:abstractNumId w:val="13"/>
  </w:num>
  <w:num w:numId="31">
    <w:abstractNumId w:val="13"/>
  </w:num>
  <w:num w:numId="32">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3">
    <w:abstractNumId w:val="8"/>
  </w:num>
  <w:num w:numId="34">
    <w:abstractNumId w:val="14"/>
  </w:num>
  <w:num w:numId="35">
    <w:abstractNumId w:val="4"/>
  </w:num>
  <w:num w:numId="36">
    <w:abstractNumId w:val="15"/>
  </w:num>
  <w:num w:numId="37">
    <w:abstractNumId w:val="6"/>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74A"/>
    <w:rsid w:val="00002031"/>
    <w:rsid w:val="00004734"/>
    <w:rsid w:val="00006B22"/>
    <w:rsid w:val="0001276A"/>
    <w:rsid w:val="000246AE"/>
    <w:rsid w:val="00025C67"/>
    <w:rsid w:val="00040ACB"/>
    <w:rsid w:val="000530A0"/>
    <w:rsid w:val="0005559E"/>
    <w:rsid w:val="00077775"/>
    <w:rsid w:val="0009025E"/>
    <w:rsid w:val="00090471"/>
    <w:rsid w:val="00097B5E"/>
    <w:rsid w:val="000A3AED"/>
    <w:rsid w:val="000A63AF"/>
    <w:rsid w:val="000B3532"/>
    <w:rsid w:val="000B36EC"/>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66EEA"/>
    <w:rsid w:val="0027084A"/>
    <w:rsid w:val="00286434"/>
    <w:rsid w:val="00286C59"/>
    <w:rsid w:val="00292113"/>
    <w:rsid w:val="002942D1"/>
    <w:rsid w:val="0029501A"/>
    <w:rsid w:val="002B1638"/>
    <w:rsid w:val="002C63ED"/>
    <w:rsid w:val="002D545C"/>
    <w:rsid w:val="002D6161"/>
    <w:rsid w:val="002E4C9A"/>
    <w:rsid w:val="002F11F8"/>
    <w:rsid w:val="002F39A7"/>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1942"/>
    <w:rsid w:val="004722CC"/>
    <w:rsid w:val="004936E4"/>
    <w:rsid w:val="00494E60"/>
    <w:rsid w:val="00497487"/>
    <w:rsid w:val="004A7E13"/>
    <w:rsid w:val="004B755D"/>
    <w:rsid w:val="004B7B76"/>
    <w:rsid w:val="004C2DCA"/>
    <w:rsid w:val="004F0F38"/>
    <w:rsid w:val="004F4AF5"/>
    <w:rsid w:val="00501921"/>
    <w:rsid w:val="00530354"/>
    <w:rsid w:val="0053625B"/>
    <w:rsid w:val="005434C6"/>
    <w:rsid w:val="0054386A"/>
    <w:rsid w:val="00543B39"/>
    <w:rsid w:val="00550096"/>
    <w:rsid w:val="00557FF9"/>
    <w:rsid w:val="00576378"/>
    <w:rsid w:val="00577945"/>
    <w:rsid w:val="00577E38"/>
    <w:rsid w:val="00585322"/>
    <w:rsid w:val="005857C6"/>
    <w:rsid w:val="00586F98"/>
    <w:rsid w:val="00592F6E"/>
    <w:rsid w:val="00593AD1"/>
    <w:rsid w:val="00594C12"/>
    <w:rsid w:val="005A68B6"/>
    <w:rsid w:val="005C5570"/>
    <w:rsid w:val="005C79A4"/>
    <w:rsid w:val="005D5442"/>
    <w:rsid w:val="00603F32"/>
    <w:rsid w:val="006050DD"/>
    <w:rsid w:val="006170F0"/>
    <w:rsid w:val="00620406"/>
    <w:rsid w:val="00632398"/>
    <w:rsid w:val="00640FC3"/>
    <w:rsid w:val="00642020"/>
    <w:rsid w:val="00646206"/>
    <w:rsid w:val="0065337B"/>
    <w:rsid w:val="0065419D"/>
    <w:rsid w:val="006604D8"/>
    <w:rsid w:val="00661CFF"/>
    <w:rsid w:val="00664A5B"/>
    <w:rsid w:val="006763D2"/>
    <w:rsid w:val="00680C08"/>
    <w:rsid w:val="006814CD"/>
    <w:rsid w:val="006931B1"/>
    <w:rsid w:val="006A15C0"/>
    <w:rsid w:val="006B4C50"/>
    <w:rsid w:val="006B7702"/>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4774A"/>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5D27"/>
    <w:rsid w:val="00821776"/>
    <w:rsid w:val="008321F5"/>
    <w:rsid w:val="00832369"/>
    <w:rsid w:val="00834660"/>
    <w:rsid w:val="00836BC2"/>
    <w:rsid w:val="008414A0"/>
    <w:rsid w:val="0085641B"/>
    <w:rsid w:val="00857136"/>
    <w:rsid w:val="00877781"/>
    <w:rsid w:val="00877865"/>
    <w:rsid w:val="00886C19"/>
    <w:rsid w:val="00886D15"/>
    <w:rsid w:val="00887DD8"/>
    <w:rsid w:val="00896018"/>
    <w:rsid w:val="008960DD"/>
    <w:rsid w:val="0089635C"/>
    <w:rsid w:val="008A0EAA"/>
    <w:rsid w:val="008A2B9D"/>
    <w:rsid w:val="008A5E0B"/>
    <w:rsid w:val="008A6D59"/>
    <w:rsid w:val="008B4B03"/>
    <w:rsid w:val="008B596F"/>
    <w:rsid w:val="008B5A3E"/>
    <w:rsid w:val="008C159F"/>
    <w:rsid w:val="008C1623"/>
    <w:rsid w:val="008C1850"/>
    <w:rsid w:val="008C27F4"/>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A7BE1"/>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7742B"/>
    <w:rsid w:val="00A964D1"/>
    <w:rsid w:val="00AA0ED0"/>
    <w:rsid w:val="00AA3499"/>
    <w:rsid w:val="00AC2B40"/>
    <w:rsid w:val="00AC2BB2"/>
    <w:rsid w:val="00AC2C3C"/>
    <w:rsid w:val="00AC512D"/>
    <w:rsid w:val="00AE01C2"/>
    <w:rsid w:val="00AE65EB"/>
    <w:rsid w:val="00AE67A7"/>
    <w:rsid w:val="00AF1D94"/>
    <w:rsid w:val="00AF60C5"/>
    <w:rsid w:val="00AF6654"/>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07DE8"/>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515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32C18"/>
    <w:rsid w:val="00D53A31"/>
    <w:rsid w:val="00D6493E"/>
    <w:rsid w:val="00D7301E"/>
    <w:rsid w:val="00D83AE1"/>
    <w:rsid w:val="00D855D4"/>
    <w:rsid w:val="00D87961"/>
    <w:rsid w:val="00D93466"/>
    <w:rsid w:val="00DA1124"/>
    <w:rsid w:val="00DB75B7"/>
    <w:rsid w:val="00DC156B"/>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46DA6"/>
    <w:rsid w:val="00E51BB1"/>
    <w:rsid w:val="00E624A5"/>
    <w:rsid w:val="00E7344E"/>
    <w:rsid w:val="00E77B22"/>
    <w:rsid w:val="00E936E3"/>
    <w:rsid w:val="00E979F4"/>
    <w:rsid w:val="00EB0798"/>
    <w:rsid w:val="00EB40AD"/>
    <w:rsid w:val="00EB586E"/>
    <w:rsid w:val="00EB5FC8"/>
    <w:rsid w:val="00ED3CAD"/>
    <w:rsid w:val="00ED5A41"/>
    <w:rsid w:val="00EE1786"/>
    <w:rsid w:val="00EE1DE8"/>
    <w:rsid w:val="00F033EC"/>
    <w:rsid w:val="00F04F68"/>
    <w:rsid w:val="00F12670"/>
    <w:rsid w:val="00F14B27"/>
    <w:rsid w:val="00F22EE3"/>
    <w:rsid w:val="00F3148D"/>
    <w:rsid w:val="00F325C5"/>
    <w:rsid w:val="00F32FE0"/>
    <w:rsid w:val="00F35298"/>
    <w:rsid w:val="00F47232"/>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8A0EAA"/>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74774A"/>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74774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74774A"/>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74774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4774A"/>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4774A"/>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4774A"/>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4774A"/>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4774A"/>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4774A"/>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74774A"/>
    <w:rPr>
      <w:i/>
      <w:color w:val="007099"/>
    </w:rPr>
  </w:style>
  <w:style w:type="paragraph" w:styleId="ListParagraph">
    <w:name w:val="List Paragraph"/>
    <w:basedOn w:val="Normal"/>
    <w:uiPriority w:val="1"/>
    <w:qFormat/>
    <w:rsid w:val="0074774A"/>
    <w:pPr>
      <w:ind w:left="720"/>
      <w:contextualSpacing/>
    </w:pPr>
  </w:style>
  <w:style w:type="paragraph" w:styleId="BodyTextIndent">
    <w:name w:val="Body Text Indent"/>
    <w:basedOn w:val="Normal"/>
    <w:link w:val="BodyTextIndentChar"/>
    <w:rsid w:val="0074774A"/>
    <w:pPr>
      <w:spacing w:before="0" w:after="0" w:line="360" w:lineRule="auto"/>
      <w:ind w:left="1134"/>
      <w:jc w:val="center"/>
    </w:pPr>
    <w:rPr>
      <w:rFonts w:ascii="Times New Roman" w:eastAsia="Times New Roman" w:hAnsi="Times New Roman"/>
      <w:b/>
      <w:sz w:val="24"/>
      <w:szCs w:val="20"/>
    </w:rPr>
  </w:style>
  <w:style w:type="character" w:customStyle="1" w:styleId="BodyTextIndentChar">
    <w:name w:val="Body Text Indent Char"/>
    <w:basedOn w:val="DefaultParagraphFont"/>
    <w:link w:val="BodyTextIndent"/>
    <w:rsid w:val="0074774A"/>
    <w:rPr>
      <w:rFonts w:ascii="Times New Roman" w:eastAsia="Times New Roman" w:hAnsi="Times New Roman" w:cs="Times New Roman"/>
      <w:b/>
      <w:sz w:val="24"/>
      <w:szCs w:val="20"/>
    </w:rPr>
  </w:style>
  <w:style w:type="character" w:customStyle="1" w:styleId="eudoraheader">
    <w:name w:val="eudoraheader"/>
    <w:basedOn w:val="DefaultParagraphFont"/>
    <w:rsid w:val="0074774A"/>
  </w:style>
  <w:style w:type="character" w:customStyle="1" w:styleId="citation1">
    <w:name w:val="citation1"/>
    <w:rsid w:val="0074774A"/>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left1">
    <w:name w:val="maintextleft1"/>
    <w:rsid w:val="0074774A"/>
    <w:rPr>
      <w:rFonts w:ascii="Arial" w:hAnsi="Arial" w:cs="Arial" w:hint="default"/>
      <w:b w:val="0"/>
      <w:bCs w:val="0"/>
      <w:i w:val="0"/>
      <w:iCs w:val="0"/>
      <w:smallCaps w:val="0"/>
      <w:strike w:val="0"/>
      <w:dstrike w:val="0"/>
      <w:color w:val="000000"/>
      <w:sz w:val="18"/>
      <w:szCs w:val="18"/>
      <w:u w:val="none"/>
      <w:effect w:val="none"/>
    </w:rPr>
  </w:style>
  <w:style w:type="character" w:customStyle="1" w:styleId="volume">
    <w:name w:val="volume"/>
    <w:basedOn w:val="DefaultParagraphFont"/>
    <w:rsid w:val="0074774A"/>
  </w:style>
  <w:style w:type="character" w:customStyle="1" w:styleId="issue">
    <w:name w:val="issue"/>
    <w:basedOn w:val="DefaultParagraphFont"/>
    <w:rsid w:val="0074774A"/>
  </w:style>
  <w:style w:type="character" w:customStyle="1" w:styleId="pages">
    <w:name w:val="pages"/>
    <w:basedOn w:val="DefaultParagraphFont"/>
    <w:rsid w:val="0074774A"/>
  </w:style>
  <w:style w:type="character" w:customStyle="1" w:styleId="ti2">
    <w:name w:val="ti2"/>
    <w:rsid w:val="0074774A"/>
    <w:rPr>
      <w:sz w:val="22"/>
      <w:szCs w:val="22"/>
    </w:rPr>
  </w:style>
  <w:style w:type="character" w:customStyle="1" w:styleId="src1">
    <w:name w:val="src1"/>
    <w:rsid w:val="0074774A"/>
    <w:rPr>
      <w:vanish w:val="0"/>
      <w:webHidden w:val="0"/>
      <w:specVanish w:val="0"/>
    </w:rPr>
  </w:style>
  <w:style w:type="character" w:customStyle="1" w:styleId="jrnl">
    <w:name w:val="jrnl"/>
    <w:rsid w:val="0074774A"/>
  </w:style>
  <w:style w:type="paragraph" w:styleId="NoSpacing">
    <w:name w:val="No Spacing"/>
    <w:basedOn w:val="Normal"/>
    <w:next w:val="Normal"/>
    <w:uiPriority w:val="1"/>
    <w:qFormat/>
    <w:rsid w:val="0074774A"/>
    <w:pPr>
      <w:spacing w:before="0" w:after="0" w:line="240" w:lineRule="auto"/>
      <w:jc w:val="both"/>
    </w:pPr>
    <w:rPr>
      <w:rFonts w:ascii="Times New Roman" w:eastAsia="Calibri" w:hAnsi="Times New Roman"/>
      <w:sz w:val="24"/>
      <w:lang w:val="en-NZ"/>
    </w:rPr>
  </w:style>
  <w:style w:type="paragraph" w:styleId="BodyText">
    <w:name w:val="Body Text"/>
    <w:basedOn w:val="Normal"/>
    <w:link w:val="BodyTextChar"/>
    <w:uiPriority w:val="99"/>
    <w:unhideWhenUsed/>
    <w:rsid w:val="0074774A"/>
  </w:style>
  <w:style w:type="character" w:customStyle="1" w:styleId="BodyTextChar">
    <w:name w:val="Body Text Char"/>
    <w:basedOn w:val="DefaultParagraphFont"/>
    <w:link w:val="BodyText"/>
    <w:uiPriority w:val="99"/>
    <w:rsid w:val="0074774A"/>
    <w:rPr>
      <w:rFonts w:ascii="Cambria" w:eastAsia="Cambria" w:hAnsi="Cambria" w:cs="Times New Roman"/>
    </w:rPr>
  </w:style>
  <w:style w:type="paragraph" w:customStyle="1" w:styleId="TableParagraph">
    <w:name w:val="Table Paragraph"/>
    <w:basedOn w:val="Normal"/>
    <w:uiPriority w:val="1"/>
    <w:qFormat/>
    <w:rsid w:val="0074774A"/>
    <w:pPr>
      <w:widowControl w:val="0"/>
      <w:autoSpaceDE w:val="0"/>
      <w:autoSpaceDN w:val="0"/>
      <w:adjustRightInd w:val="0"/>
      <w:spacing w:before="117" w:after="0" w:line="240" w:lineRule="auto"/>
      <w:ind w:left="278"/>
    </w:pPr>
    <w:rPr>
      <w:rFonts w:eastAsiaTheme="minorEastAsia" w:cs="Cambria"/>
      <w:sz w:val="24"/>
      <w:szCs w:val="24"/>
      <w:lang w:eastAsia="en-AU"/>
    </w:rPr>
  </w:style>
  <w:style w:type="paragraph" w:customStyle="1" w:styleId="Default">
    <w:name w:val="Default"/>
    <w:rsid w:val="00E46DA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8A0EAA"/>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74774A"/>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74774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74774A"/>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74774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4774A"/>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4774A"/>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4774A"/>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4774A"/>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4774A"/>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4774A"/>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74774A"/>
    <w:rPr>
      <w:i/>
      <w:color w:val="007099"/>
    </w:rPr>
  </w:style>
  <w:style w:type="paragraph" w:styleId="ListParagraph">
    <w:name w:val="List Paragraph"/>
    <w:basedOn w:val="Normal"/>
    <w:uiPriority w:val="1"/>
    <w:qFormat/>
    <w:rsid w:val="0074774A"/>
    <w:pPr>
      <w:ind w:left="720"/>
      <w:contextualSpacing/>
    </w:pPr>
  </w:style>
  <w:style w:type="paragraph" w:styleId="BodyTextIndent">
    <w:name w:val="Body Text Indent"/>
    <w:basedOn w:val="Normal"/>
    <w:link w:val="BodyTextIndentChar"/>
    <w:rsid w:val="0074774A"/>
    <w:pPr>
      <w:spacing w:before="0" w:after="0" w:line="360" w:lineRule="auto"/>
      <w:ind w:left="1134"/>
      <w:jc w:val="center"/>
    </w:pPr>
    <w:rPr>
      <w:rFonts w:ascii="Times New Roman" w:eastAsia="Times New Roman" w:hAnsi="Times New Roman"/>
      <w:b/>
      <w:sz w:val="24"/>
      <w:szCs w:val="20"/>
    </w:rPr>
  </w:style>
  <w:style w:type="character" w:customStyle="1" w:styleId="BodyTextIndentChar">
    <w:name w:val="Body Text Indent Char"/>
    <w:basedOn w:val="DefaultParagraphFont"/>
    <w:link w:val="BodyTextIndent"/>
    <w:rsid w:val="0074774A"/>
    <w:rPr>
      <w:rFonts w:ascii="Times New Roman" w:eastAsia="Times New Roman" w:hAnsi="Times New Roman" w:cs="Times New Roman"/>
      <w:b/>
      <w:sz w:val="24"/>
      <w:szCs w:val="20"/>
    </w:rPr>
  </w:style>
  <w:style w:type="character" w:customStyle="1" w:styleId="eudoraheader">
    <w:name w:val="eudoraheader"/>
    <w:basedOn w:val="DefaultParagraphFont"/>
    <w:rsid w:val="0074774A"/>
  </w:style>
  <w:style w:type="character" w:customStyle="1" w:styleId="citation1">
    <w:name w:val="citation1"/>
    <w:rsid w:val="0074774A"/>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left1">
    <w:name w:val="maintextleft1"/>
    <w:rsid w:val="0074774A"/>
    <w:rPr>
      <w:rFonts w:ascii="Arial" w:hAnsi="Arial" w:cs="Arial" w:hint="default"/>
      <w:b w:val="0"/>
      <w:bCs w:val="0"/>
      <w:i w:val="0"/>
      <w:iCs w:val="0"/>
      <w:smallCaps w:val="0"/>
      <w:strike w:val="0"/>
      <w:dstrike w:val="0"/>
      <w:color w:val="000000"/>
      <w:sz w:val="18"/>
      <w:szCs w:val="18"/>
      <w:u w:val="none"/>
      <w:effect w:val="none"/>
    </w:rPr>
  </w:style>
  <w:style w:type="character" w:customStyle="1" w:styleId="volume">
    <w:name w:val="volume"/>
    <w:basedOn w:val="DefaultParagraphFont"/>
    <w:rsid w:val="0074774A"/>
  </w:style>
  <w:style w:type="character" w:customStyle="1" w:styleId="issue">
    <w:name w:val="issue"/>
    <w:basedOn w:val="DefaultParagraphFont"/>
    <w:rsid w:val="0074774A"/>
  </w:style>
  <w:style w:type="character" w:customStyle="1" w:styleId="pages">
    <w:name w:val="pages"/>
    <w:basedOn w:val="DefaultParagraphFont"/>
    <w:rsid w:val="0074774A"/>
  </w:style>
  <w:style w:type="character" w:customStyle="1" w:styleId="ti2">
    <w:name w:val="ti2"/>
    <w:rsid w:val="0074774A"/>
    <w:rPr>
      <w:sz w:val="22"/>
      <w:szCs w:val="22"/>
    </w:rPr>
  </w:style>
  <w:style w:type="character" w:customStyle="1" w:styleId="src1">
    <w:name w:val="src1"/>
    <w:rsid w:val="0074774A"/>
    <w:rPr>
      <w:vanish w:val="0"/>
      <w:webHidden w:val="0"/>
      <w:specVanish w:val="0"/>
    </w:rPr>
  </w:style>
  <w:style w:type="character" w:customStyle="1" w:styleId="jrnl">
    <w:name w:val="jrnl"/>
    <w:rsid w:val="0074774A"/>
  </w:style>
  <w:style w:type="paragraph" w:styleId="NoSpacing">
    <w:name w:val="No Spacing"/>
    <w:basedOn w:val="Normal"/>
    <w:next w:val="Normal"/>
    <w:uiPriority w:val="1"/>
    <w:qFormat/>
    <w:rsid w:val="0074774A"/>
    <w:pPr>
      <w:spacing w:before="0" w:after="0" w:line="240" w:lineRule="auto"/>
      <w:jc w:val="both"/>
    </w:pPr>
    <w:rPr>
      <w:rFonts w:ascii="Times New Roman" w:eastAsia="Calibri" w:hAnsi="Times New Roman"/>
      <w:sz w:val="24"/>
      <w:lang w:val="en-NZ"/>
    </w:rPr>
  </w:style>
  <w:style w:type="paragraph" w:styleId="BodyText">
    <w:name w:val="Body Text"/>
    <w:basedOn w:val="Normal"/>
    <w:link w:val="BodyTextChar"/>
    <w:uiPriority w:val="99"/>
    <w:unhideWhenUsed/>
    <w:rsid w:val="0074774A"/>
  </w:style>
  <w:style w:type="character" w:customStyle="1" w:styleId="BodyTextChar">
    <w:name w:val="Body Text Char"/>
    <w:basedOn w:val="DefaultParagraphFont"/>
    <w:link w:val="BodyText"/>
    <w:uiPriority w:val="99"/>
    <w:rsid w:val="0074774A"/>
    <w:rPr>
      <w:rFonts w:ascii="Cambria" w:eastAsia="Cambria" w:hAnsi="Cambria" w:cs="Times New Roman"/>
    </w:rPr>
  </w:style>
  <w:style w:type="paragraph" w:customStyle="1" w:styleId="TableParagraph">
    <w:name w:val="Table Paragraph"/>
    <w:basedOn w:val="Normal"/>
    <w:uiPriority w:val="1"/>
    <w:qFormat/>
    <w:rsid w:val="0074774A"/>
    <w:pPr>
      <w:widowControl w:val="0"/>
      <w:autoSpaceDE w:val="0"/>
      <w:autoSpaceDN w:val="0"/>
      <w:adjustRightInd w:val="0"/>
      <w:spacing w:before="117" w:after="0" w:line="240" w:lineRule="auto"/>
      <w:ind w:left="278"/>
    </w:pPr>
    <w:rPr>
      <w:rFonts w:eastAsiaTheme="minorEastAsia" w:cs="Cambria"/>
      <w:sz w:val="24"/>
      <w:szCs w:val="24"/>
      <w:lang w:eastAsia="en-AU"/>
    </w:rPr>
  </w:style>
  <w:style w:type="paragraph" w:customStyle="1" w:styleId="Default">
    <w:name w:val="Default"/>
    <w:rsid w:val="00E46DA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png"/><Relationship Id="rId68" Type="http://schemas.openxmlformats.org/officeDocument/2006/relationships/header" Target="header5.xm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header" Target="header3.xm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png"/><Relationship Id="rId10" Type="http://schemas.openxmlformats.org/officeDocument/2006/relationships/hyperlink" Target="https://www.tga.gov.au/product-information-pi"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header" Target="header7.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footer" Target="footer2.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header" Target="header4.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hyperlink" Target="mailto:info@tga.gov.au"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89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9B908-6AC3-4050-9FC2-FAAFF9387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123</TotalTime>
  <Pages>99</Pages>
  <Words>29209</Words>
  <Characters>166496</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Guanfacine hydrochloride</vt:lpstr>
    </vt:vector>
  </TitlesOfParts>
  <Company>TGA</Company>
  <LinksUpToDate>false</LinksUpToDate>
  <CharactersWithSpaces>195315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Guanfacine hydrochloride</dc:title>
  <dc:subject>prescription medicines</dc:subject>
  <dc:creator>Therapeutic Goods Administration</dc:creator>
  <cp:keywords>AusPARs</cp:keywords>
  <cp:lastModifiedBy>Therapeutic Goods Administration</cp:lastModifiedBy>
  <cp:revision>13</cp:revision>
  <cp:lastPrinted>2018-02-06T01:10:00Z</cp:lastPrinted>
  <dcterms:created xsi:type="dcterms:W3CDTF">2018-05-03T03:32:00Z</dcterms:created>
  <dcterms:modified xsi:type="dcterms:W3CDTF">2018-05-07T00:58:00Z</dcterms:modified>
</cp:coreProperties>
</file>